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color w:val="auto"/>
          <w:sz w:val="44"/>
          <w:szCs w:val="44"/>
        </w:rPr>
      </w:pPr>
      <w:bookmarkStart w:id="512" w:name="_GoBack"/>
      <w:bookmarkEnd w:id="512"/>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b/>
          <w:color w:val="auto"/>
          <w:sz w:val="44"/>
          <w:szCs w:val="44"/>
        </w:rPr>
      </w:pP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杭州市公安局上城区分局1125路视频监控建设项目监理</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招标文件</w:t>
      </w:r>
    </w:p>
    <w:p>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（电子招投标）</w:t>
      </w:r>
    </w:p>
    <w:p>
      <w:pPr>
        <w:snapToGrid w:val="0"/>
        <w:spacing w:line="15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编号:</w:t>
      </w:r>
      <w:r>
        <w:rPr>
          <w:rFonts w:hint="eastAsia" w:ascii="仿宋" w:hAnsi="仿宋" w:eastAsia="仿宋" w:cs="仿宋"/>
          <w:bCs/>
          <w:color w:val="auto"/>
          <w:sz w:val="32"/>
          <w:szCs w:val="32"/>
          <w:lang w:eastAsia="zh-CN"/>
        </w:rPr>
        <w:t>ZJHY-SCGAFJ2024-02</w:t>
      </w: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杭州市公安局上城区分局</w:t>
      </w:r>
    </w:p>
    <w:p>
      <w:pPr>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浙江和源项目管理有限公司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二〇二四年三月</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rPr>
        <w:t>日</w:t>
      </w:r>
      <w:bookmarkStart w:id="0" w:name="_Hlt67893495"/>
      <w:bookmarkEnd w:id="0"/>
    </w:p>
    <w:p>
      <w:pPr>
        <w:spacing w:line="360" w:lineRule="auto"/>
        <w:jc w:val="center"/>
        <w:rPr>
          <w:rFonts w:ascii="仿宋" w:hAnsi="仿宋" w:eastAsia="仿宋" w:cs="仿宋"/>
          <w:b/>
          <w:color w:val="auto"/>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60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  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      招标公告</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      投标人须知</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      采购需求</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      评标办法</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bookmarkStart w:id="1" w:name="_Hlt91233176"/>
      <w:bookmarkEnd w:id="1"/>
      <w:bookmarkStart w:id="2" w:name="_Toc91899869"/>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36"/>
        </w:rPr>
        <w:br w:type="page"/>
      </w:r>
      <w:bookmarkEnd w:id="2"/>
      <w:bookmarkStart w:id="3" w:name="_Hlt74728647"/>
      <w:bookmarkEnd w:id="3"/>
      <w:bookmarkStart w:id="4" w:name="_Hlt74707423"/>
      <w:bookmarkEnd w:id="4"/>
      <w:bookmarkStart w:id="5" w:name="_Hlt74729822"/>
      <w:bookmarkEnd w:id="5"/>
      <w:bookmarkStart w:id="6" w:name="_Hlt74649545"/>
      <w:bookmarkEnd w:id="6"/>
      <w:bookmarkStart w:id="7" w:name="_Toc91899870"/>
      <w:bookmarkStart w:id="8" w:name="_Toc91899871"/>
      <w:r>
        <w:rPr>
          <w:rFonts w:hint="eastAsia" w:ascii="仿宋" w:hAnsi="仿宋" w:eastAsia="仿宋" w:cs="仿宋"/>
          <w:b/>
          <w:color w:val="auto"/>
          <w:sz w:val="36"/>
          <w:szCs w:val="20"/>
        </w:rPr>
        <w:t xml:space="preserve">第一部分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招标公告</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杭州市公安局上城区分局1125路视频监控建设项目监理</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"https://www.zcygov.cn/）获取（下载）招标文件，并于2024年%20月%20日%20点%20分00秒" </w:instrText>
      </w:r>
      <w:r>
        <w:rPr>
          <w:color w:val="auto"/>
        </w:rPr>
        <w:fldChar w:fldCharType="separate"/>
      </w:r>
      <w:r>
        <w:rPr>
          <w:rStyle w:val="78"/>
          <w:rFonts w:hint="eastAsia" w:ascii="仿宋" w:hAnsi="仿宋" w:eastAsia="仿宋" w:cs="仿宋"/>
          <w:snapToGrid/>
          <w:color w:val="auto"/>
          <w:kern w:val="2"/>
          <w:sz w:val="24"/>
          <w:szCs w:val="24"/>
        </w:rPr>
        <w:t>https://www.zcygov.cn/）获取（下载）招标文件，并于</w:t>
      </w:r>
      <w:r>
        <w:rPr>
          <w:rStyle w:val="78"/>
          <w:rFonts w:hint="eastAsia" w:ascii="仿宋" w:hAnsi="仿宋" w:eastAsia="仿宋" w:cs="仿宋"/>
          <w:snapToGrid/>
          <w:color w:val="auto"/>
          <w:kern w:val="2"/>
          <w:sz w:val="24"/>
          <w:szCs w:val="24"/>
        </w:rPr>
        <w:t>2024年</w:t>
      </w:r>
      <w:r>
        <w:rPr>
          <w:rStyle w:val="78"/>
          <w:rFonts w:hint="eastAsia" w:ascii="仿宋" w:hAnsi="仿宋" w:eastAsia="仿宋" w:cs="仿宋"/>
          <w:snapToGrid/>
          <w:color w:val="auto"/>
          <w:kern w:val="2"/>
          <w:sz w:val="24"/>
          <w:szCs w:val="24"/>
          <w:lang w:val="en-US" w:eastAsia="zh-CN"/>
        </w:rPr>
        <w:t>04</w:t>
      </w:r>
      <w:r>
        <w:rPr>
          <w:rStyle w:val="78"/>
          <w:rFonts w:hint="eastAsia" w:ascii="仿宋" w:hAnsi="仿宋" w:eastAsia="仿宋" w:cs="仿宋"/>
          <w:snapToGrid/>
          <w:color w:val="auto"/>
          <w:kern w:val="2"/>
          <w:sz w:val="24"/>
          <w:szCs w:val="24"/>
        </w:rPr>
        <w:t xml:space="preserve">月 </w:t>
      </w:r>
      <w:r>
        <w:rPr>
          <w:rStyle w:val="78"/>
          <w:rFonts w:hint="eastAsia" w:ascii="仿宋" w:hAnsi="仿宋" w:eastAsia="仿宋" w:cs="仿宋"/>
          <w:snapToGrid/>
          <w:color w:val="auto"/>
          <w:kern w:val="2"/>
          <w:sz w:val="24"/>
          <w:szCs w:val="24"/>
          <w:lang w:val="en-US" w:eastAsia="zh-CN"/>
        </w:rPr>
        <w:t>07</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13</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30</w:t>
      </w:r>
      <w:r>
        <w:rPr>
          <w:rStyle w:val="78"/>
          <w:rFonts w:hint="eastAsia" w:ascii="仿宋" w:hAnsi="仿宋" w:eastAsia="仿宋" w:cs="仿宋"/>
          <w:snapToGrid/>
          <w:color w:val="auto"/>
          <w:kern w:val="2"/>
          <w:sz w:val="24"/>
          <w:szCs w:val="24"/>
        </w:rPr>
        <w:t>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color w:val="auto"/>
          <w:sz w:val="24"/>
        </w:rPr>
      </w:pPr>
      <w:r>
        <w:rPr>
          <w:rFonts w:hint="eastAsia" w:ascii="仿宋" w:hAnsi="仿宋" w:eastAsia="仿宋" w:cs="仿宋"/>
          <w:b/>
          <w:color w:val="auto"/>
          <w:sz w:val="24"/>
        </w:rPr>
        <w:t>一、项目基本情况</w:t>
      </w:r>
    </w:p>
    <w:p>
      <w:pPr>
        <w:spacing w:line="360" w:lineRule="auto"/>
        <w:ind w:firstLine="480"/>
        <w:rPr>
          <w:rFonts w:hint="eastAsia" w:ascii="仿宋" w:hAnsi="仿宋" w:eastAsia="仿宋" w:cs="仿宋"/>
          <w:b/>
          <w:color w:val="auto"/>
          <w:sz w:val="24"/>
          <w:lang w:eastAsia="zh-CN"/>
        </w:rPr>
      </w:pPr>
      <w:r>
        <w:rPr>
          <w:rFonts w:hint="eastAsia" w:ascii="仿宋" w:hAnsi="仿宋" w:eastAsia="仿宋" w:cs="仿宋"/>
          <w:b/>
          <w:color w:val="auto"/>
          <w:sz w:val="24"/>
        </w:rPr>
        <w:t>项目编号：</w:t>
      </w:r>
      <w:r>
        <w:rPr>
          <w:rFonts w:hint="eastAsia" w:ascii="仿宋" w:hAnsi="仿宋" w:eastAsia="仿宋" w:cs="仿宋"/>
          <w:b/>
          <w:color w:val="auto"/>
          <w:sz w:val="24"/>
          <w:lang w:eastAsia="zh-CN"/>
        </w:rPr>
        <w:t>ZJHY-SCGAFJ2024-02</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项目名称：</w:t>
      </w:r>
      <w:r>
        <w:rPr>
          <w:rFonts w:hint="eastAsia" w:ascii="仿宋" w:hAnsi="仿宋" w:eastAsia="仿宋" w:cs="仿宋"/>
          <w:bCs/>
          <w:color w:val="auto"/>
          <w:sz w:val="24"/>
        </w:rPr>
        <w:t>杭州市公安局上城区分局1125路视频监控建设项目监理</w:t>
      </w:r>
    </w:p>
    <w:p>
      <w:pPr>
        <w:spacing w:line="360" w:lineRule="auto"/>
        <w:ind w:firstLine="480"/>
        <w:rPr>
          <w:rFonts w:ascii="仿宋" w:hAnsi="仿宋" w:eastAsia="仿宋" w:cs="仿宋"/>
          <w:b/>
          <w:color w:val="auto"/>
          <w:sz w:val="24"/>
        </w:rPr>
      </w:pPr>
      <w:r>
        <w:rPr>
          <w:rFonts w:hint="eastAsia" w:ascii="仿宋" w:hAnsi="仿宋" w:eastAsia="仿宋" w:cs="仿宋"/>
          <w:b/>
          <w:color w:val="auto"/>
          <w:sz w:val="24"/>
        </w:rPr>
        <w:t>预算金额（元）：</w:t>
      </w:r>
      <w:r>
        <w:rPr>
          <w:rFonts w:ascii="仿宋" w:hAnsi="仿宋" w:eastAsia="仿宋" w:cs="仿宋"/>
          <w:bCs/>
          <w:color w:val="auto"/>
          <w:sz w:val="24"/>
        </w:rPr>
        <w:t>890000</w:t>
      </w:r>
      <w:r>
        <w:rPr>
          <w:rFonts w:hint="eastAsia" w:ascii="仿宋" w:hAnsi="仿宋" w:eastAsia="仿宋" w:cs="仿宋"/>
          <w:bCs/>
          <w:color w:val="auto"/>
          <w:sz w:val="24"/>
        </w:rPr>
        <w:t>.00</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ascii="仿宋" w:hAnsi="仿宋" w:eastAsia="仿宋" w:cs="仿宋"/>
          <w:bCs/>
          <w:color w:val="auto"/>
          <w:sz w:val="24"/>
        </w:rPr>
        <w:t>890000</w:t>
      </w:r>
      <w:r>
        <w:rPr>
          <w:rFonts w:hint="eastAsia" w:ascii="仿宋" w:hAnsi="仿宋" w:eastAsia="仿宋" w:cs="仿宋"/>
          <w:bCs/>
          <w:color w:val="auto"/>
          <w:sz w:val="24"/>
        </w:rPr>
        <w:t>.00</w:t>
      </w:r>
    </w:p>
    <w:p>
      <w:pPr>
        <w:pStyle w:val="7"/>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杭州市公安局上城区分局1125路视频监控建设项目监理</w:t>
      </w:r>
      <w:r>
        <w:rPr>
          <w:rFonts w:hint="eastAsia" w:ascii="仿宋" w:hAnsi="仿宋" w:eastAsia="仿宋" w:cs="仿宋"/>
          <w:bCs/>
          <w:snapToGrid/>
          <w:color w:val="auto"/>
          <w:kern w:val="2"/>
          <w:sz w:val="24"/>
          <w:szCs w:val="24"/>
        </w:rPr>
        <w:t>主要内容：</w:t>
      </w:r>
      <w:r>
        <w:rPr>
          <w:rFonts w:hint="eastAsia" w:ascii="仿宋" w:hAnsi="仿宋" w:eastAsia="仿宋" w:cs="仿宋"/>
          <w:bCs/>
          <w:snapToGrid/>
          <w:color w:val="auto"/>
          <w:kern w:val="2"/>
          <w:sz w:val="24"/>
          <w:szCs w:val="24"/>
        </w:rPr>
        <w:t>杭州市公安局上城区分局1125路视频监控建设服务项目的建设和运维阶段监理服务项目，建设内容包括【前端相机改造服务】、【后端存储升级扩容服务】、【后端算法能力扩容服务】、【数据域迁移服务】、【规范安全防护体系服务】共五大内容。具体以招标文件第三部分采购需求为准。</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合同履约期限：</w:t>
      </w:r>
      <w:r>
        <w:rPr>
          <w:rFonts w:hint="eastAsia" w:ascii="仿宋" w:hAnsi="仿宋" w:eastAsia="仿宋" w:cs="宋体"/>
          <w:b/>
          <w:color w:val="auto"/>
          <w:sz w:val="24"/>
        </w:rPr>
        <w:t>3年（具体要求以招标文件第三部分采购需求为准）</w:t>
      </w:r>
    </w:p>
    <w:p>
      <w:pPr>
        <w:pStyle w:val="7"/>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w:t>
      </w:r>
    </w:p>
    <w:p>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sz w:val="24"/>
        </w:rPr>
        <w:t>服务全部由符合政策要求的中小企业承接，提供中小企业声明函；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rPr>
        <w:t>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三、获取招标文件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0</w:t>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2024年</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numPr>
          <w:ilvl w:val="0"/>
          <w:numId w:val="1"/>
        </w:numPr>
        <w:spacing w:line="360" w:lineRule="auto"/>
        <w:rPr>
          <w:rFonts w:ascii="仿宋" w:hAnsi="仿宋" w:eastAsia="仿宋" w:cs="仿宋"/>
          <w:b/>
          <w:color w:val="auto"/>
          <w:sz w:val="24"/>
        </w:rPr>
      </w:pPr>
      <w:r>
        <w:rPr>
          <w:rFonts w:hint="eastAsia" w:ascii="仿宋" w:hAnsi="仿宋" w:eastAsia="仿宋" w:cs="仿宋"/>
          <w:b/>
          <w:color w:val="auto"/>
          <w:sz w:val="24"/>
        </w:rPr>
        <w:t>采购意向公开链接</w:t>
      </w:r>
    </w:p>
    <w:p>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https://zfcg.czt.zj.gov.cn/site/detail?categoryCode=ZcyAnnouncement&amp;parentId=600007&amp;articleId=v9bPizd04wbOB2mNq9NLdw==&amp;utm=site.site-PC-36449.972-pc-websitegroup-zhejiang-mainSearchPage-front.1.48dab7b0d76b11ee9b98cdcd64c27e56</w:t>
      </w:r>
    </w:p>
    <w:p>
      <w:pPr>
        <w:spacing w:line="360" w:lineRule="auto"/>
        <w:rPr>
          <w:rFonts w:ascii="仿宋" w:hAnsi="仿宋" w:eastAsia="仿宋" w:cs="仿宋"/>
          <w:color w:val="auto"/>
          <w:sz w:val="24"/>
        </w:rPr>
      </w:pPr>
      <w:r>
        <w:rPr>
          <w:rFonts w:hint="eastAsia" w:ascii="仿宋" w:hAnsi="仿宋" w:eastAsia="仿宋" w:cs="仿宋"/>
          <w:b/>
          <w:color w:val="auto"/>
          <w:sz w:val="24"/>
        </w:rPr>
        <w:t>六、公告期限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七、其他补充事宜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rPr>
      </w:pPr>
      <w:r>
        <w:rPr>
          <w:rFonts w:hint="eastAsia" w:ascii="仿宋" w:hAnsi="仿宋" w:eastAsia="仿宋" w:cs="仿宋"/>
          <w:b/>
          <w:color w:val="auto"/>
          <w:sz w:val="24"/>
        </w:rPr>
        <w:t>八、对本次采购提出询问、质疑、投诉，请按以下方式联系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1.采购人信息</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88"/>
        </w:rPr>
        <w:t>名</w:t>
      </w:r>
      <w:r>
        <w:rPr>
          <w:rFonts w:hint="eastAsia" w:ascii="仿宋" w:hAnsi="仿宋" w:eastAsia="仿宋" w:cs="仿宋"/>
          <w:color w:val="auto"/>
          <w:spacing w:val="0"/>
          <w:kern w:val="0"/>
          <w:sz w:val="24"/>
          <w:fitText w:val="960" w:id="-1028432888"/>
        </w:rPr>
        <w:t>称</w:t>
      </w:r>
      <w:r>
        <w:rPr>
          <w:rFonts w:hint="eastAsia" w:ascii="仿宋" w:hAnsi="仿宋" w:eastAsia="仿宋" w:cs="仿宋"/>
          <w:color w:val="auto"/>
          <w:sz w:val="24"/>
        </w:rPr>
        <w:t>：杭州市公安局上城区分局</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89"/>
        </w:rPr>
        <w:t>地</w:t>
      </w:r>
      <w:r>
        <w:rPr>
          <w:rFonts w:hint="eastAsia" w:ascii="仿宋" w:hAnsi="仿宋" w:eastAsia="仿宋" w:cs="仿宋"/>
          <w:color w:val="auto"/>
          <w:spacing w:val="0"/>
          <w:kern w:val="0"/>
          <w:sz w:val="24"/>
          <w:fitText w:val="960" w:id="-1028432889"/>
        </w:rPr>
        <w:t>址</w:t>
      </w:r>
      <w:r>
        <w:rPr>
          <w:rFonts w:hint="eastAsia" w:ascii="仿宋" w:hAnsi="仿宋" w:eastAsia="仿宋" w:cs="仿宋"/>
          <w:color w:val="auto"/>
          <w:sz w:val="24"/>
        </w:rPr>
        <w:t>：杭州市上城区候潮东路175号</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0"/>
        </w:rPr>
        <w:t>传</w:t>
      </w:r>
      <w:r>
        <w:rPr>
          <w:rFonts w:hint="eastAsia" w:ascii="仿宋" w:hAnsi="仿宋" w:eastAsia="仿宋" w:cs="仿宋"/>
          <w:color w:val="auto"/>
          <w:spacing w:val="0"/>
          <w:kern w:val="0"/>
          <w:sz w:val="24"/>
          <w:fitText w:val="960" w:id="-1028432890"/>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项目联系人（询问）：钟警官</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w:t>
      </w:r>
      <w:r>
        <w:rPr>
          <w:rFonts w:ascii="仿宋" w:hAnsi="仿宋" w:eastAsia="仿宋" w:cs="仿宋"/>
          <w:color w:val="auto"/>
          <w:sz w:val="24"/>
        </w:rPr>
        <w:t>13588815240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质疑联系人：裘主任</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13606709884</w:t>
      </w:r>
      <w:r>
        <w:rPr>
          <w:rFonts w:hint="eastAsia" w:ascii="仿宋" w:hAnsi="仿宋" w:eastAsia="仿宋" w:cs="仿宋"/>
          <w:color w:val="auto"/>
          <w:sz w:val="24"/>
        </w:rPr>
        <w:t>（请通过以下路径在线提起质疑：政采云-项目采购-询问质疑投诉-质疑列表）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2.采购代理机构信息</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pacing w:val="240"/>
          <w:kern w:val="0"/>
          <w:sz w:val="24"/>
          <w:fitText w:val="960" w:id="-1028432891"/>
        </w:rPr>
        <w:t>名</w:t>
      </w:r>
      <w:r>
        <w:rPr>
          <w:rFonts w:hint="eastAsia" w:ascii="仿宋" w:hAnsi="仿宋" w:eastAsia="仿宋" w:cs="仿宋"/>
          <w:color w:val="auto"/>
          <w:spacing w:val="0"/>
          <w:kern w:val="0"/>
          <w:sz w:val="24"/>
          <w:fitText w:val="960" w:id="-1028432891"/>
        </w:rPr>
        <w:t>称</w:t>
      </w:r>
      <w:r>
        <w:rPr>
          <w:rFonts w:hint="eastAsia" w:ascii="仿宋" w:hAnsi="仿宋" w:eastAsia="仿宋" w:cs="仿宋"/>
          <w:color w:val="auto"/>
          <w:sz w:val="24"/>
        </w:rPr>
        <w:t>：</w:t>
      </w:r>
      <w:r>
        <w:rPr>
          <w:rFonts w:hint="eastAsia" w:ascii="仿宋" w:hAnsi="仿宋" w:eastAsia="仿宋" w:cs="仿宋"/>
          <w:color w:val="auto"/>
          <w:sz w:val="24"/>
          <w:lang w:eastAsia="zh-CN"/>
        </w:rPr>
        <w:t>浙江和源项目管理有限公司</w:t>
      </w:r>
    </w:p>
    <w:p>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pacing w:val="240"/>
          <w:kern w:val="0"/>
          <w:sz w:val="24"/>
          <w:fitText w:val="960" w:id="-1028432892"/>
        </w:rPr>
        <w:t>地</w:t>
      </w:r>
      <w:r>
        <w:rPr>
          <w:rFonts w:hint="eastAsia" w:ascii="仿宋" w:hAnsi="仿宋" w:eastAsia="仿宋" w:cs="仿宋"/>
          <w:color w:val="auto"/>
          <w:spacing w:val="0"/>
          <w:kern w:val="0"/>
          <w:sz w:val="24"/>
          <w:fitText w:val="960" w:id="-1028432892"/>
        </w:rPr>
        <w:t>址</w:t>
      </w:r>
      <w:r>
        <w:rPr>
          <w:rFonts w:hint="eastAsia" w:ascii="仿宋" w:hAnsi="仿宋" w:eastAsia="仿宋" w:cs="仿宋"/>
          <w:color w:val="auto"/>
          <w:sz w:val="24"/>
        </w:rPr>
        <w:t>：</w:t>
      </w:r>
      <w:r>
        <w:rPr>
          <w:rFonts w:hint="eastAsia" w:ascii="仿宋" w:hAnsi="仿宋" w:eastAsia="仿宋" w:cs="仿宋"/>
          <w:color w:val="auto"/>
          <w:sz w:val="24"/>
          <w:lang w:eastAsia="zh-CN"/>
        </w:rPr>
        <w:t>杭州市上城区秋涛北路332号佰富时代3幢16楼1603室</w:t>
      </w:r>
    </w:p>
    <w:p>
      <w:pPr>
        <w:spacing w:line="360" w:lineRule="auto"/>
        <w:ind w:firstLine="480"/>
        <w:rPr>
          <w:rFonts w:ascii="仿宋" w:hAnsi="仿宋" w:eastAsia="仿宋" w:cs="仿宋"/>
          <w:color w:val="auto"/>
          <w:sz w:val="24"/>
        </w:rPr>
      </w:pPr>
      <w:r>
        <w:rPr>
          <w:rFonts w:hint="eastAsia" w:ascii="仿宋" w:hAnsi="仿宋" w:eastAsia="仿宋" w:cs="仿宋"/>
          <w:color w:val="auto"/>
          <w:spacing w:val="240"/>
          <w:kern w:val="0"/>
          <w:sz w:val="24"/>
          <w:fitText w:val="960" w:id="-1028432893"/>
        </w:rPr>
        <w:t>传</w:t>
      </w:r>
      <w:r>
        <w:rPr>
          <w:rFonts w:hint="eastAsia" w:ascii="仿宋" w:hAnsi="仿宋" w:eastAsia="仿宋" w:cs="仿宋"/>
          <w:color w:val="auto"/>
          <w:spacing w:val="0"/>
          <w:kern w:val="0"/>
          <w:sz w:val="24"/>
          <w:fitText w:val="960" w:id="-1028432893"/>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项目联系人（询问）：方工</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项目联系方式（询问）：13588741920</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质疑联系人：周工</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质疑联系方式：17826821556（请通过以下路径在线提起质疑：政采云-项目采购-询问质疑投诉-质疑列表）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3.同级政府采购监督管理部门</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4"/>
        </w:rPr>
        <w:t>名</w:t>
      </w:r>
      <w:r>
        <w:rPr>
          <w:rFonts w:hint="eastAsia" w:ascii="仿宋" w:hAnsi="仿宋" w:eastAsia="仿宋" w:cs="仿宋"/>
          <w:color w:val="auto"/>
          <w:spacing w:val="0"/>
          <w:kern w:val="0"/>
          <w:sz w:val="24"/>
          <w:fitText w:val="960" w:id="-1028432894"/>
        </w:rPr>
        <w:t>称</w:t>
      </w:r>
      <w:r>
        <w:rPr>
          <w:rFonts w:hint="eastAsia" w:ascii="仿宋" w:hAnsi="仿宋" w:eastAsia="仿宋" w:cs="仿宋"/>
          <w:color w:val="auto"/>
          <w:sz w:val="24"/>
        </w:rPr>
        <w:t>：杭州市上城区财政局/浙江省政府采购行政裁决服务中心（杭州）</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5"/>
        </w:rPr>
        <w:t>地</w:t>
      </w:r>
      <w:r>
        <w:rPr>
          <w:rFonts w:hint="eastAsia" w:ascii="仿宋" w:hAnsi="仿宋" w:eastAsia="仿宋" w:cs="仿宋"/>
          <w:color w:val="auto"/>
          <w:spacing w:val="0"/>
          <w:kern w:val="0"/>
          <w:sz w:val="24"/>
          <w:fitText w:val="960" w:id="-1028432895"/>
        </w:rPr>
        <w:t>址</w:t>
      </w:r>
      <w:r>
        <w:rPr>
          <w:rFonts w:hint="eastAsia" w:ascii="仿宋" w:hAnsi="仿宋" w:eastAsia="仿宋" w:cs="仿宋"/>
          <w:color w:val="auto"/>
          <w:sz w:val="24"/>
        </w:rPr>
        <w:t>：杭州市上城区四季青街道新业路市民之家G03办公室（快递仅限ems或顺丰）</w:t>
      </w:r>
    </w:p>
    <w:p>
      <w:pPr>
        <w:spacing w:line="360" w:lineRule="auto"/>
        <w:ind w:firstLine="420"/>
        <w:rPr>
          <w:rFonts w:ascii="仿宋" w:hAnsi="仿宋" w:eastAsia="仿宋" w:cs="仿宋"/>
          <w:color w:val="auto"/>
          <w:sz w:val="24"/>
        </w:rPr>
      </w:pPr>
      <w:r>
        <w:rPr>
          <w:rFonts w:hint="eastAsia" w:ascii="仿宋" w:hAnsi="仿宋" w:eastAsia="仿宋" w:cs="仿宋"/>
          <w:color w:val="auto"/>
          <w:spacing w:val="240"/>
          <w:kern w:val="0"/>
          <w:sz w:val="24"/>
          <w:fitText w:val="960" w:id="-1028432896"/>
        </w:rPr>
        <w:t>传</w:t>
      </w:r>
      <w:r>
        <w:rPr>
          <w:rFonts w:hint="eastAsia" w:ascii="仿宋" w:hAnsi="仿宋" w:eastAsia="仿宋" w:cs="仿宋"/>
          <w:color w:val="auto"/>
          <w:spacing w:val="0"/>
          <w:kern w:val="0"/>
          <w:sz w:val="24"/>
          <w:fitText w:val="960" w:id="-1028432896"/>
        </w:rPr>
        <w:t>真</w:t>
      </w:r>
      <w:r>
        <w:rPr>
          <w:rFonts w:hint="eastAsia" w:ascii="仿宋" w:hAnsi="仿宋" w:eastAsia="仿宋" w:cs="仿宋"/>
          <w:color w:val="auto"/>
          <w:sz w:val="24"/>
        </w:rPr>
        <w:t>：/</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联系人：朱女士/王女士</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监督投诉电话：0571-85252453（仅限投诉事项）</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pPr>
        <w:adjustRightInd/>
        <w:spacing w:line="360" w:lineRule="auto"/>
        <w:jc w:val="center"/>
        <w:outlineLvl w:val="0"/>
        <w:rPr>
          <w:rFonts w:ascii="仿宋" w:hAnsi="仿宋" w:eastAsia="仿宋" w:cs="仿宋"/>
          <w:b/>
          <w:color w:val="auto"/>
          <w:sz w:val="36"/>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 xml:space="preserve">第二部分 </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投标人须知</w:t>
      </w:r>
      <w:bookmarkEnd w:id="7"/>
    </w:p>
    <w:p>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60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2" w:hRule="atLeast"/>
          <w:tblHeader/>
          <w:jc w:val="center"/>
        </w:trPr>
        <w:tc>
          <w:tcPr>
            <w:tcW w:w="629"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2"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项目属性</w:t>
            </w: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服务类。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vAlign w:val="center"/>
          </w:tcPr>
          <w:p>
            <w:pPr>
              <w:numPr>
                <w:ilvl w:val="0"/>
                <w:numId w:val="2"/>
              </w:numPr>
              <w:snapToGrid w:val="0"/>
              <w:rPr>
                <w:rFonts w:ascii="仿宋" w:hAnsi="仿宋" w:eastAsia="仿宋" w:cs="宋体"/>
                <w:color w:val="auto"/>
                <w:kern w:val="0"/>
                <w:sz w:val="24"/>
              </w:rPr>
            </w:pPr>
            <w:r>
              <w:rPr>
                <w:rFonts w:hint="eastAsia" w:ascii="仿宋" w:hAnsi="仿宋" w:eastAsia="仿宋" w:cs="宋体"/>
                <w:color w:val="auto"/>
                <w:kern w:val="0"/>
                <w:sz w:val="24"/>
              </w:rPr>
              <w:t>标的：</w:t>
            </w:r>
            <w:r>
              <w:rPr>
                <w:rFonts w:hint="eastAsia" w:ascii="仿宋" w:hAnsi="仿宋" w:eastAsia="仿宋" w:cs="宋体"/>
                <w:color w:val="auto"/>
                <w:kern w:val="0"/>
                <w:sz w:val="24"/>
                <w:u w:val="single"/>
              </w:rPr>
              <w:t>杭州市公安局上城区分局1125路视频监控建设项目监理</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软件和信息技术服务业</w:t>
            </w:r>
            <w:r>
              <w:rPr>
                <w:rFonts w:hint="eastAsia" w:ascii="仿宋" w:hAnsi="仿宋" w:eastAsia="仿宋" w:cs="宋体"/>
                <w:color w:val="auto"/>
                <w:kern w:val="0"/>
                <w:sz w:val="24"/>
              </w:rPr>
              <w:t>行业；</w:t>
            </w:r>
          </w:p>
          <w:p>
            <w:pPr>
              <w:snapToGrid w:val="0"/>
              <w:rPr>
                <w:rFonts w:ascii="仿宋" w:hAnsi="仿宋" w:eastAsia="仿宋" w:cs="宋体"/>
                <w:color w:val="auto"/>
                <w:kern w:val="0"/>
                <w:sz w:val="24"/>
              </w:rPr>
            </w:pPr>
            <w:r>
              <w:rPr>
                <w:rFonts w:hint="eastAsia" w:ascii="仿宋" w:hAnsi="仿宋" w:eastAsia="仿宋" w:cs="宋体"/>
                <w:color w:val="auto"/>
                <w:kern w:val="0"/>
                <w:sz w:val="24"/>
              </w:rPr>
              <w:t>（2）备注：《关于印发中小企业划型标准规定的通知》（工信部联企业〔2011〕300）：</w:t>
            </w:r>
            <w:r>
              <w:rPr>
                <w:rFonts w:hint="eastAsia" w:ascii="仿宋" w:hAnsi="仿宋" w:eastAsia="仿宋" w:cs="宋体"/>
                <w:color w:val="auto"/>
                <w:kern w:val="0"/>
                <w:sz w:val="24"/>
                <w:u w:val="single"/>
              </w:rPr>
              <w:t>其他未列明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宋体"/>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vAlign w:val="center"/>
          </w:tcPr>
          <w:p>
            <w:pPr>
              <w:rPr>
                <w:rFonts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rPr>
                <w:rFonts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hint="eastAsia" w:ascii="仿宋" w:hAnsi="仿宋" w:eastAsia="仿宋" w:cs="仿宋"/>
                <w:color w:val="auto"/>
                <w:sz w:val="24"/>
                <w:u w:val="single"/>
              </w:rPr>
              <w:t xml:space="preserve"> / </w:t>
            </w:r>
            <w:r>
              <w:rPr>
                <w:rFonts w:hint="eastAsia" w:ascii="仿宋" w:hAnsi="仿宋" w:eastAsia="仿宋" w:cs="仿宋"/>
                <w:color w:val="auto"/>
                <w:kern w:val="0"/>
                <w:sz w:val="24"/>
              </w:rPr>
              <w:t>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3"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分包</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同意将非主体、</w:t>
            </w:r>
            <w:r>
              <w:rPr>
                <w:rFonts w:hint="eastAsia" w:ascii="仿宋" w:hAnsi="仿宋" w:eastAsia="仿宋" w:cs="仿宋"/>
                <w:color w:val="auto"/>
                <w:sz w:val="24"/>
              </w:rPr>
              <w:t>非关键性的工作分包</w:t>
            </w:r>
            <w:r>
              <w:rPr>
                <w:rFonts w:hint="eastAsia" w:ascii="仿宋" w:hAnsi="仿宋" w:eastAsia="仿宋" w:cs="仿宋"/>
                <w:color w:val="auto"/>
                <w:sz w:val="24"/>
              </w:rPr>
              <w:t>。</w:t>
            </w:r>
          </w:p>
          <w:p>
            <w:pPr>
              <w:rPr>
                <w:rFonts w:ascii="仿宋" w:hAnsi="仿宋" w:eastAsia="仿宋" w:cs="仿宋"/>
                <w:color w:val="auto"/>
                <w:sz w:val="24"/>
              </w:rPr>
            </w:pPr>
            <w:sdt>
              <w:sdtPr>
                <w:rPr>
                  <w:rFonts w:hint="eastAsia" w:ascii="仿宋" w:hAnsi="仿宋" w:eastAsia="仿宋" w:cs="仿宋"/>
                  <w:color w:val="auto"/>
                  <w:kern w:val="0"/>
                  <w:sz w:val="24"/>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p>
            <w:pPr>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rPr>
                <w:rFonts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51"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vAlign w:val="center"/>
          </w:tcPr>
          <w:p>
            <w:pPr>
              <w:rPr>
                <w:rFonts w:ascii="仿宋" w:hAnsi="仿宋" w:eastAsia="仿宋" w:cs="仿宋"/>
                <w:color w:val="auto"/>
                <w:sz w:val="24"/>
              </w:rPr>
            </w:pPr>
            <w:sdt>
              <w:sdtPr>
                <w:rPr>
                  <w:rFonts w:hint="eastAsia" w:ascii="仿宋" w:hAnsi="仿宋" w:eastAsia="仿宋" w:cs="仿宋"/>
                  <w:color w:val="auto"/>
                  <w:kern w:val="0"/>
                  <w:sz w:val="24"/>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rPr>
                <w:rFonts w:ascii="仿宋" w:hAnsi="仿宋" w:eastAsia="仿宋" w:cs="仿宋"/>
                <w:color w:val="auto"/>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仿宋"/>
                <w:color w:val="auto"/>
                <w:kern w:val="0"/>
                <w:sz w:val="24"/>
              </w:rPr>
              <w:t>B要求提供</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4"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vAlign w:val="center"/>
          </w:tcPr>
          <w:p>
            <w:pPr>
              <w:snapToGrid w:val="0"/>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vAlign w:val="center"/>
          </w:tcPr>
          <w:p>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MS Gothic"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rPr>
              <w:t>人。讲解演示结束后按要求解答评标委员会提问。</w:t>
            </w:r>
          </w:p>
          <w:p>
            <w:pPr>
              <w:snapToGrid w:val="0"/>
              <w:rPr>
                <w:rFonts w:hint="default" w:ascii="仿宋" w:hAnsi="仿宋" w:eastAsia="仿宋" w:cs="仿宋"/>
                <w:b/>
                <w:bCs/>
                <w:color w:val="auto"/>
                <w:kern w:val="0"/>
                <w:sz w:val="24"/>
                <w:highlight w:val="none"/>
                <w:u w:val="single"/>
                <w:lang w:val="en-US" w:eastAsia="zh-CN"/>
              </w:rPr>
            </w:pPr>
            <w:r>
              <w:rPr>
                <w:rFonts w:hint="eastAsia" w:ascii="仿宋" w:hAnsi="仿宋" w:eastAsia="仿宋" w:cs="仿宋"/>
                <w:color w:val="auto"/>
                <w:kern w:val="0"/>
                <w:sz w:val="24"/>
                <w:highlight w:val="none"/>
              </w:rPr>
              <w:t>（2）方案讲解演示选择以下其中一种方式：</w:t>
            </w:r>
            <w:r>
              <w:rPr>
                <w:rFonts w:hint="eastAsia" w:ascii="仿宋" w:hAnsi="仿宋" w:eastAsia="仿宋" w:cs="仿宋"/>
                <w:b/>
                <w:bCs/>
                <w:color w:val="auto"/>
                <w:kern w:val="0"/>
                <w:sz w:val="24"/>
                <w:highlight w:val="none"/>
                <w:u w:val="single"/>
                <w:lang w:val="en-US" w:eastAsia="zh-CN"/>
              </w:rPr>
              <w:t>本项目选择方式二</w:t>
            </w:r>
          </w:p>
          <w:p>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w:t>
            </w:r>
            <w:r>
              <w:rPr>
                <w:rFonts w:hint="eastAsia" w:ascii="仿宋" w:hAnsi="仿宋" w:eastAsia="仿宋" w:cs="仿宋"/>
                <w:color w:val="auto"/>
                <w:kern w:val="0"/>
                <w:sz w:val="24"/>
                <w:highlight w:val="none"/>
                <w:lang w:val="en-US" w:eastAsia="zh-CN"/>
              </w:rPr>
              <w:t>评标</w:t>
            </w:r>
            <w:r>
              <w:rPr>
                <w:rFonts w:hint="eastAsia" w:ascii="仿宋" w:hAnsi="仿宋" w:eastAsia="仿宋" w:cs="仿宋"/>
                <w:color w:val="auto"/>
                <w:kern w:val="0"/>
                <w:sz w:val="24"/>
                <w:highlight w:val="none"/>
              </w:rPr>
              <w:t>现场讲解演示。现场讲解地点为</w:t>
            </w:r>
            <w:r>
              <w:rPr>
                <w:rFonts w:hint="eastAsia" w:ascii="仿宋" w:hAnsi="仿宋" w:eastAsia="仿宋" w:cs="仿宋"/>
                <w:color w:val="auto"/>
                <w:kern w:val="0"/>
                <w:sz w:val="24"/>
                <w:highlight w:val="none"/>
                <w:u w:val="single"/>
                <w:lang w:eastAsia="zh-CN"/>
              </w:rPr>
              <w:t>杭州市上城区秋涛北路332号佰富时代3幢16楼1603室</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rPr>
                <w:rFonts w:ascii="仿宋" w:hAnsi="仿宋" w:eastAsia="仿宋" w:cs="仿宋"/>
                <w:b/>
                <w:color w:val="auto"/>
                <w:kern w:val="0"/>
                <w:sz w:val="24"/>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0" w:hRule="atLeast"/>
          <w:tblHeader/>
          <w:jc w:val="center"/>
        </w:trPr>
        <w:tc>
          <w:tcPr>
            <w:tcW w:w="629" w:type="dxa"/>
            <w:vMerge w:val="restart"/>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vAlign w:val="center"/>
          </w:tcPr>
          <w:p>
            <w:pPr>
              <w:rPr>
                <w:rFonts w:ascii="仿宋" w:hAnsi="仿宋" w:eastAsia="仿宋" w:cs="仿宋"/>
                <w:snapToGrid w:val="0"/>
                <w:color w:val="auto"/>
                <w:kern w:val="0"/>
                <w:szCs w:val="21"/>
              </w:rPr>
            </w:pPr>
            <w:r>
              <w:rPr>
                <w:rFonts w:hint="eastAsia" w:ascii="仿宋" w:hAnsi="仿宋" w:eastAsia="仿宋" w:cs="仿宋"/>
                <w:color w:val="auto"/>
                <w:sz w:val="24"/>
              </w:rPr>
              <w:t>（1）资格证明文件：</w:t>
            </w: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7"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vAlign w:val="center"/>
          </w:tcPr>
          <w:p>
            <w:pPr>
              <w:snapToGrid w:val="0"/>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6" w:hRule="atLeast"/>
          <w:tblHeader/>
          <w:jc w:val="center"/>
        </w:trPr>
        <w:tc>
          <w:tcPr>
            <w:tcW w:w="629"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vAlign w:val="center"/>
          </w:tcPr>
          <w:p>
            <w:pPr>
              <w:snapToGrid w:val="0"/>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snapToGrid w:val="0"/>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98" w:hRule="atLeast"/>
          <w:tblHeader/>
          <w:jc w:val="center"/>
        </w:trPr>
        <w:tc>
          <w:tcPr>
            <w:tcW w:w="629" w:type="dxa"/>
            <w:tcBorders>
              <w:bottom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tcBorders>
              <w:bottom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bottom w:val="single" w:color="auto" w:sz="6" w:space="0"/>
            </w:tcBorders>
            <w:vAlign w:val="center"/>
          </w:tcPr>
          <w:p>
            <w:pPr>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37" w:hRule="atLeast"/>
          <w:tblHeader/>
          <w:jc w:val="center"/>
        </w:trPr>
        <w:tc>
          <w:tcPr>
            <w:tcW w:w="629" w:type="dxa"/>
            <w:tcBorders>
              <w:bottom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bottom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bottom w:val="single" w:color="auto" w:sz="6" w:space="0"/>
            </w:tcBorders>
            <w:vAlign w:val="center"/>
          </w:tcPr>
          <w:p>
            <w:pPr>
              <w:pStyle w:val="34"/>
              <w:rPr>
                <w:rFonts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lang w:eastAsia="zh-CN"/>
              </w:rPr>
              <w:t>杭州市上城区秋涛北路332号佰富时代3幢16楼1603室；备份投标文件签收人员联系电话：方工，13588741920</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0" w:hRule="atLeast"/>
          <w:tblHeader/>
          <w:jc w:val="center"/>
        </w:trPr>
        <w:tc>
          <w:tcPr>
            <w:tcW w:w="629" w:type="dxa"/>
            <w:vMerge w:val="restart"/>
            <w:tcBorders>
              <w:top w:val="single" w:color="auto" w:sz="6" w:space="0"/>
            </w:tcBorders>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vMerge w:val="restart"/>
            <w:tcBorders>
              <w:top w:val="single" w:color="auto" w:sz="6" w:space="0"/>
            </w:tcBorders>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auto" w:sz="6" w:space="0"/>
            </w:tcBorders>
            <w:vAlign w:val="center"/>
          </w:tcPr>
          <w:p>
            <w:pP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31"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pPr>
              <w:rPr>
                <w:rFonts w:ascii="仿宋" w:hAnsi="仿宋" w:eastAsia="仿宋" w:cs="仿宋"/>
                <w:snapToGrid w:val="0"/>
                <w:color w:val="auto"/>
                <w:kern w:val="28"/>
                <w:sz w:val="24"/>
              </w:rPr>
            </w:pPr>
            <w:sdt>
              <w:sdtPr>
                <w:rPr>
                  <w:rFonts w:hint="eastAsia" w:ascii="仿宋" w:hAnsi="仿宋" w:eastAsia="仿宋" w:cs="仿宋"/>
                  <w:color w:val="auto"/>
                  <w:kern w:val="0"/>
                  <w:sz w:val="24"/>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55" w:hRule="atLeast"/>
          <w:tblHeader/>
          <w:jc w:val="center"/>
        </w:trPr>
        <w:tc>
          <w:tcPr>
            <w:tcW w:w="629" w:type="dxa"/>
            <w:vMerge w:val="continue"/>
            <w:vAlign w:val="center"/>
          </w:tcPr>
          <w:p>
            <w:pPr>
              <w:snapToGrid w:val="0"/>
              <w:jc w:val="center"/>
              <w:rPr>
                <w:rFonts w:ascii="仿宋" w:hAnsi="仿宋" w:eastAsia="仿宋" w:cs="仿宋"/>
                <w:color w:val="auto"/>
                <w:sz w:val="24"/>
              </w:rPr>
            </w:pPr>
            <w:bookmarkStart w:id="9" w:name="_Toc164416483"/>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（1）本项目代理服务费以中标金额为计算基础，参照计价格【2002】1980号文的收费标准向中标供应商收取</w:t>
            </w:r>
            <w:r>
              <w:rPr>
                <w:rFonts w:hint="eastAsia" w:ascii="仿宋" w:hAnsi="仿宋" w:eastAsia="仿宋"/>
                <w:color w:val="auto"/>
                <w:kern w:val="28"/>
                <w:sz w:val="24"/>
                <w:szCs w:val="24"/>
                <w:lang w:eastAsia="zh-CN"/>
              </w:rPr>
              <w:t>，</w:t>
            </w:r>
            <w:r>
              <w:rPr>
                <w:rFonts w:hint="eastAsia" w:ascii="仿宋" w:hAnsi="仿宋" w:eastAsia="仿宋"/>
                <w:color w:val="auto"/>
                <w:kern w:val="28"/>
                <w:sz w:val="24"/>
                <w:szCs w:val="24"/>
                <w:lang w:val="en-US" w:eastAsia="zh-CN"/>
              </w:rPr>
              <w:t>不足捌仟按捌仟计</w:t>
            </w:r>
            <w:r>
              <w:rPr>
                <w:rFonts w:hint="eastAsia" w:ascii="仿宋" w:hAnsi="仿宋" w:eastAsia="仿宋"/>
                <w:color w:val="auto"/>
                <w:kern w:val="28"/>
                <w:sz w:val="24"/>
                <w:szCs w:val="24"/>
              </w:rPr>
              <w:t>。以上费用，投标人应当自中标结果公告发布之日起5个工作日内一次性向采购代理机构支付。</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（2）代理服务费支付：</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①代理服务费缴纳形式：汇票/支票/电汇/现金</w:t>
            </w:r>
          </w:p>
          <w:p>
            <w:pPr>
              <w:pStyle w:val="34"/>
              <w:jc w:val="left"/>
              <w:rPr>
                <w:rFonts w:ascii="仿宋" w:hAnsi="仿宋" w:eastAsia="仿宋"/>
                <w:color w:val="auto"/>
                <w:kern w:val="28"/>
                <w:sz w:val="24"/>
                <w:szCs w:val="24"/>
              </w:rPr>
            </w:pPr>
            <w:r>
              <w:rPr>
                <w:rFonts w:hint="eastAsia" w:ascii="仿宋" w:hAnsi="仿宋" w:eastAsia="仿宋"/>
                <w:color w:val="auto"/>
                <w:kern w:val="28"/>
                <w:sz w:val="24"/>
                <w:szCs w:val="24"/>
              </w:rPr>
              <w:t>②代理服务费汇入以下账户：</w:t>
            </w:r>
          </w:p>
          <w:p>
            <w:pPr>
              <w:pStyle w:val="34"/>
              <w:jc w:val="left"/>
              <w:rPr>
                <w:rFonts w:hint="eastAsia" w:ascii="仿宋" w:hAnsi="仿宋" w:eastAsia="仿宋"/>
                <w:color w:val="auto"/>
                <w:kern w:val="28"/>
                <w:sz w:val="24"/>
                <w:szCs w:val="24"/>
                <w:lang w:eastAsia="zh-CN"/>
              </w:rPr>
            </w:pPr>
            <w:r>
              <w:rPr>
                <w:rFonts w:hint="eastAsia" w:ascii="仿宋" w:hAnsi="仿宋" w:eastAsia="仿宋"/>
                <w:color w:val="auto"/>
                <w:kern w:val="28"/>
                <w:sz w:val="24"/>
                <w:szCs w:val="24"/>
              </w:rPr>
              <w:t>收款单位（户名）：</w:t>
            </w:r>
            <w:r>
              <w:rPr>
                <w:rFonts w:hint="eastAsia" w:ascii="仿宋" w:hAnsi="仿宋" w:eastAsia="仿宋"/>
                <w:color w:val="auto"/>
                <w:kern w:val="28"/>
                <w:sz w:val="24"/>
                <w:szCs w:val="24"/>
                <w:lang w:eastAsia="zh-CN"/>
              </w:rPr>
              <w:t>浙江和源项目管理有限公司</w:t>
            </w:r>
          </w:p>
          <w:p>
            <w:pPr>
              <w:pStyle w:val="34"/>
              <w:jc w:val="left"/>
              <w:rPr>
                <w:rFonts w:hint="eastAsia" w:ascii="仿宋" w:hAnsi="仿宋" w:eastAsia="仿宋"/>
                <w:color w:val="auto"/>
                <w:kern w:val="28"/>
                <w:sz w:val="24"/>
                <w:szCs w:val="24"/>
                <w:lang w:eastAsia="zh-CN"/>
              </w:rPr>
            </w:pPr>
            <w:r>
              <w:rPr>
                <w:rFonts w:hint="eastAsia" w:ascii="仿宋" w:hAnsi="仿宋" w:eastAsia="仿宋"/>
                <w:color w:val="auto"/>
                <w:kern w:val="28"/>
                <w:sz w:val="24"/>
                <w:szCs w:val="24"/>
                <w:lang w:eastAsia="zh-CN"/>
              </w:rPr>
              <w:t>开户行：杭州银行大关支行</w:t>
            </w:r>
          </w:p>
          <w:p>
            <w:pPr>
              <w:pStyle w:val="34"/>
              <w:jc w:val="left"/>
              <w:rPr>
                <w:rFonts w:hint="eastAsia" w:ascii="仿宋" w:hAnsi="仿宋" w:eastAsia="仿宋"/>
                <w:color w:val="auto"/>
                <w:kern w:val="28"/>
                <w:sz w:val="24"/>
                <w:szCs w:val="24"/>
                <w:lang w:eastAsia="zh-CN"/>
              </w:rPr>
            </w:pPr>
            <w:r>
              <w:rPr>
                <w:rFonts w:hint="eastAsia" w:ascii="仿宋" w:hAnsi="仿宋" w:eastAsia="仿宋"/>
                <w:color w:val="auto"/>
                <w:kern w:val="28"/>
                <w:sz w:val="24"/>
                <w:szCs w:val="24"/>
                <w:lang w:eastAsia="zh-CN"/>
              </w:rPr>
              <w:t>账  号：3301040160003578591</w:t>
            </w:r>
          </w:p>
          <w:p>
            <w:pPr>
              <w:rPr>
                <w:rFonts w:ascii="仿宋" w:hAnsi="仿宋" w:eastAsia="仿宋" w:cs="仿宋"/>
                <w:color w:val="auto"/>
                <w:kern w:val="0"/>
                <w:sz w:val="24"/>
              </w:rPr>
            </w:pPr>
            <w:r>
              <w:rPr>
                <w:rFonts w:hint="eastAsia" w:ascii="仿宋" w:hAnsi="仿宋" w:eastAsia="仿宋"/>
                <w:color w:val="auto"/>
                <w:kern w:val="28"/>
                <w:sz w:val="24"/>
              </w:rPr>
              <w:t>（3）增值税发票开具资料：单位名称、税号（统一社会信用代码）、开户行名称、账号、地址及联系电话。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45" w:hRule="atLeast"/>
          <w:tblHeader/>
          <w:jc w:val="center"/>
        </w:trPr>
        <w:tc>
          <w:tcPr>
            <w:tcW w:w="629" w:type="dxa"/>
            <w:vMerge w:val="continue"/>
            <w:vAlign w:val="center"/>
          </w:tcPr>
          <w:p>
            <w:pPr>
              <w:snapToGrid w:val="0"/>
              <w:jc w:val="center"/>
              <w:rPr>
                <w:rFonts w:ascii="仿宋" w:hAnsi="仿宋" w:eastAsia="仿宋" w:cs="仿宋"/>
                <w:color w:val="auto"/>
                <w:sz w:val="24"/>
              </w:rPr>
            </w:pPr>
          </w:p>
        </w:tc>
        <w:tc>
          <w:tcPr>
            <w:tcW w:w="1843" w:type="dxa"/>
            <w:vMerge w:val="continue"/>
            <w:vAlign w:val="center"/>
          </w:tcPr>
          <w:p>
            <w:pPr>
              <w:snapToGrid w:val="0"/>
              <w:jc w:val="center"/>
              <w:rPr>
                <w:rFonts w:ascii="仿宋" w:hAnsi="仿宋" w:eastAsia="仿宋" w:cs="仿宋"/>
                <w:b/>
                <w:color w:val="auto"/>
                <w:sz w:val="24"/>
              </w:rPr>
            </w:pPr>
          </w:p>
        </w:tc>
        <w:tc>
          <w:tcPr>
            <w:tcW w:w="6095" w:type="dxa"/>
            <w:vAlign w:val="center"/>
          </w:tcPr>
          <w:p>
            <w:pPr>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通过“政府采购云平台”公布开标一览表有关内容后，供应商应通过“政府采购云平台”进行确认，在收到采购人或采购代理机构的通知后仍不予确认的应说明理由，否则视为无异议。</w:t>
            </w:r>
          </w:p>
        </w:tc>
      </w:tr>
      <w:bookmarkEnd w:id="8"/>
    </w:tbl>
    <w:p>
      <w:pPr>
        <w:adjustRightInd/>
        <w:spacing w:line="360" w:lineRule="auto"/>
        <w:jc w:val="center"/>
        <w:outlineLvl w:val="0"/>
        <w:rPr>
          <w:rFonts w:ascii="仿宋" w:hAnsi="仿宋" w:eastAsia="仿宋" w:cs="仿宋"/>
          <w:b/>
          <w:color w:val="auto"/>
          <w:sz w:val="32"/>
          <w:szCs w:val="20"/>
        </w:rPr>
      </w:pPr>
    </w:p>
    <w:p>
      <w:pPr>
        <w:pStyle w:val="2"/>
        <w:rPr>
          <w:color w:val="auto"/>
        </w:rPr>
      </w:pPr>
      <w:r>
        <w:rPr>
          <w:color w:val="auto"/>
        </w:rPr>
        <w:br w:type="page"/>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2.1“采购人”系指招标公告中载明的本项目的采购人。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2.2“采购代理机构”系指招标公告中载明的本项目的采购代理机构。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2.3“投标人”系指是指响应招标、参加投标竞争的法人、其他组织或者自然人。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rPr>
            <w:t>þ</w:t>
          </w:r>
        </w:sdtContent>
      </w:sdt>
      <w:r>
        <w:rPr>
          <w:rFonts w:hint="eastAsia" w:ascii="仿宋" w:hAnsi="仿宋" w:eastAsia="仿宋" w:cs="仿宋"/>
          <w:color w:val="auto"/>
          <w:sz w:val="24"/>
        </w:rPr>
        <w:t>”系指适用本项目的要求，“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”系指不适用本项目的要求。</w:t>
      </w:r>
    </w:p>
    <w:p>
      <w:pPr>
        <w:snapToGrid w:val="0"/>
        <w:spacing w:line="360" w:lineRule="auto"/>
        <w:ind w:firstLine="361" w:firstLineChars="150"/>
        <w:jc w:val="left"/>
        <w:outlineLvl w:val="1"/>
        <w:rPr>
          <w:rFonts w:ascii="仿宋" w:hAnsi="仿宋" w:eastAsia="仿宋" w:cs="仿宋"/>
          <w:b/>
          <w:color w:val="auto"/>
          <w:sz w:val="24"/>
        </w:rPr>
      </w:pPr>
      <w:r>
        <w:rPr>
          <w:rFonts w:hint="eastAsia" w:ascii="仿宋" w:hAnsi="仿宋" w:eastAsia="仿宋" w:cs="仿宋"/>
          <w:b/>
          <w:color w:val="auto"/>
          <w:sz w:val="24"/>
        </w:rPr>
        <w:t>3.采购项目需要落实的政府采购政策</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pPr>
        <w:snapToGrid w:val="0"/>
        <w:spacing w:line="360" w:lineRule="auto"/>
        <w:ind w:firstLine="480" w:firstLineChars="200"/>
        <w:jc w:val="left"/>
        <w:outlineLvl w:val="1"/>
        <w:rPr>
          <w:rFonts w:ascii="仿宋" w:hAnsi="仿宋" w:eastAsia="仿宋" w:cs="仿宋"/>
          <w:b/>
          <w:color w:val="auto"/>
          <w:sz w:val="24"/>
        </w:rPr>
      </w:pPr>
      <w:r>
        <w:rPr>
          <w:rFonts w:hint="eastAsia" w:ascii="仿宋" w:hAnsi="仿宋" w:eastAsia="仿宋" w:cs="仿宋"/>
          <w:color w:val="auto"/>
          <w:sz w:val="24"/>
        </w:rPr>
        <w:t>3.2支持绿色发展</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3.3支持中小企业发展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rPr>
        <w:t>10%-20%（招标文件第四部分评标办分法明确具体的扣除比例，未明确的，给予10%的扣除）</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rPr>
        <w:t>4%-6%（招标文件第四部分评标办分法明确具体的扣除比例，未明确的，给予4%的扣除）</w:t>
      </w:r>
      <w:r>
        <w:rPr>
          <w:rFonts w:hint="eastAsia" w:ascii="仿宋" w:hAnsi="仿宋" w:eastAsia="仿宋" w:cs="仿宋"/>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bCs/>
          <w:color w:val="auto"/>
          <w:sz w:val="24"/>
        </w:rPr>
        <w:t>支持创新发展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3.4.1采购人优先采购被认定为首台套产品和“制造精品”的自主创新产品。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rPr>
      </w:pPr>
      <w:r>
        <w:rPr>
          <w:rFonts w:hint="eastAsia" w:ascii="仿宋" w:eastAsia="仿宋" w:cs="仿宋"/>
          <w:color w:val="auto"/>
          <w:sz w:val="24"/>
        </w:rPr>
        <w:t>3.4.3采购人应当贯彻落实知识产权保护相关法律法规，应当采购使用正版软件。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3.5平等对待内外资企业和符合条件的破产重整企业</w:t>
      </w:r>
    </w:p>
    <w:p>
      <w:pPr>
        <w:spacing w:line="360" w:lineRule="auto"/>
        <w:ind w:firstLine="240" w:firstLineChars="1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hint="eastAsia" w:ascii="仿宋" w:hAnsi="仿宋" w:eastAsia="仿宋" w:cs="仿宋"/>
          <w:color w:val="auto"/>
          <w:sz w:val="24"/>
        </w:rPr>
        <w:cr/>
      </w:r>
      <w:r>
        <w:rPr>
          <w:rFonts w:hint="eastAsia" w:ascii="仿宋" w:hAnsi="仿宋" w:eastAsia="仿宋" w:cs="仿宋"/>
          <w:b/>
          <w:color w:val="auto"/>
          <w:sz w:val="24"/>
        </w:rPr>
        <w:t>4.询问、质疑、投诉</w:t>
      </w:r>
      <w:r>
        <w:rPr>
          <w:rFonts w:hint="eastAsia" w:ascii="仿宋" w:hAnsi="仿宋" w:eastAsia="仿宋" w:cs="仿宋"/>
          <w:b/>
          <w:bCs/>
          <w:color w:val="auto"/>
          <w:sz w:val="24"/>
        </w:rPr>
        <w:t>、补偿救济</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4.3供应商质疑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4.3.3.1供应商的姓名或者名称、地址、邮编、联系人及联系电话；</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4.3.3.2质疑项目的名称、编号；</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4.3.3.3具体、明确的质疑事项和与质疑事项相关的请求；</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4.3.3.4事实依据；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4.3.3.5必要的法律依据；</w:t>
      </w:r>
    </w:p>
    <w:p>
      <w:pPr>
        <w:pStyle w:val="34"/>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sz w:val="24"/>
        </w:rPr>
        <w:t>4.3.3.6提出质疑的日期。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质疑函范本及制作说明详见附件2。</w:t>
      </w:r>
    </w:p>
    <w:p>
      <w:pPr>
        <w:pStyle w:val="34"/>
        <w:spacing w:line="360" w:lineRule="auto"/>
        <w:ind w:firstLine="480" w:firstLineChars="200"/>
        <w:rPr>
          <w:rFonts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4.3.4对同一采购程序环节的质疑，供应商须在法定质疑期内一次性提出。</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4.3</w:t>
      </w:r>
      <w:r>
        <w:rPr>
          <w:rFonts w:hint="eastAsia" w:ascii="仿宋" w:hAnsi="仿宋" w:eastAsia="仿宋" w:cs="仿宋"/>
          <w:color w:val="auto"/>
          <w:sz w:val="24"/>
          <w:szCs w:val="24"/>
        </w:rPr>
        <w:t>.6询问或者质疑事项可能影响采购结果的，采购人应当暂停签订合同，已经签订合同的，应当中止履行合同。</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lang w:val="zh-CN"/>
        </w:rPr>
        <w:t>4.4供应商投诉</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zh-CN"/>
        </w:rPr>
        <w:t>4.4.2</w:t>
      </w:r>
      <w:r>
        <w:rPr>
          <w:rFonts w:hint="eastAsia" w:ascii="仿宋" w:hAnsi="仿宋" w:eastAsia="仿宋" w:cs="仿宋"/>
          <w:color w:val="auto"/>
          <w:sz w:val="24"/>
          <w:szCs w:val="24"/>
        </w:rPr>
        <w:t>供应商投诉的事项不得超出已质疑事项的范围，基于质疑答复内容提出的投诉事项除外。</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4.4.3供应商投诉应当有明确的请求和必要的证明材料。</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4.4.4以联合体形式参加政府采购活动的，其投诉应当由组成联合体的所有供应商共同提出。</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4.5补偿救济</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采购人（行政机关）因政策变化、规划调整而不履行政府采购合同的，供应商可依据《杭州市涉企补偿救济实施办法（试行）》向采购人（行政机关）提起补偿申请。</w:t>
      </w:r>
    </w:p>
    <w:p>
      <w:pPr>
        <w:pStyle w:val="34"/>
        <w:spacing w:line="360" w:lineRule="auto"/>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投诉书范本及制作说明详见附件3。</w:t>
      </w:r>
    </w:p>
    <w:p>
      <w:pPr>
        <w:adjustRightInd/>
        <w:spacing w:line="360"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5．招标文件的构成</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5.1招标文件包括下列文件及附件：</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5.1.1招标公告；</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5.1.2投标人须知；</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5.1.3采购需求；</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5.1.4评标办法；</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5.1.5拟签订的合同文本；</w:t>
      </w:r>
    </w:p>
    <w:p>
      <w:pPr>
        <w:pStyle w:val="34"/>
        <w:tabs>
          <w:tab w:val="left" w:pos="840"/>
        </w:tabs>
        <w:spacing w:line="360" w:lineRule="auto"/>
        <w:ind w:firstLine="960" w:firstLineChars="400"/>
        <w:rPr>
          <w:rFonts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6.招标文件的澄清、修改</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jc w:val="center"/>
        <w:rPr>
          <w:rFonts w:ascii="仿宋" w:hAnsi="仿宋" w:eastAsia="仿宋" w:cs="仿宋"/>
          <w:b/>
          <w:color w:val="auto"/>
          <w:sz w:val="30"/>
          <w:szCs w:val="20"/>
        </w:rPr>
      </w:pPr>
      <w:r>
        <w:rPr>
          <w:rFonts w:hint="eastAsia" w:ascii="仿宋" w:hAnsi="仿宋" w:eastAsia="仿宋" w:cs="仿宋"/>
          <w:b/>
          <w:color w:val="auto"/>
          <w:sz w:val="30"/>
          <w:szCs w:val="20"/>
        </w:rPr>
        <w:t>三、投标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7.招标文件的获取</w:t>
      </w:r>
    </w:p>
    <w:p>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8.开标前答疑会或现场考察</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color w:val="auto"/>
          <w:szCs w:val="24"/>
        </w:rPr>
      </w:pPr>
      <w:r>
        <w:rPr>
          <w:rFonts w:hint="eastAsia" w:ascii="仿宋" w:hAnsi="仿宋" w:eastAsia="仿宋" w:cs="仿宋"/>
          <w:b/>
          <w:color w:val="auto"/>
          <w:kern w:val="28"/>
          <w:sz w:val="24"/>
          <w:szCs w:val="24"/>
        </w:rPr>
        <w:t>9.投标保证金</w:t>
      </w:r>
    </w:p>
    <w:p>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10.投标文件的语言</w:t>
      </w:r>
    </w:p>
    <w:p>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11.投标文件的组成</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宋体"/>
          <w:snapToGrid w:val="0"/>
          <w:color w:val="auto"/>
          <w:kern w:val="28"/>
          <w:sz w:val="24"/>
          <w:szCs w:val="20"/>
        </w:rPr>
        <w:t>，专门面向中小企业采购的项目须提供《中小企业声明函》</w:t>
      </w:r>
      <w:r>
        <w:rPr>
          <w:rFonts w:hint="eastAsia" w:ascii="仿宋" w:hAnsi="仿宋" w:eastAsia="仿宋" w:cs="仿宋"/>
          <w:snapToGrid w:val="0"/>
          <w:color w:val="auto"/>
          <w:kern w:val="28"/>
          <w:sz w:val="24"/>
          <w:szCs w:val="20"/>
        </w:rPr>
        <w:t>)</w:t>
      </w:r>
      <w:r>
        <w:rPr>
          <w:rFonts w:hint="eastAsia" w:ascii="仿宋" w:hAnsi="仿宋" w:eastAsia="仿宋" w:cs="仿宋"/>
          <w:color w:val="auto"/>
          <w:sz w:val="24"/>
        </w:rPr>
        <w:t>；</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pPr>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11.2.1投标函；</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11.2.3分包意向协议（如果有)；</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11.2.4符合性审查资料；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11.2.5评标标准相应的商务技术资料；</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11.2.6投标标的清单；</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11.2.7商务技术偏离表；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11.2.8政府采购供应商廉洁自律承诺书；</w:t>
      </w:r>
    </w:p>
    <w:p>
      <w:pPr>
        <w:snapToGrid w:val="0"/>
        <w:spacing w:line="360" w:lineRule="auto"/>
        <w:ind w:firstLine="480" w:firstLineChars="200"/>
        <w:rPr>
          <w:rFonts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11.3.1开标一览表（报价表）；</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11.3.2报价情况说明（如供应商报价低于项目预算50%的，应当提交本文档，详细阐述不影响产品质量或者诚信履约的具体原因）；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11.3.3中小企业声明函。</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投标人提供虚假材料投标的，投标无效。</w:t>
      </w:r>
    </w:p>
    <w:p>
      <w:pPr>
        <w:spacing w:line="360" w:lineRule="auto"/>
        <w:ind w:firstLine="720" w:firstLineChars="300"/>
        <w:rPr>
          <w:rFonts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w:t>
      </w:r>
    </w:p>
    <w:p>
      <w:pPr>
        <w:pStyle w:val="130"/>
        <w:snapToGrid w:val="0"/>
        <w:spacing w:before="0"/>
        <w:ind w:firstLine="0" w:firstLineChars="0"/>
        <w:outlineLvl w:val="0"/>
        <w:rPr>
          <w:rFonts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w:t>
      </w:r>
      <w:r>
        <w:rPr>
          <w:rFonts w:hint="eastAsia" w:ascii="仿宋" w:hAnsi="仿宋" w:eastAsia="仿宋" w:cs="仿宋"/>
          <w:b/>
          <w:color w:val="auto"/>
          <w:szCs w:val="24"/>
        </w:rPr>
        <w:t>投标文件的编制</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13.投标文件的签署、盖章</w:t>
      </w:r>
    </w:p>
    <w:p>
      <w:pPr>
        <w:pStyle w:val="130"/>
        <w:snapToGrid w:val="0"/>
        <w:spacing w:before="0"/>
        <w:ind w:firstLine="480"/>
        <w:rPr>
          <w:rFonts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14.投标文件的提交、补充、修改、撤回</w:t>
      </w:r>
    </w:p>
    <w:p>
      <w:pPr>
        <w:pStyle w:val="130"/>
        <w:spacing w:before="0"/>
        <w:ind w:firstLine="480"/>
        <w:rPr>
          <w:rFonts w:ascii="仿宋" w:hAnsi="仿宋" w:eastAsia="仿宋" w:cs="仿宋"/>
          <w:color w:val="auto"/>
        </w:rPr>
      </w:pPr>
      <w:r>
        <w:rPr>
          <w:rFonts w:hint="eastAsia" w:ascii="仿宋" w:hAnsi="仿宋" w:eastAsia="仿宋" w:cs="仿宋"/>
          <w:color w:val="auto"/>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15.备份投标文件</w:t>
      </w:r>
    </w:p>
    <w:p>
      <w:pPr>
        <w:pStyle w:val="34"/>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16.投标文件的无效处理</w:t>
      </w:r>
    </w:p>
    <w:p>
      <w:pPr>
        <w:pStyle w:val="26"/>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有招标文件第四部分4.2规定的情形之一的，投标无效：</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17.投标有效期</w:t>
      </w:r>
    </w:p>
    <w:p>
      <w:pPr>
        <w:spacing w:line="360" w:lineRule="auto"/>
        <w:ind w:firstLine="480" w:firstLineChars="200"/>
        <w:rPr>
          <w:rFonts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pPr>
        <w:pStyle w:val="130"/>
        <w:spacing w:before="0"/>
        <w:ind w:firstLine="480"/>
        <w:rPr>
          <w:rFonts w:ascii="仿宋" w:hAnsi="仿宋" w:eastAsia="仿宋" w:cs="仿宋"/>
          <w:color w:val="auto"/>
        </w:rPr>
      </w:pPr>
      <w:r>
        <w:rPr>
          <w:rFonts w:hint="eastAsia" w:ascii="仿宋" w:hAnsi="仿宋" w:eastAsia="仿宋" w:cs="仿宋"/>
          <w:color w:val="auto"/>
        </w:rPr>
        <w:t>17.2投标文件合格投递后，自投标截止日期起，在投标有效期内有效。</w:t>
      </w:r>
    </w:p>
    <w:p>
      <w:pPr>
        <w:pStyle w:val="130"/>
        <w:spacing w:before="0"/>
        <w:ind w:firstLine="480"/>
        <w:rPr>
          <w:rFonts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pPr>
        <w:pStyle w:val="556"/>
        <w:spacing w:before="0" w:line="360" w:lineRule="auto"/>
        <w:ind w:left="0" w:firstLine="241" w:firstLineChars="100"/>
        <w:contextualSpacing/>
        <w:rPr>
          <w:rFonts w:ascii="仿宋" w:hAnsi="仿宋" w:eastAsia="仿宋" w:cs="仿宋"/>
          <w:color w:val="auto"/>
          <w:sz w:val="24"/>
        </w:rPr>
      </w:pPr>
      <w:r>
        <w:rPr>
          <w:rFonts w:hint="eastAsia" w:ascii="仿宋" w:hAnsi="仿宋" w:eastAsia="仿宋" w:cs="仿宋"/>
          <w:b/>
          <w:color w:val="auto"/>
          <w:sz w:val="24"/>
          <w:szCs w:val="24"/>
        </w:rPr>
        <w:t>18.开标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 w:hAnsi="仿宋" w:eastAsia="仿宋" w:cs="仿宋"/>
          <w:b/>
          <w:bCs/>
          <w:color w:val="auto"/>
          <w:sz w:val="24"/>
        </w:rPr>
      </w:pPr>
      <w:r>
        <w:rPr>
          <w:rFonts w:hint="eastAsia" w:ascii="仿宋" w:hAnsi="仿宋" w:eastAsia="仿宋" w:cs="仿宋"/>
          <w:b/>
          <w:bCs/>
          <w:color w:val="auto"/>
          <w:sz w:val="24"/>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18.4结束解密后30分钟内，供应商应通过邮件形式将经授权代表签署的《政府采购活动现场确认声明书》（格式见采购文件最后一页内容）扫描件发至代理机构经办人邮箱（</w:t>
      </w:r>
      <w:r>
        <w:rPr>
          <w:rFonts w:hint="eastAsia" w:ascii="仿宋" w:hAnsi="仿宋" w:eastAsia="仿宋" w:cs="仿宋"/>
          <w:b/>
          <w:color w:val="auto"/>
          <w:sz w:val="24"/>
        </w:rPr>
        <w:t>邮箱地址：</w:t>
      </w:r>
      <w:r>
        <w:rPr>
          <w:rFonts w:hint="eastAsia" w:ascii="仿宋" w:hAnsi="仿宋" w:eastAsia="仿宋" w:cs="仿宋"/>
          <w:b/>
          <w:color w:val="auto"/>
          <w:sz w:val="24"/>
          <w:lang w:eastAsia="zh-CN"/>
        </w:rPr>
        <w:t>478001715@qq.com，联系人：方工，电话：13588741920</w:t>
      </w:r>
      <w:r>
        <w:rPr>
          <w:rFonts w:hint="eastAsia" w:ascii="仿宋" w:hAnsi="仿宋" w:eastAsia="仿宋" w:cs="仿宋"/>
          <w:b/>
          <w:color w:val="auto"/>
          <w:sz w:val="24"/>
        </w:rPr>
        <w:t>），未发送视为对开标过程及结果无异议。</w:t>
      </w:r>
    </w:p>
    <w:p>
      <w:pPr>
        <w:pStyle w:val="556"/>
        <w:spacing w:before="0" w:line="360" w:lineRule="auto"/>
        <w:ind w:left="0" w:firstLine="482" w:firstLineChars="200"/>
        <w:contextualSpacing/>
        <w:rPr>
          <w:rFonts w:ascii="仿宋" w:hAnsi="仿宋" w:eastAsia="仿宋" w:cs="仿宋"/>
          <w:b/>
          <w:color w:val="auto"/>
          <w:sz w:val="24"/>
        </w:rPr>
      </w:pPr>
      <w:r>
        <w:rPr>
          <w:rFonts w:hint="eastAsia" w:ascii="仿宋" w:hAnsi="仿宋" w:eastAsia="仿宋" w:cs="仿宋"/>
          <w:b/>
          <w:color w:val="auto"/>
          <w:sz w:val="24"/>
        </w:rPr>
        <w:t>18.5采购机构点击【开启报价文件】，开启报价成功后进入报价评审流程。各供应商代表应当在接到系统通知后30分钟内自行完成在线签字确认，逾期未在线签字确认的视为对开标过程及结果无异议。</w:t>
      </w:r>
    </w:p>
    <w:p>
      <w:pPr>
        <w:pStyle w:val="556"/>
        <w:spacing w:before="0" w:line="360" w:lineRule="auto"/>
        <w:ind w:left="0" w:firstLine="241" w:firstLineChars="100"/>
        <w:contextualSpacing/>
        <w:rPr>
          <w:rFonts w:ascii="仿宋" w:hAnsi="仿宋" w:eastAsia="仿宋" w:cs="仿宋"/>
          <w:b/>
          <w:color w:val="auto"/>
          <w:sz w:val="24"/>
        </w:rPr>
      </w:pPr>
      <w:r>
        <w:rPr>
          <w:rFonts w:hint="eastAsia" w:ascii="仿宋" w:hAnsi="仿宋" w:eastAsia="仿宋" w:cs="仿宋"/>
          <w:b/>
          <w:color w:val="auto"/>
          <w:sz w:val="24"/>
        </w:rPr>
        <w:t>19.资格审查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pPr>
        <w:pStyle w:val="130"/>
        <w:spacing w:before="0"/>
        <w:ind w:firstLine="480"/>
        <w:rPr>
          <w:rFonts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pPr>
        <w:pStyle w:val="130"/>
        <w:snapToGrid w:val="0"/>
        <w:spacing w:before="0"/>
        <w:ind w:firstLine="480"/>
        <w:rPr>
          <w:rFonts w:ascii="仿宋" w:hAnsi="仿宋" w:eastAsia="仿宋" w:cs="仿宋"/>
          <w:color w:val="auto"/>
        </w:rPr>
      </w:pPr>
      <w:r>
        <w:rPr>
          <w:rFonts w:hint="eastAsia" w:ascii="仿宋" w:hAnsi="仿宋" w:eastAsia="仿宋" w:cs="仿宋"/>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20</w:t>
      </w:r>
      <w:r>
        <w:rPr>
          <w:rFonts w:hint="eastAsia" w:ascii="仿宋" w:hAnsi="仿宋" w:eastAsia="仿宋" w:cs="仿宋"/>
          <w:b/>
          <w:color w:val="auto"/>
        </w:rPr>
        <w:t>.</w:t>
      </w:r>
      <w:r>
        <w:rPr>
          <w:rFonts w:hint="eastAsia" w:ascii="仿宋" w:hAnsi="仿宋" w:eastAsia="仿宋" w:cs="仿宋"/>
          <w:b/>
          <w:color w:val="auto"/>
          <w:szCs w:val="24"/>
        </w:rPr>
        <w:t>信用信息查询</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五、评标</w:t>
      </w:r>
    </w:p>
    <w:p>
      <w:pPr>
        <w:spacing w:line="360" w:lineRule="auto"/>
        <w:rPr>
          <w:rFonts w:ascii="仿宋" w:hAnsi="仿宋" w:eastAsia="仿宋" w:cs="仿宋"/>
          <w:b/>
          <w:color w:val="auto"/>
          <w:sz w:val="24"/>
        </w:rPr>
      </w:pPr>
      <w:bookmarkStart w:id="10" w:name="_Toc91899903"/>
      <w:r>
        <w:rPr>
          <w:rFonts w:hint="eastAsia" w:ascii="仿宋" w:hAnsi="仿宋" w:eastAsia="仿宋" w:cs="仿宋"/>
          <w:b/>
          <w:color w:val="auto"/>
          <w:sz w:val="24"/>
        </w:rPr>
        <w:t>21.</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六、定标</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22.确定中标供应商</w:t>
      </w:r>
    </w:p>
    <w:p>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ascii="仿宋" w:hAnsi="仿宋" w:eastAsia="仿宋" w:cs="仿宋"/>
          <w:b/>
          <w:color w:val="auto"/>
          <w:szCs w:val="24"/>
        </w:rPr>
      </w:pPr>
      <w:r>
        <w:rPr>
          <w:rFonts w:hint="eastAsia" w:ascii="仿宋" w:hAnsi="仿宋" w:eastAsia="仿宋" w:cs="仿宋"/>
          <w:b/>
          <w:color w:val="auto"/>
          <w:szCs w:val="24"/>
        </w:rPr>
        <w:t>23.中标通知与中标结果公告</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rPr>
        <w:t>资格审查情况、评审专家抽取规则、符合性审查情况、</w:t>
      </w:r>
      <w:bookmarkEnd w:id="11"/>
      <w:r>
        <w:rPr>
          <w:rFonts w:hint="eastAsia" w:ascii="仿宋" w:hAnsi="仿宋" w:eastAsia="仿宋" w:cs="仿宋"/>
          <w:color w:val="auto"/>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23.3公告期限为1个工作日。</w:t>
      </w:r>
    </w:p>
    <w:p>
      <w:pPr>
        <w:pStyle w:val="130"/>
        <w:snapToGrid w:val="0"/>
        <w:spacing w:before="0"/>
        <w:ind w:firstLine="482"/>
        <w:rPr>
          <w:rFonts w:ascii="仿宋" w:hAnsi="仿宋" w:eastAsia="仿宋" w:cs="仿宋"/>
          <w:color w:val="auto"/>
          <w:sz w:val="21"/>
          <w:szCs w:val="21"/>
        </w:rPr>
      </w:pPr>
      <w:r>
        <w:rPr>
          <w:rFonts w:hint="eastAsia" w:ascii="仿宋" w:hAnsi="仿宋" w:eastAsia="仿宋" w:cs="仿宋"/>
          <w:b/>
          <w:color w:val="auto"/>
          <w:szCs w:val="24"/>
        </w:rPr>
        <w:t>23.4</w:t>
      </w:r>
      <w:r>
        <w:rPr>
          <w:rFonts w:hint="eastAsia" w:ascii="仿宋" w:hAnsi="仿宋" w:eastAsia="仿宋" w:cs="仿宋"/>
          <w:bCs/>
          <w:color w:val="auto"/>
          <w:szCs w:val="24"/>
        </w:rPr>
        <w:t>由于中标、成交供应商原因导致重新采购的，应当承担支付代理费和专家评审费等费用在内的赔偿责任。</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七、合同授予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24.</w:t>
      </w:r>
      <w:r>
        <w:rPr>
          <w:rFonts w:hint="eastAsia" w:ascii="仿宋" w:hAnsi="仿宋" w:eastAsia="仿宋" w:cs="仿宋"/>
          <w:color w:val="auto"/>
        </w:rPr>
        <w:t>合同主要条款详见第五部分拟签订的合同文本。</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25.合同的签订</w:t>
      </w:r>
    </w:p>
    <w:p>
      <w:pPr>
        <w:widowControl/>
        <w:shd w:val="clear" w:color="auto" w:fill="FFFFFF"/>
        <w:spacing w:line="360" w:lineRule="auto"/>
        <w:ind w:firstLine="480"/>
        <w:jc w:val="left"/>
        <w:rPr>
          <w:rFonts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26.履约保证金</w:t>
      </w:r>
    </w:p>
    <w:p>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仿宋"/>
          <w:b/>
          <w:color w:val="auto"/>
        </w:rPr>
      </w:pPr>
      <w:r>
        <w:rPr>
          <w:rFonts w:hint="eastAsia" w:ascii="仿宋" w:hAnsi="仿宋" w:eastAsia="仿宋" w:cs="仿宋"/>
          <w:b/>
          <w:color w:val="auto"/>
        </w:rPr>
        <w:t>27.预付款</w:t>
      </w:r>
    </w:p>
    <w:p>
      <w:pPr>
        <w:adjustRightInd/>
        <w:spacing w:line="360" w:lineRule="auto"/>
        <w:ind w:firstLine="480" w:firstLineChars="200"/>
        <w:rPr>
          <w:rFonts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32"/>
        </w:rPr>
        <w:t>八、电子交易活动的中止</w:t>
      </w:r>
    </w:p>
    <w:p>
      <w:pPr>
        <w:pStyle w:val="130"/>
        <w:snapToGrid w:val="0"/>
        <w:spacing w:before="0"/>
        <w:ind w:firstLine="0" w:firstLineChars="0"/>
        <w:rPr>
          <w:rFonts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28.1电子交易平台发生故障而无法登录访问的；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28.2电子交易平台应用或数据库出现错误，不能进行正常操作的；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28.3电子交易平台发现严重安全漏洞，有潜在泄密危险的；</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 xml:space="preserve">28.4病毒发作导致不能进行正常操作的； </w:t>
      </w:r>
    </w:p>
    <w:p>
      <w:pPr>
        <w:pStyle w:val="130"/>
        <w:snapToGrid w:val="0"/>
        <w:spacing w:before="0"/>
        <w:ind w:firstLine="480"/>
        <w:rPr>
          <w:rFonts w:ascii="仿宋" w:hAnsi="仿宋" w:eastAsia="仿宋" w:cs="仿宋"/>
          <w:color w:val="auto"/>
        </w:rPr>
      </w:pPr>
      <w:r>
        <w:rPr>
          <w:rFonts w:hint="eastAsia" w:ascii="仿宋" w:hAnsi="仿宋" w:eastAsia="仿宋" w:cs="仿宋"/>
          <w:color w:val="auto"/>
        </w:rPr>
        <w:t>28.5其他无法保证电子交易的公平、公正和安全的情况。</w:t>
      </w:r>
    </w:p>
    <w:p>
      <w:pPr>
        <w:pStyle w:val="130"/>
        <w:snapToGrid w:val="0"/>
        <w:spacing w:before="0"/>
        <w:ind w:firstLine="0" w:firstLineChars="0"/>
        <w:rPr>
          <w:rFonts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仿宋"/>
          <w:b/>
          <w:color w:val="auto"/>
          <w:sz w:val="32"/>
        </w:rPr>
      </w:pPr>
      <w:r>
        <w:rPr>
          <w:rFonts w:hint="eastAsia" w:ascii="仿宋" w:hAnsi="仿宋" w:eastAsia="仿宋" w:cs="仿宋"/>
          <w:b/>
          <w:color w:val="auto"/>
          <w:sz w:val="32"/>
        </w:rPr>
        <w:t>九、验收</w:t>
      </w:r>
    </w:p>
    <w:p>
      <w:pPr>
        <w:pStyle w:val="26"/>
        <w:spacing w:line="360" w:lineRule="auto"/>
        <w:ind w:firstLine="0" w:firstLineChars="0"/>
        <w:rPr>
          <w:rFonts w:ascii="仿宋" w:hAnsi="仿宋" w:eastAsia="仿宋" w:cs="仿宋"/>
          <w:b/>
          <w:color w:val="auto"/>
        </w:rPr>
      </w:pPr>
      <w:r>
        <w:rPr>
          <w:rFonts w:hint="eastAsia" w:ascii="仿宋" w:hAnsi="仿宋" w:eastAsia="仿宋" w:cs="仿宋"/>
          <w:b/>
          <w:color w:val="auto"/>
        </w:rPr>
        <w:t>30.验收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 w:hAnsi="仿宋" w:eastAsia="仿宋" w:cs="仿宋"/>
          <w:color w:val="auto"/>
          <w:kern w:val="0"/>
          <w:sz w:val="24"/>
        </w:rPr>
      </w:pPr>
      <w:r>
        <w:rPr>
          <w:rFonts w:hint="eastAsia" w:ascii="仿宋" w:eastAsia="仿宋" w:cs="仿宋"/>
          <w:color w:val="auto"/>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pPr>
        <w:tabs>
          <w:tab w:val="left" w:pos="0"/>
        </w:tabs>
        <w:spacing w:line="360" w:lineRule="auto"/>
        <w:ind w:firstLine="480"/>
        <w:rPr>
          <w:rFonts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2" w:name="_Hlt68073093"/>
      <w:bookmarkEnd w:id="12"/>
      <w:bookmarkStart w:id="13" w:name="_Hlt68072990"/>
      <w:bookmarkEnd w:id="13"/>
      <w:bookmarkStart w:id="14" w:name="_Hlt75236290"/>
      <w:bookmarkEnd w:id="14"/>
      <w:bookmarkStart w:id="15" w:name="_Hlt74730295"/>
      <w:bookmarkEnd w:id="15"/>
      <w:bookmarkStart w:id="16" w:name="_Hlt74729768"/>
      <w:bookmarkEnd w:id="16"/>
      <w:bookmarkStart w:id="17" w:name="_Hlt75236011"/>
      <w:bookmarkEnd w:id="17"/>
      <w:bookmarkStart w:id="18" w:name="_Hlt74714665"/>
      <w:bookmarkEnd w:id="18"/>
      <w:bookmarkStart w:id="19" w:name="_Hlt68403820"/>
      <w:bookmarkEnd w:id="19"/>
      <w:bookmarkStart w:id="20" w:name="_Hlt68057669"/>
      <w:bookmarkEnd w:id="20"/>
      <w:bookmarkStart w:id="21" w:name="_Hlt68072998"/>
      <w:bookmarkEnd w:id="21"/>
      <w:bookmarkStart w:id="22" w:name="_Hlt75236101"/>
      <w:bookmarkEnd w:id="22"/>
      <w:bookmarkStart w:id="23" w:name="_Hlt74707468"/>
      <w:bookmarkEnd w:id="23"/>
    </w:p>
    <w:bookmarkEnd w:id="9"/>
    <w:p>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第三部分  采购需求</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一、项目概况</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本项目为杭州市公安局上城区分局1125路视频监控建设服务项目的建设和运维阶段监理服务项目，建设内容包括【前端相机改造服务】、【后端存储升级扩容服务】、【后端算法能力扩容服务】、【数据域迁移服务】、【规范安全防护体系服务】共五大内容。具体包括:</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1、前端相机改造服务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完成对上城区内共计1125个点位的前端感知单元智能化改造任务，同时保证所有通道的视频全天24小时存储、30天以上录像保存。</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其中前端建设以原江干辖区内的车站码头、校园周边、小区周边、医院周边、商业中心、重点水域、治安复杂区域为主要建设范围，参照《杭州市公共区域感知前端建设指南》开展点位的科学规划和设备的智能化提升，实现对区域宏观态势和感知对象细节多维感知能力的构建。兼顾不同业务的应用要求与感知能力相互补充，采用“一杆多采、一机多用、一机多能、一机多摄”的集约化建设方式，利用多技术、多手段融合的信息采集方式，进行全量信息采集，加强拓展前端感知触角，以补足东部区域的点位配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上城区视频感知前端建设任务表</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2606"/>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pct"/>
            <w:vAlign w:val="center"/>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结构化球机（台）</w:t>
            </w:r>
          </w:p>
        </w:tc>
        <w:tc>
          <w:tcPr>
            <w:tcW w:w="1534" w:type="pct"/>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人脸抓拍相机（台）</w:t>
            </w:r>
          </w:p>
        </w:tc>
        <w:tc>
          <w:tcPr>
            <w:tcW w:w="1842" w:type="pct"/>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900万车辆抓拍相机（台）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pct"/>
            <w:vAlign w:val="center"/>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380</w:t>
            </w:r>
          </w:p>
        </w:tc>
        <w:tc>
          <w:tcPr>
            <w:tcW w:w="1534" w:type="pct"/>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647</w:t>
            </w:r>
          </w:p>
        </w:tc>
        <w:tc>
          <w:tcPr>
            <w:tcW w:w="1842" w:type="pct"/>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98</w:t>
            </w:r>
          </w:p>
        </w:tc>
      </w:tr>
    </w:tbl>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2、后端存储升级改造服务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对应380路结构化球机、647路人脸抓拍摄像机、98路900万车辆抓拍相机的前端建设目标，扩容分局视频专网的接入转发中心，满足前端采集单元产生的大小图及结构化数据的缓存及转发需求。扩容分局用户域现有视图数据云存储池，满足人脸抓拍相机、900万车辆抓拍相机的大图180天、小图730天，结构化视频监控抓拍的大图180天、小图730天及结构化数据记录730天的存储能力。探索存储视频压缩技术，以减轻分局用户域内的视频存储池压力。</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3、分局数据域中心算力池升级扩容服务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对应380路结构化球机、647路人脸抓拍摄像机、98路900万车辆抓拍相机的前端建设目标，扩容分局数据域现有中心算力池，保证人脸车辆通道采集的图片90天的解析比对能力，结构化球机及结构化制高点采集的图片30天的结构化解析比对能力。引进公安部身份查询系统，为分局人像聚档业务提供数据支撑。</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4、数据域迁移服务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对分局现有的系统架构重新梳理，按照浙江省公安厅、杭州市公安局下发的相关标准及要求完成用户域系统的整体搬迁工作，并做好与杭州市公安局平台视频/视图数据的对接工作。主要包括但不限于视频专网侧基础业务平台及接入转发流程改造、用户域侧视频平台搭建、视频专网-数据域边界及前后置机改造、用户域侧系统搬迁至数据域内等工作。</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5、规范安全防护体系服务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持续扩容视频专网内的网络安全防护系统，加强技术手段建设，公共区域视频摄像机通过视频准入系统后进入视频传输专网，只允许授信终端接入、只允许专网网络承载视频数据，其他数据一概屏蔽，保证网络前端边界安全可控。同时防范非法私接，非法私接需及时告警，做到设备入网可知、入网可信、边界可控。</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运维部分是按照《GB/T19668.3-2017信息技术服务监理第3部分运行维护监理规范》等标准规范的要求，为五大建设内容的运维期（三年）提供质量、风险以及沟通协调的监督和咨询服务，同时根据运维项目招、投标文件及合同要求，开展运维服务质量考核工作，为信息化维保项目的运维服务工作提供公正、客观的监督服务，确保信息化运维活动的正常开展。</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二、监理服务内容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监理工作内容包括：全程跟踪项目建设、故障抢修、调整、改造；全程跟踪中心后台修改、测试；确认抢修、更换、维修设备；监测和统计日常设备运行情况；督促维护承建单位日常保养、维护前端设备；对维护承建单位进行维护考核；更新监控户籍化系统点位信息等工作；以及招标人下达的本项目监理范围内的其他工作任务。</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w:t>
      </w:r>
      <w:r>
        <w:rPr>
          <w:rFonts w:ascii="仿宋" w:hAnsi="仿宋" w:eastAsia="仿宋" w:cs="仿宋"/>
          <w:b/>
          <w:bCs/>
          <w:color w:val="auto"/>
          <w:kern w:val="0"/>
          <w:sz w:val="24"/>
        </w:rPr>
        <w:t>.</w:t>
      </w:r>
      <w:r>
        <w:rPr>
          <w:rFonts w:hint="eastAsia" w:ascii="仿宋" w:hAnsi="仿宋" w:eastAsia="仿宋" w:cs="仿宋"/>
          <w:b/>
          <w:bCs/>
          <w:color w:val="auto"/>
          <w:kern w:val="0"/>
          <w:sz w:val="24"/>
        </w:rPr>
        <w:t>项目质量控制</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（1）建设部分：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1）组织建设单位、使用单位、承建单位一起踏勘施工现场并对点位进行统一管理并展现；</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审查承建单位资质、质量保证体系的同时,注意检查参加施工的管理人员,关键工种的操作人员是否具有上岗证书,同时有关人员必须及时到岗、到位,不得随意更换或抽调,如有必须更换的,事先报项目总监同意,项目经理更换必须经业主同意；</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w:t>
      </w:r>
      <w:r>
        <w:rPr>
          <w:rFonts w:hint="eastAsia" w:ascii="仿宋" w:hAnsi="仿宋" w:eastAsia="仿宋" w:cs="仿宋"/>
          <w:color w:val="auto"/>
          <w:kern w:val="0"/>
          <w:sz w:val="24"/>
        </w:rPr>
        <w:t>）在材料、构配件订货前,由施工单位提出产品资料，经监理工程师审查后才可订货进场，材料进场后必须出具出厂合格证等资料，并上报监理单位，经监理工程师审查并抽查复验合格后，方可用于建设工程，对设备的型号,主要性能参数和操作要求三方面予以审查；</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4</w:t>
      </w:r>
      <w:r>
        <w:rPr>
          <w:rFonts w:hint="eastAsia" w:ascii="仿宋" w:hAnsi="仿宋" w:eastAsia="仿宋" w:cs="仿宋"/>
          <w:color w:val="auto"/>
          <w:kern w:val="0"/>
          <w:sz w:val="24"/>
        </w:rPr>
        <w:t>）对专业施工方案进行审查,确保方案在技术上可行,在经济上合理,有利于提高工程质量；</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5</w:t>
      </w:r>
      <w:r>
        <w:rPr>
          <w:rFonts w:hint="eastAsia" w:ascii="仿宋" w:hAnsi="仿宋" w:eastAsia="仿宋" w:cs="仿宋"/>
          <w:color w:val="auto"/>
          <w:kern w:val="0"/>
          <w:sz w:val="24"/>
        </w:rPr>
        <w:t>）做好监理旁站,主要包括基础浇筑、管线施工、杆件吊装、设备安装记录当日主要工作内容,监理工作内容、发现的问题和处理的方法。并以图文形式展现；</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6</w:t>
      </w:r>
      <w:r>
        <w:rPr>
          <w:rFonts w:hint="eastAsia" w:ascii="仿宋" w:hAnsi="仿宋" w:eastAsia="仿宋" w:cs="仿宋"/>
          <w:color w:val="auto"/>
          <w:kern w:val="0"/>
          <w:sz w:val="24"/>
        </w:rPr>
        <w:t>）对所有隐蔽工程及关键工序进行旁站,形成相应旁站资料,作为验收过程材料；</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7</w:t>
      </w:r>
      <w:r>
        <w:rPr>
          <w:rFonts w:hint="eastAsia" w:ascii="仿宋" w:hAnsi="仿宋" w:eastAsia="仿宋" w:cs="仿宋"/>
          <w:color w:val="auto"/>
          <w:kern w:val="0"/>
          <w:sz w:val="24"/>
        </w:rPr>
        <w:t>）对施工过程中所有施工单位出现的问题进行记录,作为罚款依据；</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8</w:t>
      </w:r>
      <w:r>
        <w:rPr>
          <w:rFonts w:hint="eastAsia" w:ascii="仿宋" w:hAnsi="仿宋" w:eastAsia="仿宋" w:cs="仿宋"/>
          <w:color w:val="auto"/>
          <w:kern w:val="0"/>
          <w:sz w:val="24"/>
        </w:rPr>
        <w:t>）协助建设单位组织专家召开验收会议,就项目实体质量、工程资料开展技术性验收；</w:t>
      </w:r>
    </w:p>
    <w:p>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9</w:t>
      </w:r>
      <w:r>
        <w:rPr>
          <w:rFonts w:hint="eastAsia" w:ascii="仿宋" w:hAnsi="仿宋" w:eastAsia="仿宋" w:cs="仿宋"/>
          <w:color w:val="auto"/>
          <w:kern w:val="0"/>
          <w:sz w:val="24"/>
        </w:rPr>
        <w:t>）配合建设单位、承建单位清点硬件资产,并在验收移交清单上签章；</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r>
        <w:rPr>
          <w:rFonts w:hint="eastAsia" w:ascii="仿宋" w:hAnsi="仿宋" w:eastAsia="仿宋" w:cs="仿宋"/>
          <w:color w:val="auto"/>
          <w:kern w:val="0"/>
          <w:sz w:val="24"/>
        </w:rPr>
        <w:t>）处理施工单位提交的验收申请,不具备验收条件时,提出各方都能接受的整改方案,便于项目整体验收；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1</w:t>
      </w:r>
      <w:r>
        <w:rPr>
          <w:rFonts w:hint="eastAsia" w:ascii="仿宋" w:hAnsi="仿宋" w:eastAsia="仿宋" w:cs="仿宋"/>
          <w:color w:val="auto"/>
          <w:kern w:val="0"/>
          <w:sz w:val="24"/>
        </w:rPr>
        <w:t>）系统集成质量及软件开发部分，对各个分系统、子系统应用软件的详细需求分析、详细设计、编码测试、系统安装调试、系统试运行进行把关等；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r>
        <w:rPr>
          <w:rFonts w:hint="eastAsia" w:ascii="仿宋" w:hAnsi="仿宋" w:eastAsia="仿宋" w:cs="仿宋"/>
          <w:color w:val="auto"/>
          <w:kern w:val="0"/>
          <w:sz w:val="24"/>
        </w:rPr>
        <w:t>）监督承建单位实施及培训计划，并征求用户的意见反馈，协助组织各类培训会及审核确认承建单位的培训总结报告。</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（2）运维部分：</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1）日常巡检监理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①维护单位常驻现场人员到位率考核。</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②检查维护单位对每个监控点的巡检台帐。</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③抽查维护单位巡检到位率情况。</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2）故障抢修监理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①做好故障时间、完成抢修时间统计工作（现场到达率、故障及时修复率）。</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②抢修完成事后确认、审核工作。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③做好合同备品备件的检查、核实工作。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④审核承建单位抢修队伍到位率及服务专用电话畅通情况。</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3）更换设备核实监理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①现场核实更换型号、合同价格。</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②检查更换设备后系统功能是否实现和更换设备工程量、价格核实。</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③记录故障及维修后时间。</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4）日常设备运行监测监理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①检查前端设备日常保养、维护情况。</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②日常设备运行监测。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③参与前端设备防雷检测。</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2</w:t>
      </w:r>
      <w:r>
        <w:rPr>
          <w:rFonts w:ascii="仿宋" w:hAnsi="仿宋" w:eastAsia="仿宋" w:cs="仿宋"/>
          <w:b/>
          <w:bCs/>
          <w:color w:val="auto"/>
          <w:kern w:val="0"/>
          <w:sz w:val="24"/>
        </w:rPr>
        <w:t>.</w:t>
      </w:r>
      <w:r>
        <w:rPr>
          <w:rFonts w:hint="eastAsia" w:ascii="仿宋" w:hAnsi="仿宋" w:eastAsia="仿宋" w:cs="仿宋"/>
          <w:b/>
          <w:bCs/>
          <w:color w:val="auto"/>
          <w:kern w:val="0"/>
          <w:sz w:val="24"/>
        </w:rPr>
        <w:t>项目进度控制：</w:t>
      </w:r>
      <w:r>
        <w:rPr>
          <w:rFonts w:hint="eastAsia" w:ascii="仿宋" w:hAnsi="仿宋" w:eastAsia="仿宋" w:cs="仿宋"/>
          <w:color w:val="auto"/>
          <w:kern w:val="0"/>
          <w:sz w:val="24"/>
        </w:rPr>
        <w:t>对项目实施进度进行实时跟踪，当工期目标发生偏离时，应及时指出，并提出对策和建议，同时督促承建单位尽快采取措施，以确保项目的阶段和总体进度目标的实现。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3</w:t>
      </w:r>
      <w:r>
        <w:rPr>
          <w:rFonts w:ascii="仿宋" w:hAnsi="仿宋" w:eastAsia="仿宋" w:cs="仿宋"/>
          <w:b/>
          <w:bCs/>
          <w:color w:val="auto"/>
          <w:kern w:val="0"/>
          <w:sz w:val="24"/>
        </w:rPr>
        <w:t>.</w:t>
      </w:r>
      <w:r>
        <w:rPr>
          <w:rFonts w:hint="eastAsia" w:ascii="仿宋" w:hAnsi="仿宋" w:eastAsia="仿宋" w:cs="仿宋"/>
          <w:b/>
          <w:bCs/>
          <w:color w:val="auto"/>
          <w:kern w:val="0"/>
          <w:sz w:val="24"/>
        </w:rPr>
        <w:t>项目投资控制：</w:t>
      </w:r>
      <w:r>
        <w:rPr>
          <w:rFonts w:hint="eastAsia" w:ascii="仿宋" w:hAnsi="仿宋" w:eastAsia="仿宋" w:cs="仿宋"/>
          <w:color w:val="auto"/>
          <w:kern w:val="0"/>
          <w:sz w:val="24"/>
        </w:rPr>
        <w:t>通过对项目实施中的方案及设计的优化，对工程建设中不可预见性费用的开支使用情况进行技术性审核并提出意见，确保投资控制在合理、性价比高的范围内；按照用户单位的财务管理规定，协助用户方做好项目阶段性资金结算及支付申请，保证用户方及承建方的利益并促使合同履行。</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4</w:t>
      </w:r>
      <w:r>
        <w:rPr>
          <w:rFonts w:ascii="仿宋" w:hAnsi="仿宋" w:eastAsia="仿宋" w:cs="仿宋"/>
          <w:b/>
          <w:bCs/>
          <w:color w:val="auto"/>
          <w:kern w:val="0"/>
          <w:sz w:val="24"/>
        </w:rPr>
        <w:t>.</w:t>
      </w:r>
      <w:r>
        <w:rPr>
          <w:rFonts w:hint="eastAsia" w:ascii="仿宋" w:hAnsi="仿宋" w:eastAsia="仿宋" w:cs="仿宋"/>
          <w:b/>
          <w:bCs/>
          <w:color w:val="auto"/>
          <w:kern w:val="0"/>
          <w:sz w:val="24"/>
        </w:rPr>
        <w:t>项目变更控制：</w:t>
      </w:r>
      <w:r>
        <w:rPr>
          <w:rFonts w:hint="eastAsia" w:ascii="仿宋" w:hAnsi="仿宋" w:eastAsia="仿宋" w:cs="仿宋"/>
          <w:color w:val="auto"/>
          <w:kern w:val="0"/>
          <w:sz w:val="24"/>
        </w:rPr>
        <w:t>收集并整理项目实施中因实际需求（如政策变动、用户使用便利性等方面）形成的变更需求并对变更必要性及工作量进行评估；审核并确认变更申请并向用户方、承建方给出书面明确意见；整理项目变更管理中的相关过程资料及文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5</w:t>
      </w:r>
      <w:r>
        <w:rPr>
          <w:rFonts w:ascii="仿宋" w:hAnsi="仿宋" w:eastAsia="仿宋" w:cs="仿宋"/>
          <w:b/>
          <w:bCs/>
          <w:color w:val="auto"/>
          <w:kern w:val="0"/>
          <w:sz w:val="24"/>
        </w:rPr>
        <w:t>.</w:t>
      </w:r>
      <w:r>
        <w:rPr>
          <w:rFonts w:hint="eastAsia" w:ascii="仿宋" w:hAnsi="仿宋" w:eastAsia="仿宋" w:cs="仿宋"/>
          <w:b/>
          <w:bCs/>
          <w:color w:val="auto"/>
          <w:kern w:val="0"/>
          <w:sz w:val="24"/>
        </w:rPr>
        <w:t>项目合同管理：</w:t>
      </w:r>
      <w:r>
        <w:rPr>
          <w:rFonts w:hint="eastAsia" w:ascii="仿宋" w:hAnsi="仿宋" w:eastAsia="仿宋" w:cs="仿宋"/>
          <w:color w:val="auto"/>
          <w:kern w:val="0"/>
          <w:sz w:val="24"/>
        </w:rPr>
        <w:t>跟踪检查合同的执行情况，确保承建单位按时履约；对合同工期的延误和延期进行审核确认；对合同变更、索赔等事宜进行审核确认。</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6</w:t>
      </w:r>
      <w:r>
        <w:rPr>
          <w:rFonts w:ascii="仿宋" w:hAnsi="仿宋" w:eastAsia="仿宋" w:cs="仿宋"/>
          <w:b/>
          <w:bCs/>
          <w:color w:val="auto"/>
          <w:kern w:val="0"/>
          <w:sz w:val="24"/>
        </w:rPr>
        <w:t>.</w:t>
      </w:r>
      <w:r>
        <w:rPr>
          <w:rFonts w:hint="eastAsia" w:ascii="仿宋" w:hAnsi="仿宋" w:eastAsia="仿宋" w:cs="仿宋"/>
          <w:b/>
          <w:bCs/>
          <w:color w:val="auto"/>
          <w:kern w:val="0"/>
          <w:sz w:val="24"/>
        </w:rPr>
        <w:t>项目文档管理：</w:t>
      </w:r>
      <w:r>
        <w:rPr>
          <w:rFonts w:hint="eastAsia" w:ascii="仿宋" w:hAnsi="仿宋" w:eastAsia="仿宋" w:cs="仿宋"/>
          <w:color w:val="auto"/>
          <w:kern w:val="0"/>
          <w:sz w:val="24"/>
        </w:rPr>
        <w:t>管理好实施期间的各类技术文档；做好项目协调会、技术专题会等各种会议纪要，并督促会议有关事项的执行；做好项目周报并书面反馈用户单位；监理建议书、监理通知、承建方提交的文档资料等。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7</w:t>
      </w:r>
      <w:r>
        <w:rPr>
          <w:rFonts w:ascii="仿宋" w:hAnsi="仿宋" w:eastAsia="仿宋" w:cs="仿宋"/>
          <w:b/>
          <w:bCs/>
          <w:color w:val="auto"/>
          <w:kern w:val="0"/>
          <w:sz w:val="24"/>
        </w:rPr>
        <w:t>.</w:t>
      </w:r>
      <w:r>
        <w:rPr>
          <w:rFonts w:hint="eastAsia" w:ascii="仿宋" w:hAnsi="仿宋" w:eastAsia="仿宋" w:cs="仿宋"/>
          <w:b/>
          <w:bCs/>
          <w:color w:val="auto"/>
          <w:kern w:val="0"/>
          <w:sz w:val="24"/>
        </w:rPr>
        <w:t>项目协调管理：</w:t>
      </w:r>
      <w:r>
        <w:rPr>
          <w:rFonts w:hint="eastAsia" w:ascii="仿宋" w:hAnsi="仿宋" w:eastAsia="仿宋" w:cs="仿宋"/>
          <w:color w:val="auto"/>
          <w:kern w:val="0"/>
          <w:sz w:val="24"/>
        </w:rPr>
        <w:t>经采购人委托，监理方负责协调本项目所涉及的各承建单位之间的工作关系，并协调解决项目建设过程中的各类纠纷。监理方应该通过必要的会议制度来实施协调工作，主要包括：定期例会、监理协调会、专题讨论会、专家论证会、阶段工作总结会、初验和最终验收会。</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b/>
          <w:bCs/>
          <w:color w:val="auto"/>
          <w:kern w:val="0"/>
          <w:sz w:val="24"/>
        </w:rPr>
        <w:t>8</w:t>
      </w:r>
      <w:r>
        <w:rPr>
          <w:rFonts w:ascii="仿宋" w:hAnsi="仿宋" w:eastAsia="仿宋" w:cs="仿宋"/>
          <w:b/>
          <w:bCs/>
          <w:color w:val="auto"/>
          <w:kern w:val="0"/>
          <w:sz w:val="24"/>
        </w:rPr>
        <w:t>.</w:t>
      </w:r>
      <w:r>
        <w:rPr>
          <w:rFonts w:hint="eastAsia" w:ascii="仿宋" w:hAnsi="仿宋" w:eastAsia="仿宋" w:cs="仿宋"/>
          <w:b/>
          <w:bCs/>
          <w:color w:val="auto"/>
          <w:kern w:val="0"/>
          <w:sz w:val="24"/>
        </w:rPr>
        <w:t>项目安全的管理：</w:t>
      </w:r>
      <w:r>
        <w:rPr>
          <w:rFonts w:hint="eastAsia" w:ascii="仿宋" w:hAnsi="仿宋" w:eastAsia="仿宋" w:cs="仿宋"/>
          <w:color w:val="auto"/>
          <w:kern w:val="0"/>
          <w:sz w:val="24"/>
        </w:rPr>
        <w:t>监督承建单位在项目施工期间严格遵守公安网、视频专网、社会资源网涉及人员信息等数据和网络安全相关制度和规定，避免出现安全事故。</w:t>
      </w:r>
    </w:p>
    <w:p>
      <w:pPr>
        <w:tabs>
          <w:tab w:val="left" w:pos="0"/>
        </w:tabs>
        <w:spacing w:line="360" w:lineRule="auto"/>
        <w:rPr>
          <w:rFonts w:ascii="仿宋" w:hAnsi="仿宋" w:eastAsia="仿宋" w:cs="仿宋"/>
          <w:color w:val="auto"/>
          <w:kern w:val="0"/>
          <w:sz w:val="24"/>
        </w:rPr>
      </w:pPr>
      <w:r>
        <w:rPr>
          <w:rFonts w:hint="eastAsia" w:ascii="仿宋" w:hAnsi="仿宋" w:eastAsia="仿宋" w:cs="仿宋"/>
          <w:b/>
          <w:bCs/>
          <w:color w:val="auto"/>
          <w:kern w:val="0"/>
          <w:sz w:val="24"/>
        </w:rPr>
        <w:t>三、监理服务总体要求</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（一）监理目标</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鉴于本项目应用面广，复杂程度高。为此，要求监理单位按照项目目标和要求，遵循国家、省、市信息系统项目建设和监理的标准和规范，依据项目建设合同和用户需求，采用先进、科学、合理的适合本项目特点的项目管理技巧和手段，对项目的各个层面进行全方位的管理、控制和协调。对项目的设备和系统购置、安装调试、系统测试、技术培训等方面的质量、进度和投资等进行全面控制。对项目建设合同的执行、项目建设文件资料等进行管理。从而使本项目“按期、保质、高效、节约”地完成。</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（二）监理服务遵照的依据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1.国家有关信息系统工程监理的法规；</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2.采购人与项目承建单位签订的承建合同；</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3.采购人与监理单位签订的监理合同；</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4.有关国家和行业的技术标准和规范。</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（三）信息监理标准规范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GB/T19668《信息技术服务监理》：</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——第1部分：总则；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——第2部分：基础设施工程监理规范；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——第3部分：运行维护监理规范；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——第4部分：信息安全监理规范；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——第5部分：软件工程监理规范；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——第6部分：应用系统数据中心工程监理规范；</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以及其他国家、省、市相关法律法规、政策及制度等。</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（四）监理服务准则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遵照国家信息产业部《信息系统项目监理暂行规定》的规定，以“守法、诚信、公正、科学”的准则执业，维护业主单位与承建单位的合法权益。具体应做到：</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1.执行有关项目建设的法律、法规、规范、标准和制度，履行监理合同规定的义务和职责。</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2.不收受被监理单位的任何礼金。</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3.不泄漏所监理项目各方认为需要保密的事项。</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4.遵守国家的法律和政府的有关条例、规定和办法等。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5.坚持公正的立场，独立、公正地处理有关各方的争议。</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6.坚持科学的态度和实事求是的原则。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7.在坚持按监理合同的规定向采购人提供技术服务的同时，帮助被监理者完成起担负的建设任务。</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8.不泄漏所监理的项目需保密的事项，对涉密项目或业主单位提出保密要求的项目，监理单位应与业主单位签订保密协议。</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（五）项目成果</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投标人在项目过程中将严格按照要求进行文档编制及交付工作。验收完成后,供应商将所有纸质、电子验收资料作为项目档案妥善保管,验收结束后15天内至少移交一套完整的资料给采购人。成果包括以下内容:(示范;可根据采购人要求、实际项目情况进行调整)</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1)项目建议书等立项所需相关材料;</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2)招标采购方案,服务采购过程咨询建议、服务合同实施建议等;</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3)系统可行性研究报告、需求规格说明书、原型设计、系统测试方案、部署方案等的评审意见报告;</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4)项目验收标准、验收方案、运维方案等的评审意见报告;</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5)项目监理工作方案、工作制度和各阶段质量、进度等验收评估报告。</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6)项目成果应符合规范和要求。</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(六)验收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1)做好各阶段的验收和终验工作:对系统设备的投入量、软件功能和性能;对系统建设监理服务的成果和效果;项目团队服务人员投入量、服务响应时间;对业务流程、文档的完整性、时效性等进行验收;对系统设备、系统的功能、性能等进行技术验收测试,确认是否满足需求规格说明书中列出的需求,并出具验收意见。</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2)验收完成后,验收材料、数据作为档案予以保存。验收服务单位应在验收结束后15天内至少移交一套完整的资料给采购人。</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3)验收标准:①中标人已按合同约定的咨询、监理服务要求履行了相应职责,并协助采购人完成相关信息技术项目验收、完成审计。②项目团队人员与合同约定的人员一致,提供监理服务人员数量符合合同约定的人数。③提供的监理服务成果文件资料符合合同约定要求。</w:t>
      </w:r>
    </w:p>
    <w:p>
      <w:pPr>
        <w:tabs>
          <w:tab w:val="left" w:pos="0"/>
        </w:tabs>
        <w:spacing w:line="360" w:lineRule="auto"/>
        <w:ind w:firstLine="480"/>
        <w:rPr>
          <w:rFonts w:ascii="仿宋" w:hAnsi="仿宋" w:eastAsia="仿宋" w:cs="仿宋"/>
          <w:b/>
          <w:bCs/>
          <w:color w:val="auto"/>
          <w:kern w:val="0"/>
          <w:sz w:val="24"/>
        </w:rPr>
      </w:pPr>
      <w:r>
        <w:rPr>
          <w:rFonts w:hint="eastAsia" w:ascii="仿宋" w:hAnsi="仿宋" w:eastAsia="仿宋" w:cs="仿宋"/>
          <w:b/>
          <w:bCs/>
          <w:color w:val="auto"/>
          <w:kern w:val="0"/>
          <w:sz w:val="24"/>
        </w:rPr>
        <w:t>（七）监理工作相关管控软件</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投标人具有项目管理软件，可对项目进行全过程智能化跟踪管理。</w:t>
      </w:r>
    </w:p>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四、监理服务人员及考核要求</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监理单位应该具有信息系统工程监理履约能力。监理队伍的专业能力应该涵盖本项目的各方面技术需求。监理队伍的人员数量和时间应该得到保证。投标人应提供完整的监理人员名单，本项目监理服务团队不少于6人，其中总监理工程师1人，总监代表1人，</w:t>
      </w:r>
      <w:r>
        <w:rPr>
          <w:rFonts w:ascii="仿宋" w:hAnsi="仿宋" w:eastAsia="仿宋" w:cs="仿宋"/>
          <w:color w:val="auto"/>
          <w:kern w:val="0"/>
          <w:sz w:val="24"/>
        </w:rPr>
        <w:t>建设期间</w:t>
      </w:r>
      <w:r>
        <w:rPr>
          <w:rFonts w:hint="eastAsia" w:ascii="仿宋" w:hAnsi="仿宋" w:eastAsia="仿宋" w:cs="仿宋"/>
          <w:color w:val="auto"/>
          <w:kern w:val="0"/>
          <w:sz w:val="24"/>
        </w:rPr>
        <w:t>常驻监理工程师不少于2人，驻场监理工程师需具有信息系统监理师证书</w:t>
      </w:r>
      <w:r>
        <w:rPr>
          <w:rFonts w:ascii="仿宋" w:hAnsi="仿宋" w:eastAsia="仿宋" w:cs="仿宋"/>
          <w:color w:val="auto"/>
          <w:kern w:val="0"/>
          <w:sz w:val="24"/>
        </w:rPr>
        <w:t>。运维服务期内，按需到场服务</w:t>
      </w:r>
      <w:r>
        <w:rPr>
          <w:rFonts w:hint="eastAsia" w:ascii="仿宋" w:hAnsi="仿宋" w:eastAsia="仿宋" w:cs="仿宋"/>
          <w:color w:val="auto"/>
          <w:kern w:val="0"/>
          <w:sz w:val="24"/>
        </w:rPr>
        <w:t>。监理人员不得随意跟换，如需更换须事先书面报请采购人同意。</w:t>
      </w:r>
    </w:p>
    <w:p>
      <w:pPr>
        <w:tabs>
          <w:tab w:val="left" w:pos="0"/>
        </w:tabs>
        <w:spacing w:line="360" w:lineRule="auto"/>
        <w:ind w:firstLine="480"/>
        <w:rPr>
          <w:rFonts w:ascii="仿宋" w:hAnsi="仿宋" w:eastAsia="仿宋" w:cs="仿宋"/>
          <w:color w:val="auto"/>
          <w:kern w:val="0"/>
          <w:sz w:val="24"/>
        </w:rPr>
      </w:pPr>
      <w:r>
        <w:rPr>
          <w:rFonts w:hint="eastAsia" w:ascii="仿宋" w:hAnsi="仿宋" w:eastAsia="仿宋" w:cs="仿宋"/>
          <w:color w:val="auto"/>
          <w:kern w:val="0"/>
          <w:sz w:val="24"/>
        </w:rPr>
        <w:t>监理服务期内，监理项目组按照以下要求进行考核：</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29"/>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782"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考核项目</w:t>
            </w: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78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人员组织</w:t>
            </w: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监理过程中，项目班子人员调整必须经过业主单位书面同意。如擅自调整项目班子人员，发现一次扣3000元；擅自调整项目主要负责人，发现一次扣5000元。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 w:type="pct"/>
            <w:vMerge w:val="continue"/>
            <w:tcBorders>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color w:val="auto"/>
                <w:kern w:val="0"/>
                <w:sz w:val="24"/>
              </w:rPr>
            </w:pPr>
          </w:p>
        </w:tc>
        <w:tc>
          <w:tcPr>
            <w:tcW w:w="782" w:type="pct"/>
            <w:vMerge w:val="continue"/>
            <w:tcBorders>
              <w:left w:val="single" w:color="auto" w:sz="4" w:space="0"/>
              <w:bottom w:val="single" w:color="auto" w:sz="4" w:space="0"/>
              <w:right w:val="single" w:color="auto" w:sz="4" w:space="0"/>
            </w:tcBorders>
            <w:noWrap/>
            <w:vAlign w:val="center"/>
          </w:tcPr>
          <w:p>
            <w:pPr>
              <w:tabs>
                <w:tab w:val="left" w:pos="0"/>
              </w:tabs>
              <w:spacing w:line="360" w:lineRule="auto"/>
              <w:jc w:val="center"/>
              <w:rPr>
                <w:rFonts w:ascii="仿宋" w:hAnsi="仿宋" w:eastAsia="仿宋" w:cs="仿宋"/>
                <w:color w:val="auto"/>
                <w:kern w:val="0"/>
                <w:sz w:val="24"/>
              </w:rPr>
            </w:pP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1．监理人员应严格遵守甲方工作要求，未遵守甲方工作要求的每次扣200元；</w:t>
            </w:r>
          </w:p>
          <w:p>
            <w:pPr>
              <w:tabs>
                <w:tab w:val="left" w:pos="0"/>
              </w:tabs>
              <w:spacing w:line="360" w:lineRule="auto"/>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．项目实施期间，总监总请假天数不得超过10天，超出天数每天扣款600元；其它人员请假天数不得超过10天，超出天数每天扣款300元；</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3．工作（值班）时间维护专用电话必须由专职维护工作人员接听，无特殊原因不接听电话的，发现一次扣300元。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782" w:type="pct"/>
            <w:vMerge w:val="restart"/>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项目管理</w:t>
            </w:r>
          </w:p>
        </w:tc>
        <w:tc>
          <w:tcPr>
            <w:tcW w:w="3765" w:type="pct"/>
            <w:tcBorders>
              <w:top w:val="single" w:color="auto" w:sz="4" w:space="0"/>
              <w:left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监理例会须定期举行，监理单位须按时参加并形成纪要，无故缺席的发现一次扣1000元。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78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每月按时提交维护单位考核月报表。未做到的每次扣300元。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5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782" w:type="pct"/>
            <w:vMerge w:val="continue"/>
            <w:tcBorders>
              <w:left w:val="single" w:color="auto" w:sz="4" w:space="0"/>
              <w:right w:val="single" w:color="auto" w:sz="4" w:space="0"/>
            </w:tcBorders>
            <w:noWrap/>
            <w:vAlign w:val="center"/>
          </w:tcPr>
          <w:p>
            <w:pPr>
              <w:tabs>
                <w:tab w:val="left" w:pos="0"/>
              </w:tabs>
              <w:spacing w:line="360" w:lineRule="auto"/>
              <w:ind w:firstLine="480"/>
              <w:rPr>
                <w:rFonts w:ascii="仿宋" w:hAnsi="仿宋" w:eastAsia="仿宋" w:cs="仿宋"/>
                <w:color w:val="auto"/>
                <w:kern w:val="0"/>
                <w:sz w:val="24"/>
              </w:rPr>
            </w:pPr>
          </w:p>
        </w:tc>
        <w:tc>
          <w:tcPr>
            <w:tcW w:w="3765" w:type="pct"/>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运维监理人员应将故障报修信息及时登记成册，故障修复及时确认。未做到的每次扣300元。</w:t>
            </w:r>
          </w:p>
        </w:tc>
      </w:tr>
    </w:tbl>
    <w:p>
      <w:pPr>
        <w:tabs>
          <w:tab w:val="left" w:pos="0"/>
        </w:tabs>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五、商务要求</w:t>
      </w:r>
    </w:p>
    <w:tbl>
      <w:tblPr>
        <w:tblStyle w:val="6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8"/>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nil"/>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bookmarkStart w:id="24" w:name="bookmark192"/>
            <w:r>
              <w:rPr>
                <w:rFonts w:hint="eastAsia" w:ascii="仿宋" w:hAnsi="仿宋" w:eastAsia="仿宋" w:cs="仿宋"/>
                <w:b/>
                <w:bCs/>
                <w:color w:val="auto"/>
                <w:kern w:val="0"/>
                <w:sz w:val="24"/>
              </w:rPr>
              <w:t>项目</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项目内容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nil"/>
              <w:right w:val="single" w:color="auto" w:sz="4" w:space="0"/>
              <w:tl2br w:val="nil"/>
              <w:tr2bl w:val="nil"/>
            </w:tcBorders>
            <w:noWrap/>
            <w:vAlign w:val="center"/>
          </w:tcPr>
          <w:p>
            <w:pPr>
              <w:tabs>
                <w:tab w:val="left" w:pos="0"/>
              </w:tabs>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监理服务期</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合同签订之日起至3年服务期结束。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投标报价要求</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1.投标方的报价不得超过采购预算，超过预算的报价无效。</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2.投标报价包括监理服务费、技术资料费、设备和仪器使用费、保险费、税费等，包含合同中明示或暗示的所有一般风险、责任和义务等所产生的一切费用。投标人的投标报价为投标人所能承受的整个项目的一次性最终报价，如有漏项视同已包含在总报价内，合同总价和单价不做调整。</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nil"/>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验收要求</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根据中华人民共和国现行技术标准，按招标文件以及合同规定的验收评定标准等规范，由采购人组织验收，监理服务项目与建设项目同步验收，监理范围内的建设项目验收合格即监理项目验收合格。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付款方式</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1.预付款：在合同生效以及具备实施条件后5个工作日内，支付监理合同总额的40%；</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2.监理合同签订满6个月后10个工作日内，支付监理合同总额的30%；</w:t>
            </w:r>
          </w:p>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3.监理服务期到期后10个工作日内，支付监理合同总额的30%。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履约保证金</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□不收取。</w:t>
            </w:r>
          </w:p>
          <w:p>
            <w:pPr>
              <w:tabs>
                <w:tab w:val="left" w:pos="0"/>
              </w:tabs>
              <w:spacing w:line="360" w:lineRule="auto"/>
              <w:rPr>
                <w:rFonts w:ascii="仿宋" w:hAnsi="仿宋" w:eastAsia="仿宋" w:cs="仿宋"/>
                <w:color w:val="auto"/>
                <w:kern w:val="0"/>
                <w:sz w:val="24"/>
              </w:rPr>
            </w:pPr>
            <w:r>
              <w:rPr>
                <w:rFonts w:ascii="Segoe UI Symbol" w:hAnsi="Segoe UI Symbol" w:eastAsia="仿宋" w:cs="Segoe UI Symbol"/>
                <w:color w:val="auto"/>
                <w:kern w:val="0"/>
                <w:sz w:val="24"/>
              </w:rPr>
              <w:t>☑</w:t>
            </w:r>
            <w:r>
              <w:rPr>
                <w:rFonts w:hint="eastAsia" w:ascii="仿宋" w:hAnsi="仿宋" w:eastAsia="仿宋" w:cs="仿宋"/>
                <w:color w:val="auto"/>
                <w:kern w:val="0"/>
                <w:sz w:val="24"/>
              </w:rPr>
              <w:t>收取，按合同金额的1%计收，项目服务期满后无息退还。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6"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违约责任</w:t>
            </w:r>
          </w:p>
        </w:tc>
        <w:tc>
          <w:tcPr>
            <w:tcW w:w="4124" w:type="pct"/>
            <w:tcBorders>
              <w:top w:val="single" w:color="auto" w:sz="4" w:space="0"/>
              <w:left w:val="single" w:color="auto" w:sz="4" w:space="0"/>
              <w:bottom w:val="single" w:color="auto" w:sz="4" w:space="0"/>
              <w:right w:val="single" w:color="auto" w:sz="4" w:space="0"/>
              <w:tl2br w:val="nil"/>
              <w:tr2bl w:val="nil"/>
            </w:tcBorders>
            <w:noWrap/>
            <w:vAlign w:val="center"/>
          </w:tcPr>
          <w:p>
            <w:pPr>
              <w:tabs>
                <w:tab w:val="left" w:pos="0"/>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如无特别说明，按“第五部分  拟签订的合同文本”相关违约责任及争议解决方式内容。</w:t>
            </w:r>
          </w:p>
        </w:tc>
      </w:tr>
      <w:bookmarkEnd w:id="24"/>
    </w:tbl>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5" w:name="_Toc184313264"/>
      <w:bookmarkEnd w:id="25"/>
      <w:bookmarkStart w:id="26" w:name="_Toc184308071"/>
      <w:bookmarkEnd w:id="26"/>
      <w:bookmarkStart w:id="27" w:name="_Toc184313307"/>
      <w:bookmarkEnd w:id="27"/>
      <w:bookmarkStart w:id="28" w:name="_Toc184308106"/>
      <w:bookmarkEnd w:id="28"/>
      <w:bookmarkStart w:id="29" w:name="_Toc184308051"/>
      <w:bookmarkEnd w:id="29"/>
      <w:bookmarkStart w:id="30" w:name="_Toc184312105"/>
      <w:bookmarkEnd w:id="30"/>
      <w:bookmarkStart w:id="31" w:name="_Toc184313277"/>
      <w:bookmarkEnd w:id="31"/>
      <w:bookmarkStart w:id="32" w:name="_Toc184314482"/>
      <w:bookmarkEnd w:id="32"/>
      <w:bookmarkStart w:id="33" w:name="_Toc184312092"/>
      <w:bookmarkEnd w:id="33"/>
      <w:bookmarkStart w:id="34" w:name="_Toc184313303"/>
      <w:bookmarkEnd w:id="34"/>
      <w:bookmarkStart w:id="35" w:name="_Toc184310325"/>
      <w:bookmarkEnd w:id="35"/>
      <w:bookmarkStart w:id="36" w:name="_Toc184312099"/>
      <w:bookmarkEnd w:id="36"/>
      <w:bookmarkStart w:id="37" w:name="_Toc184308061"/>
      <w:bookmarkEnd w:id="37"/>
      <w:bookmarkStart w:id="38" w:name="_Toc184313246"/>
      <w:bookmarkEnd w:id="38"/>
      <w:bookmarkStart w:id="39" w:name="_Toc184312137"/>
      <w:bookmarkEnd w:id="39"/>
      <w:bookmarkStart w:id="40" w:name="_Toc184313260"/>
      <w:bookmarkEnd w:id="40"/>
      <w:bookmarkStart w:id="41" w:name="_Toc184312081"/>
      <w:bookmarkEnd w:id="41"/>
      <w:bookmarkStart w:id="42" w:name="_Toc184308072"/>
      <w:bookmarkEnd w:id="42"/>
      <w:bookmarkStart w:id="43" w:name="_Toc184314459"/>
      <w:bookmarkEnd w:id="43"/>
      <w:bookmarkStart w:id="44" w:name="_Toc184310333"/>
      <w:bookmarkEnd w:id="44"/>
      <w:bookmarkStart w:id="45" w:name="_Toc184312120"/>
      <w:bookmarkEnd w:id="45"/>
      <w:bookmarkStart w:id="46" w:name="_Toc184308087"/>
      <w:bookmarkEnd w:id="46"/>
      <w:bookmarkStart w:id="47" w:name="_Toc184312098"/>
      <w:bookmarkEnd w:id="47"/>
      <w:bookmarkStart w:id="48" w:name="_Toc184314418"/>
      <w:bookmarkEnd w:id="48"/>
      <w:bookmarkStart w:id="49" w:name="_Toc184310317"/>
      <w:bookmarkEnd w:id="49"/>
      <w:bookmarkStart w:id="50" w:name="_Toc184314429"/>
      <w:bookmarkEnd w:id="50"/>
      <w:bookmarkStart w:id="51" w:name="_Toc184314453"/>
      <w:bookmarkEnd w:id="51"/>
      <w:bookmarkStart w:id="52" w:name="_Toc184313299"/>
      <w:bookmarkEnd w:id="52"/>
      <w:bookmarkStart w:id="53" w:name="_Toc184312106"/>
      <w:bookmarkEnd w:id="53"/>
      <w:bookmarkStart w:id="54" w:name="_Toc184310273"/>
      <w:bookmarkEnd w:id="54"/>
      <w:bookmarkStart w:id="55" w:name="_Toc184312135"/>
      <w:bookmarkEnd w:id="55"/>
      <w:bookmarkStart w:id="56" w:name="_Toc184314457"/>
      <w:bookmarkEnd w:id="56"/>
      <w:bookmarkStart w:id="57" w:name="_Toc184313253"/>
      <w:bookmarkEnd w:id="57"/>
      <w:bookmarkStart w:id="58" w:name="_Toc184308096"/>
      <w:bookmarkEnd w:id="58"/>
      <w:bookmarkStart w:id="59" w:name="_Toc184310278"/>
      <w:bookmarkEnd w:id="59"/>
      <w:bookmarkStart w:id="60" w:name="_Toc184310318"/>
      <w:bookmarkEnd w:id="60"/>
      <w:bookmarkStart w:id="61" w:name="_Toc184313262"/>
      <w:bookmarkEnd w:id="61"/>
      <w:bookmarkStart w:id="62" w:name="_Toc184312129"/>
      <w:bookmarkEnd w:id="62"/>
      <w:bookmarkStart w:id="63" w:name="_Toc184313250"/>
      <w:bookmarkEnd w:id="63"/>
      <w:bookmarkStart w:id="64" w:name="_Toc184308070"/>
      <w:bookmarkEnd w:id="64"/>
      <w:bookmarkStart w:id="65" w:name="_Toc184308095"/>
      <w:bookmarkEnd w:id="65"/>
      <w:bookmarkStart w:id="66" w:name="_Toc184310340"/>
      <w:bookmarkEnd w:id="66"/>
      <w:bookmarkStart w:id="67" w:name="_Toc184312132"/>
      <w:bookmarkEnd w:id="67"/>
      <w:bookmarkStart w:id="68" w:name="_Toc184312079"/>
      <w:bookmarkEnd w:id="68"/>
      <w:bookmarkStart w:id="69" w:name="_Toc184310328"/>
      <w:bookmarkEnd w:id="69"/>
      <w:bookmarkStart w:id="70" w:name="_Toc184313252"/>
      <w:bookmarkEnd w:id="70"/>
      <w:bookmarkStart w:id="71" w:name="_Toc184312139"/>
      <w:bookmarkEnd w:id="71"/>
      <w:bookmarkStart w:id="72" w:name="_Toc184314447"/>
      <w:bookmarkEnd w:id="72"/>
      <w:bookmarkStart w:id="73" w:name="_Toc184308067"/>
      <w:bookmarkEnd w:id="73"/>
      <w:bookmarkStart w:id="74" w:name="_Toc184313259"/>
      <w:bookmarkEnd w:id="74"/>
      <w:bookmarkStart w:id="75" w:name="_Toc184310277"/>
      <w:bookmarkEnd w:id="75"/>
      <w:bookmarkStart w:id="76" w:name="_Toc184314417"/>
      <w:bookmarkEnd w:id="76"/>
      <w:bookmarkStart w:id="77" w:name="_Toc184310310"/>
      <w:bookmarkEnd w:id="77"/>
      <w:bookmarkStart w:id="78" w:name="_Toc184310327"/>
      <w:bookmarkEnd w:id="78"/>
      <w:bookmarkStart w:id="79" w:name="_Toc184308103"/>
      <w:bookmarkEnd w:id="79"/>
      <w:bookmarkStart w:id="80" w:name="_Toc184310324"/>
      <w:bookmarkEnd w:id="80"/>
      <w:bookmarkStart w:id="81" w:name="_Toc184313269"/>
      <w:bookmarkEnd w:id="81"/>
      <w:bookmarkStart w:id="82" w:name="_Toc184310334"/>
      <w:bookmarkEnd w:id="82"/>
      <w:bookmarkStart w:id="83" w:name="_Toc184310298"/>
      <w:bookmarkEnd w:id="83"/>
      <w:bookmarkStart w:id="84" w:name="_Toc184310342"/>
      <w:bookmarkEnd w:id="84"/>
      <w:bookmarkStart w:id="85" w:name="_Toc184308100"/>
      <w:bookmarkEnd w:id="85"/>
      <w:bookmarkStart w:id="86" w:name="_Toc184312130"/>
      <w:bookmarkEnd w:id="86"/>
      <w:bookmarkStart w:id="87" w:name="_Toc184312093"/>
      <w:bookmarkEnd w:id="87"/>
      <w:bookmarkStart w:id="88" w:name="_Toc184313294"/>
      <w:bookmarkEnd w:id="88"/>
      <w:bookmarkStart w:id="89" w:name="_Toc184312075"/>
      <w:bookmarkEnd w:id="89"/>
      <w:bookmarkStart w:id="90" w:name="_Toc184313274"/>
      <w:bookmarkEnd w:id="90"/>
      <w:bookmarkStart w:id="91" w:name="_Toc184313280"/>
      <w:bookmarkEnd w:id="91"/>
      <w:bookmarkStart w:id="92" w:name="_Toc184313284"/>
      <w:bookmarkEnd w:id="92"/>
      <w:bookmarkStart w:id="93" w:name="_Toc184308049"/>
      <w:bookmarkEnd w:id="93"/>
      <w:bookmarkStart w:id="94" w:name="_Toc184314412"/>
      <w:bookmarkEnd w:id="94"/>
      <w:bookmarkStart w:id="95" w:name="_Toc184312103"/>
      <w:bookmarkEnd w:id="95"/>
      <w:bookmarkStart w:id="96" w:name="_Toc184314464"/>
      <w:bookmarkEnd w:id="96"/>
      <w:bookmarkStart w:id="97" w:name="_Toc184314413"/>
      <w:bookmarkEnd w:id="97"/>
      <w:bookmarkStart w:id="98" w:name="_Toc184312131"/>
      <w:bookmarkEnd w:id="98"/>
      <w:bookmarkStart w:id="99" w:name="_Toc184310280"/>
      <w:bookmarkEnd w:id="99"/>
      <w:bookmarkStart w:id="100" w:name="_Toc184313247"/>
      <w:bookmarkEnd w:id="100"/>
      <w:bookmarkStart w:id="101" w:name="_Toc184312090"/>
      <w:bookmarkEnd w:id="101"/>
      <w:bookmarkStart w:id="102" w:name="_Toc184313258"/>
      <w:bookmarkEnd w:id="102"/>
      <w:bookmarkStart w:id="103" w:name="_Toc184312089"/>
      <w:bookmarkEnd w:id="103"/>
      <w:bookmarkStart w:id="104" w:name="_Toc184313240"/>
      <w:bookmarkEnd w:id="104"/>
      <w:bookmarkStart w:id="105" w:name="_Toc184310305"/>
      <w:bookmarkEnd w:id="105"/>
      <w:bookmarkStart w:id="106" w:name="_Toc184308076"/>
      <w:bookmarkEnd w:id="106"/>
      <w:bookmarkStart w:id="107" w:name="_Toc184314475"/>
      <w:bookmarkEnd w:id="107"/>
      <w:bookmarkStart w:id="108" w:name="_Toc184310316"/>
      <w:bookmarkEnd w:id="108"/>
      <w:bookmarkStart w:id="109" w:name="_Toc184308083"/>
      <w:bookmarkEnd w:id="109"/>
      <w:bookmarkStart w:id="110" w:name="_Toc184308036"/>
      <w:bookmarkEnd w:id="110"/>
      <w:bookmarkStart w:id="111" w:name="_Toc184310335"/>
      <w:bookmarkEnd w:id="111"/>
      <w:bookmarkStart w:id="112" w:name="_Toc184314415"/>
      <w:bookmarkEnd w:id="112"/>
      <w:bookmarkStart w:id="113" w:name="_Toc184310308"/>
      <w:bookmarkEnd w:id="113"/>
      <w:bookmarkStart w:id="114" w:name="_Toc184313278"/>
      <w:bookmarkEnd w:id="114"/>
      <w:bookmarkStart w:id="115" w:name="_Toc184310285"/>
      <w:bookmarkEnd w:id="115"/>
      <w:bookmarkStart w:id="116" w:name="_Toc184314472"/>
      <w:bookmarkEnd w:id="116"/>
      <w:bookmarkStart w:id="117" w:name="_Toc184313305"/>
      <w:bookmarkEnd w:id="117"/>
      <w:bookmarkStart w:id="118" w:name="_Toc184314426"/>
      <w:bookmarkEnd w:id="118"/>
      <w:bookmarkStart w:id="119" w:name="_Toc184314421"/>
      <w:bookmarkEnd w:id="119"/>
      <w:bookmarkStart w:id="120" w:name="_Toc184310314"/>
      <w:bookmarkEnd w:id="120"/>
      <w:bookmarkStart w:id="121" w:name="_Toc184314424"/>
      <w:bookmarkEnd w:id="121"/>
      <w:bookmarkStart w:id="122" w:name="_Toc184308098"/>
      <w:bookmarkEnd w:id="122"/>
      <w:bookmarkStart w:id="123" w:name="_Toc184314452"/>
      <w:bookmarkEnd w:id="123"/>
      <w:bookmarkStart w:id="124" w:name="_Toc184314434"/>
      <w:bookmarkEnd w:id="124"/>
      <w:bookmarkStart w:id="125" w:name="_Toc184313243"/>
      <w:bookmarkEnd w:id="125"/>
      <w:bookmarkStart w:id="126" w:name="_Toc184310315"/>
      <w:bookmarkEnd w:id="126"/>
      <w:bookmarkStart w:id="127" w:name="_Toc184310319"/>
      <w:bookmarkEnd w:id="127"/>
      <w:bookmarkStart w:id="128" w:name="_Toc184313254"/>
      <w:bookmarkEnd w:id="128"/>
      <w:bookmarkStart w:id="129" w:name="_Toc184313302"/>
      <w:bookmarkEnd w:id="129"/>
      <w:bookmarkStart w:id="130" w:name="_Toc184313296"/>
      <w:bookmarkEnd w:id="130"/>
      <w:bookmarkStart w:id="131" w:name="_Toc184313268"/>
      <w:bookmarkEnd w:id="131"/>
      <w:bookmarkStart w:id="132" w:name="_Toc184313306"/>
      <w:bookmarkEnd w:id="132"/>
      <w:bookmarkStart w:id="133" w:name="_Toc184310313"/>
      <w:bookmarkEnd w:id="133"/>
      <w:bookmarkStart w:id="134" w:name="_Toc184314446"/>
      <w:bookmarkEnd w:id="134"/>
      <w:bookmarkStart w:id="135" w:name="_Toc184310321"/>
      <w:bookmarkEnd w:id="135"/>
      <w:bookmarkStart w:id="136" w:name="_Toc184312118"/>
      <w:bookmarkEnd w:id="136"/>
      <w:bookmarkStart w:id="137" w:name="_Toc184308081"/>
      <w:bookmarkEnd w:id="137"/>
      <w:bookmarkStart w:id="138" w:name="_Toc184314451"/>
      <w:bookmarkEnd w:id="138"/>
      <w:bookmarkStart w:id="139" w:name="_Toc184310309"/>
      <w:bookmarkEnd w:id="139"/>
      <w:bookmarkStart w:id="140" w:name="_Toc184313261"/>
      <w:bookmarkEnd w:id="140"/>
      <w:bookmarkStart w:id="141" w:name="_Toc184310302"/>
      <w:bookmarkEnd w:id="141"/>
      <w:bookmarkStart w:id="142" w:name="_Toc184314416"/>
      <w:bookmarkEnd w:id="142"/>
      <w:bookmarkStart w:id="143" w:name="_Toc184310295"/>
      <w:bookmarkEnd w:id="143"/>
      <w:bookmarkStart w:id="144" w:name="_Toc184312102"/>
      <w:bookmarkEnd w:id="144"/>
      <w:bookmarkStart w:id="145" w:name="_Toc184310336"/>
      <w:bookmarkEnd w:id="145"/>
      <w:bookmarkStart w:id="146" w:name="_Toc184312069"/>
      <w:bookmarkEnd w:id="146"/>
      <w:bookmarkStart w:id="147" w:name="_Toc184312133"/>
      <w:bookmarkEnd w:id="147"/>
      <w:bookmarkStart w:id="148" w:name="_Toc184310344"/>
      <w:bookmarkEnd w:id="148"/>
      <w:bookmarkStart w:id="149" w:name="_Toc184314440"/>
      <w:bookmarkEnd w:id="149"/>
      <w:bookmarkStart w:id="150" w:name="_Toc184310311"/>
      <w:bookmarkEnd w:id="150"/>
      <w:bookmarkStart w:id="151" w:name="_Toc184314410"/>
      <w:bookmarkEnd w:id="151"/>
      <w:bookmarkStart w:id="152" w:name="_Toc184310297"/>
      <w:bookmarkEnd w:id="152"/>
      <w:bookmarkStart w:id="153" w:name="_Toc184313272"/>
      <w:bookmarkEnd w:id="153"/>
      <w:bookmarkStart w:id="154" w:name="_Toc184312073"/>
      <w:bookmarkEnd w:id="154"/>
      <w:bookmarkStart w:id="155" w:name="_Toc184308091"/>
      <w:bookmarkEnd w:id="155"/>
      <w:bookmarkStart w:id="156" w:name="_Toc184314469"/>
      <w:bookmarkEnd w:id="156"/>
      <w:bookmarkStart w:id="157" w:name="_Toc184310326"/>
      <w:bookmarkEnd w:id="157"/>
      <w:bookmarkStart w:id="158" w:name="_Toc184314449"/>
      <w:bookmarkEnd w:id="158"/>
      <w:bookmarkStart w:id="159" w:name="_Toc184313245"/>
      <w:bookmarkEnd w:id="159"/>
      <w:bookmarkStart w:id="160" w:name="_Toc184312108"/>
      <w:bookmarkEnd w:id="160"/>
      <w:bookmarkStart w:id="161" w:name="_Toc184308099"/>
      <w:bookmarkEnd w:id="161"/>
      <w:bookmarkStart w:id="162" w:name="_Toc184310330"/>
      <w:bookmarkEnd w:id="162"/>
      <w:bookmarkStart w:id="163" w:name="_Toc184314428"/>
      <w:bookmarkEnd w:id="163"/>
      <w:bookmarkStart w:id="164" w:name="_Toc184314479"/>
      <w:bookmarkEnd w:id="164"/>
      <w:bookmarkStart w:id="165" w:name="_Toc184310276"/>
      <w:bookmarkEnd w:id="165"/>
      <w:bookmarkStart w:id="166" w:name="_Toc184312117"/>
      <w:bookmarkEnd w:id="166"/>
      <w:bookmarkStart w:id="167" w:name="_Toc184308104"/>
      <w:bookmarkEnd w:id="167"/>
      <w:bookmarkStart w:id="168" w:name="_Toc184308047"/>
      <w:bookmarkEnd w:id="168"/>
      <w:bookmarkStart w:id="169" w:name="_Toc184312116"/>
      <w:bookmarkEnd w:id="169"/>
      <w:bookmarkStart w:id="170" w:name="_Toc184308073"/>
      <w:bookmarkEnd w:id="170"/>
      <w:bookmarkStart w:id="171" w:name="_Toc184312085"/>
      <w:bookmarkEnd w:id="171"/>
      <w:bookmarkStart w:id="172" w:name="_Toc184313265"/>
      <w:bookmarkEnd w:id="172"/>
      <w:bookmarkStart w:id="173" w:name="_Toc184308052"/>
      <w:bookmarkEnd w:id="173"/>
      <w:bookmarkStart w:id="174" w:name="_Toc184313282"/>
      <w:bookmarkEnd w:id="174"/>
      <w:bookmarkStart w:id="175" w:name="_Toc184308059"/>
      <w:bookmarkEnd w:id="175"/>
      <w:bookmarkStart w:id="176" w:name="_Toc184312119"/>
      <w:bookmarkEnd w:id="176"/>
      <w:bookmarkStart w:id="177" w:name="_Toc184314456"/>
      <w:bookmarkEnd w:id="177"/>
      <w:bookmarkStart w:id="178" w:name="_Toc184314471"/>
      <w:bookmarkEnd w:id="178"/>
      <w:bookmarkStart w:id="179" w:name="_Toc184314450"/>
      <w:bookmarkEnd w:id="179"/>
      <w:bookmarkStart w:id="180" w:name="_Toc184314436"/>
      <w:bookmarkEnd w:id="180"/>
      <w:bookmarkStart w:id="181" w:name="_Toc184308079"/>
      <w:bookmarkEnd w:id="181"/>
      <w:bookmarkStart w:id="182" w:name="_Toc184308044"/>
      <w:bookmarkEnd w:id="182"/>
      <w:bookmarkStart w:id="183" w:name="_Toc184313281"/>
      <w:bookmarkEnd w:id="183"/>
      <w:bookmarkStart w:id="184" w:name="_Toc184313249"/>
      <w:bookmarkEnd w:id="184"/>
      <w:bookmarkStart w:id="185" w:name="_Toc184313288"/>
      <w:bookmarkEnd w:id="185"/>
      <w:bookmarkStart w:id="186" w:name="_Toc184313292"/>
      <w:bookmarkEnd w:id="186"/>
      <w:bookmarkStart w:id="187" w:name="_Toc184308084"/>
      <w:bookmarkEnd w:id="187"/>
      <w:bookmarkStart w:id="188" w:name="_Toc184314431"/>
      <w:bookmarkEnd w:id="188"/>
      <w:bookmarkStart w:id="189" w:name="_Toc184310337"/>
      <w:bookmarkEnd w:id="189"/>
      <w:bookmarkStart w:id="190" w:name="_Toc184313286"/>
      <w:bookmarkEnd w:id="190"/>
      <w:bookmarkStart w:id="191" w:name="_Toc184308090"/>
      <w:bookmarkEnd w:id="191"/>
      <w:bookmarkStart w:id="192" w:name="_Toc184312071"/>
      <w:bookmarkEnd w:id="192"/>
      <w:bookmarkStart w:id="193" w:name="_Toc184313285"/>
      <w:bookmarkEnd w:id="193"/>
      <w:bookmarkStart w:id="194" w:name="_Toc184312127"/>
      <w:bookmarkEnd w:id="194"/>
      <w:bookmarkStart w:id="195" w:name="_Toc184310343"/>
      <w:bookmarkEnd w:id="195"/>
      <w:bookmarkStart w:id="196" w:name="_Toc184314411"/>
      <w:bookmarkEnd w:id="196"/>
      <w:bookmarkStart w:id="197" w:name="_Toc184308053"/>
      <w:bookmarkEnd w:id="197"/>
      <w:bookmarkStart w:id="198" w:name="_Toc184314430"/>
      <w:bookmarkEnd w:id="198"/>
      <w:bookmarkStart w:id="199" w:name="_Toc184314468"/>
      <w:bookmarkEnd w:id="199"/>
      <w:bookmarkStart w:id="200" w:name="_Toc184313297"/>
      <w:bookmarkEnd w:id="200"/>
      <w:bookmarkStart w:id="201" w:name="_Toc184312121"/>
      <w:bookmarkEnd w:id="201"/>
      <w:bookmarkStart w:id="202" w:name="_Toc184312078"/>
      <w:bookmarkEnd w:id="202"/>
      <w:bookmarkStart w:id="203" w:name="_Toc184308057"/>
      <w:bookmarkEnd w:id="203"/>
      <w:bookmarkStart w:id="204" w:name="_Toc184312104"/>
      <w:bookmarkEnd w:id="204"/>
      <w:bookmarkStart w:id="205" w:name="_Toc184310320"/>
      <w:bookmarkEnd w:id="205"/>
      <w:bookmarkStart w:id="206" w:name="_Toc184312070"/>
      <w:bookmarkEnd w:id="206"/>
      <w:bookmarkStart w:id="207" w:name="_Toc184310312"/>
      <w:bookmarkEnd w:id="207"/>
      <w:bookmarkStart w:id="208" w:name="_Toc184314441"/>
      <w:bookmarkEnd w:id="208"/>
      <w:bookmarkStart w:id="209" w:name="_Toc184314458"/>
      <w:bookmarkEnd w:id="209"/>
      <w:bookmarkStart w:id="210" w:name="_Toc184314474"/>
      <w:bookmarkEnd w:id="210"/>
      <w:bookmarkStart w:id="211" w:name="_Toc184313304"/>
      <w:bookmarkEnd w:id="211"/>
      <w:bookmarkStart w:id="212" w:name="_Toc184310303"/>
      <w:bookmarkEnd w:id="212"/>
      <w:bookmarkStart w:id="213" w:name="_Toc184308068"/>
      <w:bookmarkEnd w:id="213"/>
      <w:bookmarkStart w:id="214" w:name="_Toc184314423"/>
      <w:bookmarkEnd w:id="214"/>
      <w:bookmarkStart w:id="215" w:name="_Toc184312087"/>
      <w:bookmarkEnd w:id="215"/>
      <w:bookmarkStart w:id="216" w:name="_Toc184310306"/>
      <w:bookmarkEnd w:id="216"/>
      <w:bookmarkStart w:id="217" w:name="_Toc184314460"/>
      <w:bookmarkEnd w:id="217"/>
      <w:bookmarkStart w:id="218" w:name="_Toc184308038"/>
      <w:bookmarkEnd w:id="218"/>
      <w:bookmarkStart w:id="219" w:name="_Toc184312082"/>
      <w:bookmarkEnd w:id="219"/>
      <w:bookmarkStart w:id="220" w:name="_Toc184310293"/>
      <w:bookmarkEnd w:id="220"/>
      <w:bookmarkStart w:id="221" w:name="_Toc184310279"/>
      <w:bookmarkEnd w:id="221"/>
      <w:bookmarkStart w:id="222" w:name="_Toc184313270"/>
      <w:bookmarkEnd w:id="222"/>
      <w:bookmarkStart w:id="223" w:name="_Toc184314442"/>
      <w:bookmarkEnd w:id="223"/>
      <w:bookmarkStart w:id="224" w:name="_Toc184312080"/>
      <w:bookmarkEnd w:id="224"/>
      <w:bookmarkStart w:id="225" w:name="_Toc184312124"/>
      <w:bookmarkEnd w:id="225"/>
      <w:bookmarkStart w:id="226" w:name="_Toc184312111"/>
      <w:bookmarkEnd w:id="226"/>
      <w:bookmarkStart w:id="227" w:name="_Toc184313255"/>
      <w:bookmarkEnd w:id="227"/>
      <w:bookmarkStart w:id="228" w:name="_Toc184312068"/>
      <w:bookmarkEnd w:id="228"/>
      <w:bookmarkStart w:id="229" w:name="_Toc184310339"/>
      <w:bookmarkEnd w:id="229"/>
      <w:bookmarkStart w:id="230" w:name="_Toc184314476"/>
      <w:bookmarkEnd w:id="230"/>
      <w:bookmarkStart w:id="231" w:name="_Toc184310296"/>
      <w:bookmarkEnd w:id="231"/>
      <w:bookmarkStart w:id="232" w:name="_Toc184308092"/>
      <w:bookmarkEnd w:id="232"/>
      <w:bookmarkStart w:id="233" w:name="_Toc184312088"/>
      <w:bookmarkEnd w:id="233"/>
      <w:bookmarkStart w:id="234" w:name="_Toc184313238"/>
      <w:bookmarkEnd w:id="234"/>
      <w:bookmarkStart w:id="235" w:name="_Toc184310281"/>
      <w:bookmarkEnd w:id="235"/>
      <w:bookmarkStart w:id="236" w:name="_Toc184314420"/>
      <w:bookmarkEnd w:id="236"/>
      <w:bookmarkStart w:id="237" w:name="_Toc184313283"/>
      <w:bookmarkEnd w:id="237"/>
      <w:bookmarkStart w:id="238" w:name="_Toc184314444"/>
      <w:bookmarkEnd w:id="238"/>
      <w:bookmarkStart w:id="239" w:name="_Toc184308085"/>
      <w:bookmarkEnd w:id="239"/>
      <w:bookmarkStart w:id="240" w:name="_Toc184314455"/>
      <w:bookmarkEnd w:id="240"/>
      <w:bookmarkStart w:id="241" w:name="_Toc184314427"/>
      <w:bookmarkEnd w:id="241"/>
      <w:bookmarkStart w:id="242" w:name="_Toc184313293"/>
      <w:bookmarkEnd w:id="242"/>
      <w:bookmarkStart w:id="243" w:name="_Toc184312101"/>
      <w:bookmarkEnd w:id="243"/>
      <w:bookmarkStart w:id="244" w:name="_Toc184310287"/>
      <w:bookmarkEnd w:id="244"/>
      <w:bookmarkStart w:id="245" w:name="_Toc184310291"/>
      <w:bookmarkEnd w:id="245"/>
      <w:bookmarkStart w:id="246" w:name="_Toc184312114"/>
      <w:bookmarkEnd w:id="246"/>
      <w:bookmarkStart w:id="247" w:name="_Toc184312096"/>
      <w:bookmarkEnd w:id="247"/>
      <w:bookmarkStart w:id="248" w:name="_Toc184308056"/>
      <w:bookmarkEnd w:id="248"/>
      <w:bookmarkStart w:id="249" w:name="_Toc184310323"/>
      <w:bookmarkEnd w:id="249"/>
      <w:bookmarkStart w:id="250" w:name="_Toc184313290"/>
      <w:bookmarkEnd w:id="250"/>
      <w:bookmarkStart w:id="251" w:name="_Toc184310322"/>
      <w:bookmarkEnd w:id="251"/>
      <w:bookmarkStart w:id="252" w:name="_Toc184314454"/>
      <w:bookmarkEnd w:id="252"/>
      <w:bookmarkStart w:id="253" w:name="_Toc184313244"/>
      <w:bookmarkEnd w:id="253"/>
      <w:bookmarkStart w:id="254" w:name="_Toc184312084"/>
      <w:bookmarkEnd w:id="254"/>
      <w:bookmarkStart w:id="255" w:name="_Toc184313263"/>
      <w:bookmarkEnd w:id="255"/>
      <w:bookmarkStart w:id="256" w:name="_Toc184310294"/>
      <w:bookmarkEnd w:id="256"/>
      <w:bookmarkStart w:id="257" w:name="_Toc184308078"/>
      <w:bookmarkEnd w:id="257"/>
      <w:bookmarkStart w:id="258" w:name="_Toc184308069"/>
      <w:bookmarkEnd w:id="258"/>
      <w:bookmarkStart w:id="259" w:name="_Toc184312086"/>
      <w:bookmarkEnd w:id="259"/>
      <w:bookmarkStart w:id="260" w:name="_Toc184312107"/>
      <w:bookmarkEnd w:id="260"/>
      <w:bookmarkStart w:id="261" w:name="_Toc184314422"/>
      <w:bookmarkEnd w:id="261"/>
      <w:bookmarkStart w:id="262" w:name="_Toc184310272"/>
      <w:bookmarkEnd w:id="262"/>
      <w:bookmarkStart w:id="263" w:name="_Toc184313251"/>
      <w:bookmarkEnd w:id="263"/>
      <w:bookmarkStart w:id="264" w:name="_Toc184308077"/>
      <w:bookmarkEnd w:id="264"/>
      <w:bookmarkStart w:id="265" w:name="_Toc184312100"/>
      <w:bookmarkEnd w:id="265"/>
      <w:bookmarkStart w:id="266" w:name="_Toc184308094"/>
      <w:bookmarkEnd w:id="266"/>
      <w:bookmarkStart w:id="267" w:name="_Toc184310283"/>
      <w:bookmarkEnd w:id="267"/>
      <w:bookmarkStart w:id="268" w:name="_Toc184312076"/>
      <w:bookmarkEnd w:id="268"/>
      <w:bookmarkStart w:id="269" w:name="_Toc184314477"/>
      <w:bookmarkEnd w:id="269"/>
      <w:bookmarkStart w:id="270" w:name="_Toc184313300"/>
      <w:bookmarkEnd w:id="270"/>
      <w:bookmarkStart w:id="271" w:name="_Toc184312110"/>
      <w:bookmarkEnd w:id="271"/>
      <w:bookmarkStart w:id="272" w:name="_Toc184308039"/>
      <w:bookmarkEnd w:id="272"/>
      <w:bookmarkStart w:id="273" w:name="_Toc184314432"/>
      <w:bookmarkEnd w:id="273"/>
      <w:bookmarkStart w:id="274" w:name="_Toc184313287"/>
      <w:bookmarkEnd w:id="274"/>
      <w:bookmarkStart w:id="275" w:name="_Toc184308075"/>
      <w:bookmarkEnd w:id="275"/>
      <w:bookmarkStart w:id="276" w:name="_Toc184314425"/>
      <w:bookmarkEnd w:id="276"/>
      <w:bookmarkStart w:id="277" w:name="_Toc184312067"/>
      <w:bookmarkEnd w:id="277"/>
      <w:bookmarkStart w:id="278" w:name="_Toc184310284"/>
      <w:bookmarkEnd w:id="278"/>
      <w:bookmarkStart w:id="279" w:name="_Toc184310290"/>
      <w:bookmarkEnd w:id="279"/>
      <w:bookmarkStart w:id="280" w:name="_Toc184308102"/>
      <w:bookmarkEnd w:id="280"/>
      <w:bookmarkStart w:id="281" w:name="_Toc184313266"/>
      <w:bookmarkEnd w:id="281"/>
      <w:bookmarkStart w:id="282" w:name="_Toc184314419"/>
      <w:bookmarkEnd w:id="282"/>
      <w:bookmarkStart w:id="283" w:name="_Toc184312094"/>
      <w:bookmarkEnd w:id="283"/>
      <w:bookmarkStart w:id="284" w:name="_Toc184314478"/>
      <w:bookmarkEnd w:id="284"/>
      <w:bookmarkStart w:id="285" w:name="_Toc184314480"/>
      <w:bookmarkEnd w:id="285"/>
      <w:bookmarkStart w:id="286" w:name="_Toc184310329"/>
      <w:bookmarkEnd w:id="286"/>
      <w:bookmarkStart w:id="287" w:name="_Toc184308048"/>
      <w:bookmarkEnd w:id="287"/>
      <w:bookmarkStart w:id="288" w:name="_Toc184312072"/>
      <w:bookmarkEnd w:id="288"/>
      <w:bookmarkStart w:id="289" w:name="_Toc184312128"/>
      <w:bookmarkEnd w:id="289"/>
      <w:bookmarkStart w:id="290" w:name="_Toc184313239"/>
      <w:bookmarkEnd w:id="290"/>
      <w:bookmarkStart w:id="291" w:name="_Toc184313289"/>
      <w:bookmarkEnd w:id="291"/>
      <w:bookmarkStart w:id="292" w:name="_Toc184314462"/>
      <w:bookmarkEnd w:id="292"/>
      <w:bookmarkStart w:id="293" w:name="_Toc184314433"/>
      <w:bookmarkEnd w:id="293"/>
      <w:bookmarkStart w:id="294" w:name="_Toc184310301"/>
      <w:bookmarkEnd w:id="294"/>
      <w:bookmarkStart w:id="295" w:name="_Toc184312113"/>
      <w:bookmarkEnd w:id="295"/>
      <w:bookmarkStart w:id="296" w:name="_Toc184314414"/>
      <w:bookmarkEnd w:id="296"/>
      <w:bookmarkStart w:id="297" w:name="_Toc184308054"/>
      <w:bookmarkEnd w:id="297"/>
      <w:bookmarkStart w:id="298" w:name="_Toc184314448"/>
      <w:bookmarkEnd w:id="298"/>
      <w:bookmarkStart w:id="299" w:name="_Toc184313301"/>
      <w:bookmarkEnd w:id="299"/>
      <w:bookmarkStart w:id="300" w:name="_Toc184308064"/>
      <w:bookmarkEnd w:id="300"/>
      <w:bookmarkStart w:id="301" w:name="_Toc184310300"/>
      <w:bookmarkEnd w:id="301"/>
      <w:bookmarkStart w:id="302" w:name="_Toc184313273"/>
      <w:bookmarkEnd w:id="302"/>
      <w:bookmarkStart w:id="303" w:name="_Toc184308101"/>
      <w:bookmarkEnd w:id="303"/>
      <w:bookmarkStart w:id="304" w:name="_Toc184308097"/>
      <w:bookmarkEnd w:id="304"/>
      <w:bookmarkStart w:id="305" w:name="_Toc184310289"/>
      <w:bookmarkEnd w:id="305"/>
      <w:bookmarkStart w:id="306" w:name="_Toc184312109"/>
      <w:bookmarkEnd w:id="306"/>
      <w:bookmarkStart w:id="307" w:name="_Toc184314465"/>
      <w:bookmarkEnd w:id="307"/>
      <w:bookmarkStart w:id="308" w:name="_Toc184313279"/>
      <w:bookmarkEnd w:id="308"/>
      <w:bookmarkStart w:id="309" w:name="_Toc184308082"/>
      <w:bookmarkEnd w:id="309"/>
      <w:bookmarkStart w:id="310" w:name="_Toc184310304"/>
      <w:bookmarkEnd w:id="310"/>
      <w:bookmarkStart w:id="311" w:name="_Toc184308066"/>
      <w:bookmarkEnd w:id="311"/>
      <w:bookmarkStart w:id="312" w:name="_Toc184308093"/>
      <w:bookmarkEnd w:id="312"/>
      <w:bookmarkStart w:id="313" w:name="_Toc184308074"/>
      <w:bookmarkEnd w:id="313"/>
      <w:bookmarkStart w:id="314" w:name="_Toc184312074"/>
      <w:bookmarkEnd w:id="314"/>
      <w:bookmarkStart w:id="315" w:name="_Toc184312112"/>
      <w:bookmarkEnd w:id="315"/>
      <w:bookmarkStart w:id="316" w:name="_Toc184310341"/>
      <w:bookmarkEnd w:id="316"/>
      <w:bookmarkStart w:id="317" w:name="_Toc184310288"/>
      <w:bookmarkEnd w:id="317"/>
      <w:bookmarkStart w:id="318" w:name="_Toc184313256"/>
      <w:bookmarkEnd w:id="318"/>
      <w:bookmarkStart w:id="319" w:name="_Toc184308086"/>
      <w:bookmarkEnd w:id="319"/>
      <w:bookmarkStart w:id="320" w:name="_Toc184308040"/>
      <w:bookmarkEnd w:id="320"/>
      <w:bookmarkStart w:id="321" w:name="_Toc184310299"/>
      <w:bookmarkEnd w:id="321"/>
      <w:bookmarkStart w:id="322" w:name="_Toc184313267"/>
      <w:bookmarkEnd w:id="322"/>
      <w:bookmarkStart w:id="323" w:name="_Toc184310292"/>
      <w:bookmarkEnd w:id="323"/>
      <w:bookmarkStart w:id="324" w:name="_Toc184313276"/>
      <w:bookmarkEnd w:id="324"/>
      <w:bookmarkStart w:id="325" w:name="_Toc184308105"/>
      <w:bookmarkEnd w:id="325"/>
      <w:bookmarkStart w:id="326" w:name="_Toc184310286"/>
      <w:bookmarkEnd w:id="326"/>
      <w:bookmarkStart w:id="327" w:name="_Toc184308050"/>
      <w:bookmarkEnd w:id="327"/>
      <w:bookmarkStart w:id="328" w:name="_Toc184308041"/>
      <w:bookmarkEnd w:id="328"/>
      <w:bookmarkStart w:id="329" w:name="_Toc184313308"/>
      <w:bookmarkEnd w:id="329"/>
      <w:bookmarkStart w:id="330" w:name="_Toc184310331"/>
      <w:bookmarkEnd w:id="330"/>
      <w:bookmarkStart w:id="331" w:name="_Toc184308088"/>
      <w:bookmarkEnd w:id="331"/>
      <w:bookmarkStart w:id="332" w:name="_Toc184308045"/>
      <w:bookmarkEnd w:id="332"/>
      <w:bookmarkStart w:id="333" w:name="_Toc184310332"/>
      <w:bookmarkEnd w:id="333"/>
      <w:bookmarkStart w:id="334" w:name="_Toc184308055"/>
      <w:bookmarkEnd w:id="334"/>
      <w:bookmarkStart w:id="335" w:name="_Toc184312136"/>
      <w:bookmarkEnd w:id="335"/>
      <w:bookmarkStart w:id="336" w:name="_Toc184312091"/>
      <w:bookmarkEnd w:id="336"/>
      <w:bookmarkStart w:id="337" w:name="_Toc184310274"/>
      <w:bookmarkEnd w:id="337"/>
      <w:bookmarkStart w:id="338" w:name="_Toc184313298"/>
      <w:bookmarkEnd w:id="338"/>
      <w:bookmarkStart w:id="339" w:name="_Toc184314445"/>
      <w:bookmarkEnd w:id="339"/>
      <w:bookmarkStart w:id="340" w:name="_Toc184308089"/>
      <w:bookmarkEnd w:id="340"/>
      <w:bookmarkStart w:id="341" w:name="_Toc184308062"/>
      <w:bookmarkEnd w:id="341"/>
      <w:bookmarkStart w:id="342" w:name="_Toc184314470"/>
      <w:bookmarkEnd w:id="342"/>
      <w:bookmarkStart w:id="343" w:name="_Toc184312083"/>
      <w:bookmarkEnd w:id="343"/>
      <w:bookmarkStart w:id="344" w:name="_Toc184314467"/>
      <w:bookmarkEnd w:id="344"/>
      <w:bookmarkStart w:id="345" w:name="_Toc184308042"/>
      <w:bookmarkEnd w:id="345"/>
      <w:bookmarkStart w:id="346" w:name="_Toc184308043"/>
      <w:bookmarkEnd w:id="346"/>
      <w:bookmarkStart w:id="347" w:name="_Toc184313248"/>
      <w:bookmarkEnd w:id="347"/>
      <w:bookmarkStart w:id="348" w:name="_Toc184312115"/>
      <w:bookmarkEnd w:id="348"/>
      <w:bookmarkStart w:id="349" w:name="_Toc184314439"/>
      <w:bookmarkEnd w:id="349"/>
      <w:bookmarkStart w:id="350" w:name="_Toc184308065"/>
      <w:bookmarkEnd w:id="350"/>
      <w:bookmarkStart w:id="351" w:name="_Toc184312123"/>
      <w:bookmarkEnd w:id="351"/>
      <w:bookmarkStart w:id="352" w:name="_Toc184312126"/>
      <w:bookmarkEnd w:id="352"/>
      <w:bookmarkStart w:id="353" w:name="_Toc184314463"/>
      <w:bookmarkEnd w:id="353"/>
      <w:bookmarkStart w:id="354" w:name="_Toc184313242"/>
      <w:bookmarkEnd w:id="354"/>
      <w:bookmarkStart w:id="355" w:name="_Toc184312097"/>
      <w:bookmarkEnd w:id="355"/>
      <w:bookmarkStart w:id="356" w:name="_Toc184313241"/>
      <w:bookmarkEnd w:id="356"/>
      <w:bookmarkStart w:id="357" w:name="_Toc184313257"/>
      <w:bookmarkEnd w:id="357"/>
      <w:bookmarkStart w:id="358" w:name="_Toc184312122"/>
      <w:bookmarkEnd w:id="358"/>
      <w:bookmarkStart w:id="359" w:name="_Toc184312134"/>
      <w:bookmarkEnd w:id="359"/>
      <w:bookmarkStart w:id="360" w:name="_Toc184314438"/>
      <w:bookmarkEnd w:id="360"/>
      <w:bookmarkStart w:id="361" w:name="_Toc184312095"/>
      <w:bookmarkEnd w:id="361"/>
      <w:bookmarkStart w:id="362" w:name="_Toc184314473"/>
      <w:bookmarkEnd w:id="362"/>
      <w:bookmarkStart w:id="363" w:name="_Toc184313275"/>
      <w:bookmarkEnd w:id="363"/>
      <w:bookmarkStart w:id="364" w:name="_Toc184314466"/>
      <w:bookmarkEnd w:id="364"/>
      <w:bookmarkStart w:id="365" w:name="_Toc184313310"/>
      <w:bookmarkEnd w:id="365"/>
      <w:bookmarkStart w:id="366" w:name="_Toc184310338"/>
      <w:bookmarkEnd w:id="366"/>
      <w:bookmarkStart w:id="367" w:name="_Toc184313291"/>
      <w:bookmarkEnd w:id="367"/>
      <w:bookmarkStart w:id="368" w:name="_Toc184310282"/>
      <w:bookmarkEnd w:id="368"/>
      <w:bookmarkStart w:id="369" w:name="_Toc184313271"/>
      <w:bookmarkEnd w:id="369"/>
      <w:bookmarkStart w:id="370" w:name="_Toc184308108"/>
      <w:bookmarkEnd w:id="370"/>
      <w:bookmarkStart w:id="371" w:name="_Toc184310275"/>
      <w:bookmarkEnd w:id="371"/>
      <w:bookmarkStart w:id="372" w:name="_Toc184308046"/>
      <w:bookmarkEnd w:id="372"/>
      <w:bookmarkStart w:id="373" w:name="_Toc184308107"/>
      <w:bookmarkEnd w:id="373"/>
      <w:bookmarkStart w:id="374" w:name="_Toc184314437"/>
      <w:bookmarkEnd w:id="374"/>
      <w:bookmarkStart w:id="375" w:name="_Toc184312138"/>
      <w:bookmarkEnd w:id="375"/>
      <w:bookmarkStart w:id="376" w:name="_Toc184314481"/>
      <w:bookmarkEnd w:id="376"/>
      <w:bookmarkStart w:id="377" w:name="_Toc184312077"/>
      <w:bookmarkEnd w:id="377"/>
      <w:bookmarkStart w:id="378" w:name="_Toc184308080"/>
      <w:bookmarkEnd w:id="378"/>
      <w:bookmarkStart w:id="379" w:name="_Toc184310307"/>
      <w:bookmarkEnd w:id="379"/>
      <w:bookmarkStart w:id="380" w:name="_Toc184308060"/>
      <w:bookmarkEnd w:id="380"/>
      <w:bookmarkStart w:id="381" w:name="_Toc184314461"/>
      <w:bookmarkEnd w:id="381"/>
      <w:bookmarkStart w:id="382" w:name="_Toc184308063"/>
      <w:bookmarkEnd w:id="382"/>
      <w:bookmarkStart w:id="383" w:name="_Toc184313295"/>
      <w:bookmarkEnd w:id="383"/>
      <w:bookmarkStart w:id="384" w:name="_Toc184308037"/>
      <w:bookmarkEnd w:id="384"/>
      <w:bookmarkStart w:id="385" w:name="_Toc184314443"/>
      <w:bookmarkEnd w:id="385"/>
      <w:bookmarkStart w:id="386" w:name="_Toc184313309"/>
      <w:bookmarkEnd w:id="386"/>
      <w:bookmarkStart w:id="387" w:name="_Toc184312125"/>
      <w:bookmarkEnd w:id="387"/>
      <w:bookmarkStart w:id="388" w:name="_Toc184314435"/>
      <w:bookmarkEnd w:id="388"/>
      <w:bookmarkStart w:id="389" w:name="_Toc184308058"/>
      <w:bookmarkEnd w:id="389"/>
      <w:r>
        <w:rPr>
          <w:rFonts w:hint="eastAsia" w:ascii="仿宋" w:hAnsi="仿宋" w:eastAsia="仿宋" w:cs="仿宋"/>
          <w:b/>
          <w:color w:val="auto"/>
          <w:sz w:val="36"/>
          <w:szCs w:val="36"/>
        </w:rPr>
        <w:t>评标办法</w:t>
      </w:r>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5"/>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207"/>
        <w:gridCol w:w="531"/>
        <w:gridCol w:w="96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952"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评标标准</w:t>
            </w:r>
          </w:p>
        </w:tc>
        <w:tc>
          <w:tcPr>
            <w:tcW w:w="301"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权重</w:t>
            </w:r>
          </w:p>
        </w:tc>
        <w:tc>
          <w:tcPr>
            <w:tcW w:w="547" w:type="pct"/>
            <w:vAlign w:val="center"/>
          </w:tcPr>
          <w:p>
            <w:pPr>
              <w:snapToGrid w:val="0"/>
              <w:spacing w:line="240" w:lineRule="auto"/>
              <w:jc w:val="center"/>
              <w:rPr>
                <w:rFonts w:hint="eastAsia" w:ascii="仿宋" w:hAnsi="仿宋" w:eastAsia="仿宋" w:cs="仿宋"/>
                <w:bCs/>
                <w:color w:val="auto"/>
                <w:sz w:val="24"/>
              </w:rPr>
            </w:pPr>
            <w:r>
              <w:rPr>
                <w:rFonts w:hint="eastAsia" w:ascii="仿宋" w:hAnsi="仿宋" w:eastAsia="仿宋" w:cs="仿宋"/>
                <w:bCs/>
                <w:color w:val="auto"/>
                <w:sz w:val="24"/>
              </w:rPr>
              <w:t>主观分/客观分属性</w:t>
            </w:r>
          </w:p>
        </w:tc>
        <w:tc>
          <w:tcPr>
            <w:tcW w:w="778"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b/>
                <w:color w:val="auto"/>
                <w:sz w:val="24"/>
              </w:rPr>
              <w:t>1</w:t>
            </w:r>
          </w:p>
        </w:tc>
        <w:tc>
          <w:tcPr>
            <w:tcW w:w="4579" w:type="pct"/>
            <w:gridSpan w:val="4"/>
            <w:vAlign w:val="center"/>
          </w:tcPr>
          <w:p>
            <w:pPr>
              <w:snapToGrid w:val="0"/>
              <w:spacing w:line="240" w:lineRule="auto"/>
              <w:jc w:val="left"/>
              <w:rPr>
                <w:rFonts w:hint="eastAsia" w:ascii="仿宋" w:hAnsi="仿宋" w:eastAsia="仿宋" w:cs="仿宋"/>
                <w:color w:val="auto"/>
                <w:sz w:val="24"/>
              </w:rPr>
            </w:pPr>
            <w:r>
              <w:rPr>
                <w:rFonts w:hint="eastAsia" w:ascii="仿宋" w:hAnsi="仿宋" w:eastAsia="仿宋" w:cs="仿宋"/>
                <w:b/>
                <w:color w:val="auto"/>
                <w:kern w:val="0"/>
                <w:sz w:val="24"/>
              </w:rPr>
              <w:t>投标人资信能力评价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2952" w:type="pct"/>
            <w:vAlign w:val="center"/>
          </w:tcPr>
          <w:p>
            <w:pPr>
              <w:snapToGrid w:val="0"/>
              <w:spacing w:line="240" w:lineRule="auto"/>
              <w:rPr>
                <w:rFonts w:hint="eastAsia" w:ascii="仿宋" w:hAnsi="仿宋" w:eastAsia="仿宋" w:cs="仿宋"/>
                <w:color w:val="auto"/>
                <w:szCs w:val="21"/>
              </w:rPr>
            </w:pPr>
            <w:r>
              <w:rPr>
                <w:rFonts w:hint="eastAsia" w:ascii="仿宋" w:hAnsi="仿宋" w:eastAsia="仿宋" w:cs="仿宋"/>
                <w:color w:val="auto"/>
                <w:szCs w:val="21"/>
              </w:rPr>
              <w:t>投标人自2017年1月1日（含）以来（合同签署时间为准），承担过类似项目案例，提供一个案例得0.5分，最多得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w:t>
            </w:r>
          </w:p>
          <w:p>
            <w:pPr>
              <w:snapToGrid w:val="0"/>
              <w:spacing w:line="24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说明：①不限特定行业、特定区域、特定金额；②类似项目系指信息化项目监理服务；③业绩证明材料需提供合复印件或扫描件。</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客观分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1.2</w:t>
            </w:r>
          </w:p>
        </w:tc>
        <w:tc>
          <w:tcPr>
            <w:tcW w:w="2952" w:type="pct"/>
            <w:vAlign w:val="center"/>
          </w:tcPr>
          <w:p>
            <w:pPr>
              <w:snapToGrid w:val="0"/>
              <w:spacing w:line="240" w:lineRule="auto"/>
              <w:rPr>
                <w:rFonts w:hint="eastAsia" w:ascii="仿宋" w:hAnsi="仿宋" w:eastAsia="仿宋" w:cs="仿宋"/>
                <w:color w:val="auto"/>
                <w:szCs w:val="21"/>
              </w:rPr>
            </w:pPr>
            <w:r>
              <w:rPr>
                <w:rFonts w:hint="eastAsia" w:ascii="仿宋" w:hAnsi="仿宋" w:eastAsia="仿宋" w:cs="仿宋"/>
                <w:color w:val="auto"/>
                <w:szCs w:val="21"/>
              </w:rPr>
              <w:t>投标人具有有效的质量管理体系认证证书、环境管理体系认证证书、职业健康安全管理体系认证证书、信息技术服务管理体系认证证书、信息安全（信息系统安全运维）服务资质证书以及信息安全管理体系认证证书的，每提供一项得0.5分，最高得2.5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b/>
                <w:bCs/>
                <w:color w:val="auto"/>
                <w:szCs w:val="21"/>
              </w:rPr>
              <w:t>说明：提供证书复印件或扫描件。</w:t>
            </w:r>
          </w:p>
        </w:tc>
        <w:tc>
          <w:tcPr>
            <w:tcW w:w="301"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2.5</w:t>
            </w:r>
          </w:p>
        </w:tc>
        <w:tc>
          <w:tcPr>
            <w:tcW w:w="547" w:type="pct"/>
            <w:vAlign w:val="center"/>
          </w:tcPr>
          <w:p>
            <w:pPr>
              <w:snapToGrid w:val="0"/>
              <w:spacing w:line="240" w:lineRule="auto"/>
              <w:jc w:val="center"/>
              <w:rPr>
                <w:rFonts w:hint="eastAsia" w:ascii="仿宋" w:hAnsi="仿宋" w:eastAsia="仿宋" w:cs="仿宋"/>
                <w:bCs/>
                <w:color w:val="auto"/>
                <w:szCs w:val="21"/>
              </w:rPr>
            </w:pPr>
            <w:r>
              <w:rPr>
                <w:rFonts w:hint="eastAsia" w:ascii="仿宋" w:hAnsi="仿宋" w:eastAsia="仿宋" w:cs="仿宋"/>
                <w:bCs/>
                <w:color w:val="auto"/>
                <w:szCs w:val="21"/>
              </w:rPr>
              <w:t>客观分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b/>
                <w:bCs/>
                <w:color w:val="auto"/>
                <w:sz w:val="24"/>
              </w:rPr>
              <w:t>2</w:t>
            </w:r>
          </w:p>
        </w:tc>
        <w:tc>
          <w:tcPr>
            <w:tcW w:w="4579" w:type="pct"/>
            <w:gridSpan w:val="4"/>
            <w:vAlign w:val="center"/>
          </w:tcPr>
          <w:p>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2.1</w:t>
            </w:r>
          </w:p>
        </w:tc>
        <w:tc>
          <w:tcPr>
            <w:tcW w:w="4579" w:type="pct"/>
            <w:gridSpan w:val="4"/>
            <w:vAlign w:val="center"/>
          </w:tcPr>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项目质量控制方案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420" w:type="pct"/>
            <w:vAlign w:val="center"/>
          </w:tcPr>
          <w:p>
            <w:pPr>
              <w:snapToGrid w:val="0"/>
              <w:spacing w:line="24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2.1.1</w:t>
            </w:r>
          </w:p>
        </w:tc>
        <w:tc>
          <w:tcPr>
            <w:tcW w:w="2952" w:type="pct"/>
            <w:vAlign w:val="center"/>
          </w:tcPr>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前端施工质量的控制相关工作方案，根据提供的方案内容的完整性、与项目的匹配性进行评分。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3分；方案部分内容有欠缺、基本合理可行的得2分；方案部分不全面或合理可行性有部分欠缺的得1分；方案不全面或合理可行性有欠缺的得0.5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2.1.2</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后端存储升级扩容服务质量的控制相关工作方案，根据提供的方案内容的完整性、与项目的匹配性进行评分。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420" w:type="pct"/>
            <w:vAlign w:val="center"/>
          </w:tcPr>
          <w:p>
            <w:pPr>
              <w:snapToGrid w:val="0"/>
              <w:spacing w:line="24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rPr>
              <w:t>2.1.3</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后端算法能力扩容服务质量的控制相关工作方案，根据提供的方案内容的完整性、与项目的匹配性进行评分。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2.2</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项目进度控制相关工作方案，根据提供的方案内容的完整性、与项目的匹配性进行评分。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2.3</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项目投资控制相关工作方案，根据提供的方案内容的完整性、与项目的匹配性进行评分。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2.4</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项目变更控制相关工作方案，具有软件造价评估服务能力的证明材料，根据提供的方案内容的完整性、与项目的匹配性进行评分。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2.5</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项目合同管理相关工作方案，根据提供的方案内容的完整性、与项目的匹配性进行评分。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2.6</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信息管理</w:t>
            </w:r>
            <w:r>
              <w:rPr>
                <w:rFonts w:ascii="仿宋" w:hAnsi="仿宋" w:eastAsia="仿宋" w:cs="仿宋"/>
                <w:color w:val="auto"/>
                <w:szCs w:val="21"/>
              </w:rPr>
              <w:t>/项目文档管理相关工作方案，根据提供的方案内容的完整性、与项目的匹配性进行评分。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2.7</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项目安全的管理相关工作方案，根据提供的方案内容的完整性、与项目的匹配性进行评分。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2.8</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项目建设的协调相关工作方案，根据提供的方案内容的完整性、与项目的匹配性进行评分。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2.9</w:t>
            </w:r>
          </w:p>
        </w:tc>
        <w:tc>
          <w:tcPr>
            <w:tcW w:w="4579" w:type="pct"/>
            <w:gridSpan w:val="4"/>
            <w:vAlign w:val="center"/>
          </w:tcPr>
          <w:p>
            <w:pPr>
              <w:snapToGrid w:val="0"/>
              <w:spacing w:line="24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rPr>
              <w:t>运维监理</w:t>
            </w:r>
            <w:r>
              <w:rPr>
                <w:rFonts w:hint="eastAsia" w:ascii="仿宋" w:hAnsi="仿宋" w:eastAsia="仿宋" w:cs="仿宋"/>
                <w:color w:val="auto"/>
                <w:sz w:val="24"/>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2.9.1</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日常巡检监理相关工作方案，根据提供的方案内容的完整性、与项目的匹配性进行评分。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2.9.2</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故障抢修监理相关工作方案，根据提供的方案内容的完整性、与项目的匹配性进行评分。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2.9.3</w:t>
            </w:r>
          </w:p>
        </w:tc>
        <w:tc>
          <w:tcPr>
            <w:tcW w:w="2952" w:type="pct"/>
            <w:vAlign w:val="center"/>
          </w:tcPr>
          <w:p>
            <w:pPr>
              <w:snapToGrid w:val="0"/>
              <w:spacing w:line="276" w:lineRule="auto"/>
              <w:jc w:val="left"/>
              <w:rPr>
                <w:rFonts w:hint="eastAsia" w:ascii="仿宋" w:hAnsi="仿宋" w:eastAsia="仿宋" w:cs="仿宋"/>
                <w:color w:val="auto"/>
                <w:szCs w:val="21"/>
              </w:rPr>
            </w:pPr>
            <w:r>
              <w:rPr>
                <w:rFonts w:hint="eastAsia" w:ascii="仿宋" w:hAnsi="仿宋" w:eastAsia="仿宋" w:cs="仿宋"/>
                <w:color w:val="auto"/>
                <w:szCs w:val="21"/>
              </w:rPr>
              <w:t>更换设备核实监理相关工作方案，根据提供的方案内容的完整性、与项目的匹配性进行评分。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2.9.4</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日常运行监测监理相关工作方案，根据提供的方案内容的完整性、与项目的匹配性进行评分。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952" w:type="pct"/>
            <w:vAlign w:val="center"/>
          </w:tcPr>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针对本项目技术重点、难点的分析，并提供应对措施，相应的咨询服务。根据全面性、针对性进行评分。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3分；方案部分内容有欠缺、基本合理可行的得2分；方案部分不全面或合理可行性有部分欠缺的得1分；方案不全面或合理可行性有欠缺的得0.5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投标人有完善的管理制度。根据①有完善的管理制度（包括值守人员职责、交接班制度、例会制度等）</w:t>
            </w:r>
            <w:r>
              <w:rPr>
                <w:rFonts w:ascii="仿宋" w:hAnsi="仿宋" w:eastAsia="仿宋" w:cs="仿宋"/>
                <w:color w:val="auto"/>
                <w:szCs w:val="21"/>
              </w:rPr>
              <w:t>;②建立和完善档案管理制度等，体现标准化服务;③建立考核机制；④建立激励机制；⑤建立监督机制；⑥建立自我约束机制；⑦建立及时处理机制；⑧建立管理指标承诺达到管理标准。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b/>
                <w:bCs/>
                <w:color w:val="auto"/>
                <w:sz w:val="24"/>
              </w:rPr>
              <w:t>5</w:t>
            </w:r>
          </w:p>
        </w:tc>
        <w:tc>
          <w:tcPr>
            <w:tcW w:w="4579" w:type="pct"/>
            <w:gridSpan w:val="4"/>
            <w:vAlign w:val="center"/>
          </w:tcPr>
          <w:p>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其他内容的响应情况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5.1</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提供项目测试方案，根据提供的方案内容的完整性、与项目的匹配性进行评分。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5.2</w:t>
            </w:r>
          </w:p>
        </w:tc>
        <w:tc>
          <w:tcPr>
            <w:tcW w:w="2952" w:type="pct"/>
            <w:vAlign w:val="center"/>
          </w:tcPr>
          <w:p>
            <w:pPr>
              <w:snapToGrid w:val="0"/>
              <w:spacing w:line="276" w:lineRule="auto"/>
              <w:jc w:val="left"/>
              <w:rPr>
                <w:rFonts w:ascii="仿宋" w:hAnsi="仿宋" w:eastAsia="仿宋" w:cs="仿宋"/>
                <w:color w:val="auto"/>
                <w:szCs w:val="21"/>
              </w:rPr>
            </w:pPr>
            <w:r>
              <w:rPr>
                <w:rFonts w:hint="eastAsia" w:ascii="仿宋" w:hAnsi="仿宋" w:eastAsia="仿宋" w:cs="仿宋"/>
                <w:color w:val="auto"/>
                <w:szCs w:val="21"/>
              </w:rPr>
              <w:t>审计阶段，能积极配合审计工作，具备协审相关能力，提供有关项目资料，并提供预审计服务及预审计规则，提供相关方案，根据提供的方案内容的完整性、与项目的匹配性进行评分。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ascii="仿宋" w:hAnsi="仿宋" w:eastAsia="仿宋" w:cs="仿宋"/>
                <w:color w:val="auto"/>
                <w:szCs w:val="21"/>
              </w:rPr>
              <w:t>3</w:t>
            </w:r>
            <w:r>
              <w:rPr>
                <w:rFonts w:hint="eastAsia" w:ascii="仿宋" w:hAnsi="仿宋" w:eastAsia="仿宋" w:cs="仿宋"/>
                <w:color w:val="auto"/>
                <w:szCs w:val="21"/>
              </w:rPr>
              <w:t>分；方案部分内容有欠缺、基本合理可行的得</w:t>
            </w:r>
            <w:r>
              <w:rPr>
                <w:rFonts w:ascii="仿宋" w:hAnsi="仿宋" w:eastAsia="仿宋" w:cs="仿宋"/>
                <w:color w:val="auto"/>
                <w:szCs w:val="21"/>
              </w:rPr>
              <w:t>2</w:t>
            </w:r>
            <w:r>
              <w:rPr>
                <w:rFonts w:hint="eastAsia" w:ascii="仿宋" w:hAnsi="仿宋" w:eastAsia="仿宋" w:cs="仿宋"/>
                <w:color w:val="auto"/>
                <w:szCs w:val="21"/>
              </w:rPr>
              <w:t>分；方案部分不全面或合理可行性有部分欠缺的得</w:t>
            </w:r>
            <w:r>
              <w:rPr>
                <w:rFonts w:ascii="仿宋" w:hAnsi="仿宋" w:eastAsia="仿宋" w:cs="仿宋"/>
                <w:color w:val="auto"/>
                <w:szCs w:val="21"/>
              </w:rPr>
              <w:t>1</w:t>
            </w:r>
            <w:r>
              <w:rPr>
                <w:rFonts w:hint="eastAsia" w:ascii="仿宋" w:hAnsi="仿宋" w:eastAsia="仿宋" w:cs="仿宋"/>
                <w:color w:val="auto"/>
                <w:szCs w:val="21"/>
              </w:rPr>
              <w:t>分；方案不全面或合理可行性有欠缺的得</w:t>
            </w:r>
            <w:r>
              <w:rPr>
                <w:rFonts w:ascii="仿宋" w:hAnsi="仿宋" w:eastAsia="仿宋" w:cs="仿宋"/>
                <w:color w:val="auto"/>
                <w:szCs w:val="21"/>
              </w:rPr>
              <w:t>0.5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5.3</w:t>
            </w:r>
          </w:p>
        </w:tc>
        <w:tc>
          <w:tcPr>
            <w:tcW w:w="2952" w:type="pct"/>
            <w:vAlign w:val="center"/>
          </w:tcPr>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提供</w:t>
            </w:r>
            <w:r>
              <w:rPr>
                <w:rFonts w:hint="eastAsia" w:ascii="仿宋" w:hAnsi="仿宋" w:eastAsia="仿宋" w:cs="仿宋"/>
                <w:color w:val="auto"/>
                <w:szCs w:val="21"/>
                <w:lang w:val="en-US" w:eastAsia="zh-CN"/>
              </w:rPr>
              <w:t>针对本项目符合</w:t>
            </w:r>
            <w:r>
              <w:rPr>
                <w:rFonts w:hint="eastAsia" w:ascii="仿宋" w:hAnsi="仿宋" w:eastAsia="仿宋" w:cs="仿宋"/>
                <w:color w:val="auto"/>
                <w:szCs w:val="21"/>
              </w:rPr>
              <w:t>数据安全要求的项目管理软件，并实现以下五大功能：</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1）项目质量控制：对于外场施工点位，能结合地图显示所有点位信息，展示点位施工的进度，并能针对不同的工序，提供标准的、图文结合的旁站监理单点资料。</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2）项目进度控制：能设定并查看项目里程碑、进度，并能回溯项目进度延期及审批相关情况。</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3）项目合同管理：能设定明确的合同审核流程并能实时展现流转进度。并能对合同的主要信息进行展示。</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4）项目文档管理：能设定在不同阶段需要上传的文档类型及其周期性和必要性，并能对文档完成度和及时性情况进行展示。</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5）数据及应用支持：能支持采购人在公安视频专网系统中顺畅对接使用以上四个功能，确保项目资料及时准确，使建设全过程能可视化管理，为后续运维工作系统化管理提供支撑。</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以上功能每具备一项得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分（提供软件等保备案证书、PC端和手机端的软件截图以及该功能的软件流程图，缺一不得分），最高得</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客观分</w:t>
            </w:r>
          </w:p>
        </w:tc>
        <w:tc>
          <w:tcPr>
            <w:tcW w:w="778" w:type="pct"/>
            <w:vAlign w:val="center"/>
          </w:tcPr>
          <w:p>
            <w:pPr>
              <w:snapToGrid w:val="0"/>
              <w:spacing w:line="240" w:lineRule="auto"/>
              <w:jc w:val="center"/>
              <w:rPr>
                <w:rFonts w:hint="eastAsia" w:ascii="仿宋" w:hAnsi="仿宋" w:eastAsia="仿宋" w:cs="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5.4</w:t>
            </w:r>
          </w:p>
        </w:tc>
        <w:tc>
          <w:tcPr>
            <w:tcW w:w="2952" w:type="pct"/>
            <w:vAlign w:val="center"/>
          </w:tcPr>
          <w:p>
            <w:pPr>
              <w:snapToGrid w:val="0"/>
              <w:spacing w:line="240" w:lineRule="auto"/>
              <w:rPr>
                <w:rFonts w:hint="eastAsia" w:ascii="仿宋" w:hAnsi="仿宋" w:eastAsia="仿宋" w:cs="仿宋"/>
                <w:color w:val="auto"/>
                <w:szCs w:val="21"/>
              </w:rPr>
            </w:pPr>
            <w:r>
              <w:rPr>
                <w:rFonts w:hint="eastAsia" w:ascii="仿宋" w:hAnsi="仿宋" w:eastAsia="仿宋" w:cs="仿宋"/>
                <w:color w:val="auto"/>
                <w:szCs w:val="21"/>
              </w:rPr>
              <w:t>由监理团队成员对监理方案进行讲解（不超过2人回答，其中1人必须为项目负责人），讲解及软件演示时间控制在10分钟以内。</w:t>
            </w:r>
          </w:p>
          <w:p>
            <w:pPr>
              <w:snapToGrid w:val="0"/>
              <w:spacing w:line="240" w:lineRule="auto"/>
              <w:rPr>
                <w:rFonts w:hint="eastAsia" w:ascii="仿宋" w:hAnsi="仿宋" w:eastAsia="仿宋" w:cs="仿宋"/>
                <w:color w:val="auto"/>
                <w:szCs w:val="21"/>
              </w:rPr>
            </w:pPr>
            <w:r>
              <w:rPr>
                <w:rFonts w:hint="eastAsia" w:ascii="仿宋" w:hAnsi="仿宋" w:eastAsia="仿宋" w:cs="仿宋"/>
                <w:color w:val="auto"/>
                <w:szCs w:val="21"/>
              </w:rPr>
              <w:t>1）简要叙述</w:t>
            </w:r>
            <w:r>
              <w:rPr>
                <w:rFonts w:hint="eastAsia" w:ascii="仿宋" w:hAnsi="仿宋" w:eastAsia="仿宋" w:cs="仿宋"/>
                <w:color w:val="auto"/>
                <w:szCs w:val="21"/>
                <w:lang w:val="en-US" w:eastAsia="zh-CN"/>
              </w:rPr>
              <w:t>新信息化监理</w:t>
            </w:r>
            <w:r>
              <w:rPr>
                <w:rFonts w:hint="eastAsia" w:ascii="仿宋" w:hAnsi="仿宋" w:eastAsia="仿宋" w:cs="仿宋"/>
                <w:color w:val="auto"/>
                <w:szCs w:val="21"/>
              </w:rPr>
              <w:t>项目的公司经验、个人经验及对</w:t>
            </w:r>
            <w:r>
              <w:rPr>
                <w:rFonts w:hint="eastAsia" w:ascii="仿宋" w:hAnsi="仿宋" w:eastAsia="仿宋" w:cs="仿宋"/>
                <w:color w:val="auto"/>
                <w:szCs w:val="21"/>
                <w:lang w:val="en-US" w:eastAsia="zh-CN"/>
              </w:rPr>
              <w:t>本项目</w:t>
            </w:r>
            <w:r>
              <w:rPr>
                <w:rFonts w:hint="eastAsia" w:ascii="仿宋" w:hAnsi="仿宋" w:eastAsia="仿宋" w:cs="仿宋"/>
                <w:color w:val="auto"/>
                <w:szCs w:val="21"/>
              </w:rPr>
              <w:t>特性服务的理解、企业社会责任，及重大或疑难问题方面成功经历，符合项目且详实全面的得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分，部分符合的得1分，不符合的不得分。</w:t>
            </w:r>
          </w:p>
          <w:p>
            <w:pPr>
              <w:snapToGrid w:val="0"/>
              <w:spacing w:line="240" w:lineRule="auto"/>
              <w:rPr>
                <w:rFonts w:hint="eastAsia" w:ascii="仿宋" w:hAnsi="仿宋" w:eastAsia="仿宋" w:cs="仿宋"/>
                <w:color w:val="auto"/>
                <w:szCs w:val="21"/>
              </w:rPr>
            </w:pPr>
            <w:r>
              <w:rPr>
                <w:rFonts w:hint="eastAsia" w:ascii="仿宋" w:hAnsi="仿宋" w:eastAsia="仿宋" w:cs="仿宋"/>
                <w:color w:val="auto"/>
                <w:szCs w:val="21"/>
              </w:rPr>
              <w:t>2）简要说明对本项目的理解、工作思路、关键和难点预判及其对策，以及对本公司投标方案的补充说明或认识，符合项目且详实全面的得2分，部分符合的得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分，不符合的不得分。</w:t>
            </w:r>
          </w:p>
          <w:p>
            <w:pPr>
              <w:snapToGrid w:val="0"/>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3）演示如何使用本公司项目管理系统实现对项目的信息化管理，</w:t>
            </w:r>
            <w:r>
              <w:rPr>
                <w:rFonts w:hint="eastAsia" w:ascii="仿宋" w:hAnsi="仿宋" w:eastAsia="仿宋" w:cs="仿宋"/>
                <w:color w:val="auto"/>
                <w:szCs w:val="21"/>
                <w:lang w:val="en-US" w:eastAsia="zh-CN"/>
              </w:rPr>
              <w:t>演示</w:t>
            </w:r>
            <w:r>
              <w:rPr>
                <w:rFonts w:hint="eastAsia" w:ascii="仿宋" w:hAnsi="仿宋" w:eastAsia="仿宋" w:cs="仿宋"/>
                <w:color w:val="auto"/>
                <w:szCs w:val="21"/>
              </w:rPr>
              <w:t>情况是否全面、科学、合理 ，符合项目且详实全面的得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分，部分符合的得1分，不符合的不得分。</w:t>
            </w:r>
          </w:p>
        </w:tc>
        <w:tc>
          <w:tcPr>
            <w:tcW w:w="301" w:type="pct"/>
            <w:vAlign w:val="center"/>
          </w:tcPr>
          <w:p>
            <w:pPr>
              <w:snapToGrid w:val="0"/>
              <w:spacing w:line="24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b/>
                <w:bCs/>
                <w:color w:val="auto"/>
                <w:sz w:val="24"/>
              </w:rPr>
              <w:t>6</w:t>
            </w:r>
          </w:p>
        </w:tc>
        <w:tc>
          <w:tcPr>
            <w:tcW w:w="4579" w:type="pct"/>
            <w:gridSpan w:val="4"/>
            <w:vAlign w:val="center"/>
          </w:tcPr>
          <w:p>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人员响应情况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6.1</w:t>
            </w:r>
          </w:p>
        </w:tc>
        <w:tc>
          <w:tcPr>
            <w:tcW w:w="2952" w:type="pct"/>
            <w:vAlign w:val="center"/>
          </w:tcPr>
          <w:p>
            <w:pPr>
              <w:snapToGrid w:val="0"/>
              <w:spacing w:line="240" w:lineRule="auto"/>
              <w:rPr>
                <w:rFonts w:hint="eastAsia" w:ascii="仿宋" w:hAnsi="仿宋" w:eastAsia="仿宋" w:cs="仿宋"/>
                <w:bCs/>
                <w:color w:val="auto"/>
                <w:szCs w:val="21"/>
                <w:lang w:eastAsia="zh-CN"/>
              </w:rPr>
            </w:pPr>
            <w:r>
              <w:rPr>
                <w:rFonts w:hint="eastAsia" w:ascii="仿宋" w:hAnsi="仿宋" w:eastAsia="仿宋" w:cs="仿宋"/>
                <w:b/>
                <w:color w:val="auto"/>
                <w:szCs w:val="21"/>
              </w:rPr>
              <w:t>项目负责人：</w:t>
            </w:r>
            <w:r>
              <w:rPr>
                <w:rFonts w:hint="eastAsia" w:ascii="仿宋" w:hAnsi="仿宋" w:eastAsia="仿宋" w:cs="仿宋"/>
                <w:bCs/>
                <w:color w:val="auto"/>
                <w:szCs w:val="21"/>
              </w:rPr>
              <w:t>拟派总监理工程师同时具有人力资源和社会保障部门颁发的信息系统监理师及信息系统项目管理师（高级）证书</w:t>
            </w:r>
            <w:r>
              <w:rPr>
                <w:rFonts w:hint="eastAsia" w:ascii="仿宋" w:hAnsi="仿宋" w:eastAsia="仿宋" w:cs="仿宋"/>
                <w:bCs/>
                <w:color w:val="auto"/>
                <w:szCs w:val="21"/>
                <w:lang w:eastAsia="zh-CN"/>
              </w:rPr>
              <w:t>，</w:t>
            </w:r>
          </w:p>
          <w:p>
            <w:pPr>
              <w:snapToGrid w:val="0"/>
              <w:spacing w:line="240" w:lineRule="auto"/>
              <w:rPr>
                <w:rFonts w:hint="eastAsia" w:ascii="仿宋" w:hAnsi="仿宋" w:eastAsia="仿宋" w:cs="仿宋"/>
                <w:bCs/>
                <w:color w:val="auto"/>
                <w:szCs w:val="21"/>
              </w:rPr>
            </w:pPr>
            <w:r>
              <w:rPr>
                <w:rFonts w:hint="eastAsia" w:ascii="仿宋" w:hAnsi="仿宋" w:eastAsia="仿宋" w:cs="仿宋"/>
                <w:bCs/>
                <w:color w:val="auto"/>
                <w:szCs w:val="21"/>
              </w:rPr>
              <w:t>在上述基础上具有:1）注册咨询工程师（电子、信息工程）证书、</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）系统规划与管理师（高级）证书、</w:t>
            </w:r>
            <w:r>
              <w:rPr>
                <w:rFonts w:hint="eastAsia" w:ascii="仿宋" w:hAnsi="仿宋" w:eastAsia="仿宋" w:cs="仿宋"/>
                <w:bCs/>
                <w:color w:val="auto"/>
                <w:szCs w:val="21"/>
                <w:lang w:val="en-US" w:eastAsia="zh-CN"/>
              </w:rPr>
              <w:t>3</w:t>
            </w:r>
            <w:r>
              <w:rPr>
                <w:rFonts w:hint="eastAsia" w:ascii="仿宋" w:hAnsi="仿宋" w:eastAsia="仿宋" w:cs="仿宋"/>
                <w:bCs/>
                <w:color w:val="auto"/>
                <w:szCs w:val="21"/>
              </w:rPr>
              <w:t>）高级工程师（安全技术防范专业</w:t>
            </w:r>
            <w:r>
              <w:rPr>
                <w:rFonts w:hint="eastAsia" w:ascii="仿宋" w:hAnsi="仿宋" w:eastAsia="仿宋" w:cs="仿宋"/>
                <w:bCs/>
                <w:color w:val="auto"/>
                <w:szCs w:val="21"/>
                <w:lang w:val="en-US" w:eastAsia="zh-CN"/>
              </w:rPr>
              <w:t>或信息类</w:t>
            </w:r>
            <w:r>
              <w:rPr>
                <w:rFonts w:hint="eastAsia" w:ascii="仿宋" w:hAnsi="仿宋" w:eastAsia="仿宋" w:cs="仿宋"/>
                <w:bCs/>
                <w:color w:val="auto"/>
                <w:szCs w:val="21"/>
              </w:rPr>
              <w:t>）职称证书的每项得</w:t>
            </w: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分，最多得</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b/>
                <w:color w:val="auto"/>
                <w:szCs w:val="21"/>
              </w:rPr>
              <w:t>说明：需提供资质证书及在供应商单位近三个月内社保证明扫描件。</w:t>
            </w:r>
          </w:p>
        </w:tc>
        <w:tc>
          <w:tcPr>
            <w:tcW w:w="301"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客观分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6.2</w:t>
            </w:r>
          </w:p>
        </w:tc>
        <w:tc>
          <w:tcPr>
            <w:tcW w:w="2952" w:type="pct"/>
            <w:vAlign w:val="center"/>
          </w:tcPr>
          <w:p>
            <w:pPr>
              <w:snapToGrid w:val="0"/>
              <w:spacing w:line="240" w:lineRule="auto"/>
              <w:rPr>
                <w:rFonts w:hint="eastAsia" w:ascii="仿宋" w:hAnsi="仿宋" w:eastAsia="仿宋" w:cs="仿宋"/>
                <w:bCs/>
                <w:color w:val="auto"/>
                <w:szCs w:val="21"/>
                <w:lang w:eastAsia="zh-CN"/>
              </w:rPr>
            </w:pPr>
            <w:r>
              <w:rPr>
                <w:rFonts w:hint="eastAsia" w:ascii="仿宋" w:hAnsi="仿宋" w:eastAsia="仿宋" w:cs="仿宋"/>
                <w:b/>
                <w:color w:val="auto"/>
                <w:szCs w:val="21"/>
              </w:rPr>
              <w:t>驻场负责人：</w:t>
            </w:r>
            <w:r>
              <w:rPr>
                <w:rFonts w:hint="eastAsia" w:ascii="仿宋" w:hAnsi="仿宋" w:eastAsia="仿宋" w:cs="仿宋"/>
                <w:bCs/>
                <w:color w:val="auto"/>
                <w:szCs w:val="21"/>
              </w:rPr>
              <w:t>拟派驻场负责人具有人力资源和社会保障部门颁发的信息系统监理师证书</w:t>
            </w:r>
            <w:r>
              <w:rPr>
                <w:rFonts w:hint="eastAsia" w:ascii="仿宋" w:hAnsi="仿宋" w:eastAsia="仿宋" w:cs="仿宋"/>
                <w:bCs/>
                <w:color w:val="auto"/>
                <w:szCs w:val="21"/>
                <w:lang w:eastAsia="zh-CN"/>
              </w:rPr>
              <w:t>，</w:t>
            </w:r>
          </w:p>
          <w:p>
            <w:pPr>
              <w:snapToGrid w:val="0"/>
              <w:spacing w:line="240" w:lineRule="auto"/>
              <w:rPr>
                <w:rFonts w:hint="eastAsia" w:ascii="仿宋" w:hAnsi="仿宋" w:eastAsia="仿宋" w:cs="仿宋"/>
                <w:bCs/>
                <w:color w:val="auto"/>
                <w:szCs w:val="21"/>
              </w:rPr>
            </w:pPr>
            <w:r>
              <w:rPr>
                <w:rFonts w:hint="eastAsia" w:ascii="仿宋" w:hAnsi="仿宋" w:eastAsia="仿宋" w:cs="仿宋"/>
                <w:bCs/>
                <w:color w:val="auto"/>
                <w:szCs w:val="21"/>
              </w:rPr>
              <w:t>在上述基础上具有：1）信息系统项目管理师证书（高级）、</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网络工程师证书、</w:t>
            </w:r>
            <w:r>
              <w:rPr>
                <w:rFonts w:hint="eastAsia" w:ascii="仿宋" w:hAnsi="仿宋" w:eastAsia="仿宋" w:cs="仿宋"/>
                <w:bCs/>
                <w:color w:val="auto"/>
                <w:szCs w:val="21"/>
                <w:lang w:val="en-US" w:eastAsia="zh-CN"/>
              </w:rPr>
              <w:t>3</w:t>
            </w:r>
            <w:r>
              <w:rPr>
                <w:rFonts w:hint="eastAsia" w:ascii="仿宋" w:hAnsi="仿宋" w:eastAsia="仿宋" w:cs="仿宋"/>
                <w:bCs/>
                <w:color w:val="auto"/>
                <w:szCs w:val="21"/>
              </w:rPr>
              <w:t>）系统集成项目管理工程师证书</w:t>
            </w:r>
            <w:r>
              <w:rPr>
                <w:rFonts w:hint="eastAsia" w:ascii="仿宋" w:hAnsi="仿宋" w:eastAsia="仿宋" w:cs="仿宋"/>
                <w:bCs/>
                <w:color w:val="auto"/>
                <w:szCs w:val="21"/>
                <w:lang w:eastAsia="zh-CN"/>
              </w:rPr>
              <w:t>、</w:t>
            </w:r>
            <w:r>
              <w:rPr>
                <w:rFonts w:hint="eastAsia" w:ascii="仿宋" w:hAnsi="仿宋" w:eastAsia="仿宋" w:cs="仿宋"/>
                <w:bCs/>
                <w:color w:val="auto"/>
                <w:szCs w:val="21"/>
                <w:lang w:val="en-US" w:eastAsia="zh-CN"/>
              </w:rPr>
              <w:t>4</w:t>
            </w:r>
            <w:r>
              <w:rPr>
                <w:rFonts w:hint="eastAsia" w:ascii="仿宋" w:hAnsi="仿宋" w:eastAsia="仿宋" w:cs="仿宋"/>
                <w:bCs/>
                <w:color w:val="auto"/>
                <w:szCs w:val="21"/>
                <w:lang w:val="en-US" w:eastAsia="zh-CN"/>
              </w:rPr>
              <w:t>）信息系统管理工程师证书</w:t>
            </w:r>
            <w:r>
              <w:rPr>
                <w:rFonts w:hint="eastAsia" w:ascii="仿宋" w:hAnsi="仿宋" w:eastAsia="仿宋" w:cs="仿宋"/>
                <w:bCs/>
                <w:color w:val="auto"/>
                <w:szCs w:val="21"/>
              </w:rPr>
              <w:t>的每项得0.5分，最多得</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b/>
                <w:color w:val="auto"/>
                <w:szCs w:val="21"/>
              </w:rPr>
              <w:t>说明：需提供证书及在供应商单位近三个月社保证明扫描件。</w:t>
            </w:r>
          </w:p>
        </w:tc>
        <w:tc>
          <w:tcPr>
            <w:tcW w:w="301"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2</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客观分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6.3</w:t>
            </w:r>
          </w:p>
        </w:tc>
        <w:tc>
          <w:tcPr>
            <w:tcW w:w="2952" w:type="pct"/>
            <w:vAlign w:val="center"/>
          </w:tcPr>
          <w:p>
            <w:pPr>
              <w:snapToGrid w:val="0"/>
              <w:spacing w:line="240" w:lineRule="auto"/>
              <w:rPr>
                <w:rFonts w:hint="eastAsia" w:ascii="仿宋" w:hAnsi="仿宋" w:eastAsia="仿宋" w:cs="仿宋"/>
                <w:b w:val="0"/>
                <w:bCs/>
                <w:color w:val="auto"/>
                <w:szCs w:val="21"/>
                <w:lang w:eastAsia="zh-CN"/>
              </w:rPr>
            </w:pPr>
            <w:r>
              <w:rPr>
                <w:rFonts w:hint="eastAsia" w:ascii="仿宋" w:hAnsi="仿宋" w:eastAsia="仿宋" w:cs="仿宋"/>
                <w:b/>
                <w:color w:val="auto"/>
                <w:szCs w:val="21"/>
                <w:lang w:eastAsia="zh-CN"/>
              </w:rPr>
              <w:t>项目组其它成员资质：</w:t>
            </w:r>
            <w:r>
              <w:rPr>
                <w:rFonts w:hint="eastAsia" w:ascii="仿宋" w:hAnsi="仿宋" w:eastAsia="仿宋" w:cs="仿宋"/>
                <w:b w:val="0"/>
                <w:bCs/>
                <w:color w:val="auto"/>
                <w:szCs w:val="21"/>
                <w:lang w:eastAsia="zh-CN"/>
              </w:rPr>
              <w:t>除总监、驻场负责人外</w:t>
            </w:r>
            <w:r>
              <w:rPr>
                <w:rFonts w:hint="eastAsia" w:ascii="仿宋" w:hAnsi="仿宋" w:eastAsia="仿宋" w:cs="仿宋"/>
                <w:bCs/>
                <w:color w:val="auto"/>
                <w:szCs w:val="21"/>
              </w:rPr>
              <w:t>具有人力资源和社会保障部门颁发的信息系统监理师证书</w:t>
            </w:r>
            <w:r>
              <w:rPr>
                <w:rFonts w:hint="eastAsia" w:ascii="仿宋" w:hAnsi="仿宋" w:eastAsia="仿宋" w:cs="仿宋"/>
                <w:bCs/>
                <w:color w:val="auto"/>
                <w:szCs w:val="21"/>
                <w:lang w:val="en-US" w:eastAsia="zh-CN"/>
              </w:rPr>
              <w:t>的基础上：具有</w:t>
            </w:r>
            <w:r>
              <w:rPr>
                <w:rFonts w:hint="eastAsia" w:ascii="仿宋" w:hAnsi="仿宋" w:eastAsia="仿宋" w:cs="仿宋"/>
                <w:bCs/>
                <w:color w:val="auto"/>
                <w:szCs w:val="21"/>
              </w:rPr>
              <w:t>人力资源和社会保障部门颁发的</w:t>
            </w:r>
            <w:r>
              <w:rPr>
                <w:rFonts w:hint="eastAsia" w:ascii="仿宋" w:hAnsi="仿宋" w:eastAsia="仿宋" w:cs="仿宋"/>
                <w:b w:val="0"/>
                <w:bCs/>
                <w:color w:val="auto"/>
                <w:szCs w:val="21"/>
                <w:lang w:eastAsia="zh-CN"/>
              </w:rPr>
              <w:t>与本项目相关的</w:t>
            </w:r>
            <w:r>
              <w:rPr>
                <w:rFonts w:hint="eastAsia" w:ascii="仿宋" w:hAnsi="仿宋" w:eastAsia="仿宋" w:cs="仿宋"/>
                <w:b w:val="0"/>
                <w:bCs/>
                <w:color w:val="auto"/>
                <w:szCs w:val="21"/>
                <w:lang w:val="en-US" w:eastAsia="zh-CN"/>
              </w:rPr>
              <w:t>高级</w:t>
            </w:r>
            <w:r>
              <w:rPr>
                <w:rFonts w:hint="eastAsia" w:ascii="仿宋" w:hAnsi="仿宋" w:eastAsia="仿宋" w:cs="仿宋"/>
                <w:b w:val="0"/>
                <w:bCs/>
                <w:color w:val="auto"/>
                <w:szCs w:val="21"/>
                <w:lang w:eastAsia="zh-CN"/>
              </w:rPr>
              <w:t>职业资格证书的每人</w:t>
            </w:r>
            <w:r>
              <w:rPr>
                <w:rFonts w:hint="eastAsia" w:ascii="仿宋" w:hAnsi="仿宋" w:eastAsia="仿宋" w:cs="仿宋"/>
                <w:b w:val="0"/>
                <w:bCs/>
                <w:color w:val="auto"/>
                <w:szCs w:val="21"/>
                <w:lang w:eastAsia="zh-CN"/>
              </w:rPr>
              <w:t>得</w:t>
            </w:r>
            <w:r>
              <w:rPr>
                <w:rFonts w:hint="eastAsia" w:ascii="仿宋" w:hAnsi="仿宋" w:eastAsia="仿宋" w:cs="仿宋"/>
                <w:b w:val="0"/>
                <w:bCs/>
                <w:color w:val="auto"/>
                <w:szCs w:val="21"/>
                <w:lang w:val="en-US" w:eastAsia="zh-CN"/>
              </w:rPr>
              <w:t>1</w:t>
            </w:r>
            <w:r>
              <w:rPr>
                <w:rFonts w:hint="eastAsia" w:ascii="仿宋" w:hAnsi="仿宋" w:eastAsia="仿宋" w:cs="仿宋"/>
                <w:b w:val="0"/>
                <w:bCs/>
                <w:color w:val="auto"/>
                <w:szCs w:val="21"/>
                <w:lang w:eastAsia="zh-CN"/>
              </w:rPr>
              <w:t>分，</w:t>
            </w:r>
            <w:r>
              <w:rPr>
                <w:rFonts w:hint="eastAsia" w:ascii="仿宋" w:hAnsi="仿宋" w:eastAsia="仿宋" w:cs="仿宋"/>
                <w:b w:val="0"/>
                <w:bCs/>
                <w:color w:val="auto"/>
                <w:szCs w:val="21"/>
                <w:lang w:val="en-US" w:eastAsia="zh-CN"/>
              </w:rPr>
              <w:t>中级的</w:t>
            </w:r>
            <w:r>
              <w:rPr>
                <w:rFonts w:hint="eastAsia" w:ascii="仿宋" w:hAnsi="仿宋" w:eastAsia="仿宋" w:cs="仿宋"/>
                <w:b w:val="0"/>
                <w:bCs/>
                <w:color w:val="auto"/>
                <w:szCs w:val="21"/>
                <w:lang w:val="en-US" w:eastAsia="zh-CN"/>
              </w:rPr>
              <w:t>每人得0.5分，</w:t>
            </w:r>
            <w:r>
              <w:rPr>
                <w:rFonts w:hint="eastAsia" w:ascii="仿宋" w:hAnsi="仿宋" w:eastAsia="仿宋" w:cs="仿宋"/>
                <w:b w:val="0"/>
                <w:bCs/>
                <w:color w:val="auto"/>
                <w:szCs w:val="21"/>
                <w:lang w:eastAsia="zh-CN"/>
              </w:rPr>
              <w:t>最高得3.5分（同一位组员有多本证的只计一本，单本证书不重复得分）。</w:t>
            </w:r>
          </w:p>
          <w:p>
            <w:pPr>
              <w:snapToGrid w:val="0"/>
              <w:spacing w:line="240" w:lineRule="auto"/>
              <w:rPr>
                <w:rFonts w:hint="eastAsia" w:ascii="仿宋" w:hAnsi="仿宋" w:eastAsia="仿宋" w:cs="仿宋"/>
                <w:b/>
                <w:color w:val="auto"/>
                <w:szCs w:val="21"/>
              </w:rPr>
            </w:pPr>
            <w:r>
              <w:rPr>
                <w:rFonts w:hint="eastAsia" w:ascii="仿宋" w:hAnsi="仿宋" w:eastAsia="仿宋" w:cs="仿宋"/>
                <w:b/>
                <w:color w:val="auto"/>
                <w:szCs w:val="21"/>
              </w:rPr>
              <w:t>说明：需提供证书及在供应商单位近三个月社保证明扫描件。</w:t>
            </w:r>
          </w:p>
        </w:tc>
        <w:tc>
          <w:tcPr>
            <w:tcW w:w="301" w:type="pct"/>
            <w:vAlign w:val="center"/>
          </w:tcPr>
          <w:p>
            <w:pPr>
              <w:snapToGrid w:val="0"/>
              <w:spacing w:line="240" w:lineRule="auto"/>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3.5</w:t>
            </w:r>
          </w:p>
        </w:tc>
        <w:tc>
          <w:tcPr>
            <w:tcW w:w="547" w:type="pct"/>
            <w:vAlign w:val="center"/>
          </w:tcPr>
          <w:p>
            <w:pPr>
              <w:snapToGrid w:val="0"/>
              <w:spacing w:line="240" w:lineRule="auto"/>
              <w:jc w:val="center"/>
              <w:rPr>
                <w:rFonts w:hint="eastAsia" w:ascii="仿宋" w:hAnsi="仿宋" w:eastAsia="仿宋" w:cs="仿宋"/>
                <w:bCs/>
                <w:color w:val="auto"/>
                <w:szCs w:val="21"/>
              </w:rPr>
            </w:pPr>
            <w:r>
              <w:rPr>
                <w:rFonts w:hint="eastAsia" w:ascii="仿宋" w:hAnsi="仿宋" w:eastAsia="仿宋" w:cs="仿宋"/>
                <w:bCs/>
                <w:color w:val="auto"/>
                <w:szCs w:val="21"/>
              </w:rPr>
              <w:t>客观分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color w:val="auto"/>
                <w:szCs w:val="21"/>
              </w:rPr>
              <w:t>7</w:t>
            </w:r>
          </w:p>
        </w:tc>
        <w:tc>
          <w:tcPr>
            <w:tcW w:w="2952" w:type="pct"/>
            <w:vAlign w:val="center"/>
          </w:tcPr>
          <w:p>
            <w:pPr>
              <w:snapToGrid w:val="0"/>
              <w:spacing w:line="240" w:lineRule="auto"/>
              <w:jc w:val="left"/>
              <w:rPr>
                <w:rFonts w:hint="eastAsia" w:ascii="仿宋" w:hAnsi="仿宋" w:eastAsia="仿宋" w:cs="仿宋"/>
                <w:color w:val="auto"/>
                <w:szCs w:val="21"/>
              </w:rPr>
            </w:pPr>
            <w:r>
              <w:rPr>
                <w:rFonts w:hint="eastAsia" w:ascii="仿宋" w:hAnsi="仿宋" w:eastAsia="仿宋" w:cs="仿宋"/>
                <w:b/>
                <w:bCs/>
                <w:color w:val="auto"/>
                <w:szCs w:val="21"/>
              </w:rPr>
              <w:t>应急预案：</w:t>
            </w:r>
            <w:r>
              <w:rPr>
                <w:rFonts w:hint="eastAsia" w:ascii="仿宋" w:hAnsi="仿宋" w:eastAsia="仿宋" w:cs="仿宋"/>
                <w:color w:val="auto"/>
                <w:szCs w:val="21"/>
              </w:rPr>
              <w:t>提供防止人员意外情况或重大过失的预防方案、人员替补力量及方案、疫情防控措施方案，根据方案的周密性、可行性等情况评分。</w:t>
            </w:r>
          </w:p>
          <w:p>
            <w:pPr>
              <w:snapToGrid w:val="0"/>
              <w:spacing w:line="240" w:lineRule="auto"/>
              <w:jc w:val="left"/>
              <w:rPr>
                <w:rFonts w:hint="eastAsia" w:ascii="仿宋" w:hAnsi="仿宋" w:eastAsia="仿宋" w:cs="仿宋"/>
                <w:color w:val="auto"/>
                <w:szCs w:val="21"/>
              </w:rPr>
            </w:pPr>
            <w:r>
              <w:rPr>
                <w:rFonts w:hint="eastAsia" w:ascii="仿宋" w:hAnsi="仿宋" w:eastAsia="仿宋" w:cs="仿宋"/>
                <w:color w:val="auto"/>
                <w:szCs w:val="21"/>
              </w:rPr>
              <w:t>--方案完整、详尽、针对性强且合理可行的得</w:t>
            </w:r>
            <w:r>
              <w:rPr>
                <w:rFonts w:hint="eastAsia" w:ascii="仿宋" w:hAnsi="仿宋" w:eastAsia="仿宋" w:cs="仿宋"/>
                <w:color w:val="auto"/>
                <w:szCs w:val="21"/>
                <w:lang w:val="en-US" w:eastAsia="zh-CN"/>
              </w:rPr>
              <w:t>3</w:t>
            </w:r>
            <w:r>
              <w:rPr>
                <w:rFonts w:hint="eastAsia" w:ascii="仿宋" w:hAnsi="仿宋" w:eastAsia="仿宋" w:cs="仿宋"/>
                <w:color w:val="auto"/>
                <w:szCs w:val="21"/>
              </w:rPr>
              <w:t>分；方案部分内容有欠缺、基本合理可行的得</w:t>
            </w:r>
            <w:r>
              <w:rPr>
                <w:rFonts w:hint="eastAsia" w:ascii="仿宋" w:hAnsi="仿宋" w:eastAsia="仿宋" w:cs="仿宋"/>
                <w:color w:val="auto"/>
                <w:szCs w:val="21"/>
                <w:lang w:val="en-US" w:eastAsia="zh-CN"/>
              </w:rPr>
              <w:t>2</w:t>
            </w:r>
            <w:r>
              <w:rPr>
                <w:rFonts w:hint="eastAsia" w:ascii="仿宋" w:hAnsi="仿宋" w:eastAsia="仿宋" w:cs="仿宋"/>
                <w:color w:val="auto"/>
                <w:szCs w:val="21"/>
              </w:rPr>
              <w:t>分；方案部分不全面或合理可行性有部分欠缺的得</w:t>
            </w:r>
            <w:r>
              <w:rPr>
                <w:rFonts w:hint="eastAsia" w:ascii="仿宋" w:hAnsi="仿宋" w:eastAsia="仿宋" w:cs="仿宋"/>
                <w:color w:val="auto"/>
                <w:szCs w:val="21"/>
                <w:lang w:val="en-US" w:eastAsia="zh-CN"/>
              </w:rPr>
              <w:t>1</w:t>
            </w:r>
            <w:r>
              <w:rPr>
                <w:rFonts w:hint="eastAsia" w:ascii="仿宋" w:hAnsi="仿宋" w:eastAsia="仿宋" w:cs="仿宋"/>
                <w:color w:val="auto"/>
                <w:szCs w:val="21"/>
              </w:rPr>
              <w:t>分；方案不全面或合理可行性有欠缺的得0.</w:t>
            </w:r>
            <w:r>
              <w:rPr>
                <w:rFonts w:hint="eastAsia" w:ascii="仿宋" w:hAnsi="仿宋" w:eastAsia="仿宋" w:cs="仿宋"/>
                <w:color w:val="auto"/>
                <w:szCs w:val="21"/>
                <w:lang w:val="en-US" w:eastAsia="zh-CN"/>
              </w:rPr>
              <w:t>5</w:t>
            </w:r>
            <w:r>
              <w:rPr>
                <w:rFonts w:hint="eastAsia" w:ascii="仿宋" w:hAnsi="仿宋" w:eastAsia="仿宋" w:cs="仿宋"/>
                <w:color w:val="auto"/>
                <w:szCs w:val="21"/>
              </w:rPr>
              <w:t>分；完全不符或未提供的不得分。</w:t>
            </w:r>
          </w:p>
        </w:tc>
        <w:tc>
          <w:tcPr>
            <w:tcW w:w="301" w:type="pct"/>
            <w:vAlign w:val="center"/>
          </w:tcPr>
          <w:p>
            <w:pPr>
              <w:snapToGrid w:val="0"/>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547" w:type="pct"/>
            <w:vAlign w:val="center"/>
          </w:tcPr>
          <w:p>
            <w:pPr>
              <w:snapToGrid w:val="0"/>
              <w:spacing w:line="240" w:lineRule="auto"/>
              <w:jc w:val="center"/>
              <w:rPr>
                <w:rFonts w:hint="eastAsia" w:ascii="仿宋" w:hAnsi="仿宋" w:eastAsia="仿宋" w:cs="仿宋"/>
                <w:color w:val="auto"/>
                <w:szCs w:val="21"/>
              </w:rPr>
            </w:pPr>
            <w:r>
              <w:rPr>
                <w:rFonts w:hint="eastAsia" w:ascii="仿宋" w:hAnsi="仿宋" w:eastAsia="仿宋" w:cs="仿宋"/>
                <w:bCs/>
                <w:color w:val="auto"/>
                <w:szCs w:val="21"/>
              </w:rPr>
              <w:t>主观分</w:t>
            </w:r>
          </w:p>
        </w:tc>
        <w:tc>
          <w:tcPr>
            <w:tcW w:w="778" w:type="pct"/>
            <w:vAlign w:val="center"/>
          </w:tcPr>
          <w:p>
            <w:pPr>
              <w:snapToGrid w:val="0"/>
              <w:spacing w:line="24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b/>
                <w:bCs/>
                <w:color w:val="auto"/>
                <w:sz w:val="24"/>
              </w:rPr>
              <w:t>8</w:t>
            </w:r>
          </w:p>
        </w:tc>
        <w:tc>
          <w:tcPr>
            <w:tcW w:w="4579" w:type="pct"/>
            <w:gridSpan w:val="4"/>
            <w:vAlign w:val="center"/>
          </w:tcPr>
          <w:p>
            <w:pPr>
              <w:snapToGrid w:val="0"/>
              <w:spacing w:line="240" w:lineRule="auto"/>
              <w:jc w:val="left"/>
              <w:rPr>
                <w:rFonts w:hint="eastAsia" w:ascii="仿宋" w:hAnsi="仿宋" w:eastAsia="仿宋" w:cs="仿宋"/>
                <w:color w:val="auto"/>
                <w:sz w:val="24"/>
              </w:rPr>
            </w:pPr>
            <w:r>
              <w:rPr>
                <w:rFonts w:hint="eastAsia" w:ascii="仿宋" w:hAnsi="仿宋" w:eastAsia="仿宋" w:cs="仿宋"/>
                <w:b/>
                <w:bCs/>
                <w:color w:val="auto"/>
                <w:sz w:val="24"/>
              </w:rPr>
              <w:t>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pPr>
              <w:snapToGrid w:val="0"/>
              <w:spacing w:line="240" w:lineRule="auto"/>
              <w:jc w:val="center"/>
              <w:rPr>
                <w:rFonts w:hint="eastAsia" w:ascii="仿宋" w:hAnsi="仿宋" w:eastAsia="仿宋" w:cs="仿宋"/>
                <w:color w:val="auto"/>
                <w:sz w:val="24"/>
              </w:rPr>
            </w:pPr>
            <w:r>
              <w:rPr>
                <w:rFonts w:hint="eastAsia" w:ascii="仿宋" w:hAnsi="仿宋" w:eastAsia="仿宋" w:cs="仿宋"/>
                <w:color w:val="auto"/>
                <w:sz w:val="24"/>
              </w:rPr>
              <w:t>8.1</w:t>
            </w:r>
          </w:p>
        </w:tc>
        <w:tc>
          <w:tcPr>
            <w:tcW w:w="2952" w:type="pct"/>
          </w:tcPr>
          <w:p>
            <w:pPr>
              <w:spacing w:line="240" w:lineRule="auto"/>
              <w:jc w:val="left"/>
              <w:outlineLvl w:val="0"/>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w:t>
            </w:r>
            <w:r>
              <w:rPr>
                <w:rFonts w:hint="eastAsia" w:ascii="仿宋" w:hAnsi="仿宋" w:eastAsia="仿宋" w:cs="仿宋"/>
                <w:color w:val="auto"/>
                <w:sz w:val="24"/>
                <w:lang w:val="en-US" w:eastAsia="zh-CN"/>
              </w:rPr>
              <w:t>2</w:t>
            </w:r>
            <w:r>
              <w:rPr>
                <w:rFonts w:hint="eastAsia" w:ascii="仿宋" w:hAnsi="仿宋" w:eastAsia="仿宋" w:cs="仿宋"/>
                <w:color w:val="auto"/>
                <w:sz w:val="24"/>
              </w:rPr>
              <w:t>0］的计算公式计算。</w:t>
            </w:r>
          </w:p>
          <w:p>
            <w:pPr>
              <w:widowControl/>
              <w:shd w:val="clear" w:color="auto" w:fill="FFFFFF"/>
              <w:adjustRightInd/>
              <w:spacing w:after="225" w:line="24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widowControl/>
              <w:shd w:val="clear" w:color="auto" w:fill="FFFFFF"/>
              <w:adjustRightInd/>
              <w:spacing w:after="225" w:line="240" w:lineRule="auto"/>
              <w:ind w:firstLine="420"/>
              <w:jc w:val="left"/>
              <w:rPr>
                <w:rFonts w:hint="eastAsia" w:ascii="仿宋" w:hAnsi="仿宋" w:eastAsia="仿宋" w:cs="仿宋"/>
                <w:color w:val="auto"/>
                <w:sz w:val="24"/>
              </w:rPr>
            </w:pPr>
            <w:r>
              <w:rPr>
                <w:rFonts w:hint="eastAsia" w:ascii="仿宋" w:hAnsi="仿宋" w:eastAsia="仿宋" w:cs="仿宋"/>
                <w:color w:val="auto"/>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01" w:type="pct"/>
            <w:vAlign w:val="center"/>
          </w:tcPr>
          <w:p>
            <w:pPr>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0</w:t>
            </w:r>
          </w:p>
        </w:tc>
        <w:tc>
          <w:tcPr>
            <w:tcW w:w="547" w:type="pct"/>
            <w:vAlign w:val="center"/>
          </w:tcPr>
          <w:p>
            <w:pPr>
              <w:spacing w:line="240" w:lineRule="auto"/>
              <w:jc w:val="center"/>
              <w:outlineLvl w:val="0"/>
              <w:rPr>
                <w:rFonts w:hint="eastAsia" w:ascii="仿宋" w:hAnsi="仿宋" w:eastAsia="仿宋" w:cs="仿宋"/>
                <w:color w:val="auto"/>
                <w:sz w:val="24"/>
              </w:rPr>
            </w:pPr>
            <w:r>
              <w:rPr>
                <w:rFonts w:hint="eastAsia" w:ascii="仿宋" w:hAnsi="仿宋" w:eastAsia="仿宋" w:cs="仿宋"/>
                <w:color w:val="auto"/>
                <w:sz w:val="24"/>
              </w:rPr>
              <w:t>/</w:t>
            </w:r>
          </w:p>
        </w:tc>
        <w:tc>
          <w:tcPr>
            <w:tcW w:w="778" w:type="pct"/>
            <w:vAlign w:val="center"/>
          </w:tcPr>
          <w:p>
            <w:pPr>
              <w:spacing w:line="240" w:lineRule="auto"/>
              <w:jc w:val="center"/>
              <w:outlineLvl w:val="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bl>
    <w:p>
      <w:pPr>
        <w:snapToGrid w:val="0"/>
        <w:spacing w:line="360" w:lineRule="auto"/>
        <w:rPr>
          <w:rFonts w:ascii="仿宋" w:hAnsi="仿宋" w:eastAsia="仿宋" w:cs="仿宋"/>
          <w:b/>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130"/>
        <w:spacing w:before="0"/>
        <w:ind w:firstLine="508" w:firstLineChars="212"/>
        <w:rPr>
          <w:rFonts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pPr>
        <w:pStyle w:val="130"/>
        <w:spacing w:before="0"/>
        <w:ind w:firstLine="472" w:firstLineChars="196"/>
        <w:rPr>
          <w:rFonts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rPr>
      </w:pPr>
      <w:r>
        <w:rPr>
          <w:rFonts w:hint="eastAsia" w:ascii="仿宋" w:eastAsia="仿宋" w:cs="仿宋"/>
          <w:color w:val="auto"/>
          <w:kern w:val="0"/>
          <w:sz w:val="24"/>
        </w:rPr>
        <w:t>4.2.13投标文件不满足招标文件的其它实质性要求的；</w:t>
      </w:r>
    </w:p>
    <w:p>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pPr>
        <w:pStyle w:val="26"/>
        <w:snapToGrid w:val="0"/>
        <w:spacing w:line="360" w:lineRule="auto"/>
        <w:rPr>
          <w:rFonts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5.2出现影响采购公正的违法、违规行为的；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5.3投标人的报价均超过了采购预算，采购人不能支付的；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5.4因重大变故，采购任务取消的。</w:t>
      </w:r>
    </w:p>
    <w:p>
      <w:pPr>
        <w:pStyle w:val="26"/>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pPr>
        <w:pStyle w:val="26"/>
        <w:snapToGrid w:val="0"/>
        <w:spacing w:line="360" w:lineRule="auto"/>
        <w:ind w:firstLine="590" w:firstLineChars="245"/>
        <w:rPr>
          <w:rFonts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pPr>
        <w:pStyle w:val="26"/>
        <w:snapToGrid w:val="0"/>
        <w:spacing w:line="360" w:lineRule="auto"/>
        <w:rPr>
          <w:rFonts w:ascii="仿宋" w:hAnsi="仿宋" w:eastAsia="仿宋" w:cs="仿宋"/>
          <w:color w:val="auto"/>
        </w:rPr>
      </w:pPr>
      <w:r>
        <w:rPr>
          <w:rFonts w:hint="eastAsia"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bookmarkStart w:id="390" w:name="_Toc86217003"/>
    </w:p>
    <w:p>
      <w:pPr>
        <w:spacing w:line="360" w:lineRule="auto"/>
        <w:ind w:left="720" w:leftChars="343" w:firstLine="1084" w:firstLineChars="300"/>
        <w:outlineLvl w:val="0"/>
        <w:rPr>
          <w:rFonts w:ascii="仿宋" w:hAnsi="仿宋" w:eastAsia="仿宋" w:cs="仿宋"/>
          <w:b/>
          <w:color w:val="auto"/>
          <w:sz w:val="36"/>
          <w:szCs w:val="36"/>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仿宋" w:hAnsi="仿宋" w:eastAsia="仿宋" w:cs="仿宋"/>
          <w:b/>
          <w:color w:val="auto"/>
          <w:sz w:val="36"/>
          <w:szCs w:val="36"/>
        </w:rPr>
      </w:pPr>
      <w:r>
        <w:rPr>
          <w:rFonts w:hint="eastAsia" w:ascii="仿宋" w:hAnsi="仿宋" w:eastAsia="仿宋" w:cs="仿宋"/>
          <w:b/>
          <w:color w:val="auto"/>
          <w:sz w:val="36"/>
          <w:szCs w:val="36"/>
        </w:rPr>
        <w:t xml:space="preserve">第五部分 </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拟签订的合同文本</w:t>
      </w:r>
    </w:p>
    <w:p>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pPr>
        <w:pStyle w:val="701"/>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杭州市公安局上城区分局1125路视频监控建设项目监理 </w:t>
      </w: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杭州市公安局上城区分局          </w:t>
      </w:r>
    </w:p>
    <w:p>
      <w:pPr>
        <w:spacing w:line="480" w:lineRule="auto"/>
        <w:jc w:val="center"/>
        <w:rPr>
          <w:rFonts w:ascii="仿宋" w:hAnsi="仿宋" w:eastAsia="仿宋" w:cs="仿宋"/>
          <w:b/>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杭州市上城区候潮东路175号      </w:t>
      </w:r>
    </w:p>
    <w:p>
      <w:pPr>
        <w:spacing w:line="480" w:lineRule="auto"/>
        <w:jc w:val="center"/>
        <w:rPr>
          <w:rFonts w:ascii="仿宋" w:hAnsi="仿宋" w:eastAsia="仿宋" w:cs="仿宋"/>
          <w:b/>
          <w:color w:val="auto"/>
          <w:sz w:val="24"/>
        </w:rPr>
      </w:pPr>
    </w:p>
    <w:p>
      <w:pPr>
        <w:spacing w:before="120" w:line="22" w:lineRule="atLeast"/>
        <w:ind w:firstLine="960" w:firstLineChars="400"/>
        <w:rPr>
          <w:rFonts w:ascii="仿宋" w:hAnsi="仿宋" w:eastAsia="仿宋" w:cs="仿宋"/>
          <w:color w:val="auto"/>
          <w:sz w:val="24"/>
          <w:u w:val="single"/>
        </w:rPr>
        <w:sectPr>
          <w:pgSz w:w="11907" w:h="16840"/>
          <w:pgMar w:top="1474" w:right="1814" w:bottom="1474" w:left="1814" w:header="851" w:footer="851" w:gutter="0"/>
          <w:cols w:space="720" w:num="1"/>
        </w:sect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2024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rPr>
        <w:t>2024</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公开招标的政府采购方式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杭州市公安局上城区分局1125路视频监控建设项目监理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评标委员会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杭州市公安局上城区分局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color w:val="auto"/>
          <w:sz w:val="24"/>
        </w:rPr>
      </w:pPr>
      <w:bookmarkStart w:id="391" w:name="_Toc22967"/>
      <w:bookmarkStart w:id="392" w:name="_Toc15367"/>
      <w:bookmarkStart w:id="393" w:name="_Toc28855"/>
      <w:bookmarkStart w:id="394" w:name="_Toc19273"/>
      <w:bookmarkStart w:id="395" w:name="_Toc20421"/>
      <w:r>
        <w:rPr>
          <w:rFonts w:hint="eastAsia" w:ascii="仿宋" w:hAnsi="仿宋" w:eastAsia="仿宋" w:cs="仿宋"/>
          <w:b/>
          <w:color w:val="auto"/>
          <w:sz w:val="24"/>
        </w:rPr>
        <w:t>1.1合同组成部分</w:t>
      </w:r>
      <w:bookmarkEnd w:id="391"/>
      <w:bookmarkEnd w:id="392"/>
      <w:bookmarkEnd w:id="393"/>
      <w:bookmarkEnd w:id="394"/>
      <w:bookmarkEnd w:id="39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1.1.2中标或者成交通知书；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1.1.3投标或者响应文件（含澄清或者说明文件）；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1.1.4采购文件（含澄清或者修改文件）；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1.1.5其他相关采购文件。</w:t>
      </w:r>
    </w:p>
    <w:p>
      <w:pPr>
        <w:spacing w:line="560" w:lineRule="exact"/>
        <w:ind w:firstLine="482" w:firstLineChars="200"/>
        <w:outlineLvl w:val="0"/>
        <w:rPr>
          <w:rFonts w:ascii="仿宋" w:hAnsi="仿宋" w:eastAsia="仿宋" w:cs="仿宋"/>
          <w:b/>
          <w:color w:val="auto"/>
          <w:sz w:val="24"/>
        </w:rPr>
      </w:pPr>
      <w:bookmarkStart w:id="396" w:name="_Toc6773"/>
      <w:bookmarkStart w:id="397" w:name="_Toc22185"/>
      <w:bookmarkStart w:id="398" w:name="_Toc6311"/>
      <w:bookmarkStart w:id="399" w:name="_Toc2918"/>
      <w:bookmarkStart w:id="400" w:name="_Toc18585"/>
      <w:r>
        <w:rPr>
          <w:rFonts w:hint="eastAsia" w:ascii="仿宋" w:hAnsi="仿宋" w:eastAsia="仿宋" w:cs="仿宋"/>
          <w:b/>
          <w:color w:val="auto"/>
          <w:sz w:val="24"/>
        </w:rPr>
        <w:t>1.2标的</w:t>
      </w:r>
      <w:bookmarkEnd w:id="396"/>
      <w:bookmarkEnd w:id="397"/>
      <w:bookmarkEnd w:id="398"/>
      <w:bookmarkEnd w:id="399"/>
      <w:bookmarkEnd w:id="400"/>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1.2.3技术保障：</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1.2.4服务人员组成：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1.2.5合同</w:t>
      </w:r>
      <w:r>
        <w:rPr>
          <w:rFonts w:hint="eastAsia" w:ascii="仿宋" w:hAnsi="仿宋" w:eastAsia="仿宋" w:cs="仿宋"/>
          <w:color w:val="auto"/>
          <w:sz w:val="24"/>
          <w:u w:val="single"/>
        </w:rPr>
        <w:t xml:space="preserve"> 否 </w:t>
      </w:r>
      <w:r>
        <w:rPr>
          <w:rFonts w:hint="eastAsia" w:ascii="仿宋" w:hAnsi="仿宋" w:eastAsia="仿宋" w:cs="仿宋"/>
          <w:color w:val="auto"/>
          <w:sz w:val="24"/>
        </w:rPr>
        <w:t>（是/否）涉及货物。</w:t>
      </w:r>
      <w:bookmarkStart w:id="401" w:name="_Toc13918"/>
      <w:bookmarkStart w:id="402" w:name="_Toc21124"/>
      <w:bookmarkStart w:id="403" w:name="_Toc4929"/>
      <w:bookmarkStart w:id="404" w:name="_Toc1386"/>
      <w:bookmarkStart w:id="405" w:name="_Toc5635"/>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1.3价款</w:t>
      </w:r>
      <w:bookmarkEnd w:id="401"/>
      <w:bookmarkEnd w:id="402"/>
      <w:bookmarkEnd w:id="403"/>
      <w:bookmarkEnd w:id="404"/>
      <w:bookmarkEnd w:id="40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仿宋" w:hAnsi="仿宋" w:eastAsia="仿宋" w:cs="仿宋"/>
                <w:color w:val="auto"/>
                <w:sz w:val="24"/>
                <w:szCs w:val="24"/>
              </w:rPr>
            </w:pPr>
          </w:p>
        </w:tc>
        <w:tc>
          <w:tcPr>
            <w:tcW w:w="3402" w:type="dxa"/>
            <w:vAlign w:val="center"/>
          </w:tcPr>
          <w:p>
            <w:pPr>
              <w:pStyle w:val="319"/>
              <w:spacing w:line="560" w:lineRule="exact"/>
              <w:ind w:firstLine="200"/>
              <w:jc w:val="center"/>
              <w:rPr>
                <w:rFonts w:ascii="仿宋" w:hAnsi="仿宋" w:eastAsia="仿宋" w:cs="仿宋"/>
                <w:color w:val="auto"/>
                <w:sz w:val="24"/>
                <w:szCs w:val="24"/>
              </w:rPr>
            </w:pP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319"/>
              <w:spacing w:line="560" w:lineRule="exact"/>
              <w:ind w:firstLine="200"/>
              <w:jc w:val="center"/>
              <w:rPr>
                <w:rFonts w:ascii="仿宋" w:hAnsi="仿宋" w:eastAsia="仿宋" w:cs="仿宋"/>
                <w:color w:val="auto"/>
                <w:sz w:val="24"/>
                <w:szCs w:val="24"/>
              </w:rPr>
            </w:pPr>
          </w:p>
        </w:tc>
      </w:tr>
    </w:tbl>
    <w:p>
      <w:pPr>
        <w:spacing w:line="560" w:lineRule="exact"/>
        <w:ind w:firstLine="480" w:firstLineChars="200"/>
        <w:rPr>
          <w:rFonts w:ascii="仿宋" w:hAnsi="仿宋" w:eastAsia="仿宋" w:cs="仿宋"/>
          <w:color w:val="auto"/>
          <w:sz w:val="24"/>
        </w:rPr>
      </w:pPr>
      <w:bookmarkStart w:id="406" w:name="_Toc26916"/>
      <w:bookmarkStart w:id="407" w:name="_Toc3654"/>
      <w:bookmarkStart w:id="408" w:name="_Toc14993"/>
      <w:bookmarkStart w:id="409" w:name="_Toc30506"/>
      <w:bookmarkStart w:id="410" w:name="_Toc30158"/>
      <w:r>
        <w:rPr>
          <w:rFonts w:hint="eastAsia" w:ascii="仿宋" w:hAnsi="仿宋" w:eastAsia="仿宋" w:cs="仿宋"/>
          <w:bCs/>
          <w:color w:val="auto"/>
          <w:sz w:val="24"/>
        </w:rPr>
        <w:t>1.3.2单价合同</w:t>
      </w:r>
      <w:r>
        <w:rPr>
          <w:rFonts w:hint="eastAsia" w:ascii="仿宋" w:eastAsia="仿宋" w:cs="仿宋"/>
          <w:color w:val="auto"/>
          <w:sz w:val="24"/>
        </w:rPr>
        <w:t>：</w:t>
      </w:r>
      <w:r>
        <w:rPr>
          <w:rFonts w:hint="eastAsia" w:ascii="仿宋" w:eastAsia="仿宋" w:cs="仿宋"/>
          <w:color w:val="auto"/>
          <w:sz w:val="24"/>
          <w:u w:val="single"/>
        </w:rPr>
        <w:t xml:space="preserve"> / </w:t>
      </w:r>
      <w:r>
        <w:rPr>
          <w:rFonts w:hint="eastAsia" w:asci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eastAsia="仿宋" w:cs="仿宋"/>
          <w:color w:val="auto"/>
          <w:sz w:val="24"/>
        </w:rPr>
        <w:t>1.3.3其他计价方式：</w:t>
      </w:r>
      <w:r>
        <w:rPr>
          <w:rFonts w:hint="eastAsia" w:ascii="仿宋" w:eastAsia="仿宋" w:cs="仿宋"/>
          <w:color w:val="auto"/>
          <w:sz w:val="24"/>
          <w:u w:val="single"/>
        </w:rPr>
        <w:t xml:space="preserve"> / </w:t>
      </w:r>
      <w:r>
        <w:rPr>
          <w:rFonts w:hint="eastAsia" w:ascii="仿宋" w:eastAsia="仿宋" w:cs="仿宋"/>
          <w:color w:val="auto"/>
          <w:sz w:val="24"/>
        </w:rPr>
        <w:t>。</w:t>
      </w:r>
    </w:p>
    <w:bookmarkEnd w:id="406"/>
    <w:bookmarkEnd w:id="407"/>
    <w:bookmarkEnd w:id="408"/>
    <w:bookmarkEnd w:id="409"/>
    <w:bookmarkEnd w:id="410"/>
    <w:p>
      <w:pPr>
        <w:pStyle w:val="959"/>
        <w:spacing w:before="0" w:beforeAutospacing="0" w:after="0" w:afterAutospacing="0" w:line="360" w:lineRule="auto"/>
        <w:ind w:firstLine="480"/>
        <w:rPr>
          <w:rFonts w:ascii="仿宋" w:hAnsi="仿宋" w:eastAsia="仿宋" w:cs="仿宋"/>
          <w:b/>
          <w:color w:val="auto"/>
        </w:rPr>
      </w:pPr>
      <w:bookmarkStart w:id="411" w:name="_Toc1814"/>
      <w:bookmarkStart w:id="412" w:name="_Toc10340"/>
      <w:bookmarkStart w:id="413" w:name="_Toc22618"/>
      <w:bookmarkStart w:id="414" w:name="_Toc4760"/>
      <w:bookmarkStart w:id="415" w:name="_Toc31421"/>
      <w:bookmarkStart w:id="416" w:name="_Toc8772"/>
      <w:bookmarkStart w:id="417" w:name="_Toc11108"/>
      <w:bookmarkStart w:id="418" w:name="_Toc3625"/>
      <w:r>
        <w:rPr>
          <w:rFonts w:hint="eastAsia" w:ascii="仿宋" w:hAnsi="仿宋" w:eastAsia="仿宋" w:cs="仿宋"/>
          <w:b/>
          <w:color w:val="auto"/>
        </w:rPr>
        <w:t>1.4履约保证金</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是 </w:t>
      </w:r>
      <w:r>
        <w:rPr>
          <w:rFonts w:hint="eastAsia" w:ascii="仿宋" w:hAnsi="仿宋" w:eastAsia="仿宋" w:cs="仿宋"/>
          <w:color w:val="auto"/>
        </w:rPr>
        <w:t>（是/否）需要支付履约保证金。若需要支付履约保证金的，则：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1.4.1履约保证金的比例为合同金额的</w:t>
      </w:r>
      <w:r>
        <w:rPr>
          <w:rFonts w:hint="eastAsia" w:ascii="仿宋" w:hAnsi="仿宋" w:eastAsia="仿宋" w:cs="仿宋"/>
          <w:color w:val="auto"/>
          <w:u w:val="single"/>
        </w:rPr>
        <w:t xml:space="preserve"> </w:t>
      </w:r>
      <w:r>
        <w:rPr>
          <w:rFonts w:ascii="仿宋" w:hAnsi="仿宋" w:eastAsia="仿宋" w:cs="仿宋"/>
          <w:color w:val="auto"/>
          <w:u w:val="single"/>
        </w:rPr>
        <w:t>1</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1.4.2履约保证金支付方式详见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1.4.4甲方在项目验收结束后及时退还履约保证金。甲方在项目通过验收之日起</w:t>
      </w:r>
      <w:r>
        <w:rPr>
          <w:rFonts w:hint="eastAsia" w:ascii="仿宋" w:hAnsi="仿宋" w:eastAsia="仿宋" w:cs="仿宋"/>
          <w:color w:val="auto"/>
          <w:u w:val="single"/>
        </w:rPr>
        <w:t xml:space="preserve"> </w:t>
      </w:r>
      <w:r>
        <w:rPr>
          <w:rFonts w:ascii="仿宋" w:hAnsi="仿宋" w:eastAsia="仿宋" w:cs="仿宋"/>
          <w:color w:val="auto"/>
          <w:u w:val="single"/>
        </w:rPr>
        <w:t>15</w:t>
      </w:r>
      <w:r>
        <w:rPr>
          <w:rFonts w:hint="eastAsia" w:ascii="仿宋" w:hAnsi="仿宋" w:eastAsia="仿宋" w:cs="仿宋"/>
          <w:color w:val="auto"/>
          <w:u w:val="single"/>
        </w:rPr>
        <w:t xml:space="preserve">     </w:t>
      </w:r>
      <w:r>
        <w:rPr>
          <w:rFonts w:hint="eastAsia" w:ascii="仿宋" w:hAnsi="仿宋" w:eastAsia="仿宋" w:cs="仿宋"/>
          <w:color w:val="auto"/>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u w:val="single"/>
        </w:rPr>
        <w:t xml:space="preserve">  0.05（可根据情况修改）  </w:t>
      </w:r>
      <w:r>
        <w:rPr>
          <w:rFonts w:hint="eastAsia" w:ascii="仿宋" w:hAnsi="仿宋" w:eastAsia="仿宋" w:cs="仿宋"/>
          <w:color w:val="auto"/>
        </w:rPr>
        <w:t>%计算，最高限额为本合同履约保证金的</w:t>
      </w:r>
      <w:r>
        <w:rPr>
          <w:rFonts w:hint="eastAsia" w:ascii="仿宋" w:hAnsi="仿宋" w:eastAsia="仿宋" w:cs="仿宋"/>
          <w:color w:val="auto"/>
          <w:u w:val="single"/>
        </w:rPr>
        <w:t xml:space="preserve">  20  </w:t>
      </w:r>
      <w:r>
        <w:rPr>
          <w:rFonts w:hint="eastAsia" w:ascii="仿宋" w:hAnsi="仿宋" w:eastAsia="仿宋" w:cs="仿宋"/>
          <w:color w:val="auto"/>
        </w:rPr>
        <w:t>%。</w:t>
      </w:r>
    </w:p>
    <w:p>
      <w:pPr>
        <w:spacing w:line="560" w:lineRule="exact"/>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End w:id="411"/>
      <w:bookmarkEnd w:id="412"/>
      <w:bookmarkEnd w:id="413"/>
      <w:r>
        <w:rPr>
          <w:rFonts w:hint="eastAsia" w:ascii="仿宋" w:hAnsi="仿宋" w:eastAsia="仿宋" w:cs="仿宋"/>
          <w:b/>
          <w:color w:val="auto"/>
          <w:sz w:val="24"/>
        </w:rPr>
        <w:t>预付款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是 </w:t>
      </w:r>
      <w:r>
        <w:rPr>
          <w:rFonts w:hint="eastAsia" w:ascii="仿宋" w:hAnsi="仿宋" w:eastAsia="仿宋" w:cs="仿宋"/>
          <w:color w:val="auto"/>
        </w:rPr>
        <w:t>（是/否）需要支付预付款。若需要支付预付款的，则：</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1.5.1预付款比例、支付方式、时间详见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bCs/>
          <w:color w:val="auto"/>
        </w:rPr>
      </w:pPr>
      <w:r>
        <w:rPr>
          <w:rFonts w:hint="eastAsia" w:ascii="仿宋" w:hAnsi="仿宋" w:eastAsia="仿宋" w:cs="仿宋"/>
          <w:b/>
          <w:bCs/>
          <w:color w:val="auto"/>
        </w:rPr>
        <w:t>1.6资金支付</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1.6.2资金支付的方式、时间和条件详见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1.7履行期限、地点和方式</w:t>
      </w:r>
      <w:bookmarkEnd w:id="414"/>
      <w:bookmarkEnd w:id="415"/>
      <w:bookmarkEnd w:id="416"/>
      <w:bookmarkEnd w:id="417"/>
      <w:bookmarkEnd w:id="418"/>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1.7.1服务交付（实施）的时间（期限）：</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1.7.2服务交付（实施）的地点（地域范围）：</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1.7.3服务交付（实施）的方式：</w:t>
      </w:r>
      <w:r>
        <w:rPr>
          <w:rFonts w:hint="eastAsia" w:ascii="仿宋" w:hAnsi="仿宋" w:eastAsia="仿宋" w:cs="仿宋"/>
          <w:b/>
          <w:i/>
          <w:color w:val="auto"/>
          <w:u w:val="single"/>
        </w:rPr>
        <w:t>合同专用条款</w:t>
      </w:r>
      <w:r>
        <w:rPr>
          <w:rFonts w:hint="eastAsia" w:ascii="仿宋" w:hAnsi="仿宋" w:eastAsia="仿宋" w:cs="仿宋"/>
          <w:color w:val="auto"/>
        </w:rPr>
        <w:t>。</w:t>
      </w:r>
      <w:bookmarkStart w:id="419" w:name="_Toc3079"/>
      <w:bookmarkStart w:id="420" w:name="_Toc24662"/>
      <w:bookmarkStart w:id="421" w:name="_Toc2375"/>
      <w:bookmarkStart w:id="422" w:name="_Toc8586"/>
      <w:bookmarkStart w:id="423" w:name="_Toc5698"/>
    </w:p>
    <w:p>
      <w:pPr>
        <w:pStyle w:val="959"/>
        <w:spacing w:before="0" w:beforeAutospacing="0" w:after="0" w:afterAutospacing="0" w:line="360" w:lineRule="auto"/>
        <w:ind w:firstLine="480"/>
        <w:rPr>
          <w:rFonts w:ascii="仿宋" w:hAnsi="仿宋" w:eastAsia="仿宋" w:cs="仿宋"/>
          <w:bCs/>
          <w:color w:val="auto"/>
        </w:rPr>
      </w:pPr>
      <w:r>
        <w:rPr>
          <w:rFonts w:hint="eastAsia" w:ascii="仿宋" w:hAnsi="仿宋" w:eastAsia="仿宋" w:cs="仿宋"/>
          <w:bCs/>
          <w:color w:val="auto"/>
        </w:rPr>
        <w:t>1.7.4若服务涉及货物的，则货物的：</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1.7.4.1交付期限：详见</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1.7.4.2交付地点：</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1.7.4.3交付方式：</w:t>
      </w:r>
      <w:r>
        <w:rPr>
          <w:rFonts w:hint="eastAsia" w:ascii="仿宋" w:hAnsi="仿宋" w:eastAsia="仿宋" w:cs="仿宋"/>
          <w:b/>
          <w:i/>
          <w:color w:val="auto"/>
          <w:u w:val="single"/>
        </w:rPr>
        <w:t>合同专用条款</w:t>
      </w:r>
      <w:r>
        <w:rPr>
          <w:rFonts w:hint="eastAsia" w:ascii="仿宋" w:hAnsi="仿宋" w:eastAsia="仿宋" w:cs="仿宋"/>
          <w:color w:val="auto"/>
        </w:rPr>
        <w:t>。</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1.8违约责任</w:t>
      </w:r>
      <w:bookmarkEnd w:id="419"/>
      <w:bookmarkEnd w:id="420"/>
      <w:bookmarkEnd w:id="421"/>
      <w:bookmarkEnd w:id="422"/>
      <w:bookmarkEnd w:id="423"/>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u w:val="single"/>
        </w:rPr>
        <w:t>0.05</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20 </w:t>
      </w:r>
      <w:r>
        <w:rPr>
          <w:rFonts w:hint="eastAsia" w:ascii="仿宋" w:hAnsi="仿宋" w:eastAsia="仿宋" w:cs="仿宋"/>
          <w:color w:val="auto"/>
        </w:rPr>
        <w:t>%；迟延履行的违约金计算数额达到前述最高限额之日起，甲方有权在要求乙方支付违约金的同时，书面通知乙方解除本合同；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eastAsia="仿宋" w:cs="仿宋"/>
          <w:color w:val="auto"/>
        </w:rPr>
      </w:pPr>
      <w:r>
        <w:rPr>
          <w:rFonts w:hint="eastAsia" w:ascii="仿宋" w:eastAsia="仿宋" w:cs="仿宋"/>
          <w:color w:val="auto"/>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u w:val="single"/>
        </w:rPr>
        <w:t xml:space="preserve"> 0.05（可根据情况修改） </w:t>
      </w:r>
      <w:r>
        <w:rPr>
          <w:rFonts w:hint="eastAsia" w:ascii="仿宋" w:eastAsia="仿宋" w:cs="仿宋"/>
          <w:color w:val="auto"/>
        </w:rPr>
        <w:t>%计算，最高限额为本合同总价的</w:t>
      </w:r>
      <w:r>
        <w:rPr>
          <w:rFonts w:hint="eastAsia" w:ascii="仿宋" w:eastAsia="仿宋" w:cs="仿宋"/>
          <w:color w:val="auto"/>
          <w:u w:val="single"/>
        </w:rPr>
        <w:t xml:space="preserve">20 </w:t>
      </w:r>
      <w:r>
        <w:rPr>
          <w:rFonts w:hint="eastAsia" w:ascii="仿宋" w:eastAsia="仿宋" w:cs="仿宋"/>
          <w:color w:val="auto"/>
        </w:rPr>
        <w:t>%；迟延交付货物的违约金计算数额达到前述最高限额之日起，甲方有权在要求乙方支付违约金的同时，书面通知乙方解除本合同；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u w:val="single"/>
        </w:rPr>
        <w:t xml:space="preserve"> 0.05 </w:t>
      </w:r>
      <w:r>
        <w:rPr>
          <w:rFonts w:hint="eastAsia" w:ascii="仿宋" w:hAnsi="仿宋" w:eastAsia="仿宋" w:cs="仿宋"/>
          <w:color w:val="auto"/>
        </w:rPr>
        <w:t>%计算，最高限额为本合同总价的</w:t>
      </w:r>
      <w:r>
        <w:rPr>
          <w:rFonts w:hint="eastAsia" w:ascii="仿宋" w:hAnsi="仿宋" w:eastAsia="仿宋" w:cs="仿宋"/>
          <w:color w:val="auto"/>
          <w:u w:val="single"/>
        </w:rPr>
        <w:t xml:space="preserve"> 20（可根据情况修改） </w:t>
      </w:r>
      <w:r>
        <w:rPr>
          <w:rFonts w:hint="eastAsia" w:ascii="仿宋" w:hAnsi="仿宋" w:eastAsia="仿宋" w:cs="仿宋"/>
          <w:color w:val="auto"/>
        </w:rPr>
        <w:t>%；迟延付款的违约金计算数额达到前述最高限额之日起，乙方有权在要求甲方支付违约金的同时，书面通知甲方解除本合同；</w:t>
      </w:r>
      <w:bookmarkStart w:id="424" w:name="_Toc18683"/>
      <w:bookmarkStart w:id="425" w:name="_Toc26807"/>
      <w:bookmarkStart w:id="426" w:name="_Toc30329"/>
      <w:bookmarkStart w:id="427" w:name="_Toc9497"/>
      <w:bookmarkStart w:id="428" w:name="_Toc32454"/>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1.8.7违约责任</w:t>
      </w:r>
      <w:r>
        <w:rPr>
          <w:rFonts w:hint="eastAsia" w:ascii="仿宋" w:hAnsi="仿宋" w:eastAsia="仿宋" w:cs="仿宋"/>
          <w:b/>
          <w:i/>
          <w:color w:val="auto"/>
          <w:u w:val="single"/>
        </w:rPr>
        <w:t>合同专用条款</w:t>
      </w:r>
      <w:r>
        <w:rPr>
          <w:rFonts w:hint="eastAsia" w:ascii="仿宋" w:hAnsi="仿宋" w:eastAsia="仿宋" w:cs="仿宋"/>
          <w:color w:val="auto"/>
        </w:rPr>
        <w:t>另有约定的，从其约定。</w:t>
      </w:r>
      <w:bookmarkEnd w:id="424"/>
      <w:bookmarkEnd w:id="425"/>
      <w:bookmarkEnd w:id="426"/>
      <w:bookmarkEnd w:id="427"/>
      <w:bookmarkEnd w:id="428"/>
      <w:bookmarkStart w:id="429" w:name="_Toc16021"/>
      <w:bookmarkStart w:id="430" w:name="_Toc15583"/>
      <w:bookmarkStart w:id="431" w:name="_Toc28375"/>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b/>
          <w:color w:val="auto"/>
        </w:rPr>
        <w:t>1.9合同争议的解决</w:t>
      </w:r>
      <w:bookmarkEnd w:id="429"/>
      <w:bookmarkEnd w:id="430"/>
      <w:bookmarkEnd w:id="431"/>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u w:val="single"/>
        </w:rPr>
        <w:t xml:space="preserve"> 1.9.2 </w:t>
      </w:r>
      <w:r>
        <w:rPr>
          <w:rFonts w:hint="eastAsia" w:ascii="仿宋" w:hAnsi="仿宋" w:eastAsia="仿宋" w:cs="仿宋"/>
          <w:color w:val="auto"/>
        </w:rPr>
        <w:t>条款规定的方式解决：</w:t>
      </w:r>
    </w:p>
    <w:p>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1.9.1将争议提交</w:t>
      </w:r>
      <w:r>
        <w:rPr>
          <w:rFonts w:hint="eastAsia" w:ascii="仿宋" w:hAnsi="仿宋" w:eastAsia="仿宋" w:cs="仿宋"/>
          <w:b/>
          <w:i/>
          <w:color w:val="auto"/>
          <w:u w:val="single"/>
        </w:rPr>
        <w:t>合同专用条款</w:t>
      </w:r>
      <w:r>
        <w:rPr>
          <w:rFonts w:hint="eastAsia" w:ascii="仿宋" w:hAnsi="仿宋" w:eastAsia="仿宋" w:cs="仿宋"/>
          <w:color w:val="auto"/>
        </w:rPr>
        <w:t>仲裁委员会依申请仲裁时其现行有效的仲裁规则裁决；</w:t>
      </w:r>
    </w:p>
    <w:p>
      <w:pPr>
        <w:pStyle w:val="959"/>
        <w:spacing w:before="0" w:beforeAutospacing="0" w:after="0" w:afterAutospacing="0" w:line="360" w:lineRule="auto"/>
        <w:ind w:firstLine="480"/>
        <w:rPr>
          <w:rFonts w:ascii="仿宋" w:hAnsi="仿宋" w:eastAsia="仿宋" w:cs="仿宋"/>
          <w:b/>
          <w:color w:val="auto"/>
        </w:rPr>
      </w:pPr>
      <w:r>
        <w:rPr>
          <w:rFonts w:hint="eastAsia" w:ascii="仿宋" w:hAnsi="仿宋" w:eastAsia="仿宋" w:cs="仿宋"/>
          <w:color w:val="auto"/>
        </w:rPr>
        <w:t>1.9.2向</w:t>
      </w:r>
      <w:r>
        <w:rPr>
          <w:rFonts w:hint="eastAsia" w:ascii="仿宋" w:hAnsi="仿宋" w:eastAsia="仿宋" w:cs="仿宋"/>
          <w:b/>
          <w:i/>
          <w:color w:val="auto"/>
          <w:u w:val="single"/>
        </w:rPr>
        <w:t>合同专用条款</w:t>
      </w:r>
      <w:r>
        <w:rPr>
          <w:rFonts w:hint="eastAsia" w:ascii="仿宋" w:hAnsi="仿宋" w:eastAsia="仿宋" w:cs="仿宋"/>
          <w:color w:val="auto"/>
        </w:rPr>
        <w:t>人民法院起诉。</w:t>
      </w:r>
    </w:p>
    <w:p>
      <w:pPr>
        <w:spacing w:line="560" w:lineRule="exact"/>
        <w:ind w:firstLine="482" w:firstLineChars="200"/>
        <w:outlineLvl w:val="0"/>
        <w:rPr>
          <w:rFonts w:ascii="仿宋" w:hAnsi="仿宋" w:eastAsia="仿宋" w:cs="仿宋"/>
          <w:b/>
          <w:color w:val="auto"/>
          <w:sz w:val="24"/>
        </w:rPr>
      </w:pPr>
      <w:bookmarkStart w:id="432" w:name="_Toc11173"/>
      <w:bookmarkStart w:id="433" w:name="_Toc7245"/>
      <w:bookmarkStart w:id="434" w:name="_Toc15322"/>
      <w:r>
        <w:rPr>
          <w:rFonts w:hint="eastAsia" w:ascii="仿宋" w:hAnsi="仿宋" w:eastAsia="仿宋" w:cs="仿宋"/>
          <w:b/>
          <w:color w:val="auto"/>
          <w:sz w:val="24"/>
        </w:rPr>
        <w:t>2.0合同生效</w:t>
      </w:r>
      <w:bookmarkEnd w:id="432"/>
      <w:bookmarkEnd w:id="433"/>
      <w:bookmarkEnd w:id="434"/>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adjustRightInd/>
        <w:jc w:val="left"/>
        <w:rPr>
          <w:rFonts w:ascii="仿宋" w:hAnsi="仿宋" w:eastAsia="仿宋" w:cs="仿宋"/>
          <w:b/>
          <w:color w:val="auto"/>
          <w:sz w:val="24"/>
        </w:rPr>
      </w:pPr>
      <w:r>
        <w:rPr>
          <w:rFonts w:ascii="仿宋" w:hAnsi="仿宋" w:eastAsia="仿宋" w:cs="仿宋"/>
          <w:b/>
          <w:color w:val="auto"/>
        </w:rPr>
        <w:br w:type="page"/>
      </w:r>
    </w:p>
    <w:p>
      <w:pPr>
        <w:pStyle w:val="701"/>
        <w:spacing w:line="560" w:lineRule="exact"/>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p>
    <w:p>
      <w:pPr>
        <w:spacing w:line="560" w:lineRule="exact"/>
        <w:ind w:firstLine="482" w:firstLineChars="200"/>
        <w:outlineLvl w:val="0"/>
        <w:rPr>
          <w:rFonts w:ascii="仿宋" w:hAnsi="仿宋" w:eastAsia="仿宋" w:cs="仿宋"/>
          <w:b/>
          <w:color w:val="auto"/>
          <w:sz w:val="24"/>
        </w:rPr>
      </w:pPr>
      <w:bookmarkStart w:id="435" w:name="_Toc19680"/>
      <w:bookmarkStart w:id="436" w:name="_Toc14021"/>
      <w:bookmarkStart w:id="437" w:name="_Toc5228"/>
      <w:bookmarkStart w:id="438" w:name="_Toc25079"/>
      <w:bookmarkStart w:id="439" w:name="_Toc31297"/>
      <w:r>
        <w:rPr>
          <w:rFonts w:hint="eastAsia" w:ascii="仿宋" w:hAnsi="仿宋" w:eastAsia="仿宋" w:cs="仿宋"/>
          <w:b/>
          <w:color w:val="auto"/>
          <w:sz w:val="24"/>
        </w:rPr>
        <w:t>2.1定义</w:t>
      </w:r>
      <w:bookmarkEnd w:id="435"/>
      <w:bookmarkEnd w:id="436"/>
      <w:bookmarkEnd w:id="437"/>
      <w:bookmarkEnd w:id="438"/>
      <w:bookmarkEnd w:id="43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2.1.6“现场”系指合同约定提供服务的地点。</w:t>
      </w:r>
    </w:p>
    <w:p>
      <w:pPr>
        <w:spacing w:line="560" w:lineRule="exact"/>
        <w:ind w:firstLine="482" w:firstLineChars="200"/>
        <w:outlineLvl w:val="0"/>
        <w:rPr>
          <w:rFonts w:ascii="仿宋" w:hAnsi="仿宋" w:eastAsia="仿宋" w:cs="仿宋"/>
          <w:b/>
          <w:color w:val="auto"/>
          <w:sz w:val="24"/>
        </w:rPr>
      </w:pPr>
      <w:bookmarkStart w:id="440" w:name="_Toc16752"/>
      <w:bookmarkStart w:id="441" w:name="_Toc31402"/>
      <w:bookmarkStart w:id="442" w:name="_Toc3769"/>
      <w:bookmarkStart w:id="443" w:name="_Toc19539"/>
      <w:bookmarkStart w:id="444" w:name="_Toc23289"/>
      <w:r>
        <w:rPr>
          <w:rFonts w:hint="eastAsia" w:ascii="仿宋" w:hAnsi="仿宋" w:eastAsia="仿宋" w:cs="仿宋"/>
          <w:b/>
          <w:color w:val="auto"/>
          <w:sz w:val="24"/>
        </w:rPr>
        <w:t>2.2技术规范</w:t>
      </w:r>
      <w:bookmarkEnd w:id="440"/>
      <w:bookmarkEnd w:id="441"/>
      <w:bookmarkEnd w:id="442"/>
      <w:bookmarkEnd w:id="443"/>
      <w:bookmarkEnd w:id="44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45" w:name="_Toc27945"/>
      <w:bookmarkStart w:id="446" w:name="_Toc9161"/>
      <w:bookmarkStart w:id="447" w:name="_Toc4133"/>
      <w:bookmarkStart w:id="448" w:name="_Toc13673"/>
      <w:bookmarkStart w:id="449" w:name="_Toc12412"/>
      <w:r>
        <w:rPr>
          <w:rFonts w:hint="eastAsia" w:ascii="仿宋" w:hAnsi="仿宋" w:eastAsia="仿宋" w:cs="仿宋"/>
          <w:b/>
          <w:color w:val="auto"/>
          <w:sz w:val="24"/>
        </w:rPr>
        <w:t>2.3知识产权</w:t>
      </w:r>
      <w:bookmarkEnd w:id="445"/>
      <w:bookmarkEnd w:id="446"/>
      <w:bookmarkEnd w:id="447"/>
      <w:bookmarkEnd w:id="448"/>
      <w:bookmarkEnd w:id="44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2.4履约检查和问题反馈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rPr>
      </w:pPr>
      <w:bookmarkStart w:id="450" w:name="_Toc31233"/>
      <w:bookmarkStart w:id="451" w:name="_Toc26555"/>
      <w:bookmarkStart w:id="452" w:name="_Toc22011"/>
      <w:bookmarkStart w:id="453" w:name="_Toc15447"/>
      <w:bookmarkStart w:id="454" w:name="_Toc32670"/>
      <w:r>
        <w:rPr>
          <w:rFonts w:hint="eastAsia" w:ascii="仿宋" w:hAnsi="仿宋" w:eastAsia="仿宋" w:cs="仿宋"/>
          <w:b/>
          <w:color w:val="auto"/>
          <w:sz w:val="24"/>
        </w:rPr>
        <w:t>2.5结算方式和付款条件</w:t>
      </w:r>
      <w:bookmarkEnd w:id="450"/>
      <w:bookmarkEnd w:id="451"/>
      <w:bookmarkEnd w:id="452"/>
      <w:bookmarkEnd w:id="453"/>
      <w:bookmarkEnd w:id="45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55" w:name="_Toc18990"/>
      <w:bookmarkStart w:id="456" w:name="_Toc30507"/>
      <w:bookmarkStart w:id="457" w:name="_Toc16163"/>
      <w:bookmarkStart w:id="458" w:name="_Toc13467"/>
      <w:bookmarkStart w:id="459" w:name="_Toc13154"/>
      <w:r>
        <w:rPr>
          <w:rFonts w:hint="eastAsia" w:ascii="仿宋" w:hAnsi="仿宋" w:eastAsia="仿宋" w:cs="仿宋"/>
          <w:b/>
          <w:color w:val="auto"/>
          <w:sz w:val="24"/>
        </w:rPr>
        <w:t>2.6技术资料和保密义务</w:t>
      </w:r>
      <w:bookmarkEnd w:id="455"/>
      <w:bookmarkEnd w:id="456"/>
      <w:bookmarkEnd w:id="457"/>
      <w:bookmarkEnd w:id="458"/>
      <w:bookmarkEnd w:id="45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460" w:name="_Toc19069"/>
      <w:r>
        <w:rPr>
          <w:rFonts w:hint="eastAsia" w:ascii="仿宋" w:hAnsi="仿宋" w:eastAsia="仿宋" w:cs="仿宋"/>
          <w:b/>
          <w:color w:val="auto"/>
          <w:sz w:val="24"/>
        </w:rPr>
        <w:t>2.7质量保证</w:t>
      </w:r>
      <w:bookmarkEnd w:id="46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461" w:name="_Toc22267"/>
      <w:r>
        <w:rPr>
          <w:rFonts w:hint="eastAsia" w:ascii="仿宋" w:hAnsi="仿宋" w:eastAsia="仿宋" w:cs="仿宋"/>
          <w:b/>
          <w:color w:val="auto"/>
          <w:sz w:val="24"/>
        </w:rPr>
        <w:t>2.8延迟履行</w:t>
      </w:r>
      <w:bookmarkEnd w:id="46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rPr>
      </w:pPr>
      <w:bookmarkStart w:id="462" w:name="_Toc10611"/>
      <w:r>
        <w:rPr>
          <w:rFonts w:hint="eastAsia" w:ascii="仿宋" w:hAnsi="仿宋" w:eastAsia="仿宋" w:cs="仿宋"/>
          <w:b/>
          <w:color w:val="auto"/>
          <w:sz w:val="24"/>
        </w:rPr>
        <w:t>2.9合同变更</w:t>
      </w:r>
      <w:bookmarkEnd w:id="46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63" w:name="_Toc26689"/>
      <w:bookmarkStart w:id="464" w:name="_Toc23368"/>
      <w:bookmarkStart w:id="465" w:name="_Toc10663"/>
      <w:bookmarkStart w:id="466" w:name="_Toc21830"/>
      <w:bookmarkStart w:id="467" w:name="_Toc42"/>
      <w:r>
        <w:rPr>
          <w:rFonts w:hint="eastAsia" w:ascii="仿宋" w:hAnsi="仿宋" w:eastAsia="仿宋" w:cs="仿宋"/>
          <w:b/>
          <w:color w:val="auto"/>
          <w:sz w:val="24"/>
        </w:rPr>
        <w:t>2.10合同转让和分包</w:t>
      </w:r>
      <w:bookmarkEnd w:id="463"/>
      <w:bookmarkEnd w:id="464"/>
      <w:bookmarkEnd w:id="465"/>
      <w:bookmarkEnd w:id="466"/>
      <w:bookmarkEnd w:id="46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rPr>
      </w:pPr>
      <w:bookmarkStart w:id="468" w:name="_Toc25571"/>
      <w:bookmarkStart w:id="469" w:name="_Toc4720"/>
      <w:bookmarkStart w:id="470" w:name="_Toc32494"/>
      <w:bookmarkStart w:id="471" w:name="_Toc26633"/>
      <w:bookmarkStart w:id="472" w:name="_Toc14371"/>
      <w:r>
        <w:rPr>
          <w:rFonts w:hint="eastAsia" w:ascii="仿宋" w:hAnsi="仿宋" w:eastAsia="仿宋" w:cs="仿宋"/>
          <w:b/>
          <w:color w:val="auto"/>
          <w:sz w:val="24"/>
        </w:rPr>
        <w:t>2.11不可抗力</w:t>
      </w:r>
      <w:bookmarkEnd w:id="468"/>
      <w:bookmarkEnd w:id="469"/>
      <w:bookmarkEnd w:id="470"/>
      <w:bookmarkEnd w:id="471"/>
      <w:bookmarkEnd w:id="47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2.11.3因不可抗力致使合同有变更必要的，双方当事人应在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473" w:name="_Toc14115"/>
      <w:bookmarkStart w:id="474" w:name="_Toc23854"/>
      <w:bookmarkStart w:id="475" w:name="_Toc3638"/>
      <w:bookmarkStart w:id="476" w:name="_Toc24465"/>
      <w:bookmarkStart w:id="477" w:name="_Toc25783"/>
      <w:r>
        <w:rPr>
          <w:rFonts w:hint="eastAsia" w:ascii="仿宋" w:hAnsi="仿宋" w:eastAsia="仿宋" w:cs="仿宋"/>
          <w:b/>
          <w:color w:val="auto"/>
          <w:sz w:val="24"/>
        </w:rPr>
        <w:t>2.12税费</w:t>
      </w:r>
      <w:bookmarkEnd w:id="473"/>
      <w:bookmarkEnd w:id="474"/>
      <w:bookmarkEnd w:id="475"/>
      <w:bookmarkEnd w:id="476"/>
      <w:bookmarkEnd w:id="477"/>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rPr>
      </w:pPr>
      <w:bookmarkStart w:id="478" w:name="_Toc14814"/>
      <w:bookmarkStart w:id="479" w:name="_Toc25525"/>
      <w:bookmarkStart w:id="480" w:name="_Toc7315"/>
      <w:bookmarkStart w:id="481" w:name="_Toc26883"/>
      <w:bookmarkStart w:id="482" w:name="_Toc30105"/>
      <w:r>
        <w:rPr>
          <w:rFonts w:hint="eastAsia" w:ascii="仿宋" w:hAnsi="仿宋" w:eastAsia="仿宋" w:cs="仿宋"/>
          <w:b/>
          <w:color w:val="auto"/>
          <w:sz w:val="24"/>
        </w:rPr>
        <w:t>2.13乙方破产</w:t>
      </w:r>
      <w:bookmarkEnd w:id="478"/>
      <w:bookmarkEnd w:id="479"/>
      <w:bookmarkEnd w:id="480"/>
      <w:bookmarkEnd w:id="481"/>
      <w:bookmarkEnd w:id="48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483" w:name="_Toc2016"/>
      <w:bookmarkStart w:id="484" w:name="_Toc23323"/>
      <w:bookmarkStart w:id="485" w:name="_Toc1123"/>
      <w:r>
        <w:rPr>
          <w:rFonts w:hint="eastAsia" w:ascii="仿宋" w:hAnsi="仿宋" w:eastAsia="仿宋" w:cs="仿宋"/>
          <w:b/>
          <w:color w:val="auto"/>
          <w:sz w:val="24"/>
        </w:rPr>
        <w:t>2.14合同中止、终止</w:t>
      </w:r>
      <w:bookmarkEnd w:id="483"/>
      <w:bookmarkEnd w:id="484"/>
      <w:bookmarkEnd w:id="485"/>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486" w:name="_Toc17363"/>
      <w:bookmarkStart w:id="487" w:name="_Toc1969"/>
      <w:bookmarkStart w:id="488" w:name="_Toc14525"/>
      <w:r>
        <w:rPr>
          <w:rFonts w:hint="eastAsia" w:ascii="仿宋" w:hAnsi="仿宋" w:eastAsia="仿宋" w:cs="仿宋"/>
          <w:b/>
          <w:color w:val="auto"/>
          <w:sz w:val="24"/>
        </w:rPr>
        <w:t>2.15检验和验收</w:t>
      </w:r>
      <w:bookmarkEnd w:id="486"/>
      <w:bookmarkEnd w:id="487"/>
      <w:bookmarkEnd w:id="488"/>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pPr>
        <w:spacing w:line="560" w:lineRule="exact"/>
        <w:ind w:firstLine="482" w:firstLineChars="200"/>
        <w:outlineLvl w:val="0"/>
        <w:rPr>
          <w:rFonts w:ascii="仿宋" w:hAnsi="仿宋" w:eastAsia="仿宋" w:cs="仿宋"/>
          <w:b/>
          <w:color w:val="auto"/>
          <w:sz w:val="24"/>
        </w:rPr>
      </w:pPr>
      <w:bookmarkStart w:id="489" w:name="_Toc2308"/>
      <w:bookmarkStart w:id="490" w:name="_Toc31892"/>
      <w:bookmarkStart w:id="491" w:name="_Toc12666"/>
      <w:bookmarkStart w:id="492" w:name="_Toc25198"/>
      <w:bookmarkStart w:id="493" w:name="_Toc9808"/>
      <w:r>
        <w:rPr>
          <w:rFonts w:hint="eastAsia" w:ascii="仿宋" w:hAnsi="仿宋" w:eastAsia="仿宋" w:cs="仿宋"/>
          <w:b/>
          <w:color w:val="auto"/>
          <w:sz w:val="24"/>
        </w:rPr>
        <w:t>2.16通知和送达</w:t>
      </w:r>
      <w:bookmarkEnd w:id="489"/>
      <w:bookmarkEnd w:id="490"/>
      <w:bookmarkEnd w:id="491"/>
      <w:bookmarkEnd w:id="492"/>
      <w:bookmarkEnd w:id="493"/>
    </w:p>
    <w:p>
      <w:pPr>
        <w:spacing w:line="560" w:lineRule="exact"/>
        <w:ind w:firstLine="480" w:firstLineChars="200"/>
        <w:rPr>
          <w:rFonts w:ascii="仿宋" w:hAnsi="仿宋" w:eastAsia="仿宋" w:cs="仿宋"/>
          <w:color w:val="auto"/>
          <w:sz w:val="24"/>
        </w:rPr>
      </w:pPr>
      <w:bookmarkStart w:id="494" w:name="_Toc27674"/>
      <w:bookmarkStart w:id="495" w:name="_Toc18401"/>
      <w:r>
        <w:rPr>
          <w:rFonts w:hint="eastAsia" w:ascii="仿宋" w:hAnsi="仿宋" w:eastAsia="仿宋" w:cs="仿宋"/>
          <w:color w:val="auto"/>
          <w:sz w:val="24"/>
        </w:rPr>
        <w:t xml:space="preserve">2.16.1任何一方因履行合同而以合同第一部分尾部所列明的传真或电子邮件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pacing w:line="560" w:lineRule="exact"/>
        <w:ind w:firstLine="482" w:firstLineChars="200"/>
        <w:outlineLvl w:val="0"/>
        <w:rPr>
          <w:rFonts w:ascii="仿宋" w:hAnsi="仿宋" w:eastAsia="仿宋" w:cs="仿宋"/>
          <w:b/>
          <w:color w:val="auto"/>
          <w:sz w:val="24"/>
        </w:rPr>
      </w:pPr>
      <w:bookmarkStart w:id="496" w:name="_Toc5063"/>
      <w:bookmarkStart w:id="497" w:name="_Toc28906"/>
      <w:bookmarkStart w:id="498" w:name="_Toc12254"/>
      <w:bookmarkStart w:id="499" w:name="_Toc20808"/>
      <w:bookmarkStart w:id="500" w:name="_Toc27644"/>
      <w:r>
        <w:rPr>
          <w:rFonts w:hint="eastAsia" w:ascii="仿宋" w:hAnsi="仿宋" w:eastAsia="仿宋" w:cs="仿宋"/>
          <w:b/>
          <w:color w:val="auto"/>
          <w:sz w:val="24"/>
        </w:rPr>
        <w:t>2.17合同使用的文字和适用的法律</w:t>
      </w:r>
      <w:bookmarkEnd w:id="496"/>
      <w:bookmarkEnd w:id="497"/>
      <w:bookmarkEnd w:id="498"/>
      <w:bookmarkEnd w:id="499"/>
      <w:bookmarkEnd w:id="50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2.17.1合同使用汉语书就、变更和解释；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2.17.2合同适用中华人民共和国法律。</w:t>
      </w:r>
    </w:p>
    <w:p>
      <w:pPr>
        <w:spacing w:line="560" w:lineRule="exact"/>
        <w:ind w:firstLine="482" w:firstLineChars="200"/>
        <w:outlineLvl w:val="0"/>
        <w:rPr>
          <w:rFonts w:ascii="仿宋" w:hAnsi="仿宋" w:eastAsia="仿宋" w:cs="仿宋"/>
          <w:b/>
          <w:color w:val="auto"/>
          <w:sz w:val="24"/>
        </w:rPr>
      </w:pPr>
      <w:bookmarkStart w:id="501" w:name="_Toc18540"/>
      <w:bookmarkStart w:id="502" w:name="_Toc4355"/>
      <w:bookmarkStart w:id="503" w:name="_Toc30599"/>
      <w:r>
        <w:rPr>
          <w:rFonts w:hint="eastAsia" w:ascii="仿宋" w:hAnsi="仿宋" w:eastAsia="仿宋" w:cs="仿宋"/>
          <w:b/>
          <w:color w:val="auto"/>
          <w:sz w:val="24"/>
        </w:rPr>
        <w:t>2.18计量单位</w:t>
      </w:r>
      <w:bookmarkEnd w:id="501"/>
      <w:bookmarkEnd w:id="502"/>
      <w:bookmarkEnd w:id="50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2.19合同份数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spacing w:line="360" w:lineRule="auto"/>
        <w:jc w:val="center"/>
        <w:outlineLvl w:val="0"/>
        <w:rPr>
          <w:rFonts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464" w:type="pct"/>
            <w:vAlign w:val="center"/>
          </w:tcPr>
          <w:p>
            <w:pPr>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1.3.2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/（本合同为总价合同）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1.4.2</w:t>
            </w:r>
          </w:p>
        </w:tc>
        <w:tc>
          <w:tcPr>
            <w:tcW w:w="4464" w:type="pct"/>
            <w:vAlign w:val="center"/>
          </w:tcPr>
          <w:p>
            <w:pPr>
              <w:rPr>
                <w:rFonts w:ascii="仿宋" w:hAnsi="仿宋" w:eastAsia="仿宋" w:cs="仿宋"/>
                <w:color w:val="auto"/>
                <w:sz w:val="24"/>
              </w:rPr>
            </w:pPr>
            <w:r>
              <w:rPr>
                <w:rFonts w:hint="eastAsia" w:ascii="仿宋" w:hAnsi="仿宋" w:eastAsia="仿宋" w:cs="Arial"/>
                <w:bCs/>
                <w:color w:val="auto"/>
                <w:sz w:val="24"/>
              </w:rPr>
              <w:t>合同签订后7个工作日内，乙方须向甲方支付中标金额的1%作为履约保证金，以支票、汇票、本票或者金融机构、担保机构出具的保函等非现金形式提交；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1.5.1</w:t>
            </w:r>
          </w:p>
        </w:tc>
        <w:tc>
          <w:tcPr>
            <w:tcW w:w="4464" w:type="pct"/>
            <w:vAlign w:val="center"/>
          </w:tcPr>
          <w:p>
            <w:pPr>
              <w:rPr>
                <w:rFonts w:ascii="仿宋" w:hAnsi="仿宋" w:eastAsia="仿宋" w:cs="仿宋"/>
                <w:color w:val="auto"/>
                <w:sz w:val="24"/>
              </w:rPr>
            </w:pPr>
            <w:r>
              <w:rPr>
                <w:rFonts w:hint="eastAsia" w:ascii="仿宋" w:hAnsi="仿宋" w:eastAsia="仿宋" w:cs="仿宋"/>
                <w:color w:val="auto"/>
                <w:kern w:val="0"/>
                <w:sz w:val="24"/>
              </w:rPr>
              <w:t>在合同生效以及具备实施条件后5个工作日内，支付监理合同总额的40%；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1.5.2</w:t>
            </w:r>
          </w:p>
        </w:tc>
        <w:tc>
          <w:tcPr>
            <w:tcW w:w="4464" w:type="pct"/>
            <w:vAlign w:val="center"/>
          </w:tcPr>
          <w:p>
            <w:pPr>
              <w:rPr>
                <w:rFonts w:ascii="仿宋" w:hAnsi="仿宋" w:eastAsia="仿宋" w:cs="仿宋"/>
                <w:color w:val="auto"/>
                <w:sz w:val="24"/>
              </w:rPr>
            </w:pPr>
            <w:r>
              <w:rPr>
                <w:rFonts w:hint="eastAsia" w:ascii="仿宋" w:hAnsi="仿宋" w:eastAsia="仿宋" w:cs="Arial"/>
                <w:bCs/>
                <w:color w:val="auto"/>
                <w:sz w:val="24"/>
              </w:rPr>
              <w:t>预付款不扣回，资金支付时转为合同款；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1.5.3</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1.6.2</w:t>
            </w:r>
          </w:p>
        </w:tc>
        <w:tc>
          <w:tcPr>
            <w:tcW w:w="4464" w:type="pct"/>
            <w:vAlign w:val="center"/>
          </w:tcPr>
          <w:p>
            <w:pPr>
              <w:rPr>
                <w:rFonts w:ascii="仿宋" w:hAnsi="仿宋" w:eastAsia="仿宋" w:cs="仿宋"/>
                <w:color w:val="auto"/>
                <w:kern w:val="0"/>
                <w:sz w:val="24"/>
              </w:rPr>
            </w:pPr>
            <w:r>
              <w:rPr>
                <w:rFonts w:hint="eastAsia" w:ascii="仿宋" w:hAnsi="仿宋" w:eastAsia="仿宋" w:cs="仿宋"/>
                <w:color w:val="auto"/>
                <w:kern w:val="0"/>
                <w:sz w:val="24"/>
              </w:rPr>
              <w:t>1.预付款：在合同生效以及具备实施条件后5个工作日内，支付监理合同总额的40%；</w:t>
            </w:r>
          </w:p>
          <w:p>
            <w:pPr>
              <w:rPr>
                <w:rFonts w:ascii="仿宋" w:hAnsi="仿宋" w:eastAsia="仿宋" w:cs="仿宋"/>
                <w:color w:val="auto"/>
                <w:kern w:val="0"/>
                <w:sz w:val="24"/>
              </w:rPr>
            </w:pPr>
            <w:r>
              <w:rPr>
                <w:rFonts w:hint="eastAsia" w:ascii="仿宋" w:hAnsi="仿宋" w:eastAsia="仿宋" w:cs="仿宋"/>
                <w:color w:val="auto"/>
                <w:kern w:val="0"/>
                <w:sz w:val="24"/>
              </w:rPr>
              <w:t>2.监理合同签订满6个月后10个工作日内，支付监理合同总额的30%；</w:t>
            </w:r>
          </w:p>
          <w:p>
            <w:pPr>
              <w:rPr>
                <w:rFonts w:ascii="仿宋" w:hAnsi="仿宋" w:eastAsia="仿宋" w:cs="仿宋"/>
                <w:color w:val="auto"/>
                <w:sz w:val="24"/>
              </w:rPr>
            </w:pPr>
            <w:r>
              <w:rPr>
                <w:rFonts w:hint="eastAsia" w:ascii="仿宋" w:hAnsi="仿宋" w:eastAsia="仿宋" w:cs="仿宋"/>
                <w:color w:val="auto"/>
                <w:kern w:val="0"/>
                <w:sz w:val="24"/>
              </w:rPr>
              <w:t>3.监理服务期到期后10个工作日内，支付监理合同总额的30%。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1.7.1</w:t>
            </w:r>
          </w:p>
        </w:tc>
        <w:tc>
          <w:tcPr>
            <w:tcW w:w="4464" w:type="pct"/>
            <w:vAlign w:val="center"/>
          </w:tcPr>
          <w:p>
            <w:pPr>
              <w:rPr>
                <w:rFonts w:ascii="仿宋" w:hAnsi="仿宋" w:eastAsia="仿宋" w:cs="仿宋"/>
                <w:color w:val="auto"/>
                <w:sz w:val="24"/>
              </w:rPr>
            </w:pPr>
            <w:r>
              <w:rPr>
                <w:rFonts w:hint="eastAsia" w:ascii="仿宋" w:hAnsi="仿宋" w:eastAsia="仿宋" w:cs="仿宋"/>
                <w:color w:val="auto"/>
                <w:kern w:val="0"/>
                <w:sz w:val="24"/>
              </w:rPr>
              <w:t>合同签订之日起至3年服务期结束。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1.7.2</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1.7.3</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结合招标文件“第三部分 采购需求”及乙方投标文件，按甲方要求实施。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1.7.4.1</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1.7.4.2</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1.7.4.3</w:t>
            </w:r>
          </w:p>
        </w:tc>
        <w:tc>
          <w:tcPr>
            <w:tcW w:w="4464" w:type="pct"/>
            <w:vAlign w:val="center"/>
          </w:tcPr>
          <w:p>
            <w:pPr>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1.8.7</w:t>
            </w:r>
          </w:p>
        </w:tc>
        <w:tc>
          <w:tcPr>
            <w:tcW w:w="4464" w:type="pct"/>
            <w:vAlign w:val="center"/>
          </w:tcPr>
          <w:p>
            <w:pPr>
              <w:jc w:val="left"/>
              <w:rPr>
                <w:rFonts w:ascii="仿宋" w:hAnsi="仿宋" w:eastAsia="仿宋" w:cs="宋体"/>
                <w:color w:val="auto"/>
                <w:sz w:val="24"/>
              </w:rPr>
            </w:pPr>
            <w:r>
              <w:rPr>
                <w:rFonts w:hint="eastAsia" w:ascii="仿宋" w:hAnsi="仿宋" w:eastAsia="仿宋" w:cs="宋体"/>
                <w:color w:val="auto"/>
                <w:sz w:val="24"/>
              </w:rPr>
              <w:t>结合招标文件“第三部分 采购需求”</w:t>
            </w:r>
          </w:p>
          <w:p>
            <w:pPr>
              <w:jc w:val="left"/>
              <w:rPr>
                <w:rFonts w:ascii="仿宋" w:hAnsi="仿宋" w:eastAsia="仿宋" w:cs="宋体"/>
                <w:color w:val="auto"/>
                <w:sz w:val="24"/>
              </w:rPr>
            </w:pPr>
            <w:r>
              <w:rPr>
                <w:rFonts w:hint="eastAsia" w:ascii="仿宋" w:hAnsi="仿宋" w:eastAsia="仿宋" w:cs="宋体"/>
                <w:color w:val="auto"/>
                <w:sz w:val="24"/>
              </w:rPr>
              <w:t>（1）乙方在责任期内，乙方应保证乙方工作人员的稳定性，未经甲方的书面同意，不得随意更换，否则视为乙方违约。</w:t>
            </w:r>
          </w:p>
          <w:p>
            <w:pPr>
              <w:jc w:val="left"/>
              <w:rPr>
                <w:rFonts w:ascii="仿宋" w:hAnsi="仿宋" w:eastAsia="仿宋" w:cs="宋体"/>
                <w:color w:val="auto"/>
                <w:sz w:val="24"/>
              </w:rPr>
            </w:pPr>
            <w:r>
              <w:rPr>
                <w:rFonts w:hint="eastAsia" w:ascii="仿宋" w:hAnsi="仿宋" w:eastAsia="仿宋" w:cs="宋体"/>
                <w:color w:val="auto"/>
                <w:sz w:val="24"/>
              </w:rPr>
              <w:t>（2）乙方在责任期内如有失职，按以下方法计算承担赔偿金：</w:t>
            </w:r>
          </w:p>
          <w:p>
            <w:pPr>
              <w:jc w:val="left"/>
              <w:rPr>
                <w:rFonts w:ascii="仿宋" w:hAnsi="仿宋" w:eastAsia="仿宋" w:cs="宋体"/>
                <w:color w:val="auto"/>
                <w:sz w:val="24"/>
              </w:rPr>
            </w:pPr>
            <w:r>
              <w:rPr>
                <w:rFonts w:hint="eastAsia" w:ascii="仿宋" w:hAnsi="仿宋" w:eastAsia="仿宋" w:cs="宋体"/>
                <w:color w:val="auto"/>
                <w:sz w:val="24"/>
              </w:rPr>
              <w:t>赔偿金=直接经济损失×服务费比例</w:t>
            </w:r>
          </w:p>
          <w:p>
            <w:pPr>
              <w:jc w:val="left"/>
              <w:rPr>
                <w:rFonts w:ascii="仿宋" w:hAnsi="仿宋" w:eastAsia="仿宋" w:cs="宋体"/>
                <w:color w:val="auto"/>
                <w:sz w:val="24"/>
              </w:rPr>
            </w:pPr>
            <w:r>
              <w:rPr>
                <w:rFonts w:hint="eastAsia" w:ascii="仿宋" w:hAnsi="仿宋" w:eastAsia="仿宋" w:cs="宋体"/>
                <w:color w:val="auto"/>
                <w:sz w:val="24"/>
              </w:rPr>
              <w:t>（服务费比例=监理服务费/项目总费用）</w:t>
            </w:r>
          </w:p>
          <w:p>
            <w:pPr>
              <w:jc w:val="left"/>
              <w:rPr>
                <w:rFonts w:ascii="仿宋" w:hAnsi="仿宋" w:eastAsia="仿宋" w:cs="宋体"/>
                <w:color w:val="auto"/>
                <w:sz w:val="24"/>
              </w:rPr>
            </w:pPr>
            <w:r>
              <w:rPr>
                <w:rFonts w:hint="eastAsia" w:ascii="仿宋" w:hAnsi="仿宋" w:eastAsia="仿宋" w:cs="宋体"/>
                <w:color w:val="auto"/>
                <w:sz w:val="24"/>
              </w:rPr>
              <w:t>如造成社会影响，甲方有权将酌情加重处理。</w:t>
            </w:r>
          </w:p>
          <w:p>
            <w:pPr>
              <w:jc w:val="left"/>
              <w:rPr>
                <w:rFonts w:ascii="仿宋" w:hAnsi="仿宋" w:eastAsia="仿宋" w:cs="宋体"/>
                <w:color w:val="auto"/>
                <w:sz w:val="24"/>
              </w:rPr>
            </w:pPr>
            <w:r>
              <w:rPr>
                <w:rFonts w:hint="eastAsia" w:ascii="仿宋" w:hAnsi="仿宋" w:eastAsia="仿宋" w:cs="宋体"/>
                <w:color w:val="auto"/>
                <w:sz w:val="24"/>
              </w:rPr>
              <w:t>（3）甲方应当履行监理合同约定的义务，如有违反，也须承担相应的违约责任。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1.9.1</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1.9.2</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杭州市上城区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2.3.2</w:t>
            </w:r>
          </w:p>
        </w:tc>
        <w:tc>
          <w:tcPr>
            <w:tcW w:w="4464" w:type="pct"/>
            <w:vAlign w:val="center"/>
          </w:tcPr>
          <w:p>
            <w:pPr>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4464" w:type="pct"/>
            <w:vAlign w:val="center"/>
          </w:tcPr>
          <w:p>
            <w:pPr>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同1</w:t>
            </w:r>
            <w:r>
              <w:rPr>
                <w:rFonts w:ascii="仿宋" w:hAnsi="仿宋" w:eastAsia="仿宋" w:cs="仿宋"/>
                <w:color w:val="auto"/>
                <w:sz w:val="24"/>
              </w:rPr>
              <w:t>.6.2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2.11.3</w:t>
            </w:r>
          </w:p>
        </w:tc>
        <w:tc>
          <w:tcPr>
            <w:tcW w:w="4464" w:type="pct"/>
            <w:vAlign w:val="center"/>
          </w:tcPr>
          <w:p>
            <w:pPr>
              <w:rPr>
                <w:rFonts w:ascii="仿宋" w:hAnsi="仿宋" w:eastAsia="仿宋"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jc w:val="center"/>
              <w:rPr>
                <w:rFonts w:ascii="仿宋" w:hAnsi="仿宋" w:eastAsia="仿宋" w:cs="仿宋"/>
                <w:color w:val="auto"/>
                <w:sz w:val="24"/>
              </w:rPr>
            </w:pPr>
            <w:r>
              <w:rPr>
                <w:rFonts w:hint="eastAsia" w:ascii="仿宋" w:hAnsi="仿宋" w:eastAsia="仿宋" w:cs="仿宋"/>
                <w:color w:val="auto"/>
                <w:sz w:val="24"/>
              </w:rPr>
              <w:t>2.11.4</w:t>
            </w:r>
          </w:p>
        </w:tc>
        <w:tc>
          <w:tcPr>
            <w:tcW w:w="4464" w:type="pct"/>
          </w:tcPr>
          <w:p>
            <w:pPr>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2.15.1</w:t>
            </w:r>
          </w:p>
        </w:tc>
        <w:tc>
          <w:tcPr>
            <w:tcW w:w="4464" w:type="pct"/>
            <w:vAlign w:val="center"/>
          </w:tcPr>
          <w:p>
            <w:pPr>
              <w:rPr>
                <w:rFonts w:ascii="仿宋" w:hAnsi="仿宋" w:eastAsia="仿宋" w:cs="仿宋"/>
                <w:color w:val="auto"/>
                <w:sz w:val="24"/>
              </w:rPr>
            </w:pPr>
            <w:r>
              <w:rPr>
                <w:rFonts w:hint="eastAsia" w:ascii="仿宋" w:hAnsi="仿宋" w:eastAsia="仿宋" w:cs="宋体"/>
                <w:color w:val="auto"/>
                <w:sz w:val="24"/>
              </w:rPr>
              <w:t>乙方按照双方确定的考核办法的约定，定期提交服务报告，甲方按照服务考核办法的约定进行定期验收。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2.15.3</w:t>
            </w:r>
          </w:p>
        </w:tc>
        <w:tc>
          <w:tcPr>
            <w:tcW w:w="4464" w:type="pct"/>
            <w:vAlign w:val="center"/>
          </w:tcPr>
          <w:p>
            <w:pPr>
              <w:rPr>
                <w:rFonts w:ascii="仿宋" w:hAnsi="仿宋" w:eastAsia="仿宋" w:cs="宋体"/>
                <w:color w:val="auto"/>
                <w:sz w:val="24"/>
              </w:rPr>
            </w:pPr>
            <w:r>
              <w:rPr>
                <w:rFonts w:hint="eastAsia" w:ascii="仿宋" w:hAnsi="仿宋" w:eastAsia="仿宋" w:cs="宋体"/>
                <w:color w:val="auto"/>
                <w:sz w:val="24"/>
              </w:rPr>
              <w:t xml:space="preserve">1.验收主体：甲方。 </w:t>
            </w:r>
          </w:p>
          <w:p>
            <w:pPr>
              <w:rPr>
                <w:rFonts w:ascii="仿宋" w:hAnsi="仿宋" w:eastAsia="仿宋" w:cs="宋体"/>
                <w:color w:val="auto"/>
                <w:sz w:val="24"/>
              </w:rPr>
            </w:pPr>
            <w:r>
              <w:rPr>
                <w:rFonts w:hint="eastAsia" w:ascii="仿宋" w:hAnsi="仿宋" w:eastAsia="仿宋" w:cs="宋体"/>
                <w:color w:val="auto"/>
                <w:sz w:val="24"/>
              </w:rPr>
              <w:t xml:space="preserve">2.甲方在乙方提供服务的过程中，有权不定期对服务内容和质量进行考核。乙 方应当配合进行。 </w:t>
            </w:r>
          </w:p>
          <w:p>
            <w:pPr>
              <w:rPr>
                <w:rFonts w:ascii="仿宋" w:hAnsi="仿宋" w:eastAsia="仿宋" w:cs="宋体"/>
                <w:color w:val="auto"/>
                <w:sz w:val="24"/>
              </w:rPr>
            </w:pPr>
            <w:r>
              <w:rPr>
                <w:rFonts w:hint="eastAsia" w:ascii="仿宋" w:hAnsi="仿宋" w:eastAsia="仿宋" w:cs="宋体"/>
                <w:color w:val="auto"/>
                <w:sz w:val="24"/>
              </w:rPr>
              <w:t>3.最终验收时间：服务内容执行完毕、服务期截止后。</w:t>
            </w:r>
          </w:p>
          <w:p>
            <w:pPr>
              <w:rPr>
                <w:rFonts w:ascii="仿宋" w:hAnsi="仿宋" w:eastAsia="仿宋" w:cs="宋体"/>
                <w:color w:val="auto"/>
                <w:sz w:val="24"/>
              </w:rPr>
            </w:pPr>
            <w:r>
              <w:rPr>
                <w:rFonts w:hint="eastAsia" w:ascii="仿宋" w:hAnsi="仿宋" w:eastAsia="仿宋" w:cs="宋体"/>
                <w:color w:val="auto"/>
                <w:sz w:val="24"/>
              </w:rPr>
              <w:t xml:space="preserve">4.验收程序：乙方向甲方提出申请验收，甲方按验收方案组织履约验收。乙方 应将项目执行过程及时记录、收集、整理，向甲方递交验收申请资料。 </w:t>
            </w:r>
          </w:p>
          <w:p>
            <w:pPr>
              <w:rPr>
                <w:rFonts w:ascii="仿宋" w:hAnsi="仿宋" w:eastAsia="仿宋" w:cs="宋体"/>
                <w:color w:val="auto"/>
                <w:sz w:val="24"/>
              </w:rPr>
            </w:pPr>
            <w:r>
              <w:rPr>
                <w:rFonts w:hint="eastAsia" w:ascii="仿宋" w:hAnsi="仿宋" w:eastAsia="仿宋" w:cs="宋体"/>
                <w:color w:val="auto"/>
                <w:sz w:val="24"/>
              </w:rPr>
              <w:t>5.验收内容：乙方实际完成的情况是否符合采购文件要求和乙方在投标响应文 件中的商务、技术承诺。</w:t>
            </w:r>
          </w:p>
          <w:p>
            <w:pPr>
              <w:rPr>
                <w:rFonts w:ascii="仿宋" w:hAnsi="仿宋" w:eastAsia="仿宋" w:cs="宋体"/>
                <w:color w:val="auto"/>
                <w:sz w:val="24"/>
              </w:rPr>
            </w:pPr>
            <w:r>
              <w:rPr>
                <w:rFonts w:hint="eastAsia" w:ascii="仿宋" w:hAnsi="仿宋" w:eastAsia="仿宋" w:cs="宋体"/>
                <w:color w:val="auto"/>
                <w:sz w:val="24"/>
              </w:rPr>
              <w:t>6.验收标准：乙方已经按采购文件要求和乙方在投标响应文件中的商务、技术 承诺完成项目执行。</w:t>
            </w:r>
          </w:p>
          <w:p>
            <w:pPr>
              <w:rPr>
                <w:rFonts w:ascii="仿宋" w:hAnsi="仿宋" w:eastAsia="仿宋" w:cs="宋体"/>
                <w:color w:val="auto"/>
                <w:sz w:val="24"/>
              </w:rPr>
            </w:pPr>
            <w:r>
              <w:rPr>
                <w:rFonts w:hint="eastAsia" w:ascii="仿宋" w:hAnsi="仿宋" w:eastAsia="仿宋" w:cs="宋体"/>
                <w:color w:val="auto"/>
                <w:sz w:val="24"/>
              </w:rPr>
              <w:t>7.验收时乙方应在现场，验收完毕后作出验收结果报告；验收产生的费用，由 甲方承担。</w:t>
            </w:r>
          </w:p>
          <w:p>
            <w:pPr>
              <w:rPr>
                <w:rFonts w:ascii="仿宋" w:hAnsi="仿宋" w:eastAsia="仿宋" w:cs="仿宋"/>
                <w:color w:val="auto"/>
                <w:sz w:val="24"/>
              </w:rPr>
            </w:pPr>
            <w:r>
              <w:rPr>
                <w:rFonts w:hint="eastAsia" w:ascii="仿宋" w:hAnsi="仿宋" w:eastAsia="仿宋" w:cs="宋体"/>
                <w:color w:val="auto"/>
                <w:sz w:val="24"/>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jc w:val="center"/>
              <w:rPr>
                <w:rFonts w:ascii="仿宋" w:hAnsi="仿宋" w:eastAsia="仿宋" w:cs="仿宋"/>
                <w:color w:val="auto"/>
                <w:sz w:val="24"/>
              </w:rPr>
            </w:pPr>
            <w:r>
              <w:rPr>
                <w:rFonts w:hint="eastAsia" w:ascii="仿宋" w:hAnsi="仿宋" w:eastAsia="仿宋" w:cs="仿宋"/>
                <w:color w:val="auto"/>
                <w:sz w:val="24"/>
              </w:rPr>
              <w:t>2.19</w:t>
            </w:r>
          </w:p>
        </w:tc>
        <w:tc>
          <w:tcPr>
            <w:tcW w:w="4464" w:type="pct"/>
          </w:tcPr>
          <w:p>
            <w:pPr>
              <w:rPr>
                <w:rFonts w:ascii="仿宋" w:hAnsi="仿宋" w:eastAsia="仿宋" w:cs="仿宋"/>
                <w:color w:val="auto"/>
                <w:sz w:val="24"/>
              </w:rPr>
            </w:pPr>
            <w:r>
              <w:rPr>
                <w:rFonts w:hint="eastAsia" w:ascii="仿宋" w:hAnsi="仿宋" w:eastAsia="仿宋" w:cs="宋体"/>
                <w:color w:val="auto"/>
                <w:sz w:val="24"/>
              </w:rPr>
              <w:t>本合同一式【陆】份，甲方执【肆】份，乙方执【贰】份</w:t>
            </w:r>
          </w:p>
        </w:tc>
      </w:tr>
    </w:tbl>
    <w:p>
      <w:pPr>
        <w:widowControl/>
        <w:adjustRightInd/>
        <w:jc w:val="center"/>
        <w:rPr>
          <w:rFonts w:ascii="仿宋" w:hAnsi="仿宋" w:eastAsia="仿宋" w:cs="仿宋"/>
          <w:b/>
          <w:color w:val="auto"/>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 xml:space="preserve">第六部分 </w:t>
      </w:r>
      <w:bookmarkEnd w:id="390"/>
      <w:r>
        <w:rPr>
          <w:rFonts w:hint="eastAsia" w:ascii="仿宋" w:hAnsi="仿宋" w:eastAsia="仿宋" w:cs="仿宋"/>
          <w:b/>
          <w:color w:val="auto"/>
          <w:sz w:val="36"/>
          <w:szCs w:val="20"/>
        </w:rPr>
        <w:t>应提交的有关格式范例</w:t>
      </w:r>
    </w:p>
    <w:p>
      <w:pPr>
        <w:spacing w:line="360" w:lineRule="auto"/>
        <w:jc w:val="center"/>
        <w:outlineLvl w:val="0"/>
        <w:rPr>
          <w:rFonts w:ascii="仿宋" w:hAnsi="仿宋" w:eastAsia="仿宋" w:cs="仿宋"/>
          <w:b/>
          <w:color w:val="auto"/>
          <w:kern w:val="0"/>
          <w:sz w:val="36"/>
          <w:szCs w:val="36"/>
        </w:r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（3）落实政府采购政策需满足的资格要求………………………………（页码）</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（4）本项目的特定资格要求………………………………………………（页码）</w:t>
      </w: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一、符合参加政府采购活动应当具备的一般条件的承诺函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】政府采购活动，郑重承诺：</w:t>
      </w:r>
    </w:p>
    <w:p>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pPr>
        <w:snapToGrid w:val="0"/>
        <w:spacing w:line="360" w:lineRule="auto"/>
        <w:ind w:firstLine="5520" w:firstLineChars="2300"/>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widowControl/>
        <w:spacing w:line="360" w:lineRule="auto"/>
        <w:ind w:firstLine="643" w:firstLineChars="200"/>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widowControl/>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w:t>
      </w:r>
      <w:r>
        <w:rPr>
          <w:rFonts w:hint="eastAsia" w:ascii="仿宋" w:hAnsi="仿宋" w:eastAsia="仿宋" w:cs="仿宋"/>
          <w:b/>
          <w:color w:val="auto"/>
          <w:kern w:val="0"/>
          <w:sz w:val="32"/>
          <w:szCs w:val="32"/>
        </w:rPr>
        <w:t>（如果有）</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p>
    <w:p>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.专门面向中小企业，服务全部由符合政策要求的中小企业（或小微企业）承接的，提供相应的中小企业声明函（附件7）。</w:t>
      </w:r>
    </w:p>
    <w:p>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rPr>
      </w:pPr>
      <w:r>
        <w:rPr>
          <w:rFonts w:hint="eastAsia" w:ascii="仿宋" w:hAnsi="仿宋" w:eastAsia="仿宋" w:cs="仿宋"/>
          <w:b/>
          <w:color w:val="auto"/>
          <w:sz w:val="24"/>
        </w:rPr>
        <w:t xml:space="preserve">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rPr>
      </w:pPr>
    </w:p>
    <w:p>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pPr>
        <w:spacing w:line="360" w:lineRule="auto"/>
        <w:jc w:val="center"/>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（根据招标公告本项目的特定资格要求提供相应的材料；未要求的，无需提供）</w:t>
      </w:r>
    </w:p>
    <w:p>
      <w:pPr>
        <w:spacing w:line="360" w:lineRule="auto"/>
        <w:ind w:right="420"/>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pPr>
        <w:snapToGrid w:val="0"/>
        <w:spacing w:line="360" w:lineRule="auto"/>
        <w:jc w:val="center"/>
        <w:outlineLvl w:val="0"/>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2、我方的投标文件包括以下内容：</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2.1资格文件：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2.1.1承诺函；</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04" w:name="_Hlk101257010"/>
      <w:r>
        <w:rPr>
          <w:rFonts w:hint="eastAsia" w:ascii="仿宋" w:hAnsi="仿宋" w:eastAsia="仿宋" w:cs="仿宋"/>
          <w:color w:val="auto"/>
          <w:sz w:val="24"/>
        </w:rPr>
        <w:t>（如果有)</w:t>
      </w:r>
      <w:bookmarkEnd w:id="504"/>
      <w:r>
        <w:rPr>
          <w:rFonts w:hint="eastAsia" w:ascii="仿宋" w:hAnsi="仿宋" w:eastAsia="仿宋" w:cs="仿宋"/>
          <w:snapToGrid w:val="0"/>
          <w:color w:val="auto"/>
          <w:kern w:val="28"/>
          <w:sz w:val="24"/>
          <w:szCs w:val="20"/>
        </w:rPr>
        <w:t>；</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2.1.3落实政府采购政策需满足的资格要求（如果有）；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2.1.4本项目的特定资格要求（如果有)。</w:t>
      </w:r>
    </w:p>
    <w:p>
      <w:pPr>
        <w:snapToGrid w:val="0"/>
        <w:spacing w:line="380" w:lineRule="exact"/>
        <w:ind w:left="210" w:leftChars="1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2.2.3分包意向协议（如果有)；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2.2.4符合性审查资料；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2.2.5评标标准相应的商务技术资料；</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2.2.6投标标的清单；</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2.2.7商务技术偏离表；</w:t>
      </w:r>
    </w:p>
    <w:p>
      <w:pPr>
        <w:snapToGrid w:val="0"/>
        <w:spacing w:line="380" w:lineRule="exact"/>
        <w:ind w:left="420" w:leftChars="200" w:firstLine="480" w:firstLineChars="200"/>
        <w:rPr>
          <w:rFonts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2.3.1开标一览表（报价表）；</w:t>
      </w:r>
    </w:p>
    <w:p>
      <w:pPr>
        <w:spacing w:line="380" w:lineRule="exact"/>
        <w:ind w:left="420" w:leftChars="200" w:firstLine="480" w:firstLineChars="200"/>
        <w:rPr>
          <w:rFonts w:ascii="仿宋" w:hAnsi="仿宋" w:eastAsia="仿宋" w:cs="仿宋"/>
          <w:color w:val="auto"/>
        </w:rPr>
      </w:pPr>
      <w:r>
        <w:rPr>
          <w:rFonts w:hint="eastAsia" w:ascii="仿宋" w:hAnsi="仿宋" w:eastAsia="仿宋" w:cs="仿宋"/>
          <w:color w:val="auto"/>
          <w:sz w:val="24"/>
        </w:rPr>
        <w:t>2.3.2 报价情况说明（如果有）</w:t>
      </w:r>
    </w:p>
    <w:p>
      <w:pPr>
        <w:snapToGrid w:val="0"/>
        <w:spacing w:line="380" w:lineRule="exact"/>
        <w:ind w:left="420" w:leftChars="200" w:firstLine="480" w:firstLineChars="200"/>
        <w:rPr>
          <w:rFonts w:ascii="仿宋" w:hAnsi="仿宋" w:eastAsia="仿宋" w:cs="仿宋"/>
          <w:color w:val="auto"/>
          <w:sz w:val="24"/>
        </w:rPr>
      </w:pPr>
      <w:r>
        <w:rPr>
          <w:rFonts w:hint="eastAsia" w:ascii="仿宋" w:hAnsi="仿宋" w:eastAsia="仿宋" w:cs="仿宋"/>
          <w:color w:val="auto"/>
          <w:sz w:val="24"/>
        </w:rPr>
        <w:t>2.3.2中小企业声明函（如果有）。</w:t>
      </w:r>
    </w:p>
    <w:p>
      <w:pPr>
        <w:pStyle w:val="2"/>
        <w:spacing w:line="380" w:lineRule="exact"/>
        <w:ind w:firstLine="960" w:firstLineChars="400"/>
        <w:rPr>
          <w:rFonts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3、我方承诺除商务技术偏离表列出的偏离外，我方响应招标文件的全部要求。对投标文件中材料的真实性、合法性负责。</w:t>
      </w:r>
    </w:p>
    <w:p>
      <w:pPr>
        <w:snapToGrid w:val="0"/>
        <w:spacing w:line="380" w:lineRule="exact"/>
        <w:ind w:firstLine="480" w:firstLineChars="200"/>
        <w:rPr>
          <w:rFonts w:ascii="仿宋" w:hAnsi="仿宋" w:eastAsia="仿宋" w:cs="仿宋"/>
          <w:color w:val="auto"/>
          <w:sz w:val="24"/>
        </w:rPr>
      </w:pPr>
      <w:r>
        <w:rPr>
          <w:rFonts w:hint="eastAsia" w:ascii="仿宋" w:hAnsi="仿宋" w:eastAsia="仿宋" w:cs="仿宋"/>
          <w:color w:val="auto"/>
          <w:sz w:val="24"/>
        </w:rPr>
        <w:t>4、如我方中标，我方承诺：</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4.3按照招标文件要求提交履约保证金；</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4.4在合同约定的期限内完成合同规定的全部义务。</w:t>
      </w:r>
    </w:p>
    <w:p>
      <w:pPr>
        <w:snapToGrid w:val="0"/>
        <w:spacing w:line="380" w:lineRule="exact"/>
        <w:ind w:left="210" w:leftChars="100" w:firstLine="480" w:firstLineChars="200"/>
        <w:rPr>
          <w:rFonts w:ascii="仿宋" w:hAnsi="仿宋" w:eastAsia="仿宋" w:cs="仿宋"/>
          <w:color w:val="auto"/>
          <w:sz w:val="24"/>
        </w:rPr>
      </w:pPr>
      <w:r>
        <w:rPr>
          <w:rFonts w:hint="eastAsia" w:ascii="仿宋" w:hAnsi="仿宋" w:eastAsia="仿宋" w:cs="仿宋"/>
          <w:color w:val="auto"/>
          <w:sz w:val="24"/>
        </w:rPr>
        <w:t>5、其他补充说明: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80" w:lineRule="exact"/>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pacing w:line="380" w:lineRule="exact"/>
        <w:ind w:right="420"/>
        <w:rPr>
          <w:rFonts w:ascii="仿宋" w:hAnsi="仿宋" w:eastAsia="仿宋" w:cs="仿宋"/>
          <w:color w:val="auto"/>
          <w:sz w:val="24"/>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pPr>
        <w:snapToGrid w:val="0"/>
        <w:spacing w:line="360" w:lineRule="auto"/>
        <w:jc w:val="center"/>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kern w:val="0"/>
          <w:sz w:val="24"/>
          <w:lang w:val="zh-CN"/>
        </w:rPr>
        <w:t>签发</w:t>
      </w:r>
      <w:r>
        <w:rPr>
          <w:rFonts w:hint="eastAsia" w:ascii="仿宋" w:hAnsi="仿宋" w:eastAsia="仿宋" w:cs="仿宋"/>
          <w:color w:val="auto"/>
          <w:sz w:val="24"/>
        </w:rPr>
        <w:t>日期：  年   月   日</w:t>
      </w:r>
    </w:p>
    <w:p>
      <w:pPr>
        <w:pStyle w:val="2"/>
        <w:ind w:firstLine="0" w:firstLineChars="0"/>
        <w:jc w:val="center"/>
        <w:rPr>
          <w:color w:val="auto"/>
          <w:lang w:val="en-US"/>
        </w:r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委托期限：自   年 月  日起至  年  月  日止。</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特此告知。</w:t>
      </w:r>
    </w:p>
    <w:p>
      <w:pPr>
        <w:pStyle w:val="2"/>
        <w:ind w:firstLine="0" w:firstLineChars="0"/>
        <w:jc w:val="center"/>
        <w:rPr>
          <w:color w:val="auto"/>
          <w:lang w:val="en-US"/>
        </w:rPr>
      </w:pP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auto"/>
        <w:ind w:firstLine="5040" w:firstLineChars="2100"/>
        <w:rPr>
          <w:rFonts w:ascii="仿宋" w:hAnsi="仿宋" w:eastAsia="仿宋" w:cs="仿宋"/>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lang w:val="zh-CN"/>
        </w:rPr>
        <w:t>日期：  年  月   日</w:t>
      </w:r>
    </w:p>
    <w:p>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                                 反面：</w:t>
            </w:r>
          </w:p>
        </w:tc>
      </w:tr>
    </w:tbl>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jc w:val="center"/>
        <w:rPr>
          <w:rFonts w:ascii="仿宋" w:hAnsi="仿宋" w:eastAsia="仿宋" w:cs="仿宋"/>
          <w:b/>
          <w:color w:val="auto"/>
          <w:kern w:val="0"/>
          <w:sz w:val="32"/>
          <w:szCs w:val="32"/>
        </w:rPr>
      </w:pPr>
    </w:p>
    <w:p>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w:t>
      </w:r>
      <w:r>
        <w:rPr>
          <w:rFonts w:hint="eastAsia" w:ascii="仿宋" w:hAnsi="仿宋" w:eastAsia="仿宋" w:cs="仿宋"/>
          <w:b/>
          <w:color w:val="auto"/>
          <w:kern w:val="0"/>
          <w:sz w:val="32"/>
          <w:szCs w:val="32"/>
        </w:rPr>
        <w:t>（如果有）</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pPr>
        <w:jc w:val="center"/>
        <w:rPr>
          <w:rFonts w:ascii="仿宋" w:hAnsi="仿宋" w:eastAsia="仿宋" w:cs="仿宋"/>
          <w:b/>
          <w:color w:val="auto"/>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pPr>
              <w:snapToGrid w:val="0"/>
              <w:jc w:val="center"/>
              <w:rPr>
                <w:rFonts w:ascii="仿宋" w:hAnsi="仿宋" w:eastAsia="仿宋" w:cs="仿宋"/>
                <w:b/>
                <w:color w:val="auto"/>
                <w:sz w:val="24"/>
              </w:rPr>
            </w:pPr>
            <w:r>
              <w:rPr>
                <w:rFonts w:hint="eastAsia" w:ascii="仿宋" w:hAnsi="仿宋" w:eastAsia="仿宋" w:cs="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4991" w:type="dxa"/>
            <w:vAlign w:val="center"/>
          </w:tcPr>
          <w:p>
            <w:pPr>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pPr>
              <w:rPr>
                <w:rFonts w:ascii="仿宋" w:hAnsi="仿宋" w:eastAsia="仿宋" w:cs="仿宋"/>
                <w:color w:val="auto"/>
                <w:sz w:val="24"/>
              </w:rPr>
            </w:pPr>
            <w:r>
              <w:rPr>
                <w:rFonts w:hint="eastAsia" w:ascii="仿宋" w:hAnsi="仿宋" w:eastAsia="仿宋" w:cs="仿宋"/>
                <w:color w:val="auto"/>
                <w:sz w:val="24"/>
              </w:rPr>
              <w:t>见投标文件</w:t>
            </w:r>
          </w:p>
          <w:p>
            <w:pPr>
              <w:rPr>
                <w:rFonts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4991" w:type="dxa"/>
            <w:vAlign w:val="center"/>
          </w:tcPr>
          <w:p>
            <w:pPr>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4991" w:type="dxa"/>
            <w:vAlign w:val="center"/>
          </w:tcPr>
          <w:p>
            <w:pPr>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招标文件其它实质性要求相应的材料（“▲”系指实质性要求条款，招标文件无其它实质性要求的，无需提供）</w:t>
            </w:r>
          </w:p>
        </w:tc>
        <w:tc>
          <w:tcPr>
            <w:tcW w:w="1418" w:type="dxa"/>
          </w:tcPr>
          <w:p>
            <w:pPr>
              <w:rPr>
                <w:rFonts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pPr>
    </w:p>
    <w:p>
      <w:pPr>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rPr>
      </w:pPr>
    </w:p>
    <w:p>
      <w:pPr>
        <w:ind w:firstLine="2891" w:firstLineChars="900"/>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rPr>
            </w:pPr>
          </w:p>
        </w:tc>
      </w:tr>
    </w:tbl>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jc w:val="center"/>
        <w:rPr>
          <w:rFonts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pPr>
              <w:jc w:val="center"/>
              <w:rPr>
                <w:rFonts w:ascii="仿宋" w:hAnsi="仿宋" w:eastAsia="仿宋" w:cs="仿宋"/>
                <w:b/>
                <w:color w:val="auto"/>
                <w:kern w:val="0"/>
                <w:sz w:val="32"/>
                <w:szCs w:val="32"/>
              </w:rPr>
            </w:pPr>
          </w:p>
        </w:tc>
        <w:tc>
          <w:tcPr>
            <w:tcW w:w="3546" w:type="dxa"/>
          </w:tcPr>
          <w:p>
            <w:pPr>
              <w:jc w:val="center"/>
              <w:rPr>
                <w:rFonts w:ascii="仿宋" w:hAnsi="仿宋" w:eastAsia="仿宋" w:cs="仿宋"/>
                <w:b/>
                <w:color w:val="auto"/>
                <w:kern w:val="0"/>
                <w:sz w:val="32"/>
                <w:szCs w:val="32"/>
              </w:rPr>
            </w:pPr>
          </w:p>
        </w:tc>
        <w:tc>
          <w:tcPr>
            <w:tcW w:w="1276" w:type="dxa"/>
          </w:tcPr>
          <w:p>
            <w:pPr>
              <w:jc w:val="center"/>
              <w:rPr>
                <w:rFonts w:ascii="仿宋" w:hAnsi="仿宋" w:eastAsia="仿宋" w:cs="仿宋"/>
                <w:b/>
                <w:color w:val="auto"/>
                <w:kern w:val="0"/>
                <w:sz w:val="32"/>
                <w:szCs w:val="32"/>
              </w:rPr>
            </w:pPr>
          </w:p>
        </w:tc>
      </w:tr>
    </w:tbl>
    <w:p>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ind w:firstLine="1911" w:firstLineChars="595"/>
        <w:rPr>
          <w:rFonts w:ascii="仿宋" w:hAnsi="仿宋" w:eastAsia="仿宋" w:cs="仿宋"/>
          <w:b/>
          <w:bCs/>
          <w:color w:val="auto"/>
          <w:sz w:val="32"/>
          <w:szCs w:val="32"/>
        </w:rP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ascii="仿宋" w:hAnsi="仿宋" w:eastAsia="仿宋" w:cs="仿宋"/>
          <w:b/>
          <w:bCs/>
          <w:color w:val="auto"/>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pPr>
        <w:spacing w:line="360" w:lineRule="auto"/>
        <w:jc w:val="center"/>
        <w:outlineLvl w:val="0"/>
        <w:rPr>
          <w:rFonts w:ascii="仿宋" w:hAnsi="仿宋" w:eastAsia="仿宋" w:cs="仿宋"/>
          <w:b/>
          <w:color w:val="auto"/>
          <w:kern w:val="0"/>
          <w:sz w:val="36"/>
          <w:szCs w:val="36"/>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（1）开标一览表（报价表）………………………………………………………（页码）</w:t>
      </w:r>
    </w:p>
    <w:p>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pPr>
        <w:spacing w:line="360" w:lineRule="auto"/>
        <w:rPr>
          <w:rFonts w:ascii="仿宋" w:hAnsi="仿宋" w:eastAsia="仿宋" w:cs="仿宋"/>
          <w:color w:val="auto"/>
        </w:rPr>
      </w:pPr>
      <w:r>
        <w:rPr>
          <w:rFonts w:hint="eastAsia" w:ascii="仿宋" w:hAnsi="仿宋" w:eastAsia="仿宋" w:cs="仿宋"/>
          <w:color w:val="auto"/>
          <w:sz w:val="24"/>
        </w:rPr>
        <w:t>（3）中小企业声明函………………………………………………………………（页码）</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w:t>
      </w:r>
      <w:r>
        <w:rPr>
          <w:rFonts w:hint="eastAsia" w:ascii="仿宋" w:hAnsi="仿宋" w:eastAsia="仿宋" w:cs="仿宋"/>
          <w:color w:val="auto"/>
          <w:sz w:val="24"/>
        </w:rPr>
        <w:t>、（采购代理机构）</w:t>
      </w:r>
      <w:r>
        <w:rPr>
          <w:rFonts w:hint="eastAsia" w:ascii="仿宋" w:hAnsi="仿宋" w:eastAsia="仿宋" w:cs="仿宋"/>
          <w:color w:val="auto"/>
          <w:kern w:val="0"/>
          <w:sz w:val="24"/>
          <w:lang w:val="zh-CN"/>
        </w:rPr>
        <w:t>：</w:t>
      </w:r>
    </w:p>
    <w:p>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（项目名称）</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名称</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2127"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99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p>
        </w:tc>
        <w:tc>
          <w:tcPr>
            <w:tcW w:w="992"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410" w:type="dxa"/>
            <w:vAlign w:val="center"/>
          </w:tcPr>
          <w:p>
            <w:pPr>
              <w:snapToGrid w:val="0"/>
              <w:jc w:val="center"/>
              <w:rPr>
                <w:rFonts w:ascii="仿宋" w:hAnsi="仿宋" w:eastAsia="仿宋" w:cs="仿宋"/>
                <w:color w:val="auto"/>
                <w:sz w:val="24"/>
              </w:rPr>
            </w:pPr>
          </w:p>
        </w:tc>
        <w:tc>
          <w:tcPr>
            <w:tcW w:w="2268" w:type="dxa"/>
            <w:vAlign w:val="center"/>
          </w:tcPr>
          <w:p>
            <w:pPr>
              <w:snapToGrid w:val="0"/>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c>
          <w:tcPr>
            <w:tcW w:w="2127" w:type="dxa"/>
          </w:tcPr>
          <w:p>
            <w:pPr>
              <w:jc w:val="center"/>
              <w:rPr>
                <w:rFonts w:ascii="仿宋" w:hAnsi="仿宋" w:eastAsia="仿宋" w:cs="仿宋"/>
                <w:color w:val="auto"/>
                <w:sz w:val="24"/>
              </w:rPr>
            </w:pPr>
          </w:p>
        </w:tc>
        <w:tc>
          <w:tcPr>
            <w:tcW w:w="2126"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pPr>
              <w:jc w:val="center"/>
              <w:rPr>
                <w:rFonts w:ascii="仿宋" w:hAnsi="仿宋" w:eastAsia="仿宋" w:cs="仿宋"/>
                <w:color w:val="auto"/>
                <w:sz w:val="24"/>
              </w:rPr>
            </w:pPr>
          </w:p>
        </w:tc>
      </w:tr>
    </w:tbl>
    <w:p>
      <w:pPr>
        <w:snapToGrid w:val="0"/>
        <w:spacing w:line="240" w:lineRule="exact"/>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pPr>
        <w:spacing w:line="240" w:lineRule="exact"/>
        <w:ind w:left="-2" w:leftChars="-1"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pPr>
        <w:spacing w:line="2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240" w:lineRule="exact"/>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3"/>
        </w:numPr>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报价情况说明（如果有）</w:t>
      </w:r>
    </w:p>
    <w:p>
      <w:pPr>
        <w:pStyle w:val="5"/>
        <w:keepNext w:val="0"/>
        <w:numPr>
          <w:ilvl w:val="255"/>
          <w:numId w:val="0"/>
        </w:numPr>
        <w:snapToGrid w:val="0"/>
        <w:spacing w:before="120" w:after="120"/>
        <w:rPr>
          <w:rFonts w:ascii="仿宋" w:eastAsia="仿宋" w:cs="仿宋"/>
          <w:color w:val="auto"/>
          <w:lang w:val="en-US"/>
        </w:rPr>
      </w:pPr>
      <w:r>
        <w:rPr>
          <w:rFonts w:hint="eastAsia" w:ascii="仿宋" w:eastAsia="仿宋" w:cs="仿宋"/>
          <w:b w:val="0"/>
          <w:bCs w:val="0"/>
          <w:color w:val="auto"/>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中小企业声明函（如果有）</w:t>
      </w:r>
    </w:p>
    <w:p>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w:t>
      </w:r>
      <w:r>
        <w:rPr>
          <w:rFonts w:hint="eastAsia" w:ascii="仿宋" w:hAnsi="仿宋" w:eastAsia="仿宋" w:cs="仿宋"/>
          <w:color w:val="auto"/>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spacing w:line="360" w:lineRule="auto"/>
        <w:jc w:val="left"/>
        <w:rPr>
          <w:rFonts w:ascii="仿宋" w:hAnsi="仿宋" w:eastAsia="仿宋" w:cs="仿宋"/>
          <w:b/>
          <w:color w:val="auto"/>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pPr>
        <w:snapToGrid w:val="0"/>
        <w:spacing w:before="240" w:beforeLines="100" w:line="276"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质疑事项2</w:t>
      </w:r>
    </w:p>
    <w:p>
      <w:pPr>
        <w:snapToGrid w:val="0"/>
        <w:spacing w:line="276" w:lineRule="auto"/>
        <w:rPr>
          <w:rFonts w:ascii="仿宋" w:hAnsi="仿宋" w:eastAsia="仿宋" w:cs="仿宋"/>
          <w:color w:val="auto"/>
          <w:sz w:val="24"/>
        </w:rPr>
      </w:pPr>
      <w:r>
        <w:rPr>
          <w:rFonts w:hint="eastAsia" w:ascii="仿宋" w:hAnsi="仿宋" w:eastAsia="仿宋" w:cs="仿宋"/>
          <w:color w:val="auto"/>
          <w:sz w:val="24"/>
        </w:rPr>
        <w:t>……</w:t>
      </w:r>
    </w:p>
    <w:p>
      <w:pPr>
        <w:snapToGrid w:val="0"/>
        <w:spacing w:line="276"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pPr>
        <w:snapToGrid w:val="0"/>
        <w:spacing w:line="276"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276"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276" w:lineRule="auto"/>
        <w:rPr>
          <w:rFonts w:ascii="仿宋" w:hAnsi="仿宋" w:eastAsia="仿宋" w:cs="仿宋"/>
          <w:b/>
          <w:color w:val="auto"/>
          <w:sz w:val="24"/>
        </w:rPr>
      </w:pPr>
      <w:r>
        <w:rPr>
          <w:rFonts w:hint="eastAsia" w:ascii="仿宋" w:hAnsi="仿宋" w:eastAsia="仿宋" w:cs="仿宋"/>
          <w:b/>
          <w:color w:val="auto"/>
          <w:sz w:val="24"/>
        </w:rPr>
        <w:t>质疑函制作说明：</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pPr>
        <w:widowControl/>
        <w:spacing w:line="27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u w:val="dotted"/>
        </w:rPr>
        <w:t xml:space="preserve">  </w:t>
      </w:r>
    </w:p>
    <w:p>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p>
    <w:p>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u w:val="single"/>
        </w:rPr>
        <w:t>、（采购代理机构）：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rPr>
          <w:rFonts w:ascii="仿宋" w:hAnsi="仿宋" w:eastAsia="仿宋" w:cs="仿宋"/>
          <w:color w:val="auto"/>
          <w:sz w:val="24"/>
        </w:rPr>
      </w:pPr>
      <w:r>
        <w:rPr>
          <w:rFonts w:hint="eastAsia" w:ascii="仿宋" w:hAnsi="仿宋" w:eastAsia="仿宋" w:cs="仿宋"/>
          <w:b/>
          <w:bCs/>
          <w:color w:val="auto"/>
          <w:sz w:val="24"/>
        </w:rPr>
        <w:t>附：</w:t>
      </w:r>
    </w:p>
    <w:p>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pPr>
    </w:p>
    <w:p>
      <w:pPr>
        <w:autoSpaceDE w:val="0"/>
        <w:autoSpaceDN w:val="0"/>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05" w:name="_Hlk101131882"/>
      <w:r>
        <w:rPr>
          <w:rFonts w:hint="eastAsia" w:ascii="仿宋" w:hAnsi="仿宋" w:eastAsia="仿宋" w:cs="仿宋"/>
          <w:color w:val="auto"/>
          <w:kern w:val="0"/>
          <w:sz w:val="24"/>
          <w:u w:val="single"/>
        </w:rPr>
        <w:t>联合体成员X,……</w:t>
      </w:r>
      <w:bookmarkEnd w:id="505"/>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06"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06"/>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w:t>
      </w:r>
      <w:bookmarkStart w:id="507" w:name="_Hlk101133173"/>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07"/>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pPr>
        <w:snapToGrid w:val="0"/>
        <w:spacing w:line="360" w:lineRule="exact"/>
        <w:ind w:right="960"/>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color w:val="auto"/>
          <w:sz w:val="24"/>
        </w:rPr>
      </w:pPr>
      <w:r>
        <w:rPr>
          <w:rFonts w:hint="eastAsia" w:ascii="仿宋" w:hAnsi="仿宋" w:eastAsia="仿宋" w:cs="仿宋"/>
          <w:color w:val="auto"/>
          <w:sz w:val="24"/>
        </w:rPr>
        <w:t>注：按本格式和要求提供。</w:t>
      </w:r>
    </w:p>
    <w:p>
      <w:pPr>
        <w:widowControl/>
        <w:adjustRightInd/>
        <w:jc w:val="center"/>
        <w:rPr>
          <w:rFonts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pPr>
        <w:widowControl/>
        <w:adjustRightInd/>
        <w:jc w:val="center"/>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w:t>
      </w:r>
      <w:r>
        <w:rPr>
          <w:rFonts w:hint="eastAsia" w:ascii="仿宋" w:hAnsi="仿宋" w:eastAsia="仿宋" w:cs="仿宋"/>
          <w:color w:val="auto"/>
          <w:sz w:val="24"/>
        </w:rPr>
        <w:t>【招标编号：</w:t>
      </w:r>
      <w:r>
        <w:rPr>
          <w:rFonts w:hint="eastAsia" w:ascii="仿宋" w:hAnsi="仿宋" w:eastAsia="仿宋" w:cs="仿宋"/>
          <w:color w:val="auto"/>
          <w:sz w:val="24"/>
        </w:rPr>
        <w:t>（采购编号）</w:t>
      </w:r>
      <w:r>
        <w:rPr>
          <w:rFonts w:hint="eastAsia" w:ascii="仿宋" w:hAnsi="仿宋" w:eastAsia="仿宋" w:cs="仿宋"/>
          <w:color w:val="auto"/>
          <w:sz w:val="24"/>
        </w:rPr>
        <w:t>】</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w:t>
      </w:r>
      <w:r>
        <w:rPr>
          <w:rFonts w:hint="eastAsia"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pPr>
        <w:pStyle w:val="5"/>
        <w:spacing w:line="360" w:lineRule="exact"/>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pPr>
        <w:snapToGrid w:val="0"/>
        <w:spacing w:line="360" w:lineRule="exact"/>
        <w:ind w:firstLine="576"/>
        <w:rPr>
          <w:rFonts w:ascii="仿宋" w:hAnsi="仿宋" w:eastAsia="仿宋" w:cs="仿宋"/>
          <w:b/>
          <w:color w:val="auto"/>
          <w:kern w:val="0"/>
          <w:sz w:val="24"/>
          <w:lang w:val="zh-CN"/>
        </w:rPr>
      </w:pPr>
      <w:r>
        <w:rPr>
          <w:rFonts w:hint="eastAsia" w:ascii="仿宋" w:hAnsi="仿宋" w:eastAsia="仿宋" w:cs="仿宋"/>
          <w:color w:val="auto"/>
          <w:kern w:val="0"/>
          <w:sz w:val="24"/>
        </w:rPr>
        <w:t>1、</w:t>
      </w:r>
      <w:r>
        <w:rPr>
          <w:rFonts w:hint="eastAsia" w:ascii="仿宋" w:hAnsi="仿宋" w:eastAsia="仿宋" w:cs="仿宋"/>
          <w:color w:val="auto"/>
          <w:kern w:val="0"/>
          <w:sz w:val="24"/>
          <w:u w:val="single"/>
        </w:rPr>
        <w:t>（分包供应商X,……）提供的服务全部由小微企业承接，</w:t>
      </w:r>
      <w:r>
        <w:rPr>
          <w:rFonts w:hint="eastAsia" w:ascii="仿宋" w:hAnsi="仿宋" w:eastAsia="仿宋" w:cs="仿宋"/>
          <w:color w:val="auto"/>
          <w:kern w:val="0"/>
          <w:sz w:val="24"/>
        </w:rPr>
        <w:t>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pPr>
        <w:spacing w:line="360" w:lineRule="exact"/>
        <w:ind w:firstLine="480" w:firstLineChars="200"/>
        <w:rPr>
          <w:rFonts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pPr>
        <w:snapToGrid w:val="0"/>
        <w:spacing w:line="360" w:lineRule="exact"/>
        <w:ind w:firstLine="576"/>
        <w:rPr>
          <w:rFonts w:ascii="仿宋" w:hAnsi="仿宋" w:eastAsia="仿宋" w:cs="仿宋"/>
          <w:color w:val="auto"/>
          <w:u w:val="single"/>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pPr>
        <w:snapToGrid w:val="0"/>
        <w:spacing w:line="360" w:lineRule="exact"/>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pPr>
        <w:snapToGrid w:val="0"/>
        <w:spacing w:line="360" w:lineRule="exact"/>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分包供应商名称(电子签名/公章)：</w:t>
      </w:r>
    </w:p>
    <w:p>
      <w:pPr>
        <w:snapToGrid w:val="0"/>
        <w:spacing w:line="360" w:lineRule="exact"/>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pPr>
        <w:snapToGrid w:val="0"/>
        <w:spacing w:line="360" w:lineRule="exact"/>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pPr>
        <w:spacing w:line="360" w:lineRule="exact"/>
        <w:ind w:right="420"/>
        <w:rPr>
          <w:rFonts w:ascii="仿宋" w:hAnsi="仿宋" w:eastAsia="仿宋" w:cs="仿宋"/>
          <w:b/>
          <w:color w:val="auto"/>
          <w:spacing w:val="6"/>
          <w:sz w:val="32"/>
          <w:szCs w:val="32"/>
        </w:rPr>
      </w:pPr>
      <w:r>
        <w:rPr>
          <w:rFonts w:hint="eastAsia" w:ascii="仿宋" w:hAnsi="仿宋" w:eastAsia="仿宋" w:cs="仿宋"/>
          <w:color w:val="auto"/>
          <w:sz w:val="24"/>
        </w:rPr>
        <w:t>注：按本格式和要求提供。</w:t>
      </w:r>
    </w:p>
    <w:p>
      <w:pPr>
        <w:spacing w:line="360" w:lineRule="auto"/>
        <w:jc w:val="left"/>
        <w:outlineLvl w:val="0"/>
        <w:rPr>
          <w:rFonts w:ascii="仿宋" w:hAnsi="仿宋" w:eastAsia="仿宋" w:cs="仿宋"/>
          <w:b/>
          <w:color w:val="auto"/>
          <w:sz w:val="36"/>
          <w:szCs w:val="20"/>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仿宋" w:hAnsi="仿宋" w:eastAsia="仿宋" w:cs="仿宋"/>
          <w:color w:val="auto"/>
          <w:sz w:val="24"/>
          <w:u w:val="single"/>
        </w:rPr>
      </w:pPr>
      <w:r>
        <w:rPr>
          <w:rFonts w:hint="eastAsia" w:ascii="仿宋" w:hAnsi="仿宋" w:eastAsia="仿宋" w:cs="仿宋"/>
          <w:b/>
          <w:color w:val="auto"/>
          <w:sz w:val="36"/>
          <w:szCs w:val="20"/>
        </w:rPr>
        <w:t>附件7：中小企业声明函</w:t>
      </w:r>
    </w:p>
    <w:p>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w:t>
      </w:r>
      <w:r>
        <w:rPr>
          <w:rFonts w:hint="eastAsia" w:ascii="仿宋" w:hAnsi="仿宋" w:eastAsia="仿宋" w:cs="仿宋"/>
          <w:color w:val="auto"/>
          <w:sz w:val="24"/>
        </w:rPr>
        <w:t>工程的施工单位全部为符合政策要求的中小企业（或者：服务全部由符合政策要求的中小企业承接）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w:t>
      </w:r>
      <w:r>
        <w:rPr>
          <w:rFonts w:hint="eastAsia" w:ascii="仿宋" w:hAnsi="仿宋" w:eastAsia="仿宋" w:cs="仿宋"/>
          <w:color w:val="auto"/>
          <w:sz w:val="24"/>
        </w:rPr>
        <w:t>承建（承接）</w:t>
      </w:r>
      <w:r>
        <w:rPr>
          <w:rFonts w:hint="eastAsia" w:ascii="仿宋" w:hAnsi="仿宋" w:eastAsia="仿宋" w:cs="仿宋"/>
          <w:color w:val="auto"/>
          <w:sz w:val="24"/>
        </w:rPr>
        <w:t xml:space="preserve">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日期：</w:t>
      </w:r>
    </w:p>
    <w:p>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pPr>
        <w:ind w:right="420"/>
        <w:rPr>
          <w:rFonts w:ascii="仿宋" w:hAnsi="仿宋" w:eastAsia="仿宋" w:cs="仿宋"/>
          <w:color w:val="auto"/>
          <w:sz w:val="22"/>
          <w:szCs w:val="22"/>
        </w:rPr>
      </w:pPr>
      <w:r>
        <w:rPr>
          <w:rFonts w:hint="eastAsia" w:ascii="仿宋" w:hAnsi="仿宋" w:eastAsia="仿宋" w:cs="仿宋"/>
          <w:color w:val="auto"/>
          <w:sz w:val="22"/>
          <w:szCs w:val="22"/>
        </w:rPr>
        <w:t>注：</w:t>
      </w:r>
    </w:p>
    <w:p>
      <w:pPr>
        <w:numPr>
          <w:ilvl w:val="0"/>
          <w:numId w:val="4"/>
        </w:numPr>
        <w:ind w:right="420" w:firstLine="440" w:firstLineChars="200"/>
        <w:rPr>
          <w:rFonts w:ascii="仿宋" w:hAnsi="仿宋" w:eastAsia="仿宋" w:cs="仿宋"/>
          <w:color w:val="auto"/>
          <w:sz w:val="22"/>
          <w:szCs w:val="22"/>
        </w:rPr>
      </w:pPr>
      <w:r>
        <w:rPr>
          <w:rFonts w:hint="eastAsia" w:ascii="仿宋" w:hAnsi="仿宋" w:eastAsia="仿宋" w:cs="仿宋"/>
          <w:color w:val="auto"/>
          <w:sz w:val="22"/>
          <w:szCs w:val="22"/>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numPr>
          <w:ilvl w:val="0"/>
          <w:numId w:val="4"/>
        </w:numPr>
        <w:ind w:right="420" w:firstLine="440" w:firstLineChars="200"/>
        <w:rPr>
          <w:rFonts w:ascii="仿宋" w:hAnsi="仿宋" w:eastAsia="仿宋" w:cs="仿宋"/>
          <w:color w:val="auto"/>
          <w:sz w:val="22"/>
          <w:szCs w:val="2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9"/>
        <w:snapToGrid w:val="0"/>
        <w:spacing w:after="120" w:line="500" w:lineRule="exact"/>
        <w:jc w:val="center"/>
        <w:rPr>
          <w:rFonts w:ascii="仿宋" w:hAnsi="仿宋" w:eastAsia="仿宋"/>
          <w:color w:val="auto"/>
          <w:szCs w:val="21"/>
          <w:u w:val="single"/>
        </w:rPr>
      </w:pPr>
      <w:r>
        <w:rPr>
          <w:rFonts w:ascii="仿宋" w:hAnsi="仿宋" w:eastAsia="仿宋" w:cs="方正小标宋简体"/>
          <w:b/>
          <w:color w:val="auto"/>
          <w:sz w:val="28"/>
          <w:szCs w:val="28"/>
        </w:rPr>
        <w:t>政府采购活动现场确认声明书</w:t>
      </w:r>
    </w:p>
    <w:p>
      <w:pPr>
        <w:pStyle w:val="319"/>
        <w:adjustRightInd w:val="0"/>
        <w:snapToGrid w:val="0"/>
        <w:spacing w:after="120" w:line="360" w:lineRule="auto"/>
        <w:rPr>
          <w:rFonts w:ascii="仿宋" w:hAnsi="仿宋" w:eastAsia="仿宋"/>
          <w:b/>
          <w:color w:val="auto"/>
          <w:szCs w:val="21"/>
        </w:rPr>
      </w:pPr>
      <w:r>
        <w:rPr>
          <w:rFonts w:ascii="仿宋" w:hAnsi="仿宋" w:eastAsia="仿宋"/>
          <w:color w:val="auto"/>
          <w:spacing w:val="6"/>
          <w:szCs w:val="21"/>
          <w:u w:val="single"/>
        </w:rPr>
        <w:t xml:space="preserve">                 </w:t>
      </w:r>
      <w:r>
        <w:rPr>
          <w:rFonts w:ascii="仿宋" w:hAnsi="仿宋" w:eastAsia="仿宋"/>
          <w:color w:val="auto"/>
          <w:szCs w:val="21"/>
        </w:rPr>
        <w:t>：</w:t>
      </w:r>
    </w:p>
    <w:p>
      <w:pPr>
        <w:pStyle w:val="319"/>
        <w:adjustRightInd w:val="0"/>
        <w:snapToGrid w:val="0"/>
        <w:spacing w:before="120" w:beforeLines="50" w:after="120" w:line="320" w:lineRule="exact"/>
        <w:ind w:firstLine="424" w:firstLineChars="200"/>
        <w:rPr>
          <w:rFonts w:ascii="仿宋" w:hAnsi="仿宋" w:eastAsia="仿宋"/>
          <w:color w:val="auto"/>
          <w:spacing w:val="6"/>
          <w:szCs w:val="21"/>
        </w:rPr>
      </w:pPr>
      <w:r>
        <w:rPr>
          <w:rFonts w:ascii="仿宋" w:hAnsi="仿宋" w:eastAsia="仿宋"/>
          <w:color w:val="auto"/>
          <w:spacing w:val="6"/>
          <w:szCs w:val="21"/>
        </w:rPr>
        <w:t>本人经由</w:t>
      </w:r>
      <w:r>
        <w:rPr>
          <w:rFonts w:ascii="仿宋" w:hAnsi="仿宋" w:eastAsia="仿宋"/>
          <w:color w:val="auto"/>
          <w:spacing w:val="6"/>
          <w:szCs w:val="21"/>
          <w:u w:val="single"/>
        </w:rPr>
        <w:t xml:space="preserve">                    （单位全称）</w:t>
      </w:r>
      <w:r>
        <w:rPr>
          <w:rFonts w:ascii="仿宋" w:hAnsi="仿宋" w:eastAsia="仿宋"/>
          <w:color w:val="auto"/>
          <w:spacing w:val="6"/>
          <w:szCs w:val="21"/>
        </w:rPr>
        <w:t>负责人</w:t>
      </w:r>
      <w:r>
        <w:rPr>
          <w:rFonts w:ascii="仿宋" w:hAnsi="仿宋" w:eastAsia="仿宋"/>
          <w:color w:val="auto"/>
          <w:spacing w:val="6"/>
          <w:szCs w:val="21"/>
          <w:u w:val="single"/>
        </w:rPr>
        <w:t xml:space="preserve">        （法人姓名）</w:t>
      </w:r>
      <w:r>
        <w:rPr>
          <w:rFonts w:ascii="仿宋" w:hAnsi="仿宋" w:eastAsia="仿宋"/>
          <w:color w:val="auto"/>
          <w:spacing w:val="6"/>
          <w:szCs w:val="21"/>
        </w:rPr>
        <w:t>合法授权参加</w:t>
      </w:r>
      <w:r>
        <w:rPr>
          <w:rFonts w:ascii="仿宋" w:hAnsi="仿宋" w:eastAsia="仿宋"/>
          <w:color w:val="auto"/>
          <w:spacing w:val="6"/>
          <w:szCs w:val="21"/>
          <w:u w:val="single"/>
        </w:rPr>
        <w:t xml:space="preserve">     </w:t>
      </w:r>
      <w:r>
        <w:rPr>
          <w:rFonts w:ascii="仿宋" w:hAnsi="仿宋" w:eastAsia="仿宋"/>
          <w:color w:val="auto"/>
          <w:spacing w:val="6"/>
          <w:szCs w:val="21"/>
        </w:rPr>
        <w:t>项目</w:t>
      </w:r>
      <w:r>
        <w:rPr>
          <w:rFonts w:ascii="仿宋" w:hAnsi="仿宋" w:eastAsia="仿宋"/>
          <w:color w:val="auto"/>
          <w:spacing w:val="6"/>
          <w:szCs w:val="21"/>
          <w:u w:val="single"/>
        </w:rPr>
        <w:t>（编号：        ）</w:t>
      </w:r>
      <w:r>
        <w:rPr>
          <w:rFonts w:ascii="仿宋" w:hAnsi="仿宋" w:eastAsia="仿宋"/>
          <w:color w:val="auto"/>
          <w:spacing w:val="6"/>
          <w:szCs w:val="21"/>
        </w:rPr>
        <w:t xml:space="preserve">政府采购活动，经与本单位法人代表（负责人）联系确认，现就有关公平竞争事项郑重声明如下： </w:t>
      </w:r>
    </w:p>
    <w:p>
      <w:pPr>
        <w:pStyle w:val="839"/>
        <w:widowControl/>
        <w:numPr>
          <w:ilvl w:val="0"/>
          <w:numId w:val="5"/>
        </w:numPr>
        <w:tabs>
          <w:tab w:val="clear" w:pos="8268"/>
        </w:tabs>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 xml:space="preserve">本单位与采购人之间 </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不存在利害关系 </w:t>
      </w:r>
      <w:r>
        <w:rPr>
          <w:rFonts w:ascii="仿宋" w:hAnsi="仿宋" w:eastAsia="仿宋" w:cs="宋体"/>
          <w:color w:val="auto"/>
          <w:kern w:val="0"/>
          <w:sz w:val="21"/>
          <w:szCs w:val="21"/>
        </w:rPr>
        <w:t>□</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A.投资关系    B.行政隶属关系    C.业务指导关系</w:t>
      </w:r>
    </w:p>
    <w:p>
      <w:pPr>
        <w:pStyle w:val="839"/>
        <w:widowControl/>
        <w:snapToGrid w:val="0"/>
        <w:spacing w:before="120" w:beforeLines="50" w:line="320" w:lineRule="exact"/>
        <w:ind w:firstLine="424" w:firstLineChars="202"/>
        <w:rPr>
          <w:rFonts w:ascii="仿宋" w:hAnsi="仿宋" w:eastAsia="仿宋"/>
          <w:color w:val="auto"/>
          <w:kern w:val="0"/>
          <w:sz w:val="21"/>
          <w:szCs w:val="21"/>
        </w:rPr>
      </w:pPr>
      <w:r>
        <w:rPr>
          <w:rFonts w:ascii="仿宋" w:hAnsi="仿宋" w:eastAsia="仿宋"/>
          <w:color w:val="auto"/>
          <w:kern w:val="0"/>
          <w:sz w:val="21"/>
          <w:szCs w:val="21"/>
        </w:rPr>
        <w:t>D.其他可能</w:t>
      </w:r>
      <w:r>
        <w:rPr>
          <w:rFonts w:ascii="仿宋" w:hAnsi="仿宋" w:eastAsia="仿宋"/>
          <w:color w:val="auto"/>
          <w:sz w:val="21"/>
          <w:szCs w:val="21"/>
        </w:rPr>
        <w:t>影响采购公正的</w:t>
      </w:r>
      <w:r>
        <w:rPr>
          <w:rFonts w:ascii="仿宋" w:hAnsi="仿宋" w:eastAsia="仿宋"/>
          <w:color w:val="auto"/>
          <w:kern w:val="0"/>
          <w:sz w:val="21"/>
          <w:szCs w:val="21"/>
        </w:rPr>
        <w:t>利害关系</w:t>
      </w:r>
      <w:r>
        <w:rPr>
          <w:rFonts w:ascii="仿宋" w:hAnsi="仿宋" w:eastAsia="仿宋"/>
          <w:color w:val="auto"/>
          <w:kern w:val="0"/>
          <w:sz w:val="21"/>
          <w:szCs w:val="21"/>
          <w:u w:val="single"/>
        </w:rPr>
        <w:t xml:space="preserve">（如有，请如实说明）                 </w:t>
      </w:r>
      <w:r>
        <w:rPr>
          <w:rFonts w:ascii="仿宋" w:hAnsi="仿宋" w:eastAsia="仿宋"/>
          <w:color w:val="auto"/>
          <w:kern w:val="0"/>
          <w:sz w:val="21"/>
          <w:szCs w:val="21"/>
        </w:rPr>
        <w:t>。</w:t>
      </w:r>
    </w:p>
    <w:p>
      <w:pPr>
        <w:pStyle w:val="839"/>
        <w:widowControl/>
        <w:snapToGrid w:val="0"/>
        <w:spacing w:before="120" w:beforeLines="50" w:line="320" w:lineRule="exact"/>
        <w:ind w:firstLine="448" w:firstLineChars="202"/>
        <w:rPr>
          <w:rFonts w:ascii="仿宋" w:hAnsi="仿宋" w:eastAsia="仿宋"/>
          <w:color w:val="auto"/>
          <w:kern w:val="0"/>
          <w:sz w:val="21"/>
          <w:szCs w:val="21"/>
        </w:rPr>
      </w:pPr>
      <w:r>
        <w:rPr>
          <w:rFonts w:ascii="仿宋" w:hAnsi="仿宋" w:eastAsia="仿宋"/>
          <w:color w:val="auto"/>
          <w:spacing w:val="6"/>
          <w:sz w:val="21"/>
          <w:szCs w:val="21"/>
        </w:rPr>
        <w:t>二、</w:t>
      </w:r>
      <w:r>
        <w:rPr>
          <w:rFonts w:ascii="仿宋" w:hAnsi="仿宋" w:eastAsia="仿宋"/>
          <w:color w:val="auto"/>
          <w:kern w:val="0"/>
          <w:sz w:val="21"/>
          <w:szCs w:val="21"/>
        </w:rPr>
        <w:t xml:space="preserve">现已清楚知道参加本项目采购活动的其他所有供应商名称，本单位 </w:t>
      </w:r>
      <w:r>
        <w:rPr>
          <w:rFonts w:ascii="仿宋" w:hAnsi="仿宋" w:eastAsia="仿宋" w:cs="宋体"/>
          <w:color w:val="auto"/>
          <w:kern w:val="0"/>
          <w:sz w:val="21"/>
          <w:szCs w:val="21"/>
        </w:rPr>
        <w:t>□与其他所有供应商之间均</w:t>
      </w:r>
      <w:r>
        <w:rPr>
          <w:rFonts w:ascii="仿宋" w:hAnsi="仿宋" w:eastAsia="仿宋"/>
          <w:color w:val="auto"/>
          <w:kern w:val="0"/>
          <w:sz w:val="21"/>
          <w:szCs w:val="21"/>
        </w:rPr>
        <w:t>不存在利害关系</w:t>
      </w:r>
      <w:r>
        <w:rPr>
          <w:rFonts w:ascii="仿宋" w:hAnsi="仿宋" w:eastAsia="仿宋" w:cs="宋体"/>
          <w:color w:val="auto"/>
          <w:kern w:val="0"/>
          <w:sz w:val="21"/>
          <w:szCs w:val="21"/>
        </w:rPr>
        <w:t>□与</w:t>
      </w:r>
      <w:r>
        <w:rPr>
          <w:rFonts w:ascii="仿宋" w:hAnsi="仿宋" w:eastAsia="仿宋" w:cs="宋体"/>
          <w:color w:val="auto"/>
          <w:kern w:val="0"/>
          <w:sz w:val="21"/>
          <w:szCs w:val="21"/>
          <w:u w:val="single"/>
        </w:rPr>
        <w:t xml:space="preserve">           （供应商名称）</w:t>
      </w:r>
      <w:r>
        <w:rPr>
          <w:rFonts w:ascii="仿宋" w:hAnsi="仿宋" w:eastAsia="仿宋" w:cs="宋体"/>
          <w:color w:val="auto"/>
          <w:kern w:val="0"/>
          <w:sz w:val="21"/>
          <w:szCs w:val="21"/>
        </w:rPr>
        <w:t>之间</w:t>
      </w:r>
      <w:r>
        <w:rPr>
          <w:rFonts w:ascii="仿宋" w:hAnsi="仿宋" w:eastAsia="仿宋"/>
          <w:color w:val="auto"/>
          <w:kern w:val="0"/>
          <w:sz w:val="21"/>
          <w:szCs w:val="21"/>
        </w:rPr>
        <w:t>存在下列利害关系</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A.法定代表人或负责人或实际控制人是同一人</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B.法定代表人或负责人或实际控制人是夫妻关系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C.法定代表人或负责人或实际控制人是直系血亲关系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D.法定代表人或负责人或实际控制人存在三代以内旁系血亲关系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E.法定代表人或负责人或实际控制人存在近姻亲关系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F.法定代表人或负责人或实际控制人存在股份控制或实际控制关系</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G.存在共同直接或间接投资设立子公司、联营企业和合营企业情况</w:t>
      </w:r>
    </w:p>
    <w:p>
      <w:pPr>
        <w:pStyle w:val="319"/>
        <w:adjustRightInd w:val="0"/>
        <w:snapToGrid w:val="0"/>
        <w:spacing w:after="120" w:line="360" w:lineRule="auto"/>
        <w:ind w:firstLine="400" w:firstLineChars="200"/>
        <w:rPr>
          <w:rFonts w:ascii="仿宋" w:hAnsi="仿宋" w:eastAsia="仿宋"/>
          <w:color w:val="auto"/>
          <w:szCs w:val="21"/>
        </w:rPr>
      </w:pPr>
      <w:r>
        <w:rPr>
          <w:rFonts w:ascii="仿宋" w:hAnsi="仿宋" w:eastAsia="仿宋"/>
          <w:color w:val="auto"/>
          <w:szCs w:val="21"/>
        </w:rPr>
        <w:t>H.存在分级代理或代销关系、同一生产制造商关系、管理关系、重要业务（占主营业务收入50%以上）或重要财务往来关系（如融资）等其他实质性控制关系</w:t>
      </w:r>
    </w:p>
    <w:p>
      <w:pPr>
        <w:pStyle w:val="319"/>
        <w:adjustRightInd w:val="0"/>
        <w:snapToGrid w:val="0"/>
        <w:spacing w:after="120" w:line="360" w:lineRule="auto"/>
        <w:ind w:firstLine="400" w:firstLineChars="200"/>
        <w:rPr>
          <w:rFonts w:ascii="仿宋" w:hAnsi="仿宋" w:eastAsia="仿宋"/>
          <w:color w:val="auto"/>
          <w:spacing w:val="6"/>
          <w:szCs w:val="21"/>
        </w:rPr>
      </w:pPr>
      <w:r>
        <w:rPr>
          <w:rFonts w:ascii="仿宋" w:hAnsi="仿宋" w:eastAsia="仿宋"/>
          <w:color w:val="auto"/>
          <w:szCs w:val="21"/>
        </w:rPr>
        <w:t>I.其他利害关系情况</w:t>
      </w:r>
      <w:r>
        <w:rPr>
          <w:rFonts w:ascii="仿宋" w:hAnsi="仿宋" w:eastAsia="仿宋"/>
          <w:color w:val="auto"/>
          <w:szCs w:val="21"/>
          <w:u w:val="single"/>
        </w:rPr>
        <w:t xml:space="preserve">                              </w:t>
      </w:r>
      <w:r>
        <w:rPr>
          <w:rFonts w:ascii="仿宋" w:hAnsi="仿宋" w:eastAsia="仿宋"/>
          <w:color w:val="auto"/>
          <w:szCs w:val="21"/>
        </w:rPr>
        <w:t>。</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sz w:val="21"/>
          <w:szCs w:val="21"/>
        </w:rPr>
        <w:t>现已清楚知道并</w:t>
      </w:r>
      <w:r>
        <w:rPr>
          <w:rFonts w:ascii="仿宋" w:hAnsi="仿宋" w:eastAsia="仿宋"/>
          <w:color w:val="auto"/>
          <w:kern w:val="0"/>
          <w:sz w:val="21"/>
          <w:szCs w:val="21"/>
        </w:rPr>
        <w:t>严格遵守政府采购法律法规和现场纪律。</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我发现</w:t>
      </w:r>
      <w:r>
        <w:rPr>
          <w:rFonts w:ascii="仿宋" w:hAnsi="仿宋" w:eastAsia="仿宋"/>
          <w:color w:val="auto"/>
          <w:kern w:val="0"/>
          <w:sz w:val="21"/>
          <w:szCs w:val="21"/>
          <w:u w:val="single"/>
        </w:rPr>
        <w:t xml:space="preserve">                    </w:t>
      </w:r>
      <w:r>
        <w:rPr>
          <w:rFonts w:ascii="仿宋" w:hAnsi="仿宋" w:eastAsia="仿宋"/>
          <w:color w:val="auto"/>
          <w:kern w:val="0"/>
          <w:sz w:val="21"/>
          <w:szCs w:val="21"/>
        </w:rPr>
        <w:t>供应商之间存在或可能存在上述第二条第</w:t>
      </w:r>
      <w:r>
        <w:rPr>
          <w:rFonts w:ascii="仿宋" w:hAnsi="仿宋" w:eastAsia="仿宋"/>
          <w:color w:val="auto"/>
          <w:kern w:val="0"/>
          <w:sz w:val="21"/>
          <w:szCs w:val="21"/>
          <w:u w:val="single"/>
        </w:rPr>
        <w:t xml:space="preserve">        </w:t>
      </w:r>
      <w:r>
        <w:rPr>
          <w:rFonts w:ascii="仿宋" w:hAnsi="仿宋" w:eastAsia="仿宋"/>
          <w:color w:val="auto"/>
          <w:kern w:val="0"/>
          <w:sz w:val="21"/>
          <w:szCs w:val="21"/>
        </w:rPr>
        <w:t>项利害关系。</w:t>
      </w:r>
    </w:p>
    <w:p>
      <w:pPr>
        <w:pStyle w:val="839"/>
        <w:widowControl/>
        <w:numPr>
          <w:ilvl w:val="0"/>
          <w:numId w:val="6"/>
        </w:numPr>
        <w:tabs>
          <w:tab w:val="clear" w:pos="8268"/>
        </w:tabs>
        <w:snapToGrid w:val="0"/>
        <w:spacing w:after="120" w:line="360" w:lineRule="auto"/>
        <w:ind w:firstLine="396" w:firstLineChars="189"/>
        <w:rPr>
          <w:rFonts w:ascii="仿宋" w:hAnsi="仿宋" w:eastAsia="仿宋"/>
          <w:color w:val="auto"/>
          <w:kern w:val="0"/>
          <w:sz w:val="21"/>
          <w:szCs w:val="21"/>
        </w:rPr>
      </w:pPr>
      <w:r>
        <w:rPr>
          <w:rFonts w:ascii="仿宋" w:hAnsi="仿宋" w:eastAsia="仿宋"/>
          <w:color w:val="auto"/>
          <w:kern w:val="0"/>
          <w:sz w:val="21"/>
          <w:szCs w:val="21"/>
        </w:rPr>
        <w:t>经检查确认所有供应商投标文件</w:t>
      </w:r>
      <w:r>
        <w:rPr>
          <w:rFonts w:ascii="仿宋" w:hAnsi="仿宋" w:eastAsia="仿宋" w:cs="宋体"/>
          <w:color w:val="auto"/>
          <w:kern w:val="0"/>
          <w:sz w:val="21"/>
          <w:szCs w:val="21"/>
        </w:rPr>
        <w:t>□</w:t>
      </w:r>
      <w:r>
        <w:rPr>
          <w:rFonts w:ascii="仿宋" w:hAnsi="仿宋" w:eastAsia="仿宋"/>
          <w:color w:val="auto"/>
          <w:kern w:val="0"/>
          <w:sz w:val="21"/>
          <w:szCs w:val="21"/>
        </w:rPr>
        <w:t xml:space="preserve">不存在密封包装问题  </w:t>
      </w:r>
      <w:r>
        <w:rPr>
          <w:rFonts w:ascii="仿宋" w:hAnsi="仿宋" w:eastAsia="仿宋" w:cs="宋体"/>
          <w:color w:val="auto"/>
          <w:kern w:val="0"/>
          <w:sz w:val="21"/>
          <w:szCs w:val="21"/>
        </w:rPr>
        <w:t>□</w:t>
      </w:r>
      <w:r>
        <w:rPr>
          <w:rFonts w:ascii="仿宋" w:hAnsi="仿宋" w:eastAsia="仿宋"/>
          <w:color w:val="auto"/>
          <w:kern w:val="0"/>
          <w:sz w:val="21"/>
          <w:szCs w:val="21"/>
        </w:rPr>
        <w:t>存在密封包装问题（具体指出）</w:t>
      </w:r>
      <w:r>
        <w:rPr>
          <w:rFonts w:ascii="仿宋" w:hAnsi="仿宋" w:eastAsia="仿宋"/>
          <w:color w:val="auto"/>
          <w:kern w:val="0"/>
          <w:sz w:val="21"/>
          <w:szCs w:val="21"/>
          <w:u w:val="single"/>
        </w:rPr>
        <w:t xml:space="preserve">                            </w:t>
      </w:r>
      <w:r>
        <w:rPr>
          <w:rFonts w:ascii="仿宋" w:hAnsi="仿宋" w:eastAsia="仿宋"/>
          <w:color w:val="auto"/>
          <w:kern w:val="0"/>
          <w:sz w:val="21"/>
          <w:szCs w:val="21"/>
        </w:rPr>
        <w:t>。</w:t>
      </w:r>
    </w:p>
    <w:p>
      <w:pPr>
        <w:pStyle w:val="319"/>
        <w:adjustRightInd w:val="0"/>
        <w:snapToGrid w:val="0"/>
        <w:spacing w:after="120" w:line="360" w:lineRule="auto"/>
        <w:ind w:firstLine="4200" w:firstLineChars="2100"/>
        <w:rPr>
          <w:rFonts w:ascii="仿宋" w:hAnsi="仿宋" w:eastAsia="仿宋"/>
          <w:color w:val="auto"/>
          <w:szCs w:val="21"/>
        </w:rPr>
      </w:pPr>
      <w:r>
        <w:rPr>
          <w:rFonts w:ascii="仿宋" w:hAnsi="仿宋" w:eastAsia="仿宋"/>
          <w:color w:val="auto"/>
          <w:szCs w:val="21"/>
        </w:rPr>
        <w:t>（供应商代表签名）</w:t>
      </w:r>
    </w:p>
    <w:p>
      <w:pPr>
        <w:ind w:right="840" w:firstLine="480"/>
        <w:jc w:val="right"/>
        <w:rPr>
          <w:rFonts w:ascii="仿宋" w:hAnsi="仿宋" w:eastAsia="仿宋"/>
          <w:color w:val="auto"/>
          <w:szCs w:val="21"/>
        </w:rPr>
      </w:pPr>
      <w:r>
        <w:rPr>
          <w:rFonts w:ascii="仿宋" w:hAnsi="仿宋" w:eastAsia="仿宋"/>
          <w:color w:val="auto"/>
          <w:szCs w:val="21"/>
        </w:rPr>
        <w:t>年</w:t>
      </w:r>
      <w:r>
        <w:rPr>
          <w:rFonts w:hint="eastAsia" w:ascii="仿宋" w:hAnsi="仿宋" w:eastAsia="仿宋"/>
          <w:color w:val="auto"/>
          <w:szCs w:val="21"/>
        </w:rPr>
        <w:t xml:space="preserve">  </w:t>
      </w:r>
      <w:r>
        <w:rPr>
          <w:rFonts w:ascii="仿宋" w:hAnsi="仿宋" w:eastAsia="仿宋"/>
          <w:color w:val="auto"/>
          <w:szCs w:val="21"/>
        </w:rPr>
        <w:t>月</w:t>
      </w:r>
      <w:r>
        <w:rPr>
          <w:rFonts w:hint="eastAsia" w:ascii="仿宋" w:hAnsi="仿宋" w:eastAsia="仿宋"/>
          <w:color w:val="auto"/>
          <w:szCs w:val="21"/>
        </w:rPr>
        <w:t xml:space="preserve">  </w:t>
      </w:r>
      <w:r>
        <w:rPr>
          <w:rFonts w:ascii="仿宋" w:hAnsi="仿宋" w:eastAsia="仿宋"/>
          <w:color w:val="auto"/>
          <w:szCs w:val="21"/>
        </w:rPr>
        <w:t>日</w:t>
      </w:r>
    </w:p>
    <w:p>
      <w:pPr>
        <w:snapToGrid w:val="0"/>
        <w:spacing w:line="360" w:lineRule="auto"/>
        <w:rPr>
          <w:rFonts w:ascii="仿宋" w:hAnsi="仿宋" w:eastAsia="仿宋"/>
          <w:b/>
          <w:color w:val="auto"/>
          <w:szCs w:val="21"/>
        </w:rPr>
      </w:pPr>
      <w:r>
        <w:rPr>
          <w:rFonts w:hint="eastAsia" w:ascii="仿宋" w:hAnsi="仿宋" w:eastAsia="仿宋"/>
          <w:b/>
          <w:color w:val="auto"/>
          <w:szCs w:val="21"/>
        </w:rPr>
        <w:t>注：结束解密后，供应商通过邮件形式将经授权代表签署的《政府采购活动现场确认声明书》扫描件发至代理机构经办人邮箱（</w:t>
      </w:r>
      <w:r>
        <w:rPr>
          <w:rFonts w:hint="eastAsia" w:ascii="仿宋" w:hAnsi="仿宋" w:eastAsia="仿宋"/>
          <w:b/>
          <w:color w:val="auto"/>
          <w:szCs w:val="21"/>
        </w:rPr>
        <w:t>邮箱地址：478001715@qq.com，联系人：方工，电话：13588741920</w:t>
      </w:r>
      <w:r>
        <w:rPr>
          <w:rFonts w:hint="eastAsia" w:ascii="仿宋" w:hAnsi="仿宋" w:eastAsia="仿宋"/>
          <w:b/>
          <w:color w:val="auto"/>
          <w:szCs w:val="21"/>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8" w:name="_Toc131845147"/>
    <w:bookmarkStart w:id="509" w:name="_Toc91899912"/>
    <w:bookmarkStart w:id="510" w:name="_Toc164085800"/>
    <w:bookmarkStart w:id="511" w:name="_Toc36110187"/>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00C"/>
    <w:multiLevelType w:val="singleLevel"/>
    <w:tmpl w:val="B707400C"/>
    <w:lvl w:ilvl="0" w:tentative="0">
      <w:start w:val="5"/>
      <w:numFmt w:val="chineseCounting"/>
      <w:suff w:val="nothing"/>
      <w:lvlText w:val="%1、"/>
      <w:lvlJc w:val="left"/>
      <w:rPr>
        <w:rFonts w:hint="eastAsia"/>
      </w:rPr>
    </w:lvl>
  </w:abstractNum>
  <w:abstractNum w:abstractNumId="1">
    <w:nsid w:val="C9CCC725"/>
    <w:multiLevelType w:val="singleLevel"/>
    <w:tmpl w:val="C9CCC725"/>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7ACD4CE"/>
    <w:multiLevelType w:val="singleLevel"/>
    <w:tmpl w:val="77ACD4CE"/>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CBD"/>
    <w:rsid w:val="00042DBB"/>
    <w:rsid w:val="00042E65"/>
    <w:rsid w:val="0004347C"/>
    <w:rsid w:val="00043907"/>
    <w:rsid w:val="00044F48"/>
    <w:rsid w:val="00047354"/>
    <w:rsid w:val="00050656"/>
    <w:rsid w:val="00050A19"/>
    <w:rsid w:val="000511B6"/>
    <w:rsid w:val="00051B00"/>
    <w:rsid w:val="00051C72"/>
    <w:rsid w:val="00052177"/>
    <w:rsid w:val="00052192"/>
    <w:rsid w:val="0005238F"/>
    <w:rsid w:val="00052787"/>
    <w:rsid w:val="00052BB8"/>
    <w:rsid w:val="0005417A"/>
    <w:rsid w:val="00054D39"/>
    <w:rsid w:val="00054FE3"/>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758"/>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3E6"/>
    <w:rsid w:val="000F1604"/>
    <w:rsid w:val="000F287A"/>
    <w:rsid w:val="000F2940"/>
    <w:rsid w:val="000F2AB3"/>
    <w:rsid w:val="000F3D08"/>
    <w:rsid w:val="000F4495"/>
    <w:rsid w:val="000F4A05"/>
    <w:rsid w:val="000F4AA8"/>
    <w:rsid w:val="000F4AEA"/>
    <w:rsid w:val="000F4E67"/>
    <w:rsid w:val="000F5039"/>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98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A85"/>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5A4"/>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B93"/>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73D"/>
    <w:rsid w:val="00200746"/>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769"/>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BE2"/>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14B"/>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4E5A"/>
    <w:rsid w:val="00355D75"/>
    <w:rsid w:val="00355D8F"/>
    <w:rsid w:val="0035671E"/>
    <w:rsid w:val="00356A73"/>
    <w:rsid w:val="00356FF0"/>
    <w:rsid w:val="003577EF"/>
    <w:rsid w:val="00357A60"/>
    <w:rsid w:val="00360304"/>
    <w:rsid w:val="00360A78"/>
    <w:rsid w:val="00361750"/>
    <w:rsid w:val="00363894"/>
    <w:rsid w:val="00363B2A"/>
    <w:rsid w:val="00363BF1"/>
    <w:rsid w:val="00366779"/>
    <w:rsid w:val="003668A1"/>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3CF"/>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07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190"/>
    <w:rsid w:val="003D4685"/>
    <w:rsid w:val="003D4A41"/>
    <w:rsid w:val="003D4CDF"/>
    <w:rsid w:val="003D514A"/>
    <w:rsid w:val="003D5ADB"/>
    <w:rsid w:val="003D6448"/>
    <w:rsid w:val="003D646C"/>
    <w:rsid w:val="003D663E"/>
    <w:rsid w:val="003D664B"/>
    <w:rsid w:val="003D6793"/>
    <w:rsid w:val="003D6B03"/>
    <w:rsid w:val="003D6B9F"/>
    <w:rsid w:val="003D75D8"/>
    <w:rsid w:val="003E006E"/>
    <w:rsid w:val="003E0947"/>
    <w:rsid w:val="003E0E96"/>
    <w:rsid w:val="003E20F7"/>
    <w:rsid w:val="003E336A"/>
    <w:rsid w:val="003E3E2F"/>
    <w:rsid w:val="003E4048"/>
    <w:rsid w:val="003E4CE5"/>
    <w:rsid w:val="003E51FF"/>
    <w:rsid w:val="003E5EB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3EC"/>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9C6"/>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DA"/>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5A7"/>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6EA"/>
    <w:rsid w:val="00636888"/>
    <w:rsid w:val="00636CC7"/>
    <w:rsid w:val="00637CDD"/>
    <w:rsid w:val="00637F27"/>
    <w:rsid w:val="006405EC"/>
    <w:rsid w:val="006409BE"/>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11A"/>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A7F5E"/>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248"/>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0FA"/>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A88"/>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798"/>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A2F"/>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0AF"/>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0AA"/>
    <w:rsid w:val="009E19BB"/>
    <w:rsid w:val="009E1C47"/>
    <w:rsid w:val="009E38D1"/>
    <w:rsid w:val="009E3DF1"/>
    <w:rsid w:val="009E514A"/>
    <w:rsid w:val="009E5177"/>
    <w:rsid w:val="009E5701"/>
    <w:rsid w:val="009E5711"/>
    <w:rsid w:val="009E758E"/>
    <w:rsid w:val="009E7BA2"/>
    <w:rsid w:val="009E7BFB"/>
    <w:rsid w:val="009E7D6B"/>
    <w:rsid w:val="009E7E3C"/>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1C7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5C3"/>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A8D"/>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0B0"/>
    <w:rsid w:val="00B804F8"/>
    <w:rsid w:val="00B8095A"/>
    <w:rsid w:val="00B81274"/>
    <w:rsid w:val="00B815D3"/>
    <w:rsid w:val="00B81742"/>
    <w:rsid w:val="00B817B5"/>
    <w:rsid w:val="00B823A6"/>
    <w:rsid w:val="00B83E76"/>
    <w:rsid w:val="00B83FA0"/>
    <w:rsid w:val="00B84156"/>
    <w:rsid w:val="00B846E6"/>
    <w:rsid w:val="00B84BC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C1"/>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9BF"/>
    <w:rsid w:val="00C14ABD"/>
    <w:rsid w:val="00C151E0"/>
    <w:rsid w:val="00C155A8"/>
    <w:rsid w:val="00C159FD"/>
    <w:rsid w:val="00C15B31"/>
    <w:rsid w:val="00C15C86"/>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379"/>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629"/>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589"/>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B0A"/>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600"/>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A95"/>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765"/>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09"/>
    <w:rsid w:val="00E86976"/>
    <w:rsid w:val="00E87A37"/>
    <w:rsid w:val="00E87CF7"/>
    <w:rsid w:val="00E9036E"/>
    <w:rsid w:val="00E9078A"/>
    <w:rsid w:val="00E912FD"/>
    <w:rsid w:val="00E91B26"/>
    <w:rsid w:val="00E92904"/>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3E"/>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D9F"/>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D937F5"/>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71B41"/>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6A8729C"/>
    <w:rsid w:val="16B33777"/>
    <w:rsid w:val="16BC70A7"/>
    <w:rsid w:val="16C6339E"/>
    <w:rsid w:val="17253C7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B1CE7"/>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921B3"/>
    <w:rsid w:val="20973DEB"/>
    <w:rsid w:val="20B26522"/>
    <w:rsid w:val="20B44310"/>
    <w:rsid w:val="211116EB"/>
    <w:rsid w:val="216133FC"/>
    <w:rsid w:val="218B1F59"/>
    <w:rsid w:val="21D56769"/>
    <w:rsid w:val="21E52EF3"/>
    <w:rsid w:val="21FB5D7B"/>
    <w:rsid w:val="22015E94"/>
    <w:rsid w:val="220B1C3D"/>
    <w:rsid w:val="220D55E1"/>
    <w:rsid w:val="221D1D20"/>
    <w:rsid w:val="22334A87"/>
    <w:rsid w:val="226D06CE"/>
    <w:rsid w:val="22943A5C"/>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D2389"/>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41EE7"/>
    <w:rsid w:val="34FA6E12"/>
    <w:rsid w:val="354D7158"/>
    <w:rsid w:val="358D5588"/>
    <w:rsid w:val="363A3B40"/>
    <w:rsid w:val="365302AE"/>
    <w:rsid w:val="36607A0A"/>
    <w:rsid w:val="366E227C"/>
    <w:rsid w:val="366F2E0D"/>
    <w:rsid w:val="367B6A5C"/>
    <w:rsid w:val="36A74ADA"/>
    <w:rsid w:val="36AD60D5"/>
    <w:rsid w:val="36B224F9"/>
    <w:rsid w:val="36EC0CC9"/>
    <w:rsid w:val="371C74C7"/>
    <w:rsid w:val="372C4753"/>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53F0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646F1"/>
    <w:rsid w:val="4CAA61F8"/>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3650BE"/>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251BBC"/>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500A46"/>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62A27"/>
    <w:rsid w:val="668B6A45"/>
    <w:rsid w:val="6693777D"/>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8B7D10"/>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F540C"/>
    <w:rsid w:val="742222F5"/>
    <w:rsid w:val="74476126"/>
    <w:rsid w:val="74706664"/>
    <w:rsid w:val="747F3682"/>
    <w:rsid w:val="749C4185"/>
    <w:rsid w:val="75067759"/>
    <w:rsid w:val="75184066"/>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90634"/>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99"/>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autoRedefine/>
    <w:qFormat/>
    <w:uiPriority w:val="0"/>
    <w:rPr>
      <w:b/>
      <w:bCs/>
    </w:rPr>
  </w:style>
  <w:style w:type="paragraph" w:styleId="62">
    <w:name w:val="Body Text First Indent"/>
    <w:basedOn w:val="25"/>
    <w:link w:val="320"/>
    <w:autoRedefine/>
    <w:qFormat/>
    <w:uiPriority w:val="0"/>
    <w:pPr>
      <w:ind w:firstLine="420"/>
    </w:pPr>
    <w:rPr>
      <w:rFonts w:hAnsi="Calibri" w:cs="Times New Roman"/>
      <w:snapToGrid/>
      <w:szCs w:val="20"/>
    </w:rPr>
  </w:style>
  <w:style w:type="paragraph" w:styleId="63">
    <w:name w:val="Body Text First Indent 2"/>
    <w:basedOn w:val="26"/>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8"/>
    <w:autoRedefine/>
    <w:qFormat/>
    <w:uiPriority w:val="0"/>
    <w:rPr>
      <w:rFonts w:ascii="黑体" w:hAnsi="Courier New" w:eastAsia="黑体"/>
    </w:rPr>
  </w:style>
  <w:style w:type="character" w:customStyle="1" w:styleId="301">
    <w:name w:val="正文文本 2 字符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99"/>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99"/>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1"/>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1"/>
    <w:semiHidden/>
    <w:unhideWhenUsed/>
    <w:uiPriority w:val="99"/>
    <w:rPr>
      <w:color w:val="605E5C"/>
      <w:shd w:val="clear" w:color="auto" w:fill="E1DFDD"/>
    </w:rPr>
  </w:style>
  <w:style w:type="paragraph" w:customStyle="1" w:styleId="96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autoRedefine/>
    <w:uiPriority w:val="0"/>
    <w:pPr>
      <w:jc w:val="both"/>
    </w:pPr>
    <w:rPr>
      <w:rFonts w:ascii="Times New Roman" w:hAnsi="Times New Roman" w:eastAsia="宋体" w:cs="Times New Roman"/>
      <w:kern w:val="2"/>
      <w:sz w:val="21"/>
      <w:szCs w:val="21"/>
      <w:lang w:val="en-US" w:eastAsia="zh-CN" w:bidi="ar-SA"/>
    </w:rPr>
  </w:style>
  <w:style w:type="table" w:customStyle="1" w:styleId="967">
    <w:name w:val="Table Normal"/>
    <w:basedOn w:val="64"/>
    <w:qFormat/>
    <w:uiPriority w:val="0"/>
    <w:rPr>
      <w:rFonts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FD75D-74F8-4891-9F14-4B57F70DB8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7652</Words>
  <Characters>43622</Characters>
  <Lines>363</Lines>
  <Paragraphs>102</Paragraphs>
  <TotalTime>214</TotalTime>
  <ScaleCrop>false</ScaleCrop>
  <LinksUpToDate>false</LinksUpToDate>
  <CharactersWithSpaces>51172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2021-12-27T11:06:00Z</cp:lastPrinted>
  <dcterms:modified xsi:type="dcterms:W3CDTF">2024-03-15T06:58:08Z</dcterms:modified>
  <dc:title>杭州市市民卡扩大发卡工程</dc:title>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