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仿宋_GB2312" w:hAnsi="仿宋" w:eastAsia="仿宋_GB2312" w:cs="仿宋_GB2312"/>
          <w:b/>
          <w:sz w:val="24"/>
          <w:szCs w:val="24"/>
        </w:rPr>
      </w:pPr>
    </w:p>
    <w:p>
      <w:pPr>
        <w:adjustRightInd w:val="0"/>
        <w:spacing w:line="360" w:lineRule="auto"/>
        <w:rPr>
          <w:rFonts w:ascii="仿宋_GB2312" w:hAnsi="仿宋" w:eastAsia="仿宋_GB2312" w:cs="仿宋_GB2312"/>
          <w:b/>
          <w:sz w:val="44"/>
          <w:szCs w:val="44"/>
        </w:rPr>
      </w:pPr>
    </w:p>
    <w:p>
      <w:pPr>
        <w:spacing w:line="360" w:lineRule="auto"/>
        <w:jc w:val="center"/>
        <w:rPr>
          <w:rFonts w:ascii="仿宋_GB2312" w:hAnsi="仿宋" w:eastAsia="仿宋_GB2312" w:cs="仿宋_GB2312"/>
          <w:sz w:val="48"/>
          <w:szCs w:val="48"/>
          <w:highlight w:val="yellow"/>
        </w:rPr>
      </w:pPr>
      <w:r>
        <w:rPr>
          <w:rFonts w:hint="eastAsia" w:ascii="仿宋_GB2312" w:hAnsi="仿宋" w:eastAsia="仿宋_GB2312" w:cs="仿宋_GB2312"/>
          <w:sz w:val="48"/>
          <w:szCs w:val="48"/>
          <w:highlight w:val="yellow"/>
        </w:rPr>
        <w:t>杭州市拱墅区机关事务中心</w:t>
      </w:r>
    </w:p>
    <w:p>
      <w:pPr>
        <w:spacing w:line="360" w:lineRule="auto"/>
        <w:jc w:val="center"/>
        <w:rPr>
          <w:rFonts w:ascii="仿宋_GB2312" w:hAnsi="仿宋" w:eastAsia="仿宋_GB2312" w:cs="仿宋_GB2312"/>
          <w:sz w:val="48"/>
          <w:szCs w:val="48"/>
          <w:highlight w:val="yellow"/>
        </w:rPr>
      </w:pPr>
      <w:r>
        <w:rPr>
          <w:rFonts w:hint="eastAsia" w:ascii="仿宋_GB2312" w:hAnsi="仿宋" w:eastAsia="仿宋_GB2312" w:cs="仿宋_GB2312"/>
          <w:sz w:val="48"/>
          <w:szCs w:val="48"/>
          <w:highlight w:val="yellow"/>
        </w:rPr>
        <w:t>文晖综合楼物业管理服务采购项目</w:t>
      </w:r>
    </w:p>
    <w:p>
      <w:pPr>
        <w:spacing w:line="360" w:lineRule="auto"/>
        <w:jc w:val="center"/>
        <w:rPr>
          <w:rFonts w:ascii="仿宋_GB2312" w:hAnsi="仿宋" w:eastAsia="仿宋_GB2312" w:cs="仿宋_GB2312"/>
          <w:b/>
          <w:sz w:val="72"/>
          <w:szCs w:val="72"/>
        </w:rPr>
      </w:pPr>
      <w:r>
        <w:rPr>
          <w:rFonts w:hint="eastAsia" w:ascii="仿宋_GB2312" w:hAnsi="仿宋" w:eastAsia="仿宋_GB2312" w:cs="仿宋_GB2312"/>
          <w:b/>
          <w:sz w:val="72"/>
          <w:szCs w:val="72"/>
        </w:rPr>
        <w:t>招标文件</w:t>
      </w: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adjustRightInd w:val="0"/>
        <w:spacing w:line="360" w:lineRule="auto"/>
        <w:jc w:val="center"/>
        <w:rPr>
          <w:rFonts w:ascii="仿宋_GB2312" w:hAnsi="仿宋" w:eastAsia="仿宋_GB2312" w:cs="仿宋_GB2312"/>
          <w:b/>
          <w:sz w:val="24"/>
          <w:szCs w:val="24"/>
        </w:rPr>
      </w:pPr>
    </w:p>
    <w:p>
      <w:pPr>
        <w:adjustRightInd w:val="0"/>
        <w:snapToGrid w:val="0"/>
        <w:spacing w:line="360" w:lineRule="auto"/>
        <w:jc w:val="center"/>
        <w:rPr>
          <w:rFonts w:ascii="仿宋_GB2312" w:hAnsi="仿宋" w:eastAsia="仿宋_GB2312" w:cs="仿宋_GB2312"/>
          <w:sz w:val="30"/>
          <w:szCs w:val="30"/>
        </w:rPr>
      </w:pPr>
      <w:r>
        <w:rPr>
          <w:rFonts w:hint="eastAsia" w:ascii="仿宋_GB2312" w:hAnsi="仿宋" w:eastAsia="仿宋_GB2312" w:cs="仿宋_GB2312"/>
          <w:sz w:val="30"/>
          <w:szCs w:val="30"/>
        </w:rPr>
        <w:t>编号:GSZFCG-2022-013</w:t>
      </w: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p>
    <w:p>
      <w:pPr>
        <w:spacing w:line="360" w:lineRule="auto"/>
        <w:jc w:val="cente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杭州市拱墅区机关事务中心</w:t>
      </w:r>
    </w:p>
    <w:p>
      <w:pPr>
        <w:adjustRightInd w:val="0"/>
        <w:spacing w:line="360" w:lineRule="auto"/>
        <w:jc w:val="center"/>
        <w:rPr>
          <w:rFonts w:ascii="仿宋_GB2312" w:hAnsi="仿宋" w:eastAsia="仿宋_GB2312" w:cs="仿宋_GB2312"/>
          <w:bCs/>
          <w:sz w:val="32"/>
          <w:szCs w:val="32"/>
          <w:highlight w:val="yellow"/>
        </w:rPr>
      </w:pPr>
      <w:r>
        <w:rPr>
          <w:rFonts w:hint="eastAsia" w:ascii="仿宋_GB2312" w:hAnsi="仿宋" w:eastAsia="仿宋_GB2312" w:cs="仿宋_GB2312"/>
          <w:bCs/>
          <w:sz w:val="32"/>
          <w:szCs w:val="32"/>
        </w:rPr>
        <w:t>杭州市公共资源交易中心拱墅分中心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仿宋_GB2312" w:hAnsi="宋体" w:eastAsia="仿宋_GB2312" w:cs="宋体"/>
          <w:bCs/>
          <w:sz w:val="32"/>
          <w:szCs w:val="32"/>
        </w:rPr>
        <w:t>〇</w:t>
      </w:r>
      <w:r>
        <w:rPr>
          <w:rFonts w:hint="eastAsia" w:ascii="仿宋_GB2312" w:hAnsi="仿宋" w:eastAsia="仿宋_GB2312" w:cs="仿宋_GB2312"/>
          <w:bCs/>
          <w:sz w:val="32"/>
          <w:szCs w:val="32"/>
        </w:rPr>
        <w:t>二</w:t>
      </w:r>
      <w:r>
        <w:rPr>
          <w:rFonts w:hint="eastAsia" w:ascii="仿宋_GB2312" w:hAnsi="宋体" w:eastAsia="仿宋_GB2312" w:cs="宋体"/>
          <w:bCs/>
          <w:sz w:val="32"/>
          <w:szCs w:val="32"/>
        </w:rPr>
        <w:t>二</w:t>
      </w:r>
      <w:r>
        <w:rPr>
          <w:rFonts w:hint="eastAsia" w:ascii="仿宋_GB2312" w:hAnsi="仿宋" w:eastAsia="仿宋_GB2312" w:cs="仿宋_GB2312"/>
          <w:bCs/>
          <w:sz w:val="32"/>
          <w:szCs w:val="32"/>
        </w:rPr>
        <w:t>年十二月二十</w:t>
      </w:r>
      <w:r>
        <w:rPr>
          <w:rFonts w:hint="eastAsia" w:ascii="仿宋_GB2312" w:hAnsi="仿宋" w:eastAsia="仿宋_GB2312" w:cs="仿宋_GB2312"/>
          <w:bCs/>
          <w:sz w:val="32"/>
          <w:szCs w:val="32"/>
          <w:lang w:eastAsia="zh-CN"/>
        </w:rPr>
        <w:t>二</w:t>
      </w:r>
      <w:r>
        <w:rPr>
          <w:rFonts w:hint="eastAsia" w:ascii="仿宋_GB2312" w:hAnsi="仿宋" w:eastAsia="仿宋_GB2312" w:cs="仿宋_GB2312"/>
          <w:bCs/>
          <w:sz w:val="32"/>
          <w:szCs w:val="32"/>
        </w:rPr>
        <w:t>日</w:t>
      </w:r>
    </w:p>
    <w:p>
      <w:pPr>
        <w:adjustRightInd w:val="0"/>
        <w:spacing w:line="360" w:lineRule="auto"/>
        <w:jc w:val="center"/>
        <w:outlineLvl w:val="0"/>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sz w:val="24"/>
          <w:szCs w:val="24"/>
        </w:rPr>
        <w:t>.</w:t>
      </w:r>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 xml:space="preserve">第四部分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rPr>
          <w:rFonts w:ascii="仿宋_GB2312" w:hAnsi="仿宋" w:eastAsia="仿宋_GB2312" w:cs="仿宋_GB2312"/>
          <w:b/>
          <w:sz w:val="36"/>
          <w:szCs w:val="20"/>
        </w:rPr>
      </w:pPr>
      <w:bookmarkStart w:id="3" w:name="第二部分"/>
      <w:bookmarkStart w:id="4" w:name="_Toc91899870"/>
      <w:bookmarkStart w:id="5" w:name="_Toc91899871"/>
    </w:p>
    <w:p>
      <w:pPr>
        <w:spacing w:line="360" w:lineRule="auto"/>
        <w:jc w:val="center"/>
        <w:rPr>
          <w:rFonts w:ascii="仿宋_GB2312" w:hAnsi="仿宋" w:eastAsia="仿宋_GB2312" w:cs="仿宋_GB2312"/>
          <w:b/>
          <w:sz w:val="36"/>
          <w:szCs w:val="20"/>
        </w:rPr>
      </w:pPr>
    </w:p>
    <w:p>
      <w:pPr>
        <w:spacing w:line="360" w:lineRule="auto"/>
        <w:jc w:val="center"/>
        <w:rPr>
          <w:rFonts w:ascii="仿宋_GB2312" w:hAnsi="仿宋" w:eastAsia="仿宋_GB2312" w:cs="仿宋_GB2312"/>
          <w:b/>
          <w:sz w:val="36"/>
          <w:szCs w:val="20"/>
        </w:rPr>
      </w:pPr>
    </w:p>
    <w:p>
      <w:pPr>
        <w:spacing w:line="360" w:lineRule="auto"/>
        <w:jc w:val="center"/>
        <w:rPr>
          <w:rFonts w:ascii="仿宋_GB2312" w:hAnsi="仿宋" w:eastAsia="仿宋_GB2312" w:cs="仿宋_GB2312"/>
          <w:b/>
          <w:sz w:val="36"/>
          <w:szCs w:val="20"/>
        </w:rPr>
      </w:pPr>
    </w:p>
    <w:p>
      <w:pPr>
        <w:spacing w:line="360" w:lineRule="auto"/>
        <w:jc w:val="center"/>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杭州市拱墅区机关事务中心文晖综合楼物业管理服务采购项目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5"/>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1月1</w:t>
      </w:r>
      <w:r>
        <w:rPr>
          <w:rFonts w:hint="eastAsia" w:ascii="仿宋_GB2312" w:hAnsi="仿宋" w:eastAsia="仿宋_GB2312"/>
          <w:sz w:val="24"/>
          <w:u w:val="single"/>
          <w:lang w:val="en-US" w:eastAsia="zh-CN"/>
        </w:rPr>
        <w:t>1</w:t>
      </w:r>
      <w:r>
        <w:rPr>
          <w:rFonts w:hint="eastAsia" w:ascii="仿宋_GB2312" w:hAnsi="仿宋" w:eastAsia="仿宋_GB2312"/>
          <w:sz w:val="24"/>
          <w:u w:val="single"/>
        </w:rPr>
        <w:t>日9点30分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spacing w:line="360" w:lineRule="auto"/>
        <w:rPr>
          <w:rFonts w:ascii="仿宋_GB2312" w:hAnsi="仿宋" w:eastAsia="仿宋_GB2312"/>
          <w:sz w:val="24"/>
          <w:highlight w:val="yellow"/>
        </w:rPr>
      </w:pPr>
      <w:r>
        <w:rPr>
          <w:rFonts w:hint="eastAsia" w:ascii="仿宋_GB2312" w:hAnsi="仿宋" w:eastAsia="仿宋_GB2312"/>
          <w:b/>
          <w:sz w:val="24"/>
          <w:highlight w:val="yellow"/>
        </w:rPr>
        <w:t>项目编号：GSZFCG-2022-013</w:t>
      </w:r>
    </w:p>
    <w:p>
      <w:pPr>
        <w:spacing w:line="360" w:lineRule="auto"/>
        <w:rPr>
          <w:rFonts w:ascii="仿宋_GB2312" w:hAnsi="仿宋" w:eastAsia="仿宋_GB2312" w:cs="Times New Roman"/>
          <w:sz w:val="24"/>
          <w:szCs w:val="24"/>
          <w:highlight w:val="yellow"/>
        </w:rPr>
      </w:pPr>
      <w:r>
        <w:rPr>
          <w:rFonts w:ascii="仿宋_GB2312" w:hAnsi="仿宋" w:eastAsia="仿宋_GB2312"/>
          <w:b/>
          <w:sz w:val="24"/>
          <w:highlight w:val="yellow"/>
        </w:rPr>
        <w:t xml:space="preserve"> 项目名称：</w:t>
      </w:r>
      <w:r>
        <w:rPr>
          <w:rFonts w:hint="eastAsia" w:ascii="仿宋_GB2312" w:hAnsi="仿宋" w:eastAsia="仿宋_GB2312"/>
          <w:b/>
          <w:sz w:val="24"/>
          <w:highlight w:val="yellow"/>
        </w:rPr>
        <w:t>杭州市拱墅区机关事务中心文晖综合楼物业管理服务采购项目</w:t>
      </w:r>
    </w:p>
    <w:p>
      <w:pPr>
        <w:adjustRightInd w:val="0"/>
        <w:spacing w:line="360" w:lineRule="auto"/>
        <w:rPr>
          <w:rFonts w:ascii="仿宋_GB2312" w:hAnsi="仿宋" w:eastAsia="仿宋_GB2312" w:cs="仿宋_GB2312"/>
          <w:sz w:val="24"/>
          <w:szCs w:val="24"/>
          <w:highlight w:val="yellow"/>
        </w:rPr>
      </w:pPr>
      <w:r>
        <w:rPr>
          <w:rFonts w:hint="eastAsia" w:ascii="仿宋_GB2312" w:hAnsi="仿宋" w:eastAsia="仿宋_GB2312" w:cs="Times New Roman"/>
          <w:b/>
          <w:sz w:val="24"/>
          <w:szCs w:val="24"/>
          <w:highlight w:val="yellow"/>
        </w:rPr>
        <w:t>预算金额（元）</w:t>
      </w:r>
      <w:r>
        <w:rPr>
          <w:rFonts w:hint="eastAsia" w:ascii="仿宋_GB2312" w:hAnsi="仿宋" w:eastAsia="仿宋_GB2312" w:cs="仿宋_GB2312"/>
          <w:sz w:val="24"/>
          <w:szCs w:val="24"/>
          <w:highlight w:val="yellow"/>
        </w:rPr>
        <w:t xml:space="preserve">：人民币996万元，服务期限：3年。 </w:t>
      </w:r>
    </w:p>
    <w:p>
      <w:pPr>
        <w:adjustRightInd w:val="0"/>
        <w:spacing w:line="360" w:lineRule="auto"/>
        <w:rPr>
          <w:rFonts w:ascii="仿宋_GB2312" w:hAnsi="仿宋" w:eastAsia="仿宋_GB2312" w:cs="Times New Roman"/>
          <w:sz w:val="24"/>
          <w:szCs w:val="24"/>
          <w:highlight w:val="yellow"/>
        </w:rPr>
      </w:pPr>
      <w:r>
        <w:rPr>
          <w:rFonts w:hint="eastAsia" w:ascii="仿宋_GB2312" w:hAnsi="仿宋" w:eastAsia="仿宋_GB2312" w:cs="Times New Roman"/>
          <w:b/>
          <w:sz w:val="24"/>
          <w:szCs w:val="24"/>
          <w:highlight w:val="yellow"/>
        </w:rPr>
        <w:t>最高限价（元）：996万</w:t>
      </w:r>
    </w:p>
    <w:p>
      <w:pPr>
        <w:pStyle w:val="16"/>
        <w:spacing w:line="360" w:lineRule="auto"/>
        <w:ind w:firstLine="0"/>
        <w:rPr>
          <w:rFonts w:ascii="仿宋_GB2312" w:hAnsi="仿宋" w:eastAsia="仿宋_GB2312" w:cs="仿宋_GB2312"/>
          <w:b/>
          <w:kern w:val="0"/>
          <w:sz w:val="24"/>
          <w:highlight w:val="yellow"/>
          <w:lang w:val="zh-CN"/>
        </w:rPr>
      </w:pPr>
      <w:r>
        <w:rPr>
          <w:rFonts w:hint="eastAsia" w:ascii="仿宋_GB2312" w:hAnsi="仿宋" w:eastAsia="仿宋_GB2312"/>
          <w:b/>
          <w:color w:val="auto"/>
          <w:sz w:val="24"/>
          <w:highlight w:val="yellow"/>
        </w:rPr>
        <w:t>采购需求：</w:t>
      </w:r>
      <w:r>
        <w:rPr>
          <w:rFonts w:hint="eastAsia" w:ascii="仿宋_GB2312" w:hAnsi="仿宋" w:eastAsia="仿宋_GB2312"/>
          <w:bCs/>
          <w:snapToGrid/>
          <w:color w:val="auto"/>
          <w:kern w:val="2"/>
          <w:sz w:val="24"/>
          <w:szCs w:val="24"/>
          <w:highlight w:val="yellow"/>
        </w:rPr>
        <w:t>详见招标文件第三部分采购需求。</w:t>
      </w:r>
    </w:p>
    <w:p>
      <w:pPr>
        <w:adjustRightInd w:val="0"/>
        <w:spacing w:line="360" w:lineRule="auto"/>
        <w:rPr>
          <w:rFonts w:ascii="仿宋_GB2312" w:hAnsi="Times New Roman" w:eastAsia="仿宋_GB2312" w:cs="Times New Roman"/>
          <w:sz w:val="24"/>
          <w:szCs w:val="24"/>
          <w:highlight w:val="yellow"/>
        </w:rPr>
      </w:pPr>
      <w:r>
        <w:rPr>
          <w:rFonts w:hint="eastAsia" w:ascii="仿宋_GB2312" w:hAnsi="仿宋" w:eastAsia="仿宋_GB2312" w:cs="Times New Roman"/>
          <w:b/>
          <w:sz w:val="24"/>
          <w:szCs w:val="24"/>
          <w:highlight w:val="yellow"/>
        </w:rPr>
        <w:t>合同履约期限：</w:t>
      </w:r>
      <w:r>
        <w:rPr>
          <w:rFonts w:hint="eastAsia" w:ascii="仿宋_GB2312" w:hAnsi="仿宋" w:eastAsia="仿宋_GB2312" w:cs="Times New Roman"/>
          <w:bCs/>
          <w:sz w:val="24"/>
          <w:szCs w:val="24"/>
          <w:highlight w:val="yellow"/>
        </w:rPr>
        <w:t>自合同签订生效之日起三年。</w:t>
      </w:r>
    </w:p>
    <w:p>
      <w:pPr>
        <w:pStyle w:val="16"/>
        <w:spacing w:line="360" w:lineRule="auto"/>
        <w:ind w:firstLine="0"/>
        <w:rPr>
          <w:rFonts w:cs="Arial" w:asciiTheme="minorEastAsia" w:hAnsiTheme="minorEastAsia" w:eastAsiaTheme="minorEastAsia"/>
          <w:color w:val="auto"/>
          <w:kern w:val="0"/>
          <w:sz w:val="24"/>
          <w:highlight w:val="yellow"/>
        </w:rPr>
      </w:pPr>
      <w:r>
        <w:rPr>
          <w:rFonts w:hint="eastAsia" w:ascii="仿宋_GB2312" w:hAnsi="仿宋" w:eastAsia="仿宋_GB2312"/>
          <w:b/>
          <w:color w:val="auto"/>
          <w:sz w:val="24"/>
          <w:highlight w:val="yellow"/>
        </w:rPr>
        <w:t>本项目接受联合体投标：</w:t>
      </w:r>
      <w:sdt>
        <w:sdtPr>
          <w:rPr>
            <w:rFonts w:hint="eastAsia" w:ascii="仿宋_GB2312" w:hAnsi="仿宋" w:eastAsia="仿宋_GB2312" w:cs="Arial"/>
            <w:color w:val="auto"/>
            <w:kern w:val="0"/>
            <w:sz w:val="24"/>
            <w:highlight w:val="yellow"/>
          </w:rPr>
          <w:id w:val="2035453831"/>
        </w:sdtPr>
        <w:sdtEndPr>
          <w:rPr>
            <w:rFonts w:hint="eastAsia" w:ascii="仿宋_GB2312" w:hAnsi="仿宋" w:eastAsia="仿宋_GB2312" w:cs="Arial"/>
            <w:color w:val="auto"/>
            <w:kern w:val="0"/>
            <w:sz w:val="24"/>
            <w:highlight w:val="yellow"/>
          </w:rPr>
        </w:sdtEndPr>
        <w:sdtContent>
          <w:r>
            <w:rPr>
              <w:rFonts w:ascii="MS Gothic" w:hAnsi="MS Gothic" w:eastAsia="MS Gothic" w:cs="Arial"/>
              <w:color w:val="auto"/>
              <w:kern w:val="0"/>
              <w:sz w:val="24"/>
              <w:highlight w:val="yellow"/>
            </w:rPr>
            <w:sym w:font="Wingdings" w:char="F0FE"/>
          </w:r>
        </w:sdtContent>
      </w:sdt>
      <w:r>
        <w:rPr>
          <w:rFonts w:hint="eastAsia" w:ascii="仿宋_GB2312" w:hAnsi="仿宋" w:eastAsia="仿宋_GB2312"/>
          <w:b/>
          <w:color w:val="auto"/>
          <w:sz w:val="24"/>
          <w:highlight w:val="yellow"/>
        </w:rPr>
        <w:t>是，</w:t>
      </w:r>
      <w:sdt>
        <w:sdtPr>
          <w:rPr>
            <w:rFonts w:hint="eastAsia" w:ascii="仿宋_GB2312" w:hAnsi="仿宋" w:eastAsia="仿宋_GB2312" w:cs="Arial"/>
            <w:color w:val="auto"/>
            <w:kern w:val="0"/>
            <w:sz w:val="24"/>
            <w:highlight w:val="yellow"/>
          </w:rPr>
          <w:id w:val="-1765526721"/>
        </w:sdtPr>
        <w:sdtEndPr>
          <w:rPr>
            <w:rFonts w:hint="eastAsia" w:ascii="仿宋_GB2312" w:hAnsi="仿宋" w:eastAsia="仿宋_GB2312" w:cs="Arial"/>
            <w:color w:val="auto"/>
            <w:kern w:val="0"/>
            <w:sz w:val="24"/>
            <w:highlight w:val="yellow"/>
          </w:rPr>
        </w:sdtEndPr>
        <w:sdtContent>
          <w:r>
            <w:rPr>
              <w:rFonts w:ascii="MS Gothic" w:hAnsi="MS Gothic" w:eastAsia="MS Gothic" w:cs="Arial"/>
              <w:color w:val="auto"/>
              <w:kern w:val="0"/>
              <w:sz w:val="24"/>
              <w:highlight w:val="yellow"/>
            </w:rPr>
            <w:t>☐</w:t>
          </w:r>
        </w:sdtContent>
      </w:sdt>
      <w:r>
        <w:rPr>
          <w:rFonts w:hint="eastAsia" w:ascii="仿宋_GB2312" w:hAnsi="仿宋" w:eastAsia="仿宋_GB2312"/>
          <w:b/>
          <w:color w:val="auto"/>
          <w:sz w:val="24"/>
          <w:highlight w:val="yellow"/>
        </w:rPr>
        <w:t>否</w:t>
      </w:r>
      <w:r>
        <w:rPr>
          <w:rFonts w:hint="eastAsia" w:cs="Arial" w:asciiTheme="minorEastAsia" w:hAnsiTheme="minorEastAsia" w:eastAsiaTheme="minorEastAsia"/>
          <w:color w:val="auto"/>
          <w:kern w:val="0"/>
          <w:sz w:val="24"/>
          <w:highlight w:val="yellow"/>
        </w:rPr>
        <w:t>。</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_GB2312" w:cs="Times New Roman"/>
          <w:sz w:val="24"/>
          <w:szCs w:val="24"/>
          <w:highlight w:val="green"/>
        </w:rPr>
      </w:pPr>
      <w:r>
        <w:rPr>
          <w:rFonts w:hint="eastAsia" w:ascii="仿宋_GB2312" w:hAnsi="仿宋" w:eastAsia="仿宋_GB2312" w:cs="Times New Roman"/>
          <w:sz w:val="24"/>
          <w:szCs w:val="24"/>
        </w:rPr>
        <w:t>2. 以联合体形式投标的，提供联合协议(本项目不接受联合体投标或者投标人不以联合体形式投标的，则不需要提供) ；</w:t>
      </w:r>
    </w:p>
    <w:p>
      <w:pPr>
        <w:adjustRightInd w:val="0"/>
        <w:spacing w:line="360" w:lineRule="auto"/>
        <w:ind w:firstLine="480" w:firstLineChars="200"/>
        <w:rPr>
          <w:rFonts w:ascii="仿宋_GB2312" w:hAnsi="仿宋" w:eastAsia="仿宋_GB2312" w:cs="Times New Roman"/>
          <w:sz w:val="24"/>
          <w:szCs w:val="24"/>
          <w:highlight w:val="yellow"/>
        </w:rPr>
      </w:pPr>
      <w:r>
        <w:rPr>
          <w:rFonts w:hint="eastAsia" w:ascii="仿宋_GB2312" w:hAnsi="仿宋" w:eastAsia="仿宋_GB2312" w:cs="Times New Roman"/>
          <w:sz w:val="24"/>
          <w:szCs w:val="24"/>
          <w:highlight w:val="yellow"/>
        </w:rPr>
        <w:t>3.落实政府采购政策需满足的资格要求：</w:t>
      </w:r>
    </w:p>
    <w:p>
      <w:pPr>
        <w:spacing w:line="360" w:lineRule="auto"/>
        <w:ind w:firstLine="480" w:firstLineChars="200"/>
        <w:rPr>
          <w:rFonts w:ascii="仿宋_GB2312" w:hAnsi="仿宋" w:eastAsia="仿宋_GB2312"/>
          <w:sz w:val="24"/>
          <w:highlight w:val="yellow"/>
        </w:rPr>
      </w:pPr>
      <w:sdt>
        <w:sdtPr>
          <w:rPr>
            <w:rFonts w:hint="eastAsia" w:ascii="仿宋_GB2312" w:hAnsi="仿宋" w:eastAsia="仿宋_GB2312" w:cs="Arial"/>
            <w:kern w:val="0"/>
            <w:sz w:val="24"/>
            <w:highlight w:val="yellow"/>
          </w:rPr>
          <w:id w:val="1928616923"/>
        </w:sdtPr>
        <w:sdtEndPr>
          <w:rPr>
            <w:rFonts w:hint="eastAsia" w:ascii="仿宋_GB2312" w:hAnsi="仿宋" w:eastAsia="仿宋_GB2312" w:cs="Arial"/>
            <w:kern w:val="0"/>
            <w:sz w:val="24"/>
            <w:highlight w:val="yellow"/>
          </w:rPr>
        </w:sdtEndPr>
        <w:sdtContent>
          <w:r>
            <w:rPr>
              <w:rFonts w:ascii="MS Gothic" w:hAnsi="MS Gothic" w:eastAsia="MS Gothic" w:cs="Arial"/>
              <w:kern w:val="0"/>
              <w:sz w:val="24"/>
              <w:highlight w:val="yellow"/>
            </w:rPr>
            <w:t>☐</w:t>
          </w:r>
        </w:sdtContent>
      </w:sdt>
      <w:r>
        <w:rPr>
          <w:rFonts w:hint="eastAsia" w:ascii="仿宋_GB2312" w:hAnsi="仿宋" w:eastAsia="仿宋_GB2312"/>
          <w:sz w:val="24"/>
          <w:highlight w:val="yellow"/>
        </w:rPr>
        <w:t>无；</w:t>
      </w:r>
    </w:p>
    <w:p>
      <w:pPr>
        <w:spacing w:line="360" w:lineRule="auto"/>
        <w:ind w:firstLine="480" w:firstLineChars="200"/>
        <w:rPr>
          <w:rFonts w:ascii="仿宋_GB2312" w:hAnsi="仿宋" w:eastAsia="仿宋_GB2312"/>
          <w:sz w:val="24"/>
          <w:highlight w:val="yellow"/>
        </w:rPr>
      </w:pPr>
      <w:sdt>
        <w:sdtPr>
          <w:rPr>
            <w:rFonts w:hint="eastAsia" w:ascii="仿宋_GB2312" w:hAnsi="仿宋" w:eastAsia="仿宋_GB2312" w:cs="Arial"/>
            <w:kern w:val="0"/>
            <w:sz w:val="24"/>
            <w:highlight w:val="yellow"/>
          </w:rPr>
          <w:id w:val="-1024704304"/>
        </w:sdtPr>
        <w:sdtEndPr>
          <w:rPr>
            <w:rFonts w:hint="eastAsia" w:ascii="仿宋_GB2312" w:hAnsi="仿宋" w:eastAsia="仿宋_GB2312" w:cs="Arial"/>
            <w:kern w:val="0"/>
            <w:sz w:val="24"/>
            <w:highlight w:val="yellow"/>
          </w:rPr>
        </w:sdtEndPr>
        <w:sdtContent>
          <w:r>
            <w:rPr>
              <w:rFonts w:ascii="MS Gothic" w:hAnsi="MS Gothic" w:eastAsia="MS Gothic" w:cs="Arial"/>
              <w:kern w:val="0"/>
              <w:sz w:val="24"/>
              <w:highlight w:val="yellow"/>
            </w:rPr>
            <w:sym w:font="Wingdings" w:char="F0FE"/>
          </w:r>
        </w:sdtContent>
      </w:sdt>
      <w:r>
        <w:rPr>
          <w:rFonts w:hint="eastAsia" w:ascii="仿宋_GB2312" w:hAnsi="仿宋" w:eastAsia="仿宋_GB2312" w:cs="Arial"/>
          <w:kern w:val="0"/>
          <w:sz w:val="24"/>
          <w:highlight w:val="yellow"/>
        </w:rPr>
        <w:t>专</w:t>
      </w:r>
      <w:r>
        <w:rPr>
          <w:rFonts w:hint="eastAsia" w:ascii="仿宋_GB2312" w:hAnsi="仿宋" w:eastAsia="仿宋_GB2312"/>
          <w:sz w:val="24"/>
          <w:highlight w:val="yellow"/>
        </w:rPr>
        <w:t>门面向中小企业</w:t>
      </w:r>
    </w:p>
    <w:p>
      <w:pPr>
        <w:spacing w:line="360" w:lineRule="auto"/>
        <w:ind w:firstLine="840" w:firstLineChars="350"/>
        <w:rPr>
          <w:rFonts w:ascii="仿宋_GB2312" w:hAnsi="仿宋" w:eastAsia="仿宋_GB2312"/>
          <w:sz w:val="24"/>
          <w:highlight w:val="yellow"/>
        </w:rPr>
      </w:pPr>
      <w:sdt>
        <w:sdtPr>
          <w:rPr>
            <w:rFonts w:hint="eastAsia" w:ascii="仿宋_GB2312" w:hAnsi="仿宋" w:eastAsia="仿宋_GB2312" w:cs="Arial"/>
            <w:kern w:val="0"/>
            <w:sz w:val="24"/>
            <w:highlight w:val="yellow"/>
          </w:rPr>
          <w:id w:val="4080384"/>
        </w:sdtPr>
        <w:sdtEndPr>
          <w:rPr>
            <w:rFonts w:hint="eastAsia" w:ascii="仿宋_GB2312" w:hAnsi="仿宋" w:eastAsia="仿宋_GB2312" w:cs="Arial"/>
            <w:kern w:val="0"/>
            <w:sz w:val="24"/>
            <w:highlight w:val="yellow"/>
          </w:rPr>
        </w:sdtEndPr>
        <w:sdtContent>
          <w:r>
            <w:rPr>
              <w:rFonts w:ascii="MS Gothic" w:hAnsi="MS Gothic" w:eastAsia="MS Gothic" w:cs="Arial"/>
              <w:kern w:val="0"/>
              <w:sz w:val="24"/>
              <w:highlight w:val="yellow"/>
            </w:rPr>
            <w:sym w:font="Wingdings" w:char="F0FE"/>
          </w:r>
        </w:sdtContent>
      </w:sdt>
      <w:r>
        <w:rPr>
          <w:rFonts w:hint="eastAsia" w:ascii="仿宋_GB2312" w:hAnsi="仿宋" w:eastAsia="仿宋_GB2312"/>
          <w:sz w:val="24"/>
          <w:highlight w:val="yellow"/>
        </w:rPr>
        <w:t>服务全部由符合政策要求的中小企业承接，提供中小企业声明函；</w:t>
      </w:r>
    </w:p>
    <w:p>
      <w:pPr>
        <w:spacing w:line="360" w:lineRule="auto"/>
        <w:ind w:firstLine="897" w:firstLineChars="374"/>
        <w:rPr>
          <w:highlight w:val="yellow"/>
        </w:rPr>
      </w:pPr>
      <w:sdt>
        <w:sdtPr>
          <w:rPr>
            <w:rFonts w:hint="eastAsia" w:ascii="仿宋_GB2312" w:hAnsi="仿宋" w:eastAsia="仿宋_GB2312" w:cs="Arial"/>
            <w:kern w:val="0"/>
            <w:sz w:val="24"/>
            <w:highlight w:val="yellow"/>
          </w:rPr>
          <w:id w:val="-2141025358"/>
        </w:sdtPr>
        <w:sdtEndPr>
          <w:rPr>
            <w:rFonts w:hint="eastAsia" w:ascii="仿宋_GB2312" w:hAnsi="仿宋" w:eastAsia="仿宋_GB2312" w:cs="Arial"/>
            <w:kern w:val="0"/>
            <w:sz w:val="24"/>
            <w:highlight w:val="yellow"/>
          </w:rPr>
        </w:sdtEndPr>
        <w:sdtContent>
          <w:r>
            <w:rPr>
              <w:rFonts w:ascii="MS Gothic" w:hAnsi="MS Gothic" w:eastAsia="仿宋_GB2312" w:cs="Arial"/>
              <w:kern w:val="0"/>
              <w:sz w:val="24"/>
              <w:highlight w:val="yellow"/>
            </w:rPr>
            <w:t>☐</w:t>
          </w:r>
        </w:sdtContent>
      </w:sdt>
      <w:r>
        <w:rPr>
          <w:rFonts w:hint="eastAsia" w:ascii="仿宋_GB2312" w:hAnsi="仿宋" w:eastAsia="仿宋_GB2312"/>
          <w:sz w:val="24"/>
          <w:highlight w:val="yellow"/>
        </w:rPr>
        <w:t>服务全部由符合政策要求的小微企业承接，提供中小企业声明函；</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adjustRightInd w:val="0"/>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w:t>
      </w:r>
    </w:p>
    <w:p>
      <w:pPr>
        <w:spacing w:line="360" w:lineRule="auto"/>
        <w:rPr>
          <w:rFonts w:ascii="仿宋" w:hAnsi="仿宋" w:eastAsia="仿宋"/>
          <w:sz w:val="24"/>
        </w:rPr>
      </w:pPr>
      <w:r>
        <w:rPr>
          <w:rFonts w:hint="eastAsia" w:ascii="仿宋" w:hAnsi="仿宋" w:eastAsia="仿宋"/>
          <w:sz w:val="24"/>
        </w:rPr>
        <w:t>合同金额应当达到</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adjustRightInd w:val="0"/>
        <w:spacing w:line="360" w:lineRule="auto"/>
        <w:ind w:firstLine="480" w:firstLineChars="200"/>
        <w:rPr>
          <w:rFonts w:ascii="仿宋_GB2312" w:hAnsi="仿宋" w:eastAsia="仿宋_GB2312" w:cs="Times New Roman"/>
          <w:sz w:val="24"/>
          <w:szCs w:val="24"/>
          <w:highlight w:val="yellow"/>
        </w:rPr>
      </w:pPr>
      <w:r>
        <w:rPr>
          <w:rFonts w:hint="eastAsia" w:ascii="仿宋_GB2312" w:hAnsi="仿宋" w:eastAsia="仿宋_GB2312" w:cs="Times New Roman"/>
          <w:sz w:val="24"/>
          <w:szCs w:val="24"/>
          <w:highlight w:val="yellow"/>
        </w:rPr>
        <w:t>4本项目的特定资格要求：无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5</w:t>
      </w:r>
      <w:r>
        <w:rPr>
          <w:rFonts w:ascii="仿宋_GB2312" w:hAnsi="仿宋" w:eastAsia="仿宋_GB2312"/>
          <w:sz w:val="24"/>
        </w:rPr>
        <w:t>.</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1</w:t>
      </w:r>
      <w:r>
        <w:rPr>
          <w:rFonts w:ascii="仿宋_GB2312" w:hAnsi="仿宋" w:eastAsia="仿宋_GB2312"/>
          <w:sz w:val="24"/>
          <w:u w:val="single"/>
        </w:rPr>
        <w:t>月</w:t>
      </w:r>
      <w:r>
        <w:rPr>
          <w:rFonts w:hint="eastAsia" w:ascii="仿宋_GB2312" w:hAnsi="仿宋" w:eastAsia="仿宋_GB2312"/>
          <w:sz w:val="24"/>
          <w:u w:val="single"/>
        </w:rPr>
        <w:t>1</w:t>
      </w:r>
      <w:r>
        <w:rPr>
          <w:rFonts w:hint="eastAsia" w:ascii="仿宋_GB2312" w:hAnsi="仿宋" w:eastAsia="仿宋_GB2312"/>
          <w:sz w:val="24"/>
          <w:u w:val="single"/>
          <w:lang w:val="en-US" w:eastAsia="zh-CN"/>
        </w:rPr>
        <w:t>1</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地点（网址）：</w:t>
      </w:r>
      <w:r>
        <w:rPr>
          <w:rFonts w:hint="eastAsia" w:ascii="仿宋_GB2312" w:hAnsi="仿宋" w:eastAsia="仿宋_GB2312" w:cs="Times New Roman"/>
          <w:sz w:val="24"/>
          <w:szCs w:val="24"/>
        </w:rPr>
        <w:t xml:space="preserve">政采云平台（https://www.zcygov.cn/）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cs="Times New Roman"/>
          <w:b/>
          <w:sz w:val="24"/>
          <w:szCs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1月1</w:t>
      </w:r>
      <w:r>
        <w:rPr>
          <w:rFonts w:hint="eastAsia" w:ascii="仿宋_GB2312" w:hAnsi="仿宋" w:eastAsia="仿宋_GB2312"/>
          <w:sz w:val="24"/>
          <w:u w:val="single"/>
          <w:lang w:val="en-US" w:eastAsia="zh-CN"/>
        </w:rPr>
        <w:t>1</w:t>
      </w:r>
      <w:r>
        <w:rPr>
          <w:rFonts w:hint="eastAsia" w:ascii="仿宋_GB2312" w:hAnsi="仿宋" w:eastAsia="仿宋_GB2312"/>
          <w:sz w:val="24"/>
          <w:u w:val="single"/>
        </w:rPr>
        <w:t>日9点30分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1月1</w:t>
      </w:r>
      <w:r>
        <w:rPr>
          <w:rFonts w:hint="eastAsia" w:ascii="仿宋_GB2312" w:hAnsi="仿宋" w:eastAsia="仿宋_GB2312"/>
          <w:sz w:val="24"/>
          <w:u w:val="single"/>
          <w:lang w:val="en-US" w:eastAsia="zh-CN"/>
        </w:rPr>
        <w:t>1</w:t>
      </w:r>
      <w:r>
        <w:rPr>
          <w:rFonts w:hint="eastAsia" w:ascii="仿宋_GB2312" w:hAnsi="仿宋" w:eastAsia="仿宋_GB2312"/>
          <w:sz w:val="24"/>
          <w:u w:val="single"/>
        </w:rPr>
        <w:t>日9点30分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numPr>
          <w:ilvl w:val="0"/>
          <w:numId w:val="9"/>
        </w:num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eastAsia="仿宋_GB2312"/>
          <w:highlight w:val="green"/>
        </w:rPr>
      </w:pPr>
      <w:r>
        <w:rPr>
          <w:rFonts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pPr>
      <w:r>
        <w:rPr>
          <w:rFonts w:hint="eastAsia" w:ascii="仿宋_GB2312" w:hAnsi="仿宋" w:eastAsia="仿宋_GB2312"/>
          <w:sz w:val="24"/>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（3）招标文件公告期限与招标公告的公告期限一致。</w:t>
      </w:r>
    </w:p>
    <w:p>
      <w:pPr>
        <w:adjustRightInd w:val="0"/>
        <w:spacing w:line="360" w:lineRule="auto"/>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highlight w:val="yellow"/>
        </w:rPr>
      </w:pPr>
      <w:r>
        <w:rPr>
          <w:rFonts w:hint="eastAsia" w:ascii="仿宋_GB2312" w:hAnsi="仿宋" w:eastAsia="仿宋_GB2312" w:cs="Times New Roman"/>
          <w:sz w:val="24"/>
          <w:szCs w:val="24"/>
          <w:highlight w:val="yellow"/>
        </w:rPr>
        <w:t>1.采购人信息</w:t>
      </w:r>
    </w:p>
    <w:p>
      <w:pPr>
        <w:spacing w:line="360" w:lineRule="auto"/>
        <w:ind w:firstLine="480" w:firstLineChars="200"/>
        <w:rPr>
          <w:rFonts w:ascii="仿宋_GB2312" w:hAnsi="仿宋" w:eastAsia="仿宋_GB2312"/>
          <w:sz w:val="24"/>
          <w:highlight w:val="yellow"/>
        </w:rPr>
      </w:pPr>
      <w:r>
        <w:rPr>
          <w:rFonts w:ascii="仿宋_GB2312" w:hAnsi="仿宋" w:eastAsia="仿宋_GB2312"/>
          <w:sz w:val="24"/>
          <w:highlight w:val="yellow"/>
        </w:rPr>
        <w:t>名    称：</w:t>
      </w:r>
      <w:r>
        <w:rPr>
          <w:rFonts w:hint="eastAsia" w:ascii="仿宋" w:hAnsi="仿宋" w:eastAsia="仿宋" w:cs="仿宋_GB2312"/>
          <w:sz w:val="24"/>
          <w:highlight w:val="yellow"/>
        </w:rPr>
        <w:t>杭州市拱墅区机关事务中心</w:t>
      </w:r>
    </w:p>
    <w:p>
      <w:pPr>
        <w:spacing w:line="360" w:lineRule="auto"/>
        <w:rPr>
          <w:rFonts w:ascii="仿宋_GB2312" w:hAnsi="仿宋" w:eastAsia="仿宋_GB2312"/>
          <w:sz w:val="24"/>
          <w:highlight w:val="yellow"/>
        </w:rPr>
      </w:pPr>
      <w:r>
        <w:rPr>
          <w:rFonts w:ascii="仿宋_GB2312" w:hAnsi="仿宋" w:eastAsia="仿宋_GB2312"/>
          <w:sz w:val="24"/>
          <w:highlight w:val="yellow"/>
        </w:rPr>
        <w:t xml:space="preserve">    地    址：</w:t>
      </w:r>
      <w:r>
        <w:rPr>
          <w:rFonts w:hint="eastAsia" w:ascii="仿宋" w:hAnsi="仿宋" w:eastAsia="仿宋" w:cs="仿宋_GB2312"/>
          <w:sz w:val="24"/>
          <w:highlight w:val="yellow"/>
        </w:rPr>
        <w:t>杭州市文晖路1号</w:t>
      </w:r>
    </w:p>
    <w:p>
      <w:pPr>
        <w:adjustRightInd w:val="0"/>
        <w:spacing w:line="360" w:lineRule="auto"/>
        <w:ind w:firstLine="480" w:firstLineChars="200"/>
        <w:rPr>
          <w:rFonts w:ascii="仿宋_GB2312" w:hAnsi="仿宋" w:eastAsia="仿宋_GB2312" w:cs="仿宋"/>
          <w:sz w:val="24"/>
          <w:highlight w:val="yellow"/>
        </w:rPr>
      </w:pPr>
      <w:r>
        <w:rPr>
          <w:rFonts w:hint="eastAsia" w:ascii="仿宋_GB2312" w:hAnsi="仿宋" w:eastAsia="仿宋_GB2312" w:cs="Times New Roman"/>
          <w:sz w:val="24"/>
          <w:szCs w:val="24"/>
          <w:highlight w:val="yellow"/>
        </w:rPr>
        <w:t>项目联系人（询问）：</w:t>
      </w:r>
      <w:r>
        <w:rPr>
          <w:rFonts w:hint="eastAsia" w:ascii="仿宋" w:hAnsi="仿宋" w:eastAsia="仿宋" w:cs="仿宋_GB2312"/>
          <w:sz w:val="24"/>
          <w:highlight w:val="yellow"/>
        </w:rPr>
        <w:t>朱先生</w:t>
      </w:r>
    </w:p>
    <w:p>
      <w:pPr>
        <w:adjustRightInd w:val="0"/>
        <w:spacing w:line="360" w:lineRule="auto"/>
        <w:ind w:firstLine="480" w:firstLineChars="200"/>
        <w:rPr>
          <w:rFonts w:ascii="仿宋_GB2312" w:hAnsi="仿宋" w:eastAsia="仿宋_GB2312" w:cs="Times New Roman"/>
          <w:sz w:val="24"/>
          <w:szCs w:val="24"/>
          <w:highlight w:val="yellow"/>
        </w:rPr>
      </w:pPr>
      <w:r>
        <w:rPr>
          <w:rFonts w:hint="eastAsia" w:ascii="仿宋_GB2312" w:hAnsi="仿宋" w:eastAsia="仿宋_GB2312" w:cs="Times New Roman"/>
          <w:sz w:val="24"/>
          <w:szCs w:val="24"/>
          <w:highlight w:val="yellow"/>
        </w:rPr>
        <w:t>项目联系方式（询问）：</w:t>
      </w:r>
      <w:r>
        <w:rPr>
          <w:rFonts w:hint="eastAsia" w:ascii="仿宋" w:hAnsi="仿宋" w:eastAsia="仿宋" w:cs="仿宋_GB2312"/>
          <w:sz w:val="24"/>
          <w:highlight w:val="yellow"/>
        </w:rPr>
        <w:t>0571-89505216</w:t>
      </w:r>
    </w:p>
    <w:p>
      <w:pPr>
        <w:adjustRightInd w:val="0"/>
        <w:spacing w:line="360" w:lineRule="auto"/>
        <w:ind w:firstLine="480"/>
        <w:rPr>
          <w:rFonts w:ascii="仿宋_GB2312" w:hAnsi="仿宋" w:eastAsia="仿宋_GB2312" w:cs="Times New Roman"/>
          <w:sz w:val="24"/>
          <w:szCs w:val="24"/>
          <w:highlight w:val="yellow"/>
        </w:rPr>
      </w:pPr>
      <w:r>
        <w:rPr>
          <w:rFonts w:hint="eastAsia" w:ascii="仿宋_GB2312" w:hAnsi="仿宋" w:eastAsia="仿宋_GB2312" w:cs="Times New Roman"/>
          <w:sz w:val="24"/>
          <w:szCs w:val="24"/>
          <w:highlight w:val="yellow"/>
        </w:rPr>
        <w:t>质疑联系人：</w:t>
      </w:r>
      <w:r>
        <w:rPr>
          <w:rFonts w:hint="eastAsia" w:ascii="仿宋" w:hAnsi="仿宋" w:eastAsia="仿宋" w:cs="仿宋_GB2312"/>
          <w:sz w:val="24"/>
          <w:highlight w:val="yellow"/>
        </w:rPr>
        <w:t>胡女士</w:t>
      </w:r>
    </w:p>
    <w:p>
      <w:pPr>
        <w:adjustRightInd w:val="0"/>
        <w:spacing w:line="360" w:lineRule="auto"/>
        <w:ind w:firstLine="480" w:firstLineChars="200"/>
        <w:rPr>
          <w:rFonts w:ascii="仿宋_GB2312" w:hAnsi="仿宋" w:eastAsia="仿宋_GB2312" w:cs="Times New Roman"/>
          <w:sz w:val="24"/>
          <w:szCs w:val="24"/>
          <w:highlight w:val="yellow"/>
        </w:rPr>
      </w:pPr>
      <w:r>
        <w:rPr>
          <w:rFonts w:hint="eastAsia" w:ascii="仿宋_GB2312" w:hAnsi="仿宋" w:eastAsia="仿宋_GB2312" w:cs="Times New Roman"/>
          <w:sz w:val="24"/>
          <w:szCs w:val="24"/>
          <w:highlight w:val="yellow"/>
        </w:rPr>
        <w:t>质疑联系方式：</w:t>
      </w:r>
      <w:r>
        <w:rPr>
          <w:rFonts w:hint="eastAsia" w:ascii="仿宋" w:hAnsi="仿宋" w:eastAsia="仿宋" w:cs="仿宋_GB2312"/>
          <w:sz w:val="24"/>
          <w:highlight w:val="yellow"/>
        </w:rPr>
        <w:t>0571-89505212</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称：杭州市公共资源交易中心拱墅分中心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址：杭州市拱墅区香积寺东路58号3楼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项目联系人（询问）：马工</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项目联系方式（询问）：0571-86598272</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质疑联系人：徐老师</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质疑联系方式：0571-86598239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名    称：拱墅区财政局政府采购监管处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地    址：杭州市拱墅区祥符街道北城街55号人防大厦1017室</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传    真：/</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联系人：彭老师</w:t>
      </w:r>
    </w:p>
    <w:p>
      <w:pPr>
        <w:adjustRightInd w:val="0"/>
        <w:spacing w:line="360" w:lineRule="auto"/>
        <w:ind w:firstLine="480" w:firstLineChars="200"/>
        <w:rPr>
          <w:rFonts w:ascii="仿宋_GB2312" w:hAnsi="仿宋" w:eastAsia="仿宋_GB2312" w:cs="仿宋_GB2312"/>
          <w:color w:val="000000"/>
          <w:sz w:val="24"/>
        </w:rPr>
      </w:pPr>
      <w:r>
        <w:rPr>
          <w:rFonts w:hint="eastAsia" w:ascii="仿宋_GB2312" w:hAnsi="仿宋" w:eastAsia="仿宋_GB2312" w:cs="Times New Roman"/>
          <w:sz w:val="24"/>
          <w:szCs w:val="24"/>
        </w:rPr>
        <w:t>监督投诉电话：0571-89505676</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p>
    <w:p>
      <w:pPr>
        <w:adjustRightInd w:val="0"/>
        <w:spacing w:line="360" w:lineRule="auto"/>
        <w:ind w:firstLine="200"/>
        <w:jc w:val="center"/>
        <w:rPr>
          <w:rFonts w:ascii="仿宋_GB2312" w:hAnsi="仿宋" w:eastAsia="仿宋_GB2312" w:cs="仿宋_GB2312"/>
          <w:snapToGrid w:val="0"/>
          <w:sz w:val="24"/>
          <w:szCs w:val="24"/>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3"/>
      <w:r>
        <w:rPr>
          <w:rFonts w:hint="eastAsia" w:ascii="仿宋_GB2312" w:hAnsi="仿宋" w:eastAsia="仿宋_GB2312" w:cs="仿宋_GB2312"/>
          <w:b/>
          <w:sz w:val="36"/>
          <w:szCs w:val="20"/>
        </w:rPr>
        <w:t xml:space="preserve"> 投标人须知</w:t>
      </w:r>
      <w:bookmarkEnd w:id="4"/>
    </w:p>
    <w:p>
      <w:pPr>
        <w:adjustRightInd w:val="0"/>
        <w:snapToGrid w:val="0"/>
        <w:spacing w:line="360" w:lineRule="auto"/>
        <w:jc w:val="center"/>
        <w:outlineLvl w:val="1"/>
        <w:rPr>
          <w:rFonts w:ascii="仿宋_GB2312" w:hAnsi="仿宋" w:eastAsia="仿宋_GB2312" w:cs="仿宋_GB2312"/>
          <w:b/>
          <w:sz w:val="32"/>
          <w:szCs w:val="20"/>
          <w:highlight w:val="yellow"/>
        </w:rPr>
      </w:pPr>
      <w:r>
        <w:rPr>
          <w:rFonts w:hint="eastAsia" w:ascii="仿宋_GB2312" w:hAnsi="仿宋" w:eastAsia="仿宋_GB2312" w:cs="仿宋_GB2312"/>
          <w:b/>
          <w:sz w:val="32"/>
          <w:szCs w:val="20"/>
          <w:highlight w:val="yellow"/>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highlight w:val="yellow"/>
              </w:rPr>
            </w:pPr>
            <w:r>
              <w:rPr>
                <w:rFonts w:hint="eastAsia" w:asciiTheme="minorEastAsia" w:hAnsiTheme="minorEastAsia"/>
                <w:color w:val="0000FF"/>
                <w:sz w:val="24"/>
                <w:highlight w:val="yellow"/>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highlight w:val="yellow"/>
              </w:rPr>
            </w:pPr>
            <w:r>
              <w:rPr>
                <w:rFonts w:hint="eastAsia" w:cs="Arial" w:asciiTheme="minorEastAsia" w:hAnsiTheme="minorEastAsia"/>
                <w:color w:val="0000FF"/>
                <w:kern w:val="0"/>
                <w:sz w:val="24"/>
                <w:highlight w:val="yellow"/>
              </w:rPr>
              <w:t>（</w:t>
            </w:r>
            <w:r>
              <w:rPr>
                <w:rFonts w:cs="Arial" w:asciiTheme="minorEastAsia" w:hAnsiTheme="minorEastAsia"/>
                <w:color w:val="0000FF"/>
                <w:kern w:val="0"/>
                <w:sz w:val="24"/>
                <w:highlight w:val="yellow"/>
              </w:rPr>
              <w:t>1</w:t>
            </w:r>
            <w:r>
              <w:rPr>
                <w:rFonts w:hint="eastAsia" w:cs="Arial" w:asciiTheme="minorEastAsia" w:hAnsiTheme="minorEastAsia"/>
                <w:color w:val="0000FF"/>
                <w:kern w:val="0"/>
                <w:sz w:val="24"/>
                <w:highlight w:val="yellow"/>
              </w:rPr>
              <w:t>）标的：</w:t>
            </w:r>
            <w:r>
              <w:rPr>
                <w:rFonts w:hint="eastAsia" w:asciiTheme="minorEastAsia" w:hAnsiTheme="minorEastAsia"/>
                <w:color w:val="0000FF"/>
                <w:sz w:val="24"/>
                <w:highlight w:val="yellow"/>
                <w:u w:val="single"/>
              </w:rPr>
              <w:t>物业管理服务</w:t>
            </w:r>
            <w:r>
              <w:rPr>
                <w:rFonts w:hint="eastAsia" w:cs="Arial" w:asciiTheme="minorEastAsia" w:hAnsiTheme="minorEastAsia"/>
                <w:color w:val="0000FF"/>
                <w:kern w:val="0"/>
                <w:sz w:val="24"/>
                <w:highlight w:val="yellow"/>
              </w:rPr>
              <w:t>，属于：</w:t>
            </w:r>
            <w:r>
              <w:rPr>
                <w:rFonts w:hint="eastAsia" w:asciiTheme="minorEastAsia" w:hAnsiTheme="minorEastAsia"/>
                <w:color w:val="0000FF"/>
                <w:sz w:val="24"/>
                <w:highlight w:val="yellow"/>
                <w:u w:val="single"/>
              </w:rPr>
              <w:t>物业管理</w:t>
            </w:r>
            <w:r>
              <w:rPr>
                <w:rFonts w:hint="eastAsia" w:cs="Arial" w:asciiTheme="minorEastAsia" w:hAnsiTheme="minorEastAsia"/>
                <w:color w:val="0000FF"/>
                <w:kern w:val="0"/>
                <w:sz w:val="24"/>
                <w:highlight w:val="yellow"/>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color w:val="0000FF"/>
                <w:kern w:val="0"/>
                <w:sz w:val="24"/>
                <w:highlight w:val="yellow"/>
              </w:rPr>
            </w:pPr>
            <w:sdt>
              <w:sdtPr>
                <w:rPr>
                  <w:rFonts w:hint="eastAsia" w:cs="Arial" w:asciiTheme="minorEastAsia" w:hAnsiTheme="minorEastAsia"/>
                  <w:color w:val="0000FF"/>
                  <w:kern w:val="0"/>
                  <w:sz w:val="24"/>
                  <w:highlight w:val="yellow"/>
                </w:rPr>
                <w:id w:val="-1828425707"/>
              </w:sdtPr>
              <w:sdtEndPr>
                <w:rPr>
                  <w:rFonts w:hint="eastAsia" w:cs="Arial" w:asciiTheme="minorEastAsia" w:hAnsiTheme="minorEastAsia"/>
                  <w:color w:val="0000FF"/>
                  <w:kern w:val="0"/>
                  <w:sz w:val="24"/>
                  <w:highlight w:val="yellow"/>
                </w:rPr>
              </w:sdtEndPr>
              <w:sdtContent>
                <w:r>
                  <w:rPr>
                    <w:rFonts w:cs="Arial" w:asciiTheme="minorEastAsia" w:hAnsiTheme="minorEastAsia"/>
                    <w:color w:val="0000FF"/>
                    <w:kern w:val="0"/>
                    <w:sz w:val="24"/>
                    <w:highlight w:val="yellow"/>
                  </w:rPr>
                  <w:sym w:font="Wingdings" w:char="F0FE"/>
                </w:r>
              </w:sdtContent>
            </w:sdt>
            <w:r>
              <w:rPr>
                <w:rFonts w:hint="eastAsia" w:cs="Arial" w:asciiTheme="minorEastAsia" w:hAnsiTheme="minorEastAsia"/>
                <w:color w:val="0000FF"/>
                <w:kern w:val="0"/>
                <w:sz w:val="24"/>
                <w:highlight w:val="yellow"/>
              </w:rPr>
              <w:t>本项目不允许采购进口产品。</w:t>
            </w:r>
          </w:p>
          <w:p>
            <w:pPr>
              <w:spacing w:line="360" w:lineRule="auto"/>
              <w:rPr>
                <w:rFonts w:asciiTheme="minorEastAsia" w:hAnsiTheme="minorEastAsia"/>
                <w:highlight w:val="yellow"/>
              </w:rPr>
            </w:pPr>
            <w:sdt>
              <w:sdtPr>
                <w:rPr>
                  <w:rFonts w:hint="eastAsia" w:cs="Arial" w:asciiTheme="minorEastAsia" w:hAnsiTheme="minorEastAsia"/>
                  <w:color w:val="0000FF"/>
                  <w:kern w:val="0"/>
                  <w:sz w:val="24"/>
                  <w:highlight w:val="yellow"/>
                </w:rPr>
                <w:id w:val="-52852824"/>
              </w:sdtPr>
              <w:sdtEndPr>
                <w:rPr>
                  <w:rFonts w:hint="eastAsia" w:cs="Arial" w:asciiTheme="minorEastAsia" w:hAnsiTheme="minorEastAsia"/>
                  <w:color w:val="0000FF"/>
                  <w:kern w:val="0"/>
                  <w:sz w:val="24"/>
                  <w:highlight w:val="yellow"/>
                </w:rPr>
              </w:sdtEndPr>
              <w:sdtContent>
                <w:r>
                  <w:rPr>
                    <w:rFonts w:hint="eastAsia" w:ascii="MS Mincho" w:hAnsi="MS Mincho" w:eastAsia="MS Mincho" w:cs="MS Mincho"/>
                    <w:color w:val="0000FF"/>
                    <w:kern w:val="0"/>
                    <w:sz w:val="24"/>
                    <w:highlight w:val="yellow"/>
                  </w:rPr>
                  <w:t>☐</w:t>
                </w:r>
              </w:sdtContent>
            </w:sdt>
            <w:r>
              <w:rPr>
                <w:rFonts w:hint="eastAsia" w:cs="Arial" w:asciiTheme="minorEastAsia" w:hAnsiTheme="minorEastAsia"/>
                <w:color w:val="0000FF"/>
                <w:kern w:val="0"/>
                <w:sz w:val="24"/>
                <w:highlight w:val="yellow"/>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b/>
                <w:sz w:val="24"/>
                <w:highlight w:val="yellow"/>
              </w:rPr>
            </w:pPr>
            <w:r>
              <w:rPr>
                <w:rFonts w:hint="eastAsia" w:cs="仿宋_GB2312" w:asciiTheme="minorEastAsia" w:hAnsiTheme="minorEastAsia"/>
                <w:b/>
                <w:sz w:val="24"/>
                <w:highlight w:val="yellow"/>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yellow"/>
              </w:rPr>
            </w:pPr>
            <w:sdt>
              <w:sdtPr>
                <w:rPr>
                  <w:rFonts w:hint="eastAsia" w:ascii="宋体" w:hAnsi="宋体" w:cs="宋体"/>
                  <w:kern w:val="0"/>
                  <w:sz w:val="24"/>
                </w:rPr>
                <w:id w:val="-1477286927"/>
              </w:sdtPr>
              <w:sdtEndPr>
                <w:rPr>
                  <w:rFonts w:hint="eastAsia" w:ascii="宋体" w:hAnsi="宋体" w:cs="宋体"/>
                  <w:kern w:val="0"/>
                  <w:sz w:val="24"/>
                  <w:highlight w:val="yellow"/>
                </w:rPr>
              </w:sdtEndPr>
              <w:sdtContent>
                <w:r>
                  <w:rPr>
                    <w:rFonts w:ascii="Wingdings" w:hAnsi="Wingdings" w:cs="宋体"/>
                    <w:kern w:val="0"/>
                    <w:sz w:val="24"/>
                    <w:highlight w:val="yellow"/>
                  </w:rPr>
                  <w:t></w:t>
                </w:r>
              </w:sdtContent>
            </w:sdt>
            <w:r>
              <w:rPr>
                <w:rFonts w:hint="eastAsia" w:ascii="宋体" w:hAnsi="宋体" w:cs="宋体"/>
                <w:kern w:val="0"/>
                <w:sz w:val="24"/>
                <w:highlight w:val="yellow"/>
              </w:rPr>
              <w:t xml:space="preserve"> A</w:t>
            </w:r>
            <w:r>
              <w:rPr>
                <w:rFonts w:hint="eastAsia" w:ascii="宋体" w:hAnsi="宋体" w:cs="宋体"/>
                <w:sz w:val="24"/>
                <w:highlight w:val="yellow"/>
              </w:rPr>
              <w:t>同意将</w:t>
            </w:r>
            <w:r>
              <w:rPr>
                <w:rFonts w:hint="eastAsia" w:ascii="宋体" w:hAnsi="宋体" w:cs="宋体"/>
                <w:sz w:val="24"/>
                <w:highlight w:val="yellow"/>
                <w:u w:val="single"/>
              </w:rPr>
              <w:t>绿植养护摆放</w:t>
            </w:r>
            <w:r>
              <w:rPr>
                <w:rFonts w:hint="eastAsia" w:ascii="宋体" w:hAnsi="宋体" w:cs="宋体"/>
                <w:sz w:val="24"/>
                <w:highlight w:val="yellow"/>
              </w:rPr>
              <w:t>工作分包。</w:t>
            </w:r>
            <w:sdt>
              <w:sdtPr>
                <w:rPr>
                  <w:rFonts w:hint="eastAsia" w:ascii="宋体" w:hAnsi="宋体" w:cs="宋体"/>
                  <w:kern w:val="0"/>
                  <w:sz w:val="24"/>
                  <w:highlight w:val="yellow"/>
                </w:rPr>
                <w:id w:val="-1276331357"/>
              </w:sdtPr>
              <w:sdtEndPr>
                <w:rPr>
                  <w:rFonts w:hint="eastAsia" w:ascii="宋体" w:hAnsi="宋体" w:cs="宋体"/>
                  <w:kern w:val="0"/>
                  <w:sz w:val="24"/>
                  <w:highlight w:val="yellow"/>
                </w:rPr>
              </w:sdtEndPr>
              <w:sdtContent>
                <w:r>
                  <w:rPr>
                    <w:rFonts w:hint="eastAsia" w:ascii="MS Gothic" w:hAnsi="MS Gothic" w:cs="宋体"/>
                    <w:kern w:val="0"/>
                    <w:sz w:val="24"/>
                    <w:highlight w:val="yellow"/>
                  </w:rPr>
                  <w:t>☐</w:t>
                </w:r>
              </w:sdtContent>
            </w:sdt>
            <w:r>
              <w:rPr>
                <w:rFonts w:hint="eastAsia" w:ascii="宋体" w:hAnsi="宋体" w:cs="宋体"/>
                <w:kern w:val="0"/>
                <w:sz w:val="24"/>
                <w:highlight w:val="yellow"/>
              </w:rPr>
              <w:t xml:space="preserve"> B</w:t>
            </w:r>
            <w:r>
              <w:rPr>
                <w:rFonts w:hint="eastAsia" w:ascii="宋体" w:hAnsi="宋体" w:cs="宋体"/>
                <w:sz w:val="24"/>
                <w:highlight w:val="yellow"/>
              </w:rPr>
              <w:t>不同意分包。</w:t>
            </w:r>
          </w:p>
          <w:p>
            <w:pPr>
              <w:spacing w:line="360" w:lineRule="auto"/>
              <w:rPr>
                <w:rFonts w:cs="仿宋_GB2312" w:asciiTheme="minorEastAsia" w:hAnsiTheme="minorEastAsia"/>
                <w:sz w:val="24"/>
                <w:highlight w:val="yellow"/>
              </w:rPr>
            </w:pPr>
            <w:r>
              <w:rPr>
                <w:rFonts w:hint="eastAsia" w:ascii="宋体" w:hAnsi="宋体" w:cs="宋体"/>
                <w:sz w:val="24"/>
                <w:highlight w:val="yellow"/>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color w:val="0000FF"/>
                <w:sz w:val="24"/>
                <w:highlight w:val="yellow"/>
              </w:rPr>
            </w:pPr>
            <w:sdt>
              <w:sdtPr>
                <w:rPr>
                  <w:rFonts w:hint="eastAsia" w:cs="Arial" w:asciiTheme="minorEastAsia" w:hAnsiTheme="minorEastAsia"/>
                  <w:color w:val="0000FF"/>
                  <w:kern w:val="0"/>
                  <w:sz w:val="24"/>
                  <w:highlight w:val="yellow"/>
                </w:rPr>
                <w:id w:val="-212966419"/>
              </w:sdtPr>
              <w:sdtEndPr>
                <w:rPr>
                  <w:rFonts w:hint="eastAsia" w:cs="Arial" w:asciiTheme="minorEastAsia" w:hAnsiTheme="minorEastAsia"/>
                  <w:color w:val="0000FF"/>
                  <w:kern w:val="0"/>
                  <w:sz w:val="24"/>
                  <w:highlight w:val="yellow"/>
                </w:rPr>
              </w:sdtEndPr>
              <w:sdtContent>
                <w:r>
                  <w:rPr>
                    <w:rFonts w:ascii="Wingdings" w:hAnsi="Wingdings" w:eastAsia="MS Mincho" w:cs="MS Mincho"/>
                    <w:color w:val="0000FF"/>
                    <w:kern w:val="0"/>
                    <w:sz w:val="24"/>
                    <w:highlight w:val="yellow"/>
                  </w:rPr>
                  <w:t></w:t>
                </w:r>
              </w:sdtContent>
            </w:sdt>
            <w:r>
              <w:rPr>
                <w:rFonts w:cs="Arial" w:asciiTheme="minorEastAsia" w:hAnsiTheme="minorEastAsia"/>
                <w:color w:val="0000FF"/>
                <w:kern w:val="0"/>
                <w:sz w:val="24"/>
                <w:highlight w:val="yellow"/>
              </w:rPr>
              <w:t>A</w:t>
            </w:r>
            <w:r>
              <w:rPr>
                <w:rFonts w:hint="eastAsia" w:asciiTheme="minorEastAsia" w:hAnsiTheme="minorEastAsia"/>
                <w:color w:val="0000FF"/>
                <w:sz w:val="24"/>
                <w:highlight w:val="yellow"/>
              </w:rPr>
              <w:t>不组织。</w:t>
            </w:r>
          </w:p>
          <w:p>
            <w:pPr>
              <w:spacing w:line="360" w:lineRule="auto"/>
              <w:rPr>
                <w:rFonts w:asciiTheme="minorEastAsia" w:hAnsiTheme="minorEastAsia"/>
                <w:sz w:val="24"/>
                <w:szCs w:val="20"/>
                <w:highlight w:val="yellow"/>
              </w:rPr>
            </w:pPr>
            <w:sdt>
              <w:sdtPr>
                <w:rPr>
                  <w:rFonts w:hint="eastAsia" w:cs="Arial" w:asciiTheme="minorEastAsia" w:hAnsiTheme="minorEastAsia"/>
                  <w:color w:val="0000FF"/>
                  <w:kern w:val="0"/>
                  <w:sz w:val="24"/>
                  <w:highlight w:val="yellow"/>
                </w:rPr>
                <w:id w:val="-999802974"/>
              </w:sdtPr>
              <w:sdtEndPr>
                <w:rPr>
                  <w:rFonts w:hint="eastAsia" w:cs="Arial" w:asciiTheme="minorEastAsia" w:hAnsiTheme="minorEastAsia"/>
                  <w:color w:val="0000FF"/>
                  <w:kern w:val="0"/>
                  <w:sz w:val="24"/>
                  <w:highlight w:val="yellow"/>
                </w:rPr>
              </w:sdtEndPr>
              <w:sdtContent>
                <w:r>
                  <w:rPr>
                    <w:rFonts w:hint="eastAsia" w:ascii="MS Gothic" w:hAnsi="MS Gothic" w:cs="Arial"/>
                    <w:color w:val="0000FF"/>
                    <w:kern w:val="0"/>
                    <w:sz w:val="24"/>
                    <w:highlight w:val="yellow"/>
                  </w:rPr>
                  <w:t>☐</w:t>
                </w:r>
              </w:sdtContent>
            </w:sdt>
            <w:r>
              <w:rPr>
                <w:rFonts w:asciiTheme="minorEastAsia" w:hAnsiTheme="minorEastAsia"/>
                <w:color w:val="0000FF"/>
                <w:kern w:val="0"/>
                <w:sz w:val="24"/>
                <w:highlight w:val="yellow"/>
              </w:rPr>
              <w:t>B组织</w:t>
            </w:r>
            <w:r>
              <w:rPr>
                <w:rFonts w:hint="eastAsia" w:asciiTheme="minorEastAsia" w:hAnsiTheme="minorEastAsia"/>
                <w:color w:val="0000FF"/>
                <w:kern w:val="0"/>
                <w:sz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color w:val="0000FF"/>
                <w:sz w:val="24"/>
                <w:highlight w:val="yellow"/>
              </w:rPr>
            </w:pPr>
            <w:sdt>
              <w:sdtPr>
                <w:rPr>
                  <w:rFonts w:hint="eastAsia" w:cs="Arial" w:asciiTheme="minorEastAsia" w:hAnsiTheme="minorEastAsia"/>
                  <w:color w:val="0000FF"/>
                  <w:kern w:val="0"/>
                  <w:sz w:val="24"/>
                  <w:highlight w:val="yellow"/>
                </w:rPr>
                <w:id w:val="-1639946486"/>
              </w:sdtPr>
              <w:sdtEndPr>
                <w:rPr>
                  <w:rFonts w:hint="eastAsia" w:cs="Arial" w:asciiTheme="minorEastAsia" w:hAnsiTheme="minorEastAsia"/>
                  <w:color w:val="0000FF"/>
                  <w:kern w:val="0"/>
                  <w:sz w:val="24"/>
                  <w:highlight w:val="yellow"/>
                </w:rPr>
              </w:sdtEndPr>
              <w:sdtContent>
                <w:r>
                  <w:rPr>
                    <w:rFonts w:hint="eastAsia" w:cs="Arial" w:asciiTheme="minorEastAsia" w:hAnsiTheme="minorEastAsia"/>
                    <w:color w:val="0000FF"/>
                    <w:kern w:val="0"/>
                    <w:sz w:val="24"/>
                    <w:highlight w:val="yellow"/>
                  </w:rPr>
                  <w:sym w:font="Wingdings" w:char="F0FE"/>
                </w:r>
              </w:sdtContent>
            </w:sdt>
            <w:r>
              <w:rPr>
                <w:rFonts w:cs="Arial" w:asciiTheme="minorEastAsia" w:hAnsiTheme="minorEastAsia"/>
                <w:color w:val="0000FF"/>
                <w:kern w:val="0"/>
                <w:sz w:val="24"/>
                <w:highlight w:val="yellow"/>
              </w:rPr>
              <w:t>A</w:t>
            </w:r>
            <w:r>
              <w:rPr>
                <w:rFonts w:hint="eastAsia" w:asciiTheme="minorEastAsia" w:hAnsiTheme="minorEastAsia"/>
                <w:color w:val="0000FF"/>
                <w:sz w:val="24"/>
                <w:highlight w:val="yellow"/>
              </w:rPr>
              <w:t>不要求提供。</w:t>
            </w:r>
          </w:p>
          <w:p>
            <w:pPr>
              <w:spacing w:line="360" w:lineRule="auto"/>
              <w:rPr>
                <w:rFonts w:asciiTheme="minorEastAsia" w:hAnsiTheme="minorEastAsia"/>
                <w:color w:val="0000FF"/>
                <w:kern w:val="0"/>
                <w:sz w:val="24"/>
                <w:highlight w:val="yellow"/>
              </w:rPr>
            </w:pPr>
            <w:sdt>
              <w:sdtPr>
                <w:rPr>
                  <w:rFonts w:hint="eastAsia" w:cs="Arial" w:asciiTheme="minorEastAsia" w:hAnsiTheme="minorEastAsia"/>
                  <w:color w:val="0000FF"/>
                  <w:kern w:val="0"/>
                  <w:sz w:val="24"/>
                  <w:highlight w:val="yellow"/>
                </w:rPr>
                <w:id w:val="1026831988"/>
              </w:sdtPr>
              <w:sdtEndPr>
                <w:rPr>
                  <w:rFonts w:hint="eastAsia" w:cs="Arial" w:asciiTheme="minorEastAsia" w:hAnsiTheme="minorEastAsia"/>
                  <w:color w:val="0000FF"/>
                  <w:kern w:val="0"/>
                  <w:sz w:val="24"/>
                  <w:highlight w:val="yellow"/>
                </w:rPr>
              </w:sdtEndPr>
              <w:sdtContent>
                <w:r>
                  <w:rPr>
                    <w:rFonts w:hint="eastAsia" w:ascii="MS Mincho" w:hAnsi="MS Mincho" w:eastAsia="MS Mincho" w:cs="MS Mincho"/>
                    <w:color w:val="0000FF"/>
                    <w:kern w:val="0"/>
                    <w:sz w:val="24"/>
                    <w:highlight w:val="yellow"/>
                  </w:rPr>
                  <w:t>☐</w:t>
                </w:r>
              </w:sdtContent>
            </w:sdt>
            <w:r>
              <w:rPr>
                <w:rFonts w:asciiTheme="minorEastAsia" w:hAnsiTheme="minorEastAsia"/>
                <w:color w:val="0000FF"/>
                <w:kern w:val="0"/>
                <w:sz w:val="24"/>
                <w:highlight w:val="yellow"/>
              </w:rPr>
              <w:t>B</w:t>
            </w:r>
            <w:r>
              <w:rPr>
                <w:rFonts w:hint="eastAsia" w:asciiTheme="minorEastAsia" w:hAnsiTheme="minorEastAsia"/>
                <w:color w:val="0000FF"/>
                <w:kern w:val="0"/>
                <w:sz w:val="24"/>
                <w:highlight w:val="yellow"/>
              </w:rPr>
              <w:t>要求提供，</w:t>
            </w:r>
          </w:p>
          <w:p>
            <w:pPr>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w:t>
            </w:r>
            <w:r>
              <w:rPr>
                <w:rFonts w:asciiTheme="minorEastAsia" w:hAnsiTheme="minorEastAsia"/>
                <w:kern w:val="0"/>
                <w:sz w:val="24"/>
                <w:highlight w:val="yellow"/>
              </w:rPr>
              <w:t>1）</w:t>
            </w:r>
            <w:r>
              <w:rPr>
                <w:rFonts w:hint="eastAsia" w:asciiTheme="minorEastAsia" w:hAnsiTheme="minorEastAsia"/>
                <w:snapToGrid w:val="0"/>
                <w:kern w:val="28"/>
                <w:sz w:val="24"/>
                <w:highlight w:val="yellow"/>
              </w:rPr>
              <w:t>样品：</w:t>
            </w:r>
            <w:r>
              <w:rPr>
                <w:rFonts w:hint="eastAsia" w:asciiTheme="minorEastAsia" w:hAnsiTheme="minorEastAsia"/>
                <w:kern w:val="0"/>
                <w:sz w:val="24"/>
                <w:highlight w:val="yellow"/>
              </w:rPr>
              <w:t>；</w:t>
            </w:r>
          </w:p>
          <w:p>
            <w:pPr>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w:t>
            </w:r>
            <w:r>
              <w:rPr>
                <w:rFonts w:asciiTheme="minorEastAsia" w:hAnsiTheme="minorEastAsia"/>
                <w:kern w:val="0"/>
                <w:sz w:val="24"/>
                <w:highlight w:val="yellow"/>
              </w:rPr>
              <w:t>2）</w:t>
            </w:r>
            <w:r>
              <w:rPr>
                <w:rFonts w:hint="eastAsia" w:asciiTheme="minorEastAsia" w:hAnsiTheme="minorEastAsia"/>
                <w:snapToGrid w:val="0"/>
                <w:kern w:val="28"/>
                <w:sz w:val="24"/>
                <w:highlight w:val="yellow"/>
              </w:rPr>
              <w:t>样品制作的标准和要求：</w:t>
            </w:r>
            <w:r>
              <w:rPr>
                <w:rFonts w:hint="eastAsia" w:asciiTheme="minorEastAsia" w:hAnsiTheme="minorEastAsia"/>
                <w:kern w:val="0"/>
                <w:sz w:val="24"/>
                <w:highlight w:val="yellow"/>
              </w:rPr>
              <w:t>；</w:t>
            </w:r>
          </w:p>
          <w:p>
            <w:pPr>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w:t>
            </w:r>
            <w:r>
              <w:rPr>
                <w:rFonts w:asciiTheme="minorEastAsia" w:hAnsiTheme="minorEastAsia"/>
                <w:kern w:val="0"/>
                <w:sz w:val="24"/>
                <w:highlight w:val="yellow"/>
              </w:rPr>
              <w:t>3）样品的评审方法以及评审标准</w:t>
            </w:r>
            <w:r>
              <w:rPr>
                <w:rFonts w:hint="eastAsia" w:asciiTheme="minorEastAsia" w:hAnsiTheme="minorEastAsia"/>
                <w:snapToGrid w:val="0"/>
                <w:kern w:val="28"/>
                <w:sz w:val="24"/>
                <w:highlight w:val="yellow"/>
              </w:rPr>
              <w:t>：详见</w:t>
            </w:r>
            <w:r>
              <w:rPr>
                <w:rFonts w:hint="eastAsia" w:asciiTheme="minorEastAsia" w:hAnsiTheme="minorEastAsia"/>
                <w:sz w:val="24"/>
                <w:highlight w:val="yellow"/>
                <w:u w:val="single"/>
              </w:rPr>
              <w:t>评标办法</w:t>
            </w:r>
            <w:r>
              <w:rPr>
                <w:rFonts w:hint="eastAsia" w:asciiTheme="minorEastAsia" w:hAnsiTheme="minorEastAsia"/>
                <w:kern w:val="0"/>
                <w:sz w:val="24"/>
                <w:highlight w:val="yellow"/>
              </w:rPr>
              <w:t>；</w:t>
            </w:r>
          </w:p>
          <w:p>
            <w:pPr>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w:t>
            </w:r>
            <w:r>
              <w:rPr>
                <w:rFonts w:asciiTheme="minorEastAsia" w:hAnsiTheme="minorEastAsia"/>
                <w:kern w:val="0"/>
                <w:sz w:val="24"/>
                <w:highlight w:val="yellow"/>
              </w:rPr>
              <w:t>4）是否需要随样品提交检测报告</w:t>
            </w:r>
            <w:r>
              <w:rPr>
                <w:rFonts w:hint="eastAsia" w:asciiTheme="minorEastAsia" w:hAnsiTheme="minorEastAsia"/>
                <w:kern w:val="0"/>
                <w:sz w:val="24"/>
                <w:highlight w:val="yellow"/>
              </w:rPr>
              <w:t>：</w:t>
            </w:r>
            <w:sdt>
              <w:sdtPr>
                <w:rPr>
                  <w:rFonts w:hint="eastAsia" w:cs="Arial" w:asciiTheme="minorEastAsia" w:hAnsiTheme="minorEastAsia"/>
                  <w:kern w:val="0"/>
                  <w:sz w:val="24"/>
                  <w:highlight w:val="yellow"/>
                </w:rPr>
                <w:id w:val="1303421454"/>
              </w:sdtPr>
              <w:sdtEndPr>
                <w:rPr>
                  <w:rFonts w:hint="eastAsia" w:cs="Arial" w:asciiTheme="minorEastAsia" w:hAnsiTheme="minorEastAsia"/>
                  <w:kern w:val="0"/>
                  <w:sz w:val="24"/>
                  <w:highlight w:val="yellow"/>
                </w:rPr>
              </w:sdtEndPr>
              <w:sdtContent>
                <w:r>
                  <w:rPr>
                    <w:rFonts w:cs="Arial" w:asciiTheme="minorEastAsia" w:hAnsiTheme="minorEastAsia"/>
                    <w:kern w:val="0"/>
                    <w:sz w:val="24"/>
                    <w:highlight w:val="yellow"/>
                  </w:rPr>
                  <w:sym w:font="Wingdings" w:char="F0FE"/>
                </w:r>
              </w:sdtContent>
            </w:sdt>
            <w:r>
              <w:rPr>
                <w:rFonts w:asciiTheme="minorEastAsia" w:hAnsiTheme="minorEastAsia"/>
                <w:kern w:val="0"/>
                <w:sz w:val="24"/>
                <w:highlight w:val="yellow"/>
              </w:rPr>
              <w:t>否；</w:t>
            </w:r>
            <w:sdt>
              <w:sdtPr>
                <w:rPr>
                  <w:rFonts w:hint="eastAsia" w:cs="Arial" w:asciiTheme="minorEastAsia" w:hAnsiTheme="minorEastAsia"/>
                  <w:kern w:val="0"/>
                  <w:sz w:val="24"/>
                  <w:highlight w:val="yellow"/>
                </w:rPr>
                <w:id w:val="1621728433"/>
              </w:sdtPr>
              <w:sdtEndPr>
                <w:rPr>
                  <w:rFonts w:hint="eastAsia" w:cs="Arial" w:asciiTheme="minorEastAsia" w:hAnsiTheme="minorEastAsia"/>
                  <w:kern w:val="0"/>
                  <w:sz w:val="24"/>
                  <w:highlight w:val="yellow"/>
                </w:rPr>
              </w:sdtEndPr>
              <w:sdtContent>
                <w:r>
                  <w:rPr>
                    <w:rFonts w:hint="eastAsia" w:ascii="MS Mincho" w:hAnsi="MS Mincho" w:eastAsia="MS Mincho" w:cs="MS Mincho"/>
                    <w:kern w:val="0"/>
                    <w:sz w:val="24"/>
                    <w:highlight w:val="yellow"/>
                  </w:rPr>
                  <w:t>☐</w:t>
                </w:r>
              </w:sdtContent>
            </w:sdt>
            <w:r>
              <w:rPr>
                <w:rFonts w:asciiTheme="minorEastAsia" w:hAnsiTheme="minorEastAsia"/>
                <w:kern w:val="0"/>
                <w:sz w:val="24"/>
                <w:highlight w:val="yellow"/>
              </w:rPr>
              <w:t>是，检测机构的要求</w:t>
            </w:r>
            <w:r>
              <w:rPr>
                <w:rFonts w:hint="eastAsia" w:asciiTheme="minorEastAsia" w:hAnsiTheme="minorEastAsia"/>
                <w:sz w:val="24"/>
                <w:highlight w:val="yellow"/>
              </w:rPr>
              <w:t>：</w:t>
            </w:r>
            <w:r>
              <w:rPr>
                <w:rFonts w:hint="eastAsia" w:asciiTheme="minorEastAsia" w:hAnsiTheme="minorEastAsia"/>
                <w:kern w:val="0"/>
                <w:sz w:val="24"/>
                <w:highlight w:val="yellow"/>
              </w:rPr>
              <w:t>；检测内容</w:t>
            </w:r>
            <w:r>
              <w:rPr>
                <w:rFonts w:hint="eastAsia" w:asciiTheme="minorEastAsia" w:hAnsiTheme="minorEastAsia"/>
                <w:sz w:val="24"/>
                <w:highlight w:val="yellow"/>
              </w:rPr>
              <w:t>：</w:t>
            </w:r>
            <w:r>
              <w:rPr>
                <w:rFonts w:hint="eastAsia" w:asciiTheme="minorEastAsia" w:hAnsiTheme="minorEastAsia"/>
                <w:kern w:val="0"/>
                <w:sz w:val="24"/>
                <w:highlight w:val="yellow"/>
              </w:rPr>
              <w:t>。</w:t>
            </w:r>
          </w:p>
          <w:p>
            <w:pPr>
              <w:spacing w:line="360" w:lineRule="auto"/>
              <w:rPr>
                <w:rFonts w:asciiTheme="minorEastAsia" w:hAnsiTheme="minorEastAsia"/>
                <w:sz w:val="24"/>
                <w:highlight w:val="yellow"/>
              </w:rPr>
            </w:pPr>
            <w:r>
              <w:rPr>
                <w:rFonts w:hint="eastAsia" w:asciiTheme="minorEastAsia" w:hAnsiTheme="minorEastAsia"/>
                <w:sz w:val="24"/>
                <w:highlight w:val="yellow"/>
              </w:rPr>
              <w:t>（</w:t>
            </w:r>
            <w:r>
              <w:rPr>
                <w:rFonts w:asciiTheme="minorEastAsia" w:hAnsiTheme="minorEastAsia"/>
                <w:sz w:val="24"/>
                <w:highlight w:val="yellow"/>
              </w:rPr>
              <w:t>5）提供样品的时间：</w:t>
            </w:r>
            <w:r>
              <w:rPr>
                <w:rFonts w:hint="eastAsia" w:asciiTheme="minorEastAsia" w:hAnsiTheme="minorEastAsia"/>
                <w:kern w:val="0"/>
                <w:sz w:val="24"/>
                <w:highlight w:val="yellow"/>
              </w:rPr>
              <w:t>；地点：；联系人</w:t>
            </w:r>
            <w:r>
              <w:rPr>
                <w:rFonts w:hint="eastAsia" w:asciiTheme="minorEastAsia" w:hAnsiTheme="minorEastAsia"/>
                <w:sz w:val="24"/>
                <w:highlight w:val="yellow"/>
              </w:rPr>
              <w:t>：，</w:t>
            </w:r>
            <w:r>
              <w:rPr>
                <w:rFonts w:hint="eastAsia" w:asciiTheme="minorEastAsia" w:hAnsiTheme="minorEastAsia"/>
                <w:kern w:val="28"/>
                <w:sz w:val="24"/>
                <w:highlight w:val="yellow"/>
              </w:rPr>
              <w:t>联系电话：</w:t>
            </w:r>
            <w:r>
              <w:rPr>
                <w:rFonts w:hint="eastAsia" w:asciiTheme="minorEastAsia" w:hAnsiTheme="minorEastAsia"/>
                <w:sz w:val="24"/>
                <w:highlight w:val="yellow"/>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sz w:val="24"/>
                <w:highlight w:val="yellow"/>
              </w:rPr>
            </w:pPr>
            <w:r>
              <w:rPr>
                <w:rFonts w:asciiTheme="minorEastAsia" w:hAnsiTheme="minorEastAsia"/>
                <w:sz w:val="24"/>
                <w:highlight w:val="yellow"/>
              </w:rPr>
              <w:t xml:space="preserve"> (6)采购活动结束后，对于未中标人提供的样品，</w:t>
            </w:r>
            <w:r>
              <w:rPr>
                <w:rFonts w:hint="eastAsia" w:asciiTheme="minorEastAsia" w:hAnsiTheme="minorEastAsia"/>
                <w:sz w:val="24"/>
                <w:highlight w:val="yellow"/>
              </w:rPr>
              <w:t>采购人、采购机构将通知</w:t>
            </w:r>
            <w:r>
              <w:rPr>
                <w:rFonts w:asciiTheme="minorEastAsia" w:hAnsiTheme="minorEastAsia"/>
                <w:sz w:val="24"/>
                <w:highlight w:val="yellow"/>
              </w:rPr>
              <w:t>未中标人</w:t>
            </w:r>
            <w:r>
              <w:rPr>
                <w:rFonts w:hint="eastAsia" w:asciiTheme="minorEastAsia" w:hAnsiTheme="minorEastAsia"/>
                <w:sz w:val="24"/>
                <w:highlight w:val="yellow"/>
              </w:rPr>
              <w:t>在规定的时间内取回，逾期未取回的，采购人、采购机构不负保管义务</w:t>
            </w:r>
            <w:r>
              <w:rPr>
                <w:rFonts w:asciiTheme="minorEastAsia" w:hAnsiTheme="minorEastAsia"/>
                <w:sz w:val="24"/>
                <w:highlight w:val="yellow"/>
              </w:rPr>
              <w:t>；对于中标人提供的样品，</w:t>
            </w:r>
            <w:r>
              <w:rPr>
                <w:rFonts w:hint="eastAsia" w:asciiTheme="minorEastAsia" w:hAnsiTheme="minorEastAsia"/>
                <w:sz w:val="24"/>
                <w:highlight w:val="yellow"/>
              </w:rPr>
              <w:t>采购人将进</w:t>
            </w:r>
            <w:r>
              <w:rPr>
                <w:rFonts w:asciiTheme="minorEastAsia" w:hAnsiTheme="minorEastAsia"/>
                <w:sz w:val="24"/>
                <w:highlight w:val="yellow"/>
              </w:rPr>
              <w:t>行保管、封存，并作为履约验收的参考。</w:t>
            </w:r>
          </w:p>
          <w:p>
            <w:pPr>
              <w:spacing w:line="360" w:lineRule="auto"/>
              <w:rPr>
                <w:rFonts w:asciiTheme="minorEastAsia" w:hAnsiTheme="minorEastAsia"/>
                <w:b/>
                <w:sz w:val="24"/>
                <w:highlight w:val="yellow"/>
              </w:rPr>
            </w:pPr>
            <w:r>
              <w:rPr>
                <w:rFonts w:hint="eastAsia" w:asciiTheme="minorEastAsia" w:hAnsiTheme="minorEastAsia"/>
                <w:sz w:val="24"/>
                <w:highlight w:val="yellow"/>
              </w:rPr>
              <w:t>（</w:t>
            </w:r>
            <w:r>
              <w:rPr>
                <w:rFonts w:asciiTheme="minorEastAsia" w:hAnsiTheme="minorEastAsia"/>
                <w:sz w:val="24"/>
                <w:highlight w:val="yellow"/>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Cs/>
                <w:sz w:val="24"/>
                <w:highlight w:val="yellow"/>
              </w:rPr>
            </w:pPr>
            <w:r>
              <w:rPr>
                <w:rFonts w:hint="eastAsia" w:cs="仿宋_GB2312" w:asciiTheme="minorEastAsia" w:hAnsiTheme="minorEastAsia"/>
                <w:b/>
                <w:sz w:val="24"/>
                <w:highlight w:val="yellow"/>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color w:val="0000FF"/>
                <w:sz w:val="24"/>
                <w:highlight w:val="yellow"/>
              </w:rPr>
            </w:pPr>
            <w:sdt>
              <w:sdtPr>
                <w:rPr>
                  <w:rFonts w:hint="eastAsia" w:cs="Arial" w:asciiTheme="minorEastAsia" w:hAnsiTheme="minorEastAsia"/>
                  <w:color w:val="0000FF"/>
                  <w:kern w:val="0"/>
                  <w:sz w:val="24"/>
                  <w:highlight w:val="yellow"/>
                </w:rPr>
                <w:id w:val="-1859348549"/>
              </w:sdtPr>
              <w:sdtEndPr>
                <w:rPr>
                  <w:rFonts w:hint="eastAsia" w:cs="Arial" w:asciiTheme="minorEastAsia" w:hAnsiTheme="minorEastAsia"/>
                  <w:color w:val="0000FF"/>
                  <w:kern w:val="0"/>
                  <w:sz w:val="24"/>
                  <w:highlight w:val="yellow"/>
                </w:rPr>
              </w:sdtEndPr>
              <w:sdtContent>
                <w:r>
                  <w:rPr>
                    <w:rFonts w:hint="eastAsia" w:cs="Arial" w:asciiTheme="minorEastAsia" w:hAnsiTheme="minorEastAsia"/>
                    <w:color w:val="0000FF"/>
                    <w:kern w:val="0"/>
                    <w:sz w:val="24"/>
                    <w:highlight w:val="yellow"/>
                  </w:rPr>
                  <w:sym w:font="Wingdings" w:char="F0FE"/>
                </w:r>
              </w:sdtContent>
            </w:sdt>
            <w:r>
              <w:rPr>
                <w:rFonts w:cs="Arial" w:asciiTheme="minorEastAsia" w:hAnsiTheme="minorEastAsia"/>
                <w:color w:val="0000FF"/>
                <w:kern w:val="0"/>
                <w:sz w:val="24"/>
                <w:highlight w:val="yellow"/>
              </w:rPr>
              <w:t>A</w:t>
            </w:r>
            <w:r>
              <w:rPr>
                <w:rFonts w:hint="eastAsia" w:asciiTheme="minorEastAsia" w:hAnsiTheme="minorEastAsia"/>
                <w:color w:val="0000FF"/>
                <w:sz w:val="24"/>
                <w:highlight w:val="yellow"/>
              </w:rPr>
              <w:t>不组织。</w:t>
            </w:r>
          </w:p>
          <w:p>
            <w:pPr>
              <w:spacing w:line="360" w:lineRule="auto"/>
              <w:rPr>
                <w:rFonts w:asciiTheme="minorEastAsia" w:hAnsiTheme="minorEastAsia"/>
                <w:color w:val="0000FF"/>
                <w:kern w:val="0"/>
                <w:sz w:val="24"/>
                <w:highlight w:val="yellow"/>
              </w:rPr>
            </w:pPr>
            <w:sdt>
              <w:sdtPr>
                <w:rPr>
                  <w:rFonts w:hint="eastAsia" w:cs="Arial" w:asciiTheme="minorEastAsia" w:hAnsiTheme="minorEastAsia"/>
                  <w:color w:val="0000FF"/>
                  <w:kern w:val="0"/>
                  <w:sz w:val="24"/>
                  <w:highlight w:val="yellow"/>
                </w:rPr>
                <w:id w:val="1174071719"/>
              </w:sdtPr>
              <w:sdtEndPr>
                <w:rPr>
                  <w:rFonts w:hint="eastAsia" w:cs="Arial" w:asciiTheme="minorEastAsia" w:hAnsiTheme="minorEastAsia"/>
                  <w:color w:val="0000FF"/>
                  <w:kern w:val="0"/>
                  <w:sz w:val="24"/>
                  <w:highlight w:val="yellow"/>
                </w:rPr>
              </w:sdtEndPr>
              <w:sdtContent>
                <w:r>
                  <w:rPr>
                    <w:rFonts w:hint="eastAsia" w:ascii="MS Mincho" w:hAnsi="MS Mincho" w:eastAsia="MS Mincho" w:cs="MS Mincho"/>
                    <w:color w:val="0000FF"/>
                    <w:kern w:val="0"/>
                    <w:sz w:val="24"/>
                    <w:highlight w:val="yellow"/>
                  </w:rPr>
                  <w:t>☐</w:t>
                </w:r>
              </w:sdtContent>
            </w:sdt>
            <w:r>
              <w:rPr>
                <w:rFonts w:asciiTheme="minorEastAsia" w:hAnsiTheme="minorEastAsia"/>
                <w:color w:val="0000FF"/>
                <w:kern w:val="0"/>
                <w:sz w:val="24"/>
                <w:highlight w:val="yellow"/>
              </w:rPr>
              <w:t>B组织。</w:t>
            </w:r>
          </w:p>
          <w:p>
            <w:pPr>
              <w:snapToGrid w:val="0"/>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w:t>
            </w:r>
            <w:r>
              <w:rPr>
                <w:rFonts w:asciiTheme="minorEastAsia" w:hAnsiTheme="minorEastAsia"/>
                <w:kern w:val="0"/>
                <w:sz w:val="24"/>
                <w:highlight w:val="yellow"/>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w:t>
            </w:r>
            <w:r>
              <w:rPr>
                <w:rFonts w:asciiTheme="minorEastAsia" w:hAnsiTheme="minorEastAsia"/>
                <w:kern w:val="0"/>
                <w:sz w:val="24"/>
                <w:highlight w:val="yellow"/>
              </w:rPr>
              <w:t>2）方案讲解演示可选择</w:t>
            </w:r>
            <w:r>
              <w:rPr>
                <w:rFonts w:hint="eastAsia" w:asciiTheme="minorEastAsia" w:hAnsiTheme="minorEastAsia"/>
                <w:kern w:val="0"/>
                <w:sz w:val="24"/>
                <w:highlight w:val="yellow"/>
              </w:rPr>
              <w:t>以下其中一种方式：</w:t>
            </w:r>
          </w:p>
          <w:p>
            <w:pPr>
              <w:snapToGrid w:val="0"/>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方式一：政采云平台在线讲解演示。政采云平台在线讲解需投标人根据政采云平台操作要求做好准备工作，提前完善软硬件配置环境。</w:t>
            </w:r>
          </w:p>
          <w:p>
            <w:pPr>
              <w:snapToGrid w:val="0"/>
              <w:spacing w:line="360" w:lineRule="auto"/>
              <w:rPr>
                <w:rFonts w:asciiTheme="minorEastAsia" w:hAnsiTheme="minorEastAsia"/>
                <w:kern w:val="0"/>
                <w:sz w:val="24"/>
                <w:highlight w:val="yellow"/>
              </w:rPr>
            </w:pPr>
            <w:r>
              <w:rPr>
                <w:rFonts w:hint="eastAsia" w:asciiTheme="minorEastAsia" w:hAnsiTheme="minorEastAsia"/>
                <w:kern w:val="0"/>
                <w:sz w:val="24"/>
                <w:highlight w:val="yellow"/>
              </w:rPr>
              <w:t>方式二：交易中心现场讲解演示。现场讲解地点为，讲解演示所用电脑等设备由投标人自备。现场讲解演示人员进场时提供讲解人员名单（加盖公章或授权代表签字）及身份证明，否则不得讲解演示。</w:t>
            </w:r>
          </w:p>
          <w:p>
            <w:pPr>
              <w:snapToGrid w:val="0"/>
              <w:spacing w:line="360" w:lineRule="auto"/>
              <w:rPr>
                <w:rFonts w:cs="仿宋_GB2312" w:asciiTheme="minorEastAsia" w:hAnsiTheme="minorEastAsia"/>
                <w:b/>
                <w:kern w:val="0"/>
                <w:sz w:val="24"/>
                <w:highlight w:val="yellow"/>
                <w:lang w:val="zh-CN"/>
              </w:rPr>
            </w:pPr>
            <w:r>
              <w:rPr>
                <w:rFonts w:hint="eastAsia" w:asciiTheme="minorEastAsia" w:hAnsiTheme="minorEastAsia"/>
                <w:kern w:val="0"/>
                <w:sz w:val="24"/>
                <w:highlight w:val="yellow"/>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sz w:val="24"/>
                <w:highlight w:val="yellow"/>
              </w:rPr>
            </w:pPr>
            <w:r>
              <w:rPr>
                <w:rFonts w:hint="eastAsia" w:asciiTheme="minorEastAsia" w:hAnsiTheme="minorEastAsia"/>
                <w:sz w:val="24"/>
                <w:highlight w:val="yellow"/>
              </w:rPr>
              <w:t>（</w:t>
            </w:r>
            <w:r>
              <w:rPr>
                <w:rFonts w:asciiTheme="minorEastAsia" w:hAnsiTheme="minorEastAsia"/>
                <w:sz w:val="24"/>
                <w:highlight w:val="yellow"/>
              </w:rPr>
              <w:t>1）资格证明文件：见招标文件第二部分11.1。</w:t>
            </w:r>
          </w:p>
          <w:p>
            <w:pPr>
              <w:spacing w:line="360" w:lineRule="auto"/>
              <w:rPr>
                <w:rFonts w:cs="Arial" w:asciiTheme="minorEastAsia" w:hAnsiTheme="minorEastAsia"/>
                <w:snapToGrid w:val="0"/>
                <w:kern w:val="0"/>
                <w:szCs w:val="21"/>
                <w:highlight w:val="yellow"/>
              </w:rPr>
            </w:pPr>
            <w:r>
              <w:rPr>
                <w:rFonts w:hint="eastAsia" w:asciiTheme="minorEastAsia" w:hAnsiTheme="minorEastAsia"/>
                <w:kern w:val="0"/>
                <w:sz w:val="24"/>
                <w:highlight w:val="yellow"/>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highlight w:val="yellow"/>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highlight w:val="yellow"/>
              </w:rPr>
            </w:pPr>
            <w:r>
              <w:rPr>
                <w:rFonts w:hint="eastAsia" w:asciiTheme="minorEastAsia" w:hAnsiTheme="minorEastAsia"/>
                <w:sz w:val="24"/>
                <w:highlight w:val="yellow"/>
              </w:rPr>
              <w:t>（</w:t>
            </w:r>
            <w:r>
              <w:rPr>
                <w:rFonts w:asciiTheme="minorEastAsia" w:hAnsiTheme="minorEastAsia"/>
                <w:sz w:val="24"/>
                <w:highlight w:val="yellow"/>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highlight w:val="yellow"/>
              </w:rPr>
            </w:pPr>
            <w:r>
              <w:rPr>
                <w:rFonts w:hint="eastAsia" w:cs="Arial" w:asciiTheme="minorEastAsia" w:hAnsiTheme="minorEastAsia"/>
                <w:kern w:val="0"/>
                <w:sz w:val="24"/>
                <w:highlight w:val="yellow"/>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highlight w:val="yellow"/>
              </w:rPr>
            </w:pPr>
            <w:r>
              <w:rPr>
                <w:rFonts w:hint="eastAsia" w:cs="仿宋_GB2312" w:asciiTheme="minorEastAsia" w:hAnsiTheme="minorEastAsia"/>
                <w:sz w:val="24"/>
                <w:highlight w:val="yellow"/>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_GB2312" w:asciiTheme="minorEastAsia" w:hAnsiTheme="minorEastAsia"/>
                <w:b/>
                <w:kern w:val="0"/>
                <w:sz w:val="24"/>
                <w:highlight w:val="yellow"/>
                <w:lang w:val="zh-CN"/>
              </w:rPr>
            </w:pPr>
            <w:r>
              <w:rPr>
                <w:rFonts w:hint="eastAsia" w:asciiTheme="minorEastAsia" w:hAnsiTheme="minorEastAsia"/>
                <w:kern w:val="0"/>
                <w:sz w:val="24"/>
                <w:highlight w:val="yellow"/>
                <w:lang w:val="zh-CN"/>
              </w:rPr>
              <w:t>有关本项目实施所需的所有费用（含税费）均计入报价。</w:t>
            </w:r>
            <w:r>
              <w:rPr>
                <w:rFonts w:hint="eastAsia" w:cs="仿宋_GB2312" w:asciiTheme="minorEastAsia" w:hAnsiTheme="minorEastAsia"/>
                <w:sz w:val="24"/>
                <w:highlight w:val="yellow"/>
              </w:rPr>
              <w:t>开标一览表（报价表）</w:t>
            </w:r>
            <w:r>
              <w:rPr>
                <w:rFonts w:hint="eastAsia" w:asciiTheme="minorEastAsia" w:hAnsiTheme="minorEastAsia"/>
                <w:sz w:val="24"/>
                <w:highlight w:val="yellow"/>
              </w:rPr>
              <w:t>是报价的唯一载体</w:t>
            </w:r>
            <w:r>
              <w:rPr>
                <w:rFonts w:hint="eastAsia" w:cs="仿宋_GB2312" w:asciiTheme="minorEastAsia" w:hAnsiTheme="minorEastAsia"/>
                <w:kern w:val="0"/>
                <w:sz w:val="24"/>
                <w:highlight w:val="yellow"/>
                <w:lang w:val="zh-CN"/>
              </w:rPr>
              <w:t>。投标文件中价格全部采用人民币报价。招标文件未列明，而投标人认为必需的费用也需列入报价。</w:t>
            </w:r>
            <w:r>
              <w:rPr>
                <w:rFonts w:hint="eastAsia" w:cs="仿宋_GB2312" w:asciiTheme="minorEastAsia" w:hAnsiTheme="minorEastAsia"/>
                <w:b/>
                <w:kern w:val="0"/>
                <w:sz w:val="24"/>
                <w:highlight w:val="yellow"/>
                <w:lang w:val="zh-CN"/>
              </w:rPr>
              <w:t>提醒：验收时检测费用由采购人承担，不包含在投标总价中。</w:t>
            </w:r>
          </w:p>
          <w:p>
            <w:pPr>
              <w:snapToGrid w:val="0"/>
              <w:spacing w:line="360" w:lineRule="auto"/>
              <w:jc w:val="left"/>
              <w:rPr>
                <w:rFonts w:cs="仿宋_GB2312" w:asciiTheme="minorEastAsia" w:hAnsiTheme="minorEastAsia"/>
                <w:b/>
                <w:kern w:val="0"/>
                <w:sz w:val="24"/>
                <w:highlight w:val="yellow"/>
                <w:lang w:val="zh-CN"/>
              </w:rPr>
            </w:pPr>
            <w:r>
              <w:rPr>
                <w:rFonts w:hint="eastAsia" w:cs="仿宋_GB2312" w:asciiTheme="minorEastAsia" w:hAnsiTheme="minorEastAsia"/>
                <w:b/>
                <w:kern w:val="0"/>
                <w:sz w:val="24"/>
                <w:highlight w:val="yellow"/>
                <w:lang w:val="zh-CN"/>
              </w:rPr>
              <w:t>投标报价出现下列情形的，投标无效：</w:t>
            </w:r>
          </w:p>
          <w:p>
            <w:pPr>
              <w:snapToGrid w:val="0"/>
              <w:spacing w:line="360" w:lineRule="auto"/>
              <w:ind w:firstLine="241" w:firstLineChars="100"/>
              <w:jc w:val="left"/>
              <w:rPr>
                <w:rFonts w:cs="仿宋_GB2312" w:asciiTheme="minorEastAsia" w:hAnsiTheme="minorEastAsia"/>
                <w:b/>
                <w:kern w:val="0"/>
                <w:sz w:val="24"/>
                <w:highlight w:val="yellow"/>
                <w:lang w:val="zh-CN"/>
              </w:rPr>
            </w:pPr>
            <w:r>
              <w:rPr>
                <w:rFonts w:hint="eastAsia" w:cs="仿宋_GB2312" w:asciiTheme="minorEastAsia" w:hAnsiTheme="minorEastAsia"/>
                <w:b/>
                <w:kern w:val="0"/>
                <w:sz w:val="24"/>
                <w:highlight w:val="yellow"/>
                <w:lang w:val="zh-CN"/>
              </w:rPr>
              <w:t>投标文件出现不是唯一的、有选择性投标报价的；</w:t>
            </w:r>
          </w:p>
          <w:p>
            <w:pPr>
              <w:snapToGrid w:val="0"/>
              <w:spacing w:line="360" w:lineRule="auto"/>
              <w:ind w:firstLine="241" w:firstLineChars="100"/>
              <w:jc w:val="left"/>
              <w:rPr>
                <w:rFonts w:asciiTheme="minorEastAsia" w:hAnsiTheme="minorEastAsia"/>
                <w:kern w:val="0"/>
                <w:sz w:val="24"/>
                <w:highlight w:val="yellow"/>
                <w:lang w:val="zh-CN"/>
              </w:rPr>
            </w:pPr>
            <w:r>
              <w:rPr>
                <w:rFonts w:hint="eastAsia" w:cs="仿宋_GB2312" w:asciiTheme="minorEastAsia" w:hAnsiTheme="minorEastAsia"/>
                <w:b/>
                <w:kern w:val="0"/>
                <w:sz w:val="24"/>
                <w:highlight w:val="yellow"/>
                <w:lang w:val="zh-CN"/>
              </w:rPr>
              <w:t>投标报价超过招标文件中规定的预算金额或者最高限价的</w:t>
            </w:r>
            <w:r>
              <w:rPr>
                <w:rFonts w:asciiTheme="minorEastAsia" w:hAnsiTheme="minorEastAsia"/>
                <w:b/>
                <w:kern w:val="0"/>
                <w:sz w:val="24"/>
                <w:highlight w:val="yellow"/>
                <w:lang w:val="zh-CN"/>
              </w:rPr>
              <w:t>;</w:t>
            </w:r>
          </w:p>
          <w:p>
            <w:pPr>
              <w:spacing w:line="360" w:lineRule="auto"/>
              <w:ind w:firstLine="241" w:firstLineChars="100"/>
              <w:rPr>
                <w:rFonts w:cs="仿宋_GB2312" w:asciiTheme="minorEastAsia" w:hAnsiTheme="minorEastAsia"/>
                <w:b/>
                <w:sz w:val="24"/>
                <w:highlight w:val="yellow"/>
              </w:rPr>
            </w:pPr>
            <w:r>
              <w:rPr>
                <w:rFonts w:hint="eastAsia" w:cs="Arial" w:asciiTheme="minorEastAsia" w:hAnsiTheme="minorEastAsia"/>
                <w:b/>
                <w:kern w:val="0"/>
                <w:sz w:val="24"/>
                <w:highlight w:val="yellow"/>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b/>
                <w:sz w:val="24"/>
                <w:szCs w:val="21"/>
                <w:highlight w:val="yellow"/>
              </w:rPr>
              <w:t>;</w:t>
            </w:r>
          </w:p>
          <w:p>
            <w:pPr>
              <w:spacing w:line="360" w:lineRule="auto"/>
              <w:ind w:firstLine="241" w:firstLineChars="100"/>
              <w:rPr>
                <w:rFonts w:asciiTheme="minorEastAsia" w:hAnsiTheme="minorEastAsia"/>
                <w:sz w:val="24"/>
                <w:highlight w:val="yellow"/>
              </w:rPr>
            </w:pPr>
            <w:r>
              <w:rPr>
                <w:rFonts w:hint="eastAsia" w:cs="Arial" w:asciiTheme="minorEastAsia" w:hAnsiTheme="minorEastAsia"/>
                <w:b/>
                <w:kern w:val="0"/>
                <w:sz w:val="24"/>
                <w:highlight w:val="yellow"/>
              </w:rPr>
              <w:t>投标人对根据修正原则修正后的报价不确认的</w:t>
            </w:r>
            <w:r>
              <w:rPr>
                <w:rFonts w:hint="eastAsia" w:asciiTheme="minorEastAsia" w:hAnsiTheme="minorEastAsia"/>
                <w:b/>
                <w:sz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sz w:val="24"/>
                <w:highlight w:val="yellow"/>
              </w:rPr>
            </w:pPr>
            <w:r>
              <w:rPr>
                <w:rFonts w:cs="仿宋_GB2312" w:asciiTheme="minorEastAsia" w:hAnsiTheme="minorEastAsia"/>
                <w:sz w:val="24"/>
                <w:highlight w:val="yellow"/>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highlight w:val="yellow"/>
              </w:rPr>
            </w:pPr>
            <w:r>
              <w:rPr>
                <w:rFonts w:hint="eastAsia" w:asciiTheme="minorEastAsia" w:hAnsiTheme="minorEastAsia"/>
                <w:snapToGrid w:val="0"/>
                <w:kern w:val="28"/>
                <w:sz w:val="24"/>
                <w:highlight w:val="yellow"/>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Theme="minorEastAsia" w:hAnsiTheme="minorEastAsia"/>
                <w:highlight w:val="yellow"/>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highlight w:val="yellow"/>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napToGrid w:val="0"/>
                <w:kern w:val="28"/>
                <w:sz w:val="24"/>
                <w:highlight w:val="yellow"/>
              </w:rPr>
            </w:pPr>
            <w:r>
              <w:rPr>
                <w:rFonts w:hint="eastAsia" w:asciiTheme="minorEastAsia" w:hAnsiTheme="minorEastAsia"/>
                <w:snapToGrid w:val="0"/>
                <w:kern w:val="28"/>
                <w:sz w:val="24"/>
                <w:highlight w:val="yellow"/>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highlight w:val="yellow"/>
              </w:rPr>
            </w:pPr>
            <w:r>
              <w:rPr>
                <w:rFonts w:cs="仿宋_GB2312" w:asciiTheme="minorEastAsia" w:hAnsiTheme="minorEastAsia"/>
                <w:sz w:val="24"/>
                <w:highlight w:val="yellow"/>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cs="仿宋_GB2312" w:asciiTheme="minorEastAsia" w:hAnsiTheme="minorEastAsia"/>
                <w:b/>
                <w:sz w:val="24"/>
                <w:highlight w:val="yellow"/>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Theme="minorEastAsia" w:hAnsiTheme="minorEastAsia" w:eastAsiaTheme="minorEastAsia"/>
                <w:kern w:val="28"/>
                <w:sz w:val="24"/>
                <w:highlight w:val="yellow"/>
              </w:rPr>
            </w:pPr>
            <w:r>
              <w:rPr>
                <w:rFonts w:hint="eastAsia" w:cs="Times New Roman" w:asciiTheme="minorEastAsia" w:hAnsiTheme="minorEastAsia" w:eastAsiaTheme="minorEastAsia"/>
                <w:kern w:val="28"/>
                <w:sz w:val="24"/>
                <w:szCs w:val="24"/>
                <w:highlight w:val="yellow"/>
              </w:rPr>
              <w:t>备份投标文件送达地点：</w:t>
            </w:r>
            <w:r>
              <w:rPr>
                <w:rFonts w:hint="eastAsia" w:cs="Times New Roman" w:asciiTheme="minorEastAsia" w:hAnsiTheme="minorEastAsia" w:eastAsiaTheme="minorEastAsia"/>
                <w:kern w:val="28"/>
                <w:sz w:val="24"/>
                <w:szCs w:val="24"/>
                <w:highlight w:val="yellow"/>
                <w:u w:val="single"/>
              </w:rPr>
              <w:t>杭州市拱墅区香积寺东路58号3楼353办公室（杭州市公共资源交易中心拱墅分中心）</w:t>
            </w:r>
            <w:r>
              <w:rPr>
                <w:rFonts w:hint="eastAsia" w:cs="Times New Roman" w:asciiTheme="minorEastAsia" w:hAnsiTheme="minorEastAsia" w:eastAsiaTheme="minorEastAsia"/>
                <w:kern w:val="28"/>
                <w:sz w:val="24"/>
                <w:szCs w:val="24"/>
                <w:highlight w:val="yellow"/>
              </w:rPr>
              <w:t>；备份投标文件签收人员：徐老师联系电话：</w:t>
            </w:r>
            <w:r>
              <w:rPr>
                <w:rFonts w:hint="eastAsia" w:ascii="仿宋_GB2312" w:hAnsi="仿宋" w:eastAsia="仿宋_GB2312" w:cs="Times New Roman"/>
                <w:sz w:val="24"/>
                <w:szCs w:val="24"/>
                <w:u w:val="single"/>
              </w:rPr>
              <w:t>0571-86598239</w:t>
            </w:r>
            <w:r>
              <w:rPr>
                <w:rFonts w:hint="eastAsia" w:cs="仿宋_GB2312" w:asciiTheme="minorEastAsia" w:hAnsiTheme="minorEastAsia" w:eastAsiaTheme="minorEastAsia"/>
                <w:sz w:val="24"/>
                <w:szCs w:val="24"/>
                <w:highlight w:val="yellow"/>
              </w:rPr>
              <w:t>。</w:t>
            </w:r>
            <w:r>
              <w:rPr>
                <w:rFonts w:hint="eastAsia" w:cs="仿宋_GB2312" w:asciiTheme="minorEastAsia" w:hAnsiTheme="minorEastAsia" w:eastAsiaTheme="minorEastAsia"/>
                <w:b/>
                <w:sz w:val="24"/>
                <w:szCs w:val="24"/>
                <w:highlight w:val="yellow"/>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sz w:val="24"/>
                <w:highlight w:val="yellow"/>
              </w:rPr>
            </w:pPr>
            <w:r>
              <w:rPr>
                <w:rFonts w:cs="仿宋_GB2312" w:asciiTheme="minorEastAsia" w:hAnsiTheme="minorEastAsia"/>
                <w:sz w:val="24"/>
                <w:highlight w:val="yellow"/>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b/>
                <w:sz w:val="24"/>
                <w:highlight w:val="yellow"/>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napToGrid w:val="0"/>
                <w:kern w:val="28"/>
                <w:sz w:val="24"/>
                <w:highlight w:val="yellow"/>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highlight w:val="yellow"/>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kern w:val="0"/>
                  <w:sz w:val="24"/>
                </w:rPr>
                <w:id w:val="-1816336663"/>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kern w:val="0"/>
                  <w:sz w:val="24"/>
                </w:rPr>
                <w:id w:val="-232311894"/>
              </w:sdtPr>
              <w:sdtEndPr>
                <w:rPr>
                  <w:rFonts w:hint="eastAsia" w:cs="Arial" w:asciiTheme="minorEastAsia" w:hAnsiTheme="minorEastAsia"/>
                  <w:kern w:val="0"/>
                  <w:sz w:val="24"/>
                </w:rPr>
              </w:sdtEndPr>
              <w:sdtContent>
                <w:r>
                  <w:rPr>
                    <w:rFonts w:hint="eastAsia" w:cs="Arial" w:asciiTheme="minorEastAsia" w:hAnsi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rPr>
          <w:rFonts w:ascii="仿宋_GB2312" w:hAnsi="仿宋" w:eastAsia="仿宋_GB2312" w:cs="仿宋_GB2312"/>
          <w:b/>
          <w:sz w:val="32"/>
          <w:szCs w:val="20"/>
        </w:rPr>
      </w:pPr>
    </w:p>
    <w:p>
      <w:pPr>
        <w:spacing w:line="360" w:lineRule="auto"/>
        <w:ind w:firstLine="3845" w:firstLineChars="1197"/>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adjustRightInd w:val="0"/>
        <w:snapToGrid w:val="0"/>
        <w:spacing w:line="360" w:lineRule="auto"/>
        <w:ind w:firstLine="241" w:firstLineChars="100"/>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3.采购项目需要落实的政府采购政策</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highlight w:val="cyan"/>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在政府采购活动中，服务符合下列情形的，享受中小企业扶持政策：</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sz w:val="24"/>
          <w:highlight w:val="red"/>
        </w:rPr>
        <w:t>20</w:t>
      </w:r>
      <w:r>
        <w:rPr>
          <w:rFonts w:ascii="仿宋_GB2312" w:hAnsi="仿宋" w:eastAsia="仿宋_GB2312"/>
          <w:sz w:val="24"/>
          <w:highlight w:val="red"/>
        </w:rPr>
        <w:t>%的扣除</w:t>
      </w:r>
      <w:r>
        <w:rPr>
          <w:rFonts w:ascii="仿宋_GB2312" w:hAnsi="仿宋" w:eastAsia="仿宋_GB2312"/>
          <w:sz w:val="24"/>
        </w:rPr>
        <w:t>，用扣除后的价格参与评审。接受大中型企业与小微企业组成联合体或者允许大中型企业向一家或者多家小微企业分包的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adjustRightInd w:val="0"/>
        <w:snapToGrid w:val="0"/>
        <w:spacing w:line="360" w:lineRule="auto"/>
        <w:ind w:firstLine="240" w:firstLineChars="100"/>
        <w:jc w:val="left"/>
        <w:outlineLvl w:val="2"/>
        <w:rPr>
          <w:rFonts w:ascii="仿宋_GB2312" w:hAnsi="仿宋" w:eastAsia="仿宋_GB2312"/>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p>
    <w:p>
      <w:pPr>
        <w:adjustRightInd w:val="0"/>
        <w:snapToGrid w:val="0"/>
        <w:spacing w:line="360" w:lineRule="auto"/>
        <w:ind w:firstLine="240" w:firstLineChars="100"/>
        <w:jc w:val="left"/>
        <w:outlineLvl w:val="2"/>
        <w:rPr>
          <w:rFonts w:ascii="仿宋_GB2312" w:hAnsi="仿宋" w:eastAsia="仿宋_GB2312" w:cs="Times New Roman"/>
          <w:sz w:val="24"/>
          <w:szCs w:val="24"/>
        </w:rPr>
      </w:pPr>
      <w:r>
        <w:rPr>
          <w:rFonts w:hint="eastAsia" w:ascii="仿宋_GB2312" w:hAnsi="仿宋" w:eastAsia="仿宋_GB2312" w:cs="Times New Roman"/>
          <w:sz w:val="24"/>
          <w:szCs w:val="24"/>
        </w:rPr>
        <w:t>3.6平等对待内外资企业和符合条件的破产重整企业</w:t>
      </w:r>
    </w:p>
    <w:p>
      <w:pPr>
        <w:adjustRightInd w:val="0"/>
        <w:snapToGrid w:val="0"/>
        <w:spacing w:line="360" w:lineRule="auto"/>
        <w:ind w:firstLine="240" w:firstLineChars="100"/>
        <w:jc w:val="left"/>
        <w:outlineLvl w:val="2"/>
        <w:rPr>
          <w:rFonts w:ascii="仿宋_GB2312" w:hAnsi="仿宋" w:eastAsia="仿宋_GB2312" w:cs="Times New Roman"/>
          <w:b/>
          <w:sz w:val="24"/>
          <w:szCs w:val="24"/>
        </w:rPr>
      </w:pPr>
      <w:r>
        <w:rPr>
          <w:rFonts w:hint="eastAsia" w:ascii="仿宋_GB2312" w:hAnsi="仿宋" w:eastAsia="仿宋_GB2312" w:cs="Times New Roman"/>
          <w:sz w:val="24"/>
          <w:szCs w:val="24"/>
        </w:rPr>
        <w:t>平等对待内外资企业和符合条件的破产重整企业，切实保障企业公平竞争，平等维护企业的合法利益。</w:t>
      </w:r>
      <w:r>
        <w:rPr>
          <w:rFonts w:hint="eastAsia" w:ascii="仿宋_GB2312" w:hAnsi="仿宋" w:eastAsia="仿宋_GB2312" w:cs="Times New Roman"/>
          <w:sz w:val="24"/>
          <w:szCs w:val="24"/>
        </w:rPr>
        <w:cr/>
      </w: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adjustRightInd w:val="0"/>
        <w:spacing w:line="360" w:lineRule="auto"/>
        <w:ind w:left="479" w:leftChars="228"/>
        <w:rPr>
          <w:rFonts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4.2.2.2对采购过程提出质疑的，质疑期限为各采购程序环节结束之日起计算。4.2.2.3对采购结果提出质疑的，质疑期限自采购结果公告期限届满之日起计算。</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质疑函范本及制作说明详见附件2。</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4.2.4对同一采购程序环节的质疑，供应商须在法定质疑期内一次性提出。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lang w:val="zh-CN"/>
        </w:rPr>
        <w:t>4.2</w:t>
      </w:r>
      <w:r>
        <w:rPr>
          <w:rFonts w:hint="eastAsia" w:ascii="仿宋_GB2312" w:hAnsi="仿宋" w:eastAsia="仿宋_GB2312" w:cs="宋体"/>
          <w:kern w:val="0"/>
          <w:sz w:val="24"/>
          <w:szCs w:val="24"/>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firstLineChars="20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firstLineChars="20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投诉书范本及制作说明详见附件3。</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4.4在线质疑、投诉。</w:t>
      </w:r>
    </w:p>
    <w:p>
      <w:pPr>
        <w:widowControl/>
        <w:shd w:val="clear" w:color="auto" w:fill="FFFFFF"/>
        <w:snapToGrid w:val="0"/>
        <w:spacing w:before="100" w:beforeAutospacing="1" w:after="240" w:line="360" w:lineRule="auto"/>
        <w:ind w:firstLine="480"/>
        <w:contextualSpacing/>
        <w:jc w:val="left"/>
      </w:pPr>
      <w:r>
        <w:rPr>
          <w:rFonts w:hint="eastAsia" w:ascii="仿宋_GB2312" w:hAnsi="仿宋" w:eastAsia="仿宋_GB2312" w:cs="宋体"/>
          <w:kern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numPr>
          <w:ilvl w:val="0"/>
          <w:numId w:val="0"/>
        </w:numPr>
      </w:pPr>
    </w:p>
    <w:p>
      <w:pPr>
        <w:adjustRightInd w:val="0"/>
        <w:snapToGrid w:val="0"/>
        <w:spacing w:after="120" w:line="360" w:lineRule="auto"/>
        <w:ind w:firstLine="360" w:firstLineChars="200"/>
        <w:rPr>
          <w:rFonts w:ascii="仿宋_GB2312" w:hAnsi="仿宋" w:eastAsia="仿宋_GB2312" w:cs="仿宋_GB2312"/>
          <w:sz w:val="18"/>
          <w:szCs w:val="18"/>
        </w:rPr>
      </w:pPr>
    </w:p>
    <w:p>
      <w:pPr>
        <w:spacing w:line="360" w:lineRule="auto"/>
        <w:jc w:val="center"/>
        <w:outlineLvl w:val="1"/>
        <w:rPr>
          <w:rFonts w:ascii="仿宋_GB2312" w:hAnsi="仿宋" w:eastAsia="仿宋_GB2312" w:cs="仿宋_GB2312"/>
          <w:b/>
          <w:sz w:val="32"/>
          <w:szCs w:val="20"/>
        </w:rPr>
      </w:pPr>
    </w:p>
    <w:p>
      <w:pPr>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 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adjustRightInd w:val="0"/>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p>
    <w:p>
      <w:pPr>
        <w:spacing w:line="360" w:lineRule="auto"/>
        <w:jc w:val="center"/>
        <w:outlineLvl w:val="1"/>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adjustRightInd w:val="0"/>
        <w:snapToGrid w:val="0"/>
        <w:spacing w:line="360" w:lineRule="auto"/>
        <w:jc w:val="left"/>
        <w:outlineLvl w:val="2"/>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pStyle w:val="16"/>
        <w:spacing w:line="360" w:lineRule="auto"/>
        <w:ind w:firstLine="470" w:firstLineChars="196"/>
        <w:rPr>
          <w:rFonts w:ascii="仿宋_GB2312" w:hAnsi="仿宋" w:eastAsia="仿宋_GB2312" w:cs="仿宋_GB2312"/>
          <w:sz w:val="24"/>
        </w:rPr>
      </w:pPr>
      <w:r>
        <w:rPr>
          <w:rFonts w:hint="eastAsia" w:ascii="仿宋_GB2312" w:hAnsi="仿宋" w:eastAsia="仿宋_GB2312" w:cs="仿宋_GB2312"/>
          <w:color w:val="auto"/>
          <w:sz w:val="24"/>
        </w:rPr>
        <w:t>本项目不需缴纳投标保证金。</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ascii="仿宋_GB2312" w:hAnsi="仿宋" w:eastAsia="仿宋_GB2312" w:cs="仿宋_GB2312"/>
          <w:sz w:val="24"/>
          <w:szCs w:val="24"/>
          <w:lang w:val="zh-CN"/>
        </w:rPr>
      </w:pPr>
      <w:r>
        <w:rPr>
          <w:rFonts w:hint="eastAsia" w:ascii="仿宋_GB2312" w:hAnsi="仿宋" w:eastAsia="仿宋_GB2312" w:cs="仿宋_GB2312"/>
          <w:sz w:val="24"/>
          <w:szCs w:val="24"/>
        </w:rPr>
        <w:t>投标文件及投标人与采购有关的来往通知、函件和文件均应使用中文。</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autoSpaceDE w:val="0"/>
        <w:autoSpaceDN w:val="0"/>
        <w:adjustRightInd w:val="0"/>
        <w:spacing w:line="360" w:lineRule="auto"/>
        <w:ind w:firstLine="960" w:firstLineChars="400"/>
        <w:rPr>
          <w:rFonts w:ascii="仿宋_GB2312" w:hAnsi="仿宋" w:eastAsia="仿宋_GB2312" w:cs="仿宋_GB2312"/>
          <w:sz w:val="24"/>
          <w:szCs w:val="24"/>
        </w:rPr>
      </w:pPr>
      <w:r>
        <w:rPr>
          <w:rFonts w:hint="eastAsia" w:ascii="仿宋_GB2312" w:hAnsi="仿宋" w:eastAsia="仿宋_GB2312" w:cs="仿宋_GB2312"/>
          <w:sz w:val="24"/>
          <w:szCs w:val="24"/>
        </w:rPr>
        <w:t>11.1.1符合参加政府采购活动应当具备的一般条件的承诺函；</w:t>
      </w:r>
    </w:p>
    <w:p>
      <w:pPr>
        <w:autoSpaceDE w:val="0"/>
        <w:autoSpaceDN w:val="0"/>
        <w:adjustRightInd w:val="0"/>
        <w:spacing w:line="360" w:lineRule="auto"/>
        <w:ind w:firstLine="960" w:firstLineChars="400"/>
        <w:rPr>
          <w:rFonts w:ascii="仿宋_GB2312" w:hAnsi="仿宋" w:eastAsia="仿宋_GB2312" w:cs="仿宋_GB2312"/>
          <w:sz w:val="24"/>
          <w:szCs w:val="24"/>
        </w:rPr>
      </w:pPr>
      <w:r>
        <w:rPr>
          <w:rFonts w:hint="eastAsia" w:ascii="仿宋_GB2312" w:hAnsi="仿宋" w:eastAsia="仿宋_GB2312" w:cs="仿宋_GB2312"/>
          <w:sz w:val="24"/>
          <w:szCs w:val="24"/>
        </w:rPr>
        <w:t>11.1.2</w:t>
      </w:r>
      <w:bookmarkStart w:id="6" w:name="_Hlk101259339"/>
      <w:r>
        <w:rPr>
          <w:rFonts w:hint="eastAsia" w:ascii="仿宋_GB2312" w:hAnsi="仿宋" w:eastAsia="仿宋_GB2312" w:cs="仿宋_GB2312"/>
          <w:sz w:val="24"/>
          <w:szCs w:val="24"/>
        </w:rPr>
        <w:t>联合协议</w:t>
      </w:r>
      <w:bookmarkStart w:id="7" w:name="_Hlk101257010"/>
      <w:r>
        <w:rPr>
          <w:rFonts w:hint="eastAsia" w:ascii="仿宋_GB2312" w:hAnsi="仿宋" w:eastAsia="仿宋_GB2312" w:cs="仿宋_GB2312"/>
          <w:sz w:val="24"/>
          <w:szCs w:val="24"/>
        </w:rPr>
        <w:t>（如果有)</w:t>
      </w:r>
      <w:bookmarkEnd w:id="6"/>
      <w:bookmarkEnd w:id="7"/>
      <w:r>
        <w:rPr>
          <w:rFonts w:hint="eastAsia" w:ascii="仿宋_GB2312" w:hAnsi="仿宋" w:eastAsia="仿宋_GB2312" w:cs="仿宋_GB2312"/>
          <w:sz w:val="24"/>
          <w:szCs w:val="24"/>
        </w:rPr>
        <w:t>；</w:t>
      </w:r>
    </w:p>
    <w:p>
      <w:pPr>
        <w:autoSpaceDE w:val="0"/>
        <w:autoSpaceDN w:val="0"/>
        <w:adjustRightInd w:val="0"/>
        <w:spacing w:line="360" w:lineRule="auto"/>
        <w:ind w:firstLine="960" w:firstLineChars="400"/>
        <w:rPr>
          <w:rFonts w:ascii="仿宋_GB2312" w:hAnsi="仿宋" w:eastAsia="仿宋_GB2312" w:cs="仿宋_GB2312"/>
          <w:sz w:val="24"/>
          <w:szCs w:val="24"/>
        </w:rPr>
      </w:pPr>
      <w:r>
        <w:rPr>
          <w:rFonts w:hint="eastAsia" w:ascii="仿宋_GB2312" w:hAnsi="仿宋" w:eastAsia="仿宋_GB2312" w:cs="仿宋_GB2312"/>
          <w:sz w:val="24"/>
          <w:szCs w:val="24"/>
        </w:rPr>
        <w:t>11.1.3落实政府采购政策需满足的资格要求（如果有)；</w:t>
      </w:r>
    </w:p>
    <w:p>
      <w:pPr>
        <w:autoSpaceDE w:val="0"/>
        <w:autoSpaceDN w:val="0"/>
        <w:adjustRightInd w:val="0"/>
        <w:spacing w:line="360" w:lineRule="auto"/>
        <w:ind w:firstLine="960" w:firstLineChars="400"/>
        <w:rPr>
          <w:rFonts w:ascii="仿宋_GB2312" w:hAnsi="仿宋" w:eastAsia="仿宋_GB2312" w:cs="仿宋_GB2312"/>
          <w:sz w:val="24"/>
          <w:szCs w:val="24"/>
        </w:rPr>
      </w:pPr>
      <w:r>
        <w:rPr>
          <w:rFonts w:hint="eastAsia" w:ascii="仿宋_GB2312" w:hAnsi="仿宋" w:eastAsia="仿宋_GB2312" w:cs="仿宋_GB2312"/>
          <w:sz w:val="24"/>
          <w:szCs w:val="24"/>
        </w:rPr>
        <w:t>11.1.4本项目的特定资格要求（如果有)。</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11.2.3分包意向协议（如果有)；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w:t>
      </w:r>
      <w:r>
        <w:rPr>
          <w:rFonts w:ascii="仿宋_GB2312" w:hAnsi="仿宋" w:eastAsia="仿宋_GB2312" w:cs="仿宋_GB2312"/>
          <w:sz w:val="24"/>
        </w:rPr>
        <w:t>6</w:t>
      </w:r>
      <w:r>
        <w:rPr>
          <w:rFonts w:hint="eastAsia" w:ascii="仿宋_GB2312" w:hAnsi="仿宋" w:eastAsia="仿宋_GB2312" w:cs="仿宋_GB2312"/>
          <w:sz w:val="24"/>
        </w:rPr>
        <w:t>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12</w:t>
      </w:r>
      <w:r>
        <w:rPr>
          <w:rFonts w:hint="eastAsia" w:ascii="仿宋_GB2312" w:hAnsi="仿宋" w:eastAsia="仿宋_GB2312" w:cs="仿宋_GB2312"/>
          <w:b/>
          <w:kern w:val="0"/>
          <w:sz w:val="24"/>
          <w:szCs w:val="24"/>
          <w:lang w:val="zh-CN"/>
        </w:rPr>
        <w:t xml:space="preserve">. </w:t>
      </w:r>
      <w:r>
        <w:rPr>
          <w:rFonts w:hint="eastAsia" w:ascii="仿宋_GB2312" w:hAnsi="仿宋" w:eastAsia="仿宋_GB2312" w:cs="仿宋_GB2312"/>
          <w:b/>
          <w:sz w:val="24"/>
          <w:szCs w:val="24"/>
        </w:rPr>
        <w:t>投标文件的编制</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jc w:val="left"/>
        <w:outlineLvl w:val="2"/>
        <w:rPr>
          <w:rFonts w:ascii="仿宋_GB2312" w:hAnsi="仿宋" w:eastAsia="仿宋_GB2312" w:cs="Times New Roman"/>
          <w:b/>
          <w:sz w:val="24"/>
          <w:szCs w:val="24"/>
        </w:rPr>
      </w:pPr>
      <w:r>
        <w:rPr>
          <w:rFonts w:hint="eastAsia" w:ascii="仿宋_GB2312" w:hAnsi="仿宋" w:eastAsia="仿宋_GB2312" w:cs="Times New Roman"/>
          <w:b/>
          <w:sz w:val="24"/>
          <w:szCs w:val="24"/>
        </w:rPr>
        <w:t>13.投标文件的签署、盖章</w:t>
      </w:r>
    </w:p>
    <w:p>
      <w:pPr>
        <w:adjustRightInd w:val="0"/>
        <w:snapToGrid w:val="0"/>
        <w:spacing w:after="120" w:line="360" w:lineRule="auto"/>
        <w:ind w:firstLine="480" w:firstLineChars="200"/>
        <w:rPr>
          <w:rFonts w:ascii="仿宋_GB2312" w:hAnsi="仿宋" w:eastAsia="仿宋_GB2312" w:cs="仿宋_GB2312"/>
          <w:b/>
          <w:sz w:val="24"/>
        </w:rPr>
      </w:pPr>
      <w:r>
        <w:rPr>
          <w:rFonts w:hint="eastAsia" w:ascii="仿宋_GB2312" w:hAnsi="仿宋" w:eastAsia="仿宋_GB2312" w:cs="仿宋_GB2312"/>
          <w:sz w:val="24"/>
          <w:szCs w:val="24"/>
        </w:rPr>
        <w:t>13.1投标文件按照招标文件第六部分格式要</w:t>
      </w:r>
      <w:r>
        <w:rPr>
          <w:rFonts w:hint="eastAsia" w:ascii="仿宋_GB2312" w:hAnsi="仿宋" w:eastAsia="仿宋_GB2312" w:cs="仿宋_GB2312"/>
          <w:sz w:val="24"/>
        </w:rPr>
        <w:t>求进行签署、盖章。</w:t>
      </w:r>
      <w:r>
        <w:rPr>
          <w:rFonts w:hint="eastAsia" w:ascii="仿宋_GB2312" w:hAnsi="仿宋" w:eastAsia="仿宋_GB2312" w:cs="仿宋"/>
          <w:b/>
          <w:sz w:val="24"/>
        </w:rPr>
        <w:t>▲</w:t>
      </w:r>
      <w:r>
        <w:rPr>
          <w:rFonts w:hint="eastAsia" w:ascii="仿宋_GB2312" w:hAnsi="仿宋" w:eastAsia="仿宋_GB2312" w:cs="仿宋_GB2312"/>
          <w:b/>
          <w:sz w:val="24"/>
        </w:rPr>
        <w:t>投标人的投标文件未按照招标文件要求签署、盖章的，其投标无效</w:t>
      </w:r>
      <w:r>
        <w:rPr>
          <w:rFonts w:hint="eastAsia" w:ascii="仿宋_GB2312" w:hAnsi="仿宋" w:eastAsia="仿宋_GB2312" w:cs="仿宋_GB2312"/>
          <w:sz w:val="24"/>
          <w:szCs w:val="24"/>
        </w:rPr>
        <w:t>。</w:t>
      </w:r>
    </w:p>
    <w:p>
      <w:pPr>
        <w:adjustRightInd w:val="0"/>
        <w:snapToGrid w:val="0"/>
        <w:spacing w:after="120" w:line="360" w:lineRule="auto"/>
        <w:ind w:firstLine="480" w:firstLineChars="200"/>
      </w:pPr>
      <w:r>
        <w:rPr>
          <w:rFonts w:hint="eastAsia" w:ascii="仿宋_GB2312" w:hAnsi="仿宋"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231"/>
        <w:snapToGrid w:val="0"/>
        <w:spacing w:before="0"/>
        <w:ind w:firstLine="480"/>
        <w:rPr>
          <w:rFonts w:ascii="仿宋_GB2312" w:hAnsi="仿宋" w:eastAsia="仿宋_GB2312" w:cs="仿宋_GB2312"/>
          <w:bCs/>
          <w:szCs w:val="24"/>
        </w:rPr>
      </w:pPr>
      <w:r>
        <w:rPr>
          <w:rFonts w:ascii="仿宋_GB2312" w:hAnsi="仿宋" w:eastAsia="仿宋_GB2312" w:cs="仿宋_GB2312"/>
        </w:rPr>
        <w:t>13.3招标文件对投标文件签署、盖章的要求适用于电子签名。</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14. 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231"/>
        <w:spacing w:before="0"/>
        <w:ind w:firstLine="480"/>
        <w:rPr>
          <w:rFonts w:ascii="仿宋_GB2312" w:hAnsi="仿宋" w:eastAsia="仿宋_GB2312" w:cs="仿宋_GB2312"/>
          <w:szCs w:val="24"/>
        </w:rPr>
      </w:pPr>
      <w:r>
        <w:rPr>
          <w:rFonts w:hint="eastAsia" w:ascii="仿宋_GB2312" w:hAnsi="仿宋" w:eastAsia="仿宋_GB2312" w:cs="仿宋_GB2312"/>
          <w:szCs w:val="24"/>
        </w:rPr>
        <w:t>14.3</w:t>
      </w:r>
      <w:r>
        <w:rPr>
          <w:rFonts w:ascii="仿宋_GB2312" w:hAnsi="仿宋" w:eastAsia="仿宋_GB2312" w:cs="仿宋_GB2312"/>
          <w:szCs w:val="24"/>
        </w:rPr>
        <w:t>采购人、采购机构可以视情况延长投标文件提交的截止时间。在上述情况下，采购机构与投标人以前在投标截止期方面的全部权利、责任和义务，将适用于延长至新的投标截止期。</w:t>
      </w:r>
    </w:p>
    <w:p>
      <w:pPr>
        <w:adjustRightInd w:val="0"/>
        <w:snapToGrid w:val="0"/>
        <w:spacing w:line="360" w:lineRule="auto"/>
        <w:jc w:val="left"/>
        <w:outlineLvl w:val="2"/>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adjustRightInd w:val="0"/>
        <w:spacing w:line="360" w:lineRule="auto"/>
        <w:ind w:firstLine="602" w:firstLineChars="25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有招标文件第四部分4.2规定的情形之一的，投标无效。</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outlineLvl w:val="1"/>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djustRightInd w:val="0"/>
        <w:snapToGrid w:val="0"/>
        <w:spacing w:line="360" w:lineRule="auto"/>
        <w:jc w:val="left"/>
        <w:outlineLvl w:val="2"/>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ascii="仿宋_GB2312" w:hAnsi="仿宋" w:eastAsia="仿宋_GB2312" w:cs="仿宋_GB2312"/>
          <w:b/>
          <w:kern w:val="0"/>
          <w:sz w:val="24"/>
          <w:szCs w:val="20"/>
        </w:rPr>
      </w:pPr>
      <w:r>
        <w:rPr>
          <w:rFonts w:hint="eastAsia" w:ascii="仿宋_GB2312" w:hAnsi="仿宋" w:eastAsia="仿宋_GB2312" w:cs="仿宋_GB2312"/>
          <w:kern w:val="0"/>
          <w:sz w:val="24"/>
          <w:szCs w:val="20"/>
        </w:rPr>
        <w:t>　18.3</w:t>
      </w:r>
      <w:r>
        <w:rPr>
          <w:rFonts w:hint="eastAsia" w:ascii="仿宋_GB2312" w:hAnsi="仿宋"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adjustRightInd w:val="0"/>
        <w:snapToGrid w:val="0"/>
        <w:spacing w:line="360" w:lineRule="auto"/>
        <w:jc w:val="left"/>
        <w:outlineLvl w:val="2"/>
        <w:rPr>
          <w:rFonts w:ascii="仿宋_GB2312" w:hAnsi="仿宋" w:eastAsia="仿宋_GB2312" w:cs="仿宋_GB2312"/>
          <w:b/>
          <w:sz w:val="24"/>
          <w:szCs w:val="20"/>
        </w:rPr>
      </w:pPr>
      <w:r>
        <w:rPr>
          <w:rFonts w:hint="eastAsia" w:ascii="仿宋_GB2312" w:hAnsi="仿宋" w:eastAsia="仿宋_GB2312" w:cs="仿宋_GB2312"/>
          <w:b/>
          <w:sz w:val="24"/>
          <w:szCs w:val="20"/>
        </w:rPr>
        <w:t>19、资格审查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采购人或采购机构依据法律法规和招标文件的规定，对投标人的资格进行审查。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20.1信用信息查询渠道及截止时间：采购机构将通过“信用中国”网站(www.creditchina.gov.cn)、中国政府采购网(www.ccgp.gov.cn)渠道查询投标人投标人</w:t>
      </w:r>
      <w:r>
        <w:rPr>
          <w:rFonts w:hint="eastAsia" w:ascii="仿宋_GB2312" w:hAnsi="仿宋" w:eastAsia="仿宋_GB2312" w:cs="Arial"/>
          <w:kern w:val="0"/>
          <w:sz w:val="24"/>
          <w:szCs w:val="24"/>
          <w:highlight w:val="green"/>
        </w:rPr>
        <w:t>接受资格</w:t>
      </w:r>
      <w:r>
        <w:rPr>
          <w:rFonts w:hint="eastAsia" w:ascii="仿宋_GB2312" w:hAnsi="仿宋" w:eastAsia="仿宋_GB2312" w:cs="Arial"/>
          <w:kern w:val="0"/>
          <w:sz w:val="24"/>
          <w:szCs w:val="24"/>
        </w:rPr>
        <w:t>时的信用记录。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sz w:val="24"/>
          <w:szCs w:val="24"/>
        </w:rPr>
        <w:t>详见招标文件第四部分评标办法。</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pStyle w:val="231"/>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snapToGrid w:val="0"/>
        <w:spacing w:line="360" w:lineRule="auto"/>
        <w:ind w:left="120" w:leftChars="57" w:firstLine="482" w:firstLineChars="150"/>
        <w:jc w:val="center"/>
        <w:rPr>
          <w:rFonts w:cs="仿宋_GB2312" w:asciiTheme="minorEastAsia" w:hAnsiTheme="minorEastAsia"/>
          <w:b/>
          <w:sz w:val="32"/>
        </w:rPr>
      </w:pPr>
      <w:r>
        <w:rPr>
          <w:rFonts w:hint="eastAsia" w:ascii="仿宋_GB2312" w:hAnsi="仿宋" w:eastAsia="仿宋_GB2312" w:cs="仿宋_GB2312"/>
          <w:b/>
          <w:sz w:val="32"/>
          <w:szCs w:val="24"/>
        </w:rPr>
        <w:t>七、合同授予</w:t>
      </w:r>
    </w:p>
    <w:p>
      <w:pPr>
        <w:adjustRightInd w:val="0"/>
        <w:snapToGrid w:val="0"/>
        <w:spacing w:line="360" w:lineRule="auto"/>
        <w:ind w:left="120" w:leftChars="57" w:firstLine="482" w:firstLineChars="150"/>
        <w:jc w:val="center"/>
        <w:outlineLvl w:val="1"/>
        <w:rPr>
          <w:rFonts w:ascii="仿宋_GB2312" w:hAnsi="仿宋" w:eastAsia="仿宋_GB2312" w:cs="仿宋_GB2312"/>
          <w:b/>
          <w:sz w:val="32"/>
          <w:szCs w:val="24"/>
        </w:rPr>
      </w:pP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25. 合同的签订</w:t>
      </w:r>
    </w:p>
    <w:p>
      <w:pPr>
        <w:adjustRightInd w:val="0"/>
        <w:snapToGrid w:val="0"/>
        <w:spacing w:after="120"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25.5采购合同由采购人与中标供应商根据招标文件、投标文件等内容通过政府采购电子交易平台在线签订，自动备案。</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26. 履约保证金</w:t>
      </w:r>
    </w:p>
    <w:p>
      <w:pPr>
        <w:tabs>
          <w:tab w:val="left" w:pos="0"/>
        </w:tabs>
        <w:spacing w:line="360" w:lineRule="auto"/>
        <w:ind w:firstLine="482"/>
        <w:rPr>
          <w:rFonts w:ascii="仿宋_GB2312" w:hAnsi="仿宋" w:eastAsia="仿宋_GB2312"/>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color w:val="FF0000"/>
          <w:sz w:val="24"/>
        </w:rPr>
        <w:t>1</w:t>
      </w:r>
      <w:r>
        <w:rPr>
          <w:rFonts w:ascii="仿宋_GB2312" w:hAnsi="仿宋" w:eastAsia="仿宋_GB2312"/>
          <w:color w:val="FF0000"/>
          <w:sz w:val="24"/>
        </w:rPr>
        <w:t>%</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bCs/>
          <w:sz w:val="24"/>
        </w:rPr>
        <w:t>采购人不得拒收履约保函</w:t>
      </w:r>
      <w:r>
        <w:rPr>
          <w:rFonts w:hint="eastAsia" w:ascii="仿宋_GB2312" w:hAnsi="仿宋" w:eastAsia="仿宋_GB2312"/>
          <w:sz w:val="24"/>
        </w:rPr>
        <w:t>，项目验收结束后应及时退还，延迟退还的，应当按照合同约定和法律规定承担相应的赔偿责任。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numPr>
          <w:ilvl w:val="0"/>
          <w:numId w:val="0"/>
        </w:numPr>
        <w:ind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adjustRightInd w:val="0"/>
        <w:spacing w:line="360" w:lineRule="auto"/>
        <w:ind w:firstLine="480"/>
        <w:rPr>
          <w:rFonts w:ascii="仿宋_GB2312" w:hAnsi="仿宋" w:eastAsia="仿宋_GB2312" w:cs="Times New Roman"/>
          <w:sz w:val="24"/>
          <w:szCs w:val="24"/>
        </w:rPr>
      </w:pP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firstLine="3357" w:firstLineChars="1045"/>
        <w:outlineLvl w:val="1"/>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outlineLvl w:val="1"/>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napToGrid w:val="0"/>
        <w:spacing w:line="360" w:lineRule="auto"/>
        <w:jc w:val="left"/>
        <w:outlineLvl w:val="2"/>
        <w:rPr>
          <w:rFonts w:ascii="仿宋_GB2312" w:hAnsi="仿宋" w:eastAsia="仿宋_GB2312" w:cs="仿宋_GB2312"/>
          <w:b/>
          <w:sz w:val="24"/>
          <w:szCs w:val="24"/>
        </w:rPr>
      </w:pPr>
      <w:r>
        <w:rPr>
          <w:rFonts w:hint="eastAsia"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8" w:name="_Hlt74730295"/>
      <w:bookmarkEnd w:id="8"/>
      <w:bookmarkStart w:id="9" w:name="_Hlt74729768"/>
      <w:bookmarkEnd w:id="9"/>
      <w:bookmarkStart w:id="10" w:name="_Hlt75236101"/>
      <w:bookmarkEnd w:id="10"/>
      <w:bookmarkStart w:id="11" w:name="_Hlt75236290"/>
      <w:bookmarkEnd w:id="11"/>
      <w:bookmarkStart w:id="12" w:name="_Hlt68403820"/>
      <w:bookmarkEnd w:id="12"/>
      <w:bookmarkStart w:id="13" w:name="_Hlt68073093"/>
      <w:bookmarkEnd w:id="13"/>
      <w:bookmarkStart w:id="14" w:name="_Hlt75236011"/>
      <w:bookmarkEnd w:id="14"/>
      <w:bookmarkStart w:id="15" w:name="_Hlt74714665"/>
      <w:bookmarkEnd w:id="15"/>
      <w:bookmarkStart w:id="16" w:name="_Hlt68057669"/>
      <w:bookmarkEnd w:id="16"/>
      <w:bookmarkStart w:id="17" w:name="_Hlt68072998"/>
      <w:bookmarkEnd w:id="17"/>
      <w:bookmarkStart w:id="18" w:name="_Hlt68072990"/>
      <w:bookmarkEnd w:id="18"/>
      <w:bookmarkStart w:id="19" w:name="_Hlt74707468"/>
      <w:bookmarkEnd w:id="19"/>
      <w:bookmarkStart w:id="20" w:name="第三部分"/>
      <w:bookmarkStart w:id="21" w:name="_Toc164416483"/>
    </w:p>
    <w:bookmarkEnd w:id="20"/>
    <w:bookmarkEnd w:id="21"/>
    <w:p>
      <w:pPr>
        <w:spacing w:line="360" w:lineRule="auto"/>
        <w:jc w:val="center"/>
        <w:outlineLvl w:val="0"/>
        <w:rPr>
          <w:rFonts w:ascii="宋体" w:hAnsi="宋体" w:cs="宋体"/>
          <w:b/>
          <w:sz w:val="36"/>
          <w:szCs w:val="36"/>
          <w:highlight w:val="yellow"/>
        </w:rPr>
      </w:pPr>
      <w:bookmarkStart w:id="22" w:name="第四部分"/>
      <w:r>
        <w:rPr>
          <w:rFonts w:hint="eastAsia" w:ascii="宋体" w:hAnsi="宋体" w:cs="宋体"/>
          <w:b/>
          <w:sz w:val="36"/>
          <w:szCs w:val="36"/>
          <w:highlight w:val="yellow"/>
        </w:rPr>
        <w:t>第三部分   采购需求</w:t>
      </w:r>
    </w:p>
    <w:p>
      <w:pPr>
        <w:pStyle w:val="643"/>
        <w:shd w:val="clear" w:color="auto" w:fill="FFFFFF"/>
        <w:snapToGrid w:val="0"/>
        <w:spacing w:before="120" w:after="120" w:afterAutospacing="0" w:line="360" w:lineRule="auto"/>
        <w:contextualSpacing/>
        <w:outlineLvl w:val="1"/>
        <w:rPr>
          <w:rFonts w:ascii="仿宋" w:hAnsi="仿宋" w:eastAsia="仿宋"/>
          <w:b/>
          <w:bCs/>
          <w:sz w:val="28"/>
          <w:szCs w:val="28"/>
        </w:rPr>
      </w:pPr>
      <w:r>
        <w:rPr>
          <w:rFonts w:hint="eastAsia" w:ascii="仿宋" w:hAnsi="仿宋" w:eastAsia="仿宋"/>
          <w:b/>
          <w:bCs/>
          <w:sz w:val="28"/>
          <w:szCs w:val="28"/>
        </w:rPr>
        <w:t>一、项目背景</w:t>
      </w:r>
    </w:p>
    <w:p>
      <w:pPr>
        <w:pStyle w:val="231"/>
        <w:snapToGrid w:val="0"/>
        <w:spacing w:before="0"/>
        <w:ind w:firstLine="480"/>
        <w:rPr>
          <w:rFonts w:ascii="仿宋_GB2312" w:hAnsi="仿宋" w:eastAsia="仿宋_GB2312"/>
          <w:szCs w:val="24"/>
        </w:rPr>
      </w:pPr>
      <w:r>
        <w:rPr>
          <w:rFonts w:hint="eastAsia" w:ascii="仿宋_GB2312" w:hAnsi="仿宋" w:eastAsia="仿宋_GB2312"/>
          <w:szCs w:val="24"/>
        </w:rPr>
        <w:t>杭州市拱墅区文晖综合楼，位于杭州市拱墅区文晖路1号，用地面积14700平方米，行政区域共有3个建筑单体，总建筑面积30500平方米，其中西南侧副楼2层、裙楼共3层，地上17层，地下一层；楼高72米，地下一层空间主要为中央空调冷冻机房、锅炉房、高压配电房、消防水泵（水池）及生活给水泵机房、人防等各类设备用房及机动车库、非机动车库。</w:t>
      </w:r>
    </w:p>
    <w:p>
      <w:pPr>
        <w:pStyle w:val="231"/>
        <w:snapToGrid w:val="0"/>
        <w:spacing w:before="0"/>
        <w:ind w:firstLine="480"/>
        <w:rPr>
          <w:rFonts w:ascii="仿宋_GB2312" w:hAnsi="仿宋" w:eastAsia="仿宋_GB2312"/>
          <w:szCs w:val="24"/>
        </w:rPr>
      </w:pPr>
      <w:r>
        <w:rPr>
          <w:rFonts w:hint="eastAsia" w:ascii="仿宋_GB2312" w:hAnsi="仿宋" w:eastAsia="仿宋_GB2312"/>
          <w:szCs w:val="24"/>
        </w:rPr>
        <w:t>院子内绿化面积：5332平方米，地下一层停车位76个，地面停车位：45个，立体机械停库2座，车位：138个，主楼基本设施：地下一层设有变电所1间，地面一层设有消监控室1间；中央空调冷冻机房1间，锅炉房1间，生活给水泵机房1间；电梯6台（客梯4台、消防电梯1台、运餐梯1台）; VRV空调、中央空调系统、新风系统、照明电源、空调电源、动力电源、给排水系统、消控系统、安保系统、巡更系统、楼宇自控、音控及视频、电子显示屏、背景音乐以及消防设施设备等。</w:t>
      </w:r>
    </w:p>
    <w:p>
      <w:pPr>
        <w:pStyle w:val="231"/>
        <w:snapToGrid w:val="0"/>
        <w:spacing w:before="0"/>
        <w:ind w:firstLine="480"/>
        <w:rPr>
          <w:rFonts w:ascii="仿宋_GB2312" w:hAnsi="仿宋" w:eastAsia="仿宋_GB2312"/>
          <w:szCs w:val="24"/>
        </w:rPr>
      </w:pPr>
      <w:r>
        <w:rPr>
          <w:rFonts w:hint="eastAsia" w:ascii="仿宋_GB2312" w:hAnsi="仿宋" w:eastAsia="仿宋_GB2312"/>
          <w:szCs w:val="24"/>
        </w:rPr>
        <w:t>物业管理内容包含但不限于下列内容:</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（1）安保服务（含停车管理）；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（2）清卫保洁（包括灭“四害”消杀及同心弄办公区5间办公室内部保洁）；</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（3）院内绿化养护及大门口、室内外绿植盆栽摆放（不少于450盆,其中大盆不少于100盆，具体数量需满足甲方需要）；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（4）指定会议室服务（主楼会议室：29间，西南侧副楼2间）,不包含茶水费； </w:t>
      </w:r>
    </w:p>
    <w:p>
      <w:pPr>
        <w:pStyle w:val="16"/>
        <w:spacing w:line="360" w:lineRule="auto"/>
        <w:ind w:left="466" w:leftChars="222" w:firstLine="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（5）提供大楼内洗手间使用的洗手液（蓝月亮、威露士或舒肤佳）、抽纸（清风、心相印或维达）、卷纸（清风、心相印或维达）；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（6）立体停车库服务（立体机械停车位138个）；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（7）访客登记传达；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（8）高（低）压线路、照明及供电设备管理维护（包括办公室内）；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（9）给排水设备运行维护管理；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（10）空调系统运行维护管理；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（11）办公楼石材日常维护；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（12）房屋家具设施日常维护维修；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（13）电梯管理维护（客梯：4台，消防梯：1台，餐梯1台）；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（14）工程综合维修及巡查；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（15）重大活动服务保障（提供迎宾、音控、会务、休息场所相关服务等，根据甲方需要临时增派部分人员，相关成本已包含在物业费用内）；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（16）专项维保项目的监督管理。维保设备包含：开水器、中央空调、多联机空调、燃气热水锅炉、燃气调压站、消防设备系统、会议音视频系统、电梯及立体车库等。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（17）自行承担物业服务范围内公共区域材料费单次价值100元以下的零星维修。</w:t>
      </w:r>
    </w:p>
    <w:p>
      <w:pPr>
        <w:pStyle w:val="16"/>
        <w:spacing w:line="360" w:lineRule="auto"/>
        <w:ind w:firstLine="588" w:firstLineChars="245"/>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(18) 落实国家级能效领跑者示范单位的各项日常节能管理目标。</w:t>
      </w:r>
    </w:p>
    <w:p>
      <w:pPr>
        <w:pStyle w:val="16"/>
        <w:spacing w:line="360" w:lineRule="auto"/>
        <w:ind w:firstLine="588" w:firstLineChars="245"/>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(19) 其他。</w:t>
      </w:r>
    </w:p>
    <w:p>
      <w:pPr>
        <w:numPr>
          <w:ilvl w:val="0"/>
          <w:numId w:val="10"/>
        </w:numPr>
        <w:spacing w:line="360" w:lineRule="auto"/>
        <w:jc w:val="left"/>
        <w:outlineLvl w:val="1"/>
        <w:rPr>
          <w:rFonts w:ascii="仿宋" w:hAnsi="仿宋" w:eastAsia="仿宋"/>
          <w:b/>
          <w:sz w:val="28"/>
          <w:szCs w:val="28"/>
          <w:shd w:val="clear" w:color="auto" w:fill="FFFFFF"/>
        </w:rPr>
      </w:pPr>
      <w:r>
        <w:rPr>
          <w:rFonts w:hint="eastAsia" w:ascii="仿宋" w:hAnsi="仿宋" w:eastAsia="仿宋"/>
          <w:b/>
          <w:sz w:val="28"/>
          <w:szCs w:val="28"/>
          <w:shd w:val="clear" w:color="auto" w:fill="FFFFFF"/>
        </w:rPr>
        <w:t xml:space="preserve">物业管理项目 </w:t>
      </w:r>
    </w:p>
    <w:p>
      <w:pPr>
        <w:spacing w:line="360" w:lineRule="auto"/>
        <w:jc w:val="left"/>
        <w:outlineLvl w:val="2"/>
        <w:rPr>
          <w:rFonts w:ascii="仿宋" w:hAnsi="仿宋" w:eastAsia="仿宋"/>
          <w:b/>
          <w:sz w:val="24"/>
          <w:szCs w:val="24"/>
          <w:shd w:val="clear" w:color="auto" w:fill="FFFFFF"/>
        </w:rPr>
      </w:pPr>
      <w:r>
        <w:rPr>
          <w:rFonts w:hint="eastAsia" w:ascii="仿宋" w:hAnsi="仿宋" w:eastAsia="仿宋"/>
          <w:b/>
          <w:sz w:val="24"/>
          <w:szCs w:val="24"/>
          <w:shd w:val="clear" w:color="auto" w:fill="FFFFFF"/>
        </w:rPr>
        <w:t>一）服务人员配置及要求：</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（1）人员配置及要求</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管理、安保、保洁及工程人员，投入本次项目总人数不少于53人，以下规定了投标人人员配备数量的参考要求（53人），其中电梯管理人员不少于1名、立体机械停车位管理人员不少于2名，高压电工不少于3名，消控人员不少于1名。投标人应结合自身实际情况提供实际人数，但不应低于53人的总人数要求，具体如下：</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项目经理：          1人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管理资深主管：      1人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工程主管：          1人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工程维修人员：      8人（包含2名音控服务人员）</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秩序维护主管：      1人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秩序维护人员：      19人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保洁主管：          1人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保洁人员：          15人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绿植养护摆放人员： &gt;=1人（允许外包公司提供，不少于1人）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会务服务人员：      5人</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（2）工作时间要求</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所有工作人员上班需在事务中心工作人员的上班时间前上岗，工程维修提前0.5小时、保洁提前 1.5 小时。休息日需保证值班人员。工程维修、工程夜间值班必须有相关从业证，消控值班员必须有消控证，安保必须有保安证，会议设备操作人员持有相关匹配证书。台风、冰冻抗雪、疫情等特殊时期，24小时到场服务。</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（3）所有相关人员要求政治上可靠，身体素质好，有健康证,无不良行为记录（包括无犯罪记录）。承诺中标后一个月内提供所有人员社保证明”。</w:t>
      </w:r>
    </w:p>
    <w:p>
      <w:pPr>
        <w:pStyle w:val="16"/>
        <w:spacing w:line="360" w:lineRule="auto"/>
        <w:ind w:firstLine="470" w:firstLineChars="196"/>
        <w:rPr>
          <w:rFonts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（4）为提高物业管理服务水平，所有物业人员还需进行宾馆礼仪的培训。除投标单位对服务人员的培训外，需接受招标单位对服务人员的集中培训。</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（5）招标单位将对前期进场人员进行考核，如在培训、熟悉环境过程中发现其不能胜任的， 招标单位可要求更换，直至胜任为止。</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（6）工程人员维修人员必须持证上岗，必须配备至少3名具有高压电工证人员，严格执行用电安全规范，确保用电安全。</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（7）电梯、立体机械停车库管理人员</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高中以上文化程度，有良好的思想素质和服务意识，身体健康，反应灵敏，并持有与本项目电梯相匹配的相关证书。</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（8）秩序维护员</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初中以上学历，年龄应在18-45岁，男身高1.70米以上、女身高1.60米以上，初中以上文化，体检合格、政审合格，经过培训，持有上岗证转业（退伍）军人优先。并向甲方提供保安人员的人事档案备份。甲方要求更换的队员，乙方在3个工作日内重新选派；如派出的保安员发生违法行为、严重事故、突发疾病等情况，乙方应当在12小时内妥善处理。</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（9）保洁人员及绿植养护摆放人员</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初中以上文化程度，身体健康，年龄在50岁以下，有良好的思想素质和服务意识，无违法犯罪记录。</w:t>
      </w:r>
    </w:p>
    <w:p>
      <w:pPr>
        <w:spacing w:line="360" w:lineRule="auto"/>
        <w:ind w:firstLine="482" w:firstLineChars="200"/>
        <w:jc w:val="left"/>
        <w:outlineLvl w:val="2"/>
        <w:rPr>
          <w:rFonts w:hint="eastAsia" w:ascii="仿宋_GB2312" w:hAnsi="仿宋" w:eastAsia="仿宋_GB2312"/>
          <w:b/>
          <w:sz w:val="24"/>
          <w:szCs w:val="24"/>
          <w:shd w:val="clear" w:color="auto" w:fill="FFFFFF"/>
        </w:rPr>
      </w:pPr>
      <w:r>
        <w:rPr>
          <w:rFonts w:hint="eastAsia" w:ascii="仿宋_GB2312" w:hAnsi="仿宋" w:eastAsia="仿宋_GB2312" w:cs="楷体"/>
          <w:b/>
          <w:kern w:val="0"/>
          <w:sz w:val="24"/>
        </w:rPr>
        <w:t>二）</w:t>
      </w:r>
      <w:r>
        <w:rPr>
          <w:rFonts w:hint="eastAsia" w:ascii="仿宋_GB2312" w:hAnsi="仿宋" w:eastAsia="仿宋_GB2312"/>
          <w:b/>
          <w:sz w:val="24"/>
          <w:szCs w:val="24"/>
          <w:shd w:val="clear" w:color="auto" w:fill="FFFFFF"/>
        </w:rPr>
        <w:t>管理服务应达到的各项指标</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1、各类服务人员上岗培训率达到100%；</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2、治安案件发生率为0；</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3、火灾责任事故、刑事案件率为0；</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4、环境卫生、清洁率不低于98%；</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5、消防、安防设备设施完好率100%；</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6、房屋完好率不低于95%；</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7、设备完好率100%；</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8、智能化系统运行正常率不低于95%；</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9、零修、报修及时率100%，返修率小于1%；</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10、服务有效投诉少于1%，处理率100%；</w:t>
      </w:r>
    </w:p>
    <w:p>
      <w:pPr>
        <w:pStyle w:val="16"/>
        <w:spacing w:line="360" w:lineRule="auto"/>
        <w:ind w:firstLine="470" w:firstLineChars="196"/>
        <w:rPr>
          <w:rFonts w:hint="eastAsia" w:ascii="仿宋_GB2312" w:eastAsia="仿宋_GB2312"/>
        </w:rPr>
      </w:pPr>
      <w:r>
        <w:rPr>
          <w:rFonts w:hint="eastAsia" w:ascii="仿宋_GB2312" w:hAnsi="仿宋" w:eastAsia="仿宋_GB2312"/>
          <w:snapToGrid/>
          <w:color w:val="auto"/>
          <w:kern w:val="2"/>
          <w:sz w:val="24"/>
          <w:szCs w:val="24"/>
        </w:rPr>
        <w:t>11、业主满意率不低于95%。</w:t>
      </w:r>
    </w:p>
    <w:p>
      <w:pPr>
        <w:spacing w:line="360" w:lineRule="auto"/>
        <w:ind w:firstLine="482" w:firstLineChars="200"/>
        <w:jc w:val="left"/>
        <w:outlineLvl w:val="2"/>
        <w:rPr>
          <w:rFonts w:ascii="仿宋" w:hAnsi="仿宋" w:eastAsia="仿宋"/>
          <w:b/>
          <w:sz w:val="24"/>
          <w:szCs w:val="24"/>
          <w:shd w:val="clear" w:color="auto" w:fill="FFFFFF"/>
        </w:rPr>
      </w:pPr>
      <w:r>
        <w:rPr>
          <w:rFonts w:hint="eastAsia" w:ascii="仿宋" w:hAnsi="仿宋" w:eastAsia="仿宋" w:cs="楷体"/>
          <w:b/>
          <w:kern w:val="0"/>
          <w:sz w:val="24"/>
        </w:rPr>
        <w:t>三）</w:t>
      </w:r>
      <w:r>
        <w:rPr>
          <w:rFonts w:hint="eastAsia" w:ascii="仿宋" w:hAnsi="仿宋" w:eastAsia="仿宋"/>
          <w:b/>
          <w:sz w:val="24"/>
          <w:szCs w:val="24"/>
          <w:shd w:val="clear" w:color="auto" w:fill="FFFFFF"/>
        </w:rPr>
        <w:t>物业管理服务具体内容及基本要求(包括但不限于)</w:t>
      </w:r>
    </w:p>
    <w:p>
      <w:pPr>
        <w:ind w:firstLine="482" w:firstLineChars="20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（一）楼内、环境的管理与保洁标准：</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1、清扫、拖洗楼内公共走廊地面和楼梯间地面，并随时保洁。</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2、清洁擦拭各层办公室外门和门套、防火门、走廊灯具、开关、栏杆、楼梯扶手、瓷砖墙面、窗台板等。</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4、随时清抹大堂玻璃门、电梯门、电梯按钮，电梯轿箱内不锈钢壁面。</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5、公共洗手间卫生纸和洗手液的及时添置，卫生间和茶水间内的墙面、地面、台面及卫生洁具的及时清洗和保洁，清洗垃圾桶。</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6、大堂地面保持光洁，电梯内花岗岩地面每季打蜡和养护。</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7、楼外道路每天清扫和每2个月清洗一次，垃圾桶每天及时清倒、清洗：及时清理公共场所，公共绿地的废弃杂物；及时清扫积水、积雪；及时组织清理乱堆放物品、乱张贴宣传品等。</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8、会议室及接待室在每次使用后及时清扫、整理。</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9、定期清抹路灯、标识牌等。</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10、保洁时间尽量与上班时间错开，避免干扰正常工作。</w:t>
      </w:r>
    </w:p>
    <w:p>
      <w:pPr>
        <w:spacing w:before="138" w:line="312" w:lineRule="auto"/>
        <w:ind w:firstLine="480" w:firstLineChars="200"/>
        <w:rPr>
          <w:rFonts w:hint="eastAsia" w:ascii="仿宋_GB2312" w:hAnsi="仿宋" w:eastAsia="仿宋_GB2312" w:cs="Vrinda"/>
          <w:sz w:val="24"/>
        </w:rPr>
      </w:pPr>
      <w:r>
        <w:rPr>
          <w:rFonts w:hint="eastAsia" w:ascii="仿宋_GB2312" w:hAnsi="仿宋" w:eastAsia="仿宋_GB2312" w:cs="Vrinda"/>
          <w:sz w:val="24"/>
        </w:rPr>
        <w:t>11、遇重大活动开展时，乙方需无条件配合甲方搞好各项保洁工作。</w:t>
      </w:r>
    </w:p>
    <w:p>
      <w:pPr>
        <w:pStyle w:val="2"/>
        <w:spacing w:line="312" w:lineRule="auto"/>
        <w:rPr>
          <w:rFonts w:hint="eastAsia" w:ascii="仿宋_GB2312" w:hAnsi="仿宋" w:eastAsia="仿宋_GB2312" w:cs="Vrinda"/>
          <w:snapToGrid/>
          <w:szCs w:val="22"/>
          <w:lang w:val="en-US"/>
        </w:rPr>
      </w:pPr>
      <w:r>
        <w:rPr>
          <w:rFonts w:hint="eastAsia" w:ascii="仿宋_GB2312" w:hAnsi="仿宋" w:eastAsia="仿宋_GB2312" w:cs="Vrinda"/>
          <w:snapToGrid/>
          <w:szCs w:val="22"/>
          <w:lang w:val="en-US"/>
        </w:rPr>
        <w:t xml:space="preserve">    12、做好垃圾分类、禁烟管理，日常要做好防疫消杀等。</w:t>
      </w:r>
    </w:p>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具体如下表：</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36"/>
        <w:gridCol w:w="1468"/>
        <w:gridCol w:w="2542"/>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 w:val="24"/>
              </w:rPr>
            </w:pPr>
            <w:r>
              <w:rPr>
                <w:rFonts w:hint="eastAsia" w:ascii="仿宋_GB2312" w:hAnsi="仿宋" w:eastAsia="仿宋_GB2312" w:cs="Vrinda"/>
                <w:sz w:val="24"/>
              </w:rPr>
              <w:t>序号</w:t>
            </w:r>
          </w:p>
        </w:tc>
        <w:tc>
          <w:tcPr>
            <w:tcW w:w="503"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 w:val="24"/>
              </w:rPr>
            </w:pPr>
            <w:r>
              <w:rPr>
                <w:rFonts w:hint="eastAsia" w:ascii="仿宋_GB2312" w:hAnsi="仿宋" w:eastAsia="仿宋_GB2312" w:cs="Vrinda"/>
                <w:sz w:val="24"/>
              </w:rPr>
              <w:t>位置</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 w:val="24"/>
              </w:rPr>
            </w:pPr>
            <w:r>
              <w:rPr>
                <w:rFonts w:hint="eastAsia" w:ascii="仿宋_GB2312" w:hAnsi="仿宋" w:eastAsia="仿宋_GB2312" w:cs="Vrinda"/>
                <w:sz w:val="24"/>
              </w:rPr>
              <w:t>清洁项目</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80" w:firstLineChars="200"/>
              <w:rPr>
                <w:rFonts w:hint="eastAsia" w:ascii="仿宋_GB2312" w:hAnsi="仿宋" w:eastAsia="仿宋_GB2312" w:cs="Vrinda"/>
                <w:sz w:val="24"/>
              </w:rPr>
            </w:pPr>
            <w:r>
              <w:rPr>
                <w:rFonts w:hint="eastAsia" w:ascii="仿宋_GB2312" w:hAnsi="仿宋" w:eastAsia="仿宋_GB2312" w:cs="Vrinda"/>
                <w:sz w:val="24"/>
              </w:rPr>
              <w:t>清洁工作内容</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80" w:firstLineChars="200"/>
              <w:jc w:val="center"/>
              <w:rPr>
                <w:rFonts w:hint="eastAsia" w:ascii="仿宋_GB2312" w:hAnsi="仿宋" w:eastAsia="仿宋_GB2312" w:cs="Vrinda"/>
                <w:sz w:val="24"/>
              </w:rPr>
            </w:pPr>
            <w:r>
              <w:rPr>
                <w:rFonts w:hint="eastAsia" w:ascii="仿宋_GB2312" w:hAnsi="仿宋" w:eastAsia="仿宋_GB2312" w:cs="Vrinda"/>
                <w:sz w:val="24"/>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restar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1</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公共服务厅堂部分</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地砖</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每天拖地两次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left"/>
              <w:rPr>
                <w:rFonts w:hint="eastAsia" w:ascii="仿宋_GB2312" w:hAnsi="仿宋" w:eastAsia="仿宋_GB2312" w:cs="Vrinda"/>
                <w:szCs w:val="21"/>
              </w:rPr>
            </w:pPr>
            <w:r>
              <w:rPr>
                <w:rFonts w:hint="eastAsia" w:ascii="仿宋_GB2312" w:hAnsi="仿宋" w:eastAsia="仿宋_GB2312" w:cs="Vrinda"/>
                <w:szCs w:val="21"/>
              </w:rPr>
              <w:t>随时保持干净，污渍、尘渍、痰渍、地板明洁如镜、明亮如新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玻璃门</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每天随时清抹；每周用玻璃清洁剂清刮一次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天花板</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每两周清扫蜘蛛网及灰尘一次；每年大清洁一次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jc w:val="center"/>
              <w:rPr>
                <w:rFonts w:hint="eastAsia" w:ascii="仿宋_GB2312" w:hAnsi="仿宋" w:eastAsia="仿宋_GB2312" w:cs="Vrind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室内机组出网口、灯饰</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每年清抹四次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无蛛丝、尘渍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指标牌和悬挂牌</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每周清抹二次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花盆、花槽</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每天清除杂物一次；每周清抹二次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无尘渍、杂物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废纸筒</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每天清倒垃圾一次、清抹筒盖、垃圾筒、垃圾缸一次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无污渍、痰渍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电梯门按钮、门框不锈钢</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每天用毛巾配合不锈钢清洁剂随时清抹污渍、手印；每周擦不锈钢油一次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left"/>
              <w:rPr>
                <w:rFonts w:hint="eastAsia" w:ascii="仿宋_GB2312" w:hAnsi="仿宋" w:eastAsia="仿宋_GB2312" w:cs="Vrinda"/>
                <w:szCs w:val="21"/>
              </w:rPr>
            </w:pPr>
            <w:r>
              <w:rPr>
                <w:rFonts w:hint="eastAsia" w:ascii="仿宋_GB2312" w:hAnsi="仿宋" w:eastAsia="仿宋_GB2312" w:cs="Vrinda"/>
                <w:szCs w:val="21"/>
              </w:rPr>
              <w:t>无手印、保持不锈钢表面的金属光泽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电梯间灯饰、按钮</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每天随时清抹污渍、手印；每月清洁电梯内灯饰、排气扇、防护罩二次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沙发等</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每天吸尘清洁</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center"/>
              <w:rPr>
                <w:rFonts w:hint="eastAsia" w:ascii="仿宋_GB2312" w:hAnsi="仿宋" w:eastAsia="仿宋_GB2312" w:cs="Vrinda"/>
                <w:szCs w:val="21"/>
              </w:rPr>
            </w:pPr>
            <w:r>
              <w:rPr>
                <w:rFonts w:hint="eastAsia" w:ascii="仿宋_GB2312" w:hAnsi="仿宋" w:eastAsia="仿宋_GB2312" w:cs="Vrind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restar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2</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楼梯、公共走廊</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地砖</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每天上下午清扫、拖地并保洁</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jc w:val="left"/>
              <w:rPr>
                <w:rFonts w:hint="eastAsia" w:ascii="仿宋_GB2312" w:hAnsi="仿宋" w:eastAsia="仿宋_GB2312" w:cs="Vrinda"/>
                <w:szCs w:val="21"/>
              </w:rPr>
            </w:pPr>
            <w:r>
              <w:rPr>
                <w:rFonts w:hint="eastAsia" w:ascii="仿宋_GB2312" w:hAnsi="仿宋" w:eastAsia="仿宋_GB2312" w:cs="Vrinda"/>
                <w:szCs w:val="21"/>
              </w:rPr>
              <w:t>无杂物、污渍、痰渍、保持干净、光泽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jc w:val="center"/>
              <w:rPr>
                <w:rFonts w:hint="eastAsia" w:ascii="仿宋_GB2312" w:hAnsi="仿宋" w:eastAsia="仿宋_GB2312" w:cs="Vrinda"/>
                <w:szCs w:val="21"/>
              </w:rPr>
            </w:pPr>
            <w:r>
              <w:rPr>
                <w:rFonts w:hint="eastAsia" w:ascii="仿宋_GB2312" w:hAnsi="仿宋" w:eastAsia="仿宋_GB2312" w:cs="Vrinda"/>
                <w:szCs w:val="21"/>
              </w:rPr>
              <w:t>墙裙、窗台</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每天保洁、清抹水平面一次；每两周清抹灰尘、污渍</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保护干净、无尘渍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玻璃窗</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每天保洁；每周清抹一次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灯饰及其他</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每天保洁；每周清抹一次；每月除蜘蛛网</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保持干净、无蜘蛛网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管道井门、安全门</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每天保洁；每周清抹二次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烟灰筒、垃圾桶</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每天清倒垃圾二次；每周清洗桶二次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无痰渍、污渍、烟灰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restar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3</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男、女洗手间部分</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瓷砖墙身</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每天保洁；每周清洗一次、除污渍</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瓷砖地面</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每天用清洁剂拖地并随时保持干净；每两周用洁厕灵清洗二次并拖抹干净</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无污渍、无纸屑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洗手间门</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每天保洁；每周用清洁剂洗抹一次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洗手间内玻璃镜</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每天随时清抹、保持无污渍、水渍；每两周用玻璃清洁剂清刮一次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大、小便器、洗手盆</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每天用清洁剂清洗并放除臭香球；每两周用强力除渍剂去除尿垢、黄斑等；每月用消毒水清洁消毒二次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无臭、无异味、无污垢、保持便瓷器的明洁如新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洗手间灯饰</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每天保洁；每月用毛巾抹擦灯饰</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jc w:val="center"/>
              <w:rPr>
                <w:rFonts w:hint="eastAsia" w:ascii="仿宋_GB2312" w:hAnsi="仿宋" w:eastAsia="仿宋_GB2312" w:cs="Vrinda"/>
                <w:szCs w:val="21"/>
              </w:rPr>
            </w:pPr>
            <w:r>
              <w:rPr>
                <w:rFonts w:hint="eastAsia" w:ascii="仿宋_GB2312" w:hAnsi="仿宋" w:eastAsia="仿宋_GB2312" w:cs="Vrinda"/>
                <w:szCs w:val="21"/>
              </w:rPr>
              <w:t>无蛛丝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restar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4</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开水间</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墙身</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每天保洁；每两周清洗一次、除污渍</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jc w:val="center"/>
              <w:rPr>
                <w:rFonts w:hint="eastAsia" w:ascii="仿宋_GB2312" w:hAnsi="仿宋" w:eastAsia="仿宋_GB2312" w:cs="Vrinda"/>
                <w:szCs w:val="21"/>
              </w:rPr>
            </w:pPr>
            <w:r>
              <w:rPr>
                <w:rFonts w:hint="eastAsia" w:ascii="仿宋_GB2312" w:hAnsi="仿宋" w:eastAsia="仿宋_GB2312" w:cs="Vrind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地面</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每天随时拖抹、保洁；每周用清洁剂清洗一次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jc w:val="center"/>
              <w:rPr>
                <w:rFonts w:hint="eastAsia" w:ascii="仿宋_GB2312" w:hAnsi="仿宋" w:eastAsia="仿宋_GB2312" w:cs="Vrinda"/>
                <w:szCs w:val="21"/>
              </w:rPr>
            </w:pPr>
            <w:r>
              <w:rPr>
                <w:rFonts w:hint="eastAsia" w:ascii="仿宋_GB2312" w:hAnsi="仿宋" w:eastAsia="仿宋_GB2312" w:cs="Vrind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电源</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每天早上、下午开关</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jc w:val="center"/>
              <w:rPr>
                <w:rFonts w:hint="eastAsia" w:ascii="仿宋_GB2312" w:hAnsi="仿宋" w:eastAsia="仿宋_GB2312" w:cs="Vrinda"/>
                <w:szCs w:val="21"/>
              </w:rPr>
            </w:pPr>
            <w:r>
              <w:rPr>
                <w:rFonts w:hint="eastAsia" w:ascii="仿宋_GB2312" w:hAnsi="仿宋" w:eastAsia="仿宋_GB2312" w:cs="Vrinda"/>
                <w:szCs w:val="21"/>
              </w:rPr>
              <w:t>节约用电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455" w:type="pct"/>
            <w:vMerge w:val="restar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5</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会议室</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地面、桌椅、沙发等</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按需要随时清理；长期不用的，每周清扫擦拭一次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保持干净、无杂物、无积尘、无痰渍、等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玻璃窗及窗帘</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玻璃窗每周清抹一次，每月用玻璃清洁剂擦拭一次；窗帘每半年清洗一次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55" w:type="pct"/>
            <w:vMerge w:val="restar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6</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接待室</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沙发、桌椅、地面等</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每天清扫擦拭一次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灯具、悬挂物等</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每周清扫擦拭一次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玻璃窗及窗帘</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玻璃窗每周清抹一次，每月用玻璃清洁剂擦拭一次；窗帘每半年清洗一次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7</w:t>
            </w:r>
          </w:p>
        </w:tc>
        <w:tc>
          <w:tcPr>
            <w:tcW w:w="503"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地下车库</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每天清扫一次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保持干净、无尘渍、无杂物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55" w:type="pct"/>
            <w:vMerge w:val="restar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8</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室外区域</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道路、通道</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每天清扫二次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保持干净，无杂物、无痰渍、无污水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55"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c>
          <w:tcPr>
            <w:tcW w:w="874"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电动门、指示牌、路灯、栏杆等</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每周清抹二次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保持干净，无积尘、无污垢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9</w:t>
            </w:r>
          </w:p>
        </w:tc>
        <w:tc>
          <w:tcPr>
            <w:tcW w:w="1378" w:type="pct"/>
            <w:gridSpan w:val="2"/>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屋面阳台、平台、廊道</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每两周清扫一次</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无堵塞、无杂物、无积水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10</w:t>
            </w:r>
          </w:p>
        </w:tc>
        <w:tc>
          <w:tcPr>
            <w:tcW w:w="1378" w:type="pct"/>
            <w:gridSpan w:val="2"/>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r>
              <w:rPr>
                <w:rFonts w:hint="eastAsia" w:ascii="仿宋_GB2312" w:hAnsi="仿宋" w:eastAsia="仿宋_GB2312" w:cs="Vrinda"/>
                <w:szCs w:val="21"/>
              </w:rPr>
              <w:t>不定期项目</w:t>
            </w:r>
          </w:p>
        </w:tc>
        <w:tc>
          <w:tcPr>
            <w:tcW w:w="1507"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清扫积水、积雪、清理乱堆放物品、乱张贴，清运装修垃圾</w:t>
            </w:r>
          </w:p>
        </w:tc>
        <w:tc>
          <w:tcPr>
            <w:tcW w:w="1658" w:type="pct"/>
            <w:tcBorders>
              <w:top w:val="single" w:color="auto" w:sz="4" w:space="0"/>
              <w:left w:val="single" w:color="auto" w:sz="4" w:space="0"/>
              <w:bottom w:val="single" w:color="auto" w:sz="4" w:space="0"/>
              <w:right w:val="single" w:color="auto" w:sz="4" w:space="0"/>
            </w:tcBorders>
            <w:vAlign w:val="center"/>
          </w:tcPr>
          <w:p>
            <w:pPr>
              <w:spacing w:before="138"/>
              <w:ind w:firstLine="420" w:firstLineChars="200"/>
              <w:rPr>
                <w:rFonts w:hint="eastAsia" w:ascii="仿宋_GB2312" w:hAnsi="仿宋" w:eastAsia="仿宋_GB2312" w:cs="Vrinda"/>
                <w:szCs w:val="21"/>
              </w:rPr>
            </w:pPr>
          </w:p>
        </w:tc>
      </w:tr>
    </w:tbl>
    <w:p>
      <w:pPr>
        <w:spacing w:line="400" w:lineRule="exact"/>
        <w:rPr>
          <w:rFonts w:ascii="仿宋" w:hAnsi="仿宋" w:eastAsia="仿宋"/>
          <w:b/>
          <w:sz w:val="24"/>
          <w:szCs w:val="24"/>
          <w:shd w:val="clear" w:color="auto" w:fill="FFFFFF"/>
        </w:rPr>
      </w:pPr>
      <w:r>
        <w:rPr>
          <w:rFonts w:hint="eastAsia" w:ascii="仿宋" w:hAnsi="仿宋" w:eastAsia="仿宋"/>
          <w:b/>
          <w:sz w:val="24"/>
          <w:szCs w:val="24"/>
          <w:shd w:val="clear" w:color="auto" w:fill="FFFFFF"/>
        </w:rPr>
        <w:t>（二）建筑物及公用设施的管理、养护、维修标准</w:t>
      </w:r>
    </w:p>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1、每天巡视检查、公共设施出现损坏及时修复，保持房屋外观完好、整洁，公共楼梯门扶手完好，梯灯正常，消防门启闭正常，无杂物乱堆放。公共卫生间和茶水间的洁具和设施完好、使用功能正常。负责组织对房屋外墙、楼梯间通道、屋面、上下水管道等房屋本体公共设施的定期养护和管理。</w:t>
      </w:r>
    </w:p>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具体如下表：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442"/>
        <w:gridCol w:w="2491"/>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序号</w:t>
            </w:r>
          </w:p>
        </w:tc>
        <w:tc>
          <w:tcPr>
            <w:tcW w:w="849"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项目</w:t>
            </w:r>
          </w:p>
        </w:tc>
        <w:tc>
          <w:tcPr>
            <w:tcW w:w="14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方式</w:t>
            </w:r>
          </w:p>
        </w:tc>
        <w:tc>
          <w:tcPr>
            <w:tcW w:w="231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pPr>
              <w:spacing w:before="138"/>
              <w:rPr>
                <w:rFonts w:hint="eastAsia" w:ascii="仿宋_GB2312" w:hAnsi="仿宋" w:eastAsia="仿宋_GB2312" w:cs="Vrinda"/>
                <w:szCs w:val="21"/>
              </w:rPr>
            </w:pPr>
            <w:r>
              <w:rPr>
                <w:rFonts w:hint="eastAsia" w:ascii="仿宋_GB2312" w:hAnsi="仿宋" w:eastAsia="仿宋_GB2312" w:cs="Vrinda"/>
                <w:szCs w:val="21"/>
              </w:rPr>
              <w:t>1</w:t>
            </w:r>
          </w:p>
        </w:tc>
        <w:tc>
          <w:tcPr>
            <w:tcW w:w="849"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室内维修</w:t>
            </w:r>
          </w:p>
        </w:tc>
        <w:tc>
          <w:tcPr>
            <w:tcW w:w="146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用户报修</w:t>
            </w:r>
          </w:p>
        </w:tc>
        <w:tc>
          <w:tcPr>
            <w:tcW w:w="231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发现问题后及时通知业主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pPr>
              <w:spacing w:before="138"/>
              <w:rPr>
                <w:rFonts w:hint="eastAsia" w:ascii="仿宋_GB2312" w:hAnsi="仿宋" w:eastAsia="仿宋_GB2312" w:cs="Vrinda"/>
                <w:szCs w:val="21"/>
              </w:rPr>
            </w:pPr>
            <w:r>
              <w:rPr>
                <w:rFonts w:hint="eastAsia" w:ascii="仿宋_GB2312" w:hAnsi="仿宋" w:eastAsia="仿宋_GB2312" w:cs="Vrinda"/>
                <w:szCs w:val="21"/>
              </w:rPr>
              <w:t>2</w:t>
            </w:r>
          </w:p>
        </w:tc>
        <w:tc>
          <w:tcPr>
            <w:tcW w:w="849"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各层卫生间、茶水间</w:t>
            </w:r>
          </w:p>
        </w:tc>
        <w:tc>
          <w:tcPr>
            <w:tcW w:w="146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每天检查一次、即坏即修</w:t>
            </w:r>
          </w:p>
        </w:tc>
        <w:tc>
          <w:tcPr>
            <w:tcW w:w="231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洁具和设施完好，使用功能正常，无滴漏，无堵塞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pPr>
              <w:spacing w:before="138"/>
              <w:rPr>
                <w:rFonts w:hint="eastAsia" w:ascii="仿宋_GB2312" w:hAnsi="仿宋" w:eastAsia="仿宋_GB2312" w:cs="Vrinda"/>
                <w:szCs w:val="21"/>
              </w:rPr>
            </w:pPr>
            <w:r>
              <w:rPr>
                <w:rFonts w:hint="eastAsia" w:ascii="仿宋_GB2312" w:hAnsi="仿宋" w:eastAsia="仿宋_GB2312" w:cs="Vrinda"/>
                <w:szCs w:val="21"/>
              </w:rPr>
              <w:t>3</w:t>
            </w:r>
          </w:p>
        </w:tc>
        <w:tc>
          <w:tcPr>
            <w:tcW w:w="849"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道路</w:t>
            </w:r>
          </w:p>
        </w:tc>
        <w:tc>
          <w:tcPr>
            <w:tcW w:w="146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每天检查一遍、即坏即修</w:t>
            </w:r>
          </w:p>
        </w:tc>
        <w:tc>
          <w:tcPr>
            <w:tcW w:w="231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平整无积水、无缺损、完好率99%以上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pPr>
              <w:spacing w:before="138"/>
              <w:rPr>
                <w:rFonts w:hint="eastAsia" w:ascii="仿宋_GB2312" w:hAnsi="仿宋" w:eastAsia="仿宋_GB2312" w:cs="Vrinda"/>
                <w:szCs w:val="21"/>
              </w:rPr>
            </w:pPr>
            <w:r>
              <w:rPr>
                <w:rFonts w:hint="eastAsia" w:ascii="仿宋_GB2312" w:hAnsi="仿宋" w:eastAsia="仿宋_GB2312" w:cs="Vrinda"/>
                <w:szCs w:val="21"/>
              </w:rPr>
              <w:t>4</w:t>
            </w:r>
          </w:p>
        </w:tc>
        <w:tc>
          <w:tcPr>
            <w:tcW w:w="849"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楼梯及墙面</w:t>
            </w:r>
          </w:p>
        </w:tc>
        <w:tc>
          <w:tcPr>
            <w:tcW w:w="146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每周检查一遍、即坏即修</w:t>
            </w:r>
          </w:p>
        </w:tc>
        <w:tc>
          <w:tcPr>
            <w:tcW w:w="231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整洁、无缺损，扶手完好，楼灯正常，无张贴痕迹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pPr>
              <w:spacing w:before="138"/>
              <w:rPr>
                <w:rFonts w:hint="eastAsia" w:ascii="仿宋_GB2312" w:hAnsi="仿宋" w:eastAsia="仿宋_GB2312" w:cs="Vrinda"/>
                <w:szCs w:val="21"/>
              </w:rPr>
            </w:pPr>
            <w:r>
              <w:rPr>
                <w:rFonts w:hint="eastAsia" w:ascii="仿宋_GB2312" w:hAnsi="仿宋" w:eastAsia="仿宋_GB2312" w:cs="Vrinda"/>
                <w:szCs w:val="21"/>
              </w:rPr>
              <w:t>5</w:t>
            </w:r>
          </w:p>
        </w:tc>
        <w:tc>
          <w:tcPr>
            <w:tcW w:w="849"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明暗沟</w:t>
            </w:r>
          </w:p>
        </w:tc>
        <w:tc>
          <w:tcPr>
            <w:tcW w:w="146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每周清扫一遍及维护</w:t>
            </w:r>
          </w:p>
        </w:tc>
        <w:tc>
          <w:tcPr>
            <w:tcW w:w="231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畅通、无积水、无尘土、无塌陷、无鼠洞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67" w:type="pct"/>
            <w:tcBorders>
              <w:top w:val="single" w:color="auto" w:sz="4" w:space="0"/>
              <w:left w:val="single" w:color="auto" w:sz="4" w:space="0"/>
              <w:bottom w:val="single" w:color="auto" w:sz="4" w:space="0"/>
              <w:right w:val="single" w:color="auto" w:sz="4" w:space="0"/>
            </w:tcBorders>
          </w:tcPr>
          <w:p>
            <w:pPr>
              <w:spacing w:before="138"/>
              <w:rPr>
                <w:rFonts w:hint="eastAsia" w:ascii="仿宋_GB2312" w:hAnsi="仿宋" w:eastAsia="仿宋_GB2312" w:cs="Vrinda"/>
                <w:szCs w:val="21"/>
              </w:rPr>
            </w:pPr>
            <w:r>
              <w:rPr>
                <w:rFonts w:hint="eastAsia" w:ascii="仿宋_GB2312" w:hAnsi="仿宋" w:eastAsia="仿宋_GB2312" w:cs="Vrinda"/>
                <w:szCs w:val="21"/>
              </w:rPr>
              <w:t>6</w:t>
            </w:r>
          </w:p>
        </w:tc>
        <w:tc>
          <w:tcPr>
            <w:tcW w:w="849"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污水管</w:t>
            </w:r>
          </w:p>
        </w:tc>
        <w:tc>
          <w:tcPr>
            <w:tcW w:w="146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每季检查一遍</w:t>
            </w:r>
          </w:p>
        </w:tc>
        <w:tc>
          <w:tcPr>
            <w:tcW w:w="2316" w:type="pct"/>
            <w:tcBorders>
              <w:top w:val="single" w:color="auto" w:sz="4" w:space="0"/>
              <w:left w:val="single" w:color="auto" w:sz="4" w:space="0"/>
              <w:bottom w:val="single" w:color="auto" w:sz="4" w:space="0"/>
              <w:right w:val="single" w:color="auto" w:sz="4" w:space="0"/>
            </w:tcBorders>
            <w:vAlign w:val="center"/>
          </w:tcPr>
          <w:p>
            <w:pPr>
              <w:spacing w:before="138"/>
              <w:rPr>
                <w:rFonts w:hint="eastAsia" w:ascii="仿宋_GB2312" w:hAnsi="仿宋" w:eastAsia="仿宋_GB2312" w:cs="Vrinda"/>
                <w:szCs w:val="21"/>
              </w:rPr>
            </w:pPr>
            <w:r>
              <w:rPr>
                <w:rFonts w:hint="eastAsia" w:ascii="仿宋_GB2312" w:hAnsi="仿宋" w:eastAsia="仿宋_GB2312" w:cs="Vrinda"/>
                <w:szCs w:val="21"/>
              </w:rPr>
              <w:t>无堵，少污积、无外溢</w:t>
            </w:r>
          </w:p>
        </w:tc>
      </w:tr>
    </w:tbl>
    <w:p>
      <w:pPr>
        <w:spacing w:line="400" w:lineRule="exact"/>
        <w:rPr>
          <w:rFonts w:hint="eastAsia" w:ascii="仿宋_GB2312" w:hAnsi="宋体" w:eastAsia="仿宋_GB2312" w:cs="宋体-18030"/>
          <w:szCs w:val="21"/>
        </w:rPr>
      </w:pPr>
    </w:p>
    <w:p>
      <w:pPr>
        <w:spacing w:line="400" w:lineRule="exact"/>
        <w:rPr>
          <w:rFonts w:ascii="仿宋" w:hAnsi="仿宋" w:eastAsia="仿宋"/>
          <w:b/>
          <w:sz w:val="24"/>
          <w:szCs w:val="24"/>
          <w:shd w:val="clear" w:color="auto" w:fill="FFFFFF"/>
        </w:rPr>
      </w:pPr>
      <w:r>
        <w:rPr>
          <w:rFonts w:hint="eastAsia" w:ascii="仿宋" w:hAnsi="仿宋" w:eastAsia="仿宋"/>
          <w:b/>
          <w:sz w:val="24"/>
          <w:szCs w:val="24"/>
          <w:shd w:val="clear" w:color="auto" w:fill="FFFFFF"/>
        </w:rPr>
        <w:t>（三）供电配电系统、给水消防和安保系统的管理</w:t>
      </w:r>
    </w:p>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1、供电配电系统日常管理的内容有：办公室、会议室、廊道等大楼照明系统的日常检查管理，故障保修。</w:t>
      </w:r>
    </w:p>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2、消防系统：应急照明灯、消防栓、灭火器材的日常检查管理。消控中心保证24小时有人值班。</w:t>
      </w:r>
    </w:p>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3、安保系统:安保摄像系统、红外报警系统的的日常检查管理，每半年检查一次；各系统的各接插件联接可靠，无接触不良现象，两个月检查一次，保证系统的可靠运行。如发生故障，负责向业主方报修。</w:t>
      </w:r>
    </w:p>
    <w:p>
      <w:pPr>
        <w:spacing w:line="400" w:lineRule="exac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 xml:space="preserve">具体如下： </w:t>
      </w:r>
    </w:p>
    <w:tbl>
      <w:tblPr>
        <w:tblStyle w:val="62"/>
        <w:tblpPr w:leftFromText="180" w:rightFromText="180" w:vertAnchor="text" w:horzAnchor="margin" w:tblpXSpec="center" w:tblpY="45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152"/>
        <w:gridCol w:w="3457"/>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序号</w:t>
            </w:r>
          </w:p>
        </w:tc>
        <w:tc>
          <w:tcPr>
            <w:tcW w:w="6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保养周期</w:t>
            </w:r>
          </w:p>
        </w:tc>
        <w:tc>
          <w:tcPr>
            <w:tcW w:w="203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保养内容</w:t>
            </w:r>
          </w:p>
        </w:tc>
        <w:tc>
          <w:tcPr>
            <w:tcW w:w="18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1</w:t>
            </w:r>
          </w:p>
        </w:tc>
        <w:tc>
          <w:tcPr>
            <w:tcW w:w="6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日常保养</w:t>
            </w:r>
          </w:p>
        </w:tc>
        <w:tc>
          <w:tcPr>
            <w:tcW w:w="203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低压配电室清洁；</w:t>
            </w:r>
          </w:p>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检查仪表、指示灯是否正常</w:t>
            </w:r>
          </w:p>
        </w:tc>
        <w:tc>
          <w:tcPr>
            <w:tcW w:w="18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室内环境整洁；</w:t>
            </w:r>
          </w:p>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配电柜内外无杂物和污物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2</w:t>
            </w:r>
          </w:p>
        </w:tc>
        <w:tc>
          <w:tcPr>
            <w:tcW w:w="6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每月保养</w:t>
            </w:r>
          </w:p>
        </w:tc>
        <w:tc>
          <w:tcPr>
            <w:tcW w:w="203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检查井道内电缆、切换箱、T接箱和控制箱；检查变压器测温报警系统及通风系统</w:t>
            </w:r>
          </w:p>
        </w:tc>
        <w:tc>
          <w:tcPr>
            <w:tcW w:w="184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井道内清洁干燥各种控制箱应完好、清洁；操作良好</w:t>
            </w:r>
          </w:p>
        </w:tc>
      </w:tr>
    </w:tbl>
    <w:p>
      <w:pPr>
        <w:spacing w:line="400" w:lineRule="exact"/>
        <w:jc w:val="center"/>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供电配电系统日常管理标准 （质保期外）</w:t>
      </w:r>
    </w:p>
    <w:p>
      <w:pPr>
        <w:spacing w:line="400" w:lineRule="exact"/>
        <w:jc w:val="center"/>
        <w:rPr>
          <w:rFonts w:hint="eastAsia" w:ascii="仿宋_GB2312" w:hAnsi="宋体" w:eastAsia="仿宋_GB2312"/>
          <w:szCs w:val="21"/>
        </w:rPr>
      </w:pPr>
    </w:p>
    <w:p>
      <w:pPr>
        <w:spacing w:line="400" w:lineRule="exact"/>
        <w:jc w:val="center"/>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给水、消防系统日常管理标准</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83"/>
        <w:gridCol w:w="3125"/>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序号</w:t>
            </w:r>
          </w:p>
        </w:tc>
        <w:tc>
          <w:tcPr>
            <w:tcW w:w="873" w:type="pct"/>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保养周期</w:t>
            </w:r>
          </w:p>
        </w:tc>
        <w:tc>
          <w:tcPr>
            <w:tcW w:w="183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保养内容</w:t>
            </w:r>
          </w:p>
        </w:tc>
        <w:tc>
          <w:tcPr>
            <w:tcW w:w="183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1</w:t>
            </w:r>
          </w:p>
        </w:tc>
        <w:tc>
          <w:tcPr>
            <w:tcW w:w="87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日常保养</w:t>
            </w:r>
          </w:p>
        </w:tc>
        <w:tc>
          <w:tcPr>
            <w:tcW w:w="183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检查阀门和管道有无锈蚀和渗漏。</w:t>
            </w:r>
          </w:p>
        </w:tc>
        <w:tc>
          <w:tcPr>
            <w:tcW w:w="183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阀门和管道表面无污物、无锈蚀和无渗漏；管道压力正常。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2</w:t>
            </w:r>
          </w:p>
        </w:tc>
        <w:tc>
          <w:tcPr>
            <w:tcW w:w="87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每周保养</w:t>
            </w:r>
          </w:p>
        </w:tc>
        <w:tc>
          <w:tcPr>
            <w:tcW w:w="183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消防栓、水泵接合器、管道的阀门是否可以正常开启。</w:t>
            </w:r>
          </w:p>
        </w:tc>
        <w:tc>
          <w:tcPr>
            <w:tcW w:w="183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消防、水系统阀门保持常开；</w:t>
            </w:r>
          </w:p>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水泵接合器无漏水。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3</w:t>
            </w:r>
          </w:p>
        </w:tc>
        <w:tc>
          <w:tcPr>
            <w:tcW w:w="87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每年保养</w:t>
            </w:r>
          </w:p>
        </w:tc>
        <w:tc>
          <w:tcPr>
            <w:tcW w:w="183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清洗消防水管。</w:t>
            </w:r>
          </w:p>
        </w:tc>
        <w:tc>
          <w:tcPr>
            <w:tcW w:w="183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bCs/>
                <w:szCs w:val="21"/>
                <w:shd w:val="clear" w:color="auto" w:fill="FFFFFF"/>
              </w:rPr>
            </w:pPr>
            <w:r>
              <w:rPr>
                <w:rFonts w:hint="eastAsia" w:ascii="仿宋_GB2312" w:hAnsi="仿宋" w:eastAsia="仿宋_GB2312"/>
                <w:bCs/>
                <w:szCs w:val="21"/>
                <w:shd w:val="clear" w:color="auto" w:fill="FFFFFF"/>
              </w:rPr>
              <w:t>排空消防水管中的水，重新注入消防水；管道无锈迹和脱漆。</w:t>
            </w:r>
          </w:p>
        </w:tc>
      </w:tr>
    </w:tbl>
    <w:p>
      <w:pPr>
        <w:adjustRightInd w:val="0"/>
        <w:snapToGrid w:val="0"/>
        <w:spacing w:line="400" w:lineRule="exact"/>
        <w:rPr>
          <w:rFonts w:hint="eastAsia" w:ascii="仿宋_GB2312" w:hAnsi="仿宋" w:eastAsia="仿宋_GB2312"/>
          <w:b/>
          <w:sz w:val="24"/>
          <w:szCs w:val="24"/>
          <w:shd w:val="clear" w:color="auto" w:fill="FFFFFF"/>
        </w:rPr>
      </w:pPr>
      <w:r>
        <w:rPr>
          <w:rFonts w:hint="eastAsia" w:ascii="仿宋_GB2312" w:hAnsi="仿宋" w:eastAsia="仿宋_GB2312"/>
          <w:b/>
          <w:sz w:val="24"/>
          <w:szCs w:val="24"/>
          <w:shd w:val="clear" w:color="auto" w:fill="FFFFFF"/>
        </w:rPr>
        <w:t>（四）服务标准</w:t>
      </w:r>
    </w:p>
    <w:p>
      <w:pPr>
        <w:spacing w:line="400" w:lineRule="exact"/>
        <w:jc w:val="left"/>
        <w:rPr>
          <w:rFonts w:hint="eastAsia" w:ascii="仿宋_GB2312" w:hAnsi="仿宋" w:eastAsia="仿宋_GB2312"/>
          <w:b/>
          <w:sz w:val="24"/>
          <w:szCs w:val="24"/>
          <w:shd w:val="clear" w:color="auto" w:fill="FFFFFF"/>
        </w:rPr>
      </w:pPr>
      <w:r>
        <w:rPr>
          <w:rFonts w:hint="eastAsia" w:ascii="仿宋_GB2312" w:hAnsi="仿宋" w:eastAsia="仿宋_GB2312"/>
          <w:b/>
          <w:sz w:val="24"/>
          <w:szCs w:val="24"/>
          <w:shd w:val="clear" w:color="auto" w:fill="FFFFFF"/>
        </w:rPr>
        <w:t>1、保安队长岗位职责</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（a）对所有保安员的管理、督导训练及考核。</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（b）每天检查保安值班日志内容，发现问题及时处理。</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（c）组织保安人员业务知识的学习、军训和消防训练以及各种应急演习。</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（d）每天进行不定时查岗和不定时查夜，并及时纠正保安人员的违纪行为。</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（e）制定每月值班安排表。</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（f）突发事件的处理（火灾、偷盗、打架以及与外界纠纷等）及消防、治安单位的联系。</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（g）负责监督保安的出勤、在岗状况，交接班记录的检查。</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（h）协助做好有关公司安全保卫工作。</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（i）完成业主单位临时交办的其他工作。</w:t>
      </w:r>
    </w:p>
    <w:p>
      <w:pPr>
        <w:spacing w:line="400" w:lineRule="exact"/>
        <w:jc w:val="left"/>
        <w:rPr>
          <w:rFonts w:hint="eastAsia" w:ascii="仿宋_GB2312" w:hAnsi="仿宋" w:eastAsia="仿宋_GB2312"/>
          <w:b/>
          <w:sz w:val="24"/>
          <w:szCs w:val="24"/>
          <w:shd w:val="clear" w:color="auto" w:fill="FFFFFF"/>
        </w:rPr>
      </w:pPr>
      <w:r>
        <w:rPr>
          <w:rFonts w:hint="eastAsia" w:ascii="仿宋_GB2312" w:hAnsi="仿宋" w:eastAsia="仿宋_GB2312"/>
          <w:b/>
          <w:sz w:val="24"/>
          <w:szCs w:val="24"/>
          <w:shd w:val="clear" w:color="auto" w:fill="FFFFFF"/>
        </w:rPr>
        <w:t>2、保安员岗位职责</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a）保安员必须严格遵守执行国家的法律法规和公司的各项规章制度，恪尽职守、爱岗敬业、规范服务，认真完成本职工作以及领导交办的各项临时性工作。严禁越权行事（如：限制人身自由、搜查个人物品等）。</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（b）保安人员要严格交接班制度，上班不离岗，要认真填写交接班记录。交班时交班人要明确工作任务和上一班遗留问题，并填写好交班记录，接班人查对无误后，方可交接班。</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（c）值勤时必须严格着装、佩戴保安标志，做到服装整洁、佩戴整齐、款式统一；交接班时，未交接完毕不得更换便装；严禁留长发、留长指甲、蓄小胡子。</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（d）在单位员工上下班期间实行立岗值勤，做到岗位固定，站姿端庄；坐岗时要姿势端正；确保在精神饱满的状态下开展各项工作。</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（e）严格执行门卫管理制度，外来人员来访必须要与相关科室联系确认征得同意登记后方可放行。</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（f）做好报刊、信函、邮件及快递物品的收发、登记工作，严禁私拆和扣留。</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g）做好单位巡查工作：日间采取不定时巡查；夜间巡查要仔细到位，所有的巡更点环境是否异常现象。杜绝走马观花；巡查次数不能低于每小时一次，且须在巡更点打点确认，同时在值勤日志详细记录巡查情况，严禁弄虚作假。</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h）落实防火、防盗、防抢、防破坏、防事故等安全措施，发现情况或安全隐患及时报告并协助处理。执勤人员要熟练掌握火灾等各种灾害的预防、处置，牢记相关应急预案和各种消防设备器材的使用及分布情况；遇有雷雨天气，在确保自身安全的情况下，加强现场观察，防止因雷击火灾造成损失；发生报警必须及时到现场查看、确认，并作处置记录。</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（i）凡发生在责任区域内的刑事治安事件以及各种突发情况，值班保安人员要及时报告公司有关领导和当地公安机关，采取措施，保护现场，并协助处理，依法妥善处理责任范围内的其他突发事件。</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（j）完成业主单位交付的一些临时性的工作，听从领导的各项指挥和下达的各项任务。</w:t>
      </w:r>
    </w:p>
    <w:p>
      <w:pPr>
        <w:spacing w:line="400" w:lineRule="exact"/>
        <w:jc w:val="left"/>
        <w:rPr>
          <w:rFonts w:hint="eastAsia" w:ascii="仿宋_GB2312" w:hAnsi="仿宋" w:eastAsia="仿宋_GB2312"/>
          <w:b/>
          <w:sz w:val="24"/>
          <w:szCs w:val="24"/>
          <w:shd w:val="clear" w:color="auto" w:fill="FFFFFF"/>
        </w:rPr>
      </w:pPr>
      <w:r>
        <w:rPr>
          <w:rFonts w:hint="eastAsia" w:ascii="仿宋_GB2312" w:hAnsi="仿宋" w:eastAsia="仿宋_GB2312"/>
          <w:b/>
          <w:sz w:val="24"/>
          <w:szCs w:val="24"/>
          <w:shd w:val="clear" w:color="auto" w:fill="FFFFFF"/>
        </w:rPr>
        <w:t>3、消控员岗位职责</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（a）熟悉和掌握消防系统的工作原理和操作规定，熟悉各种按键的功能，熟悉操作各种系统。</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（b）负责对消防设施的每日检查，并认真填写《消防控制室值班记录》，并定期对各种消防设施进行检查，保证自动消防设施的完好有效。</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（c）及时发现和处理设备故障，并在《消防控制室值班记录》上填写相关情况。</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（d）掌握和了解消防设施的运行、报警、故障等有关情况。</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（e）熟悉掌握《消防控制室火警误报处理程序》，火灾情况下能够按照程序开展灭火救援工作。</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（f）熟悉掌握《消防控制室火警误报处理程序》，火警误报情况下能够将系统恢复到正常工作状态。</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（g）消防控制室工作人员要爱护消防控制室的设施，保持控制室内的卫生。</w:t>
      </w:r>
    </w:p>
    <w:p>
      <w:pPr>
        <w:spacing w:line="400" w:lineRule="exact"/>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（h）完成业主单位临时交办的其他工作。</w:t>
      </w:r>
    </w:p>
    <w:p>
      <w:pPr>
        <w:pStyle w:val="2"/>
      </w:pPr>
    </w:p>
    <w:p>
      <w:pPr>
        <w:spacing w:line="360" w:lineRule="auto"/>
        <w:outlineLvl w:val="2"/>
        <w:rPr>
          <w:rFonts w:ascii="仿宋_GB2312" w:hAnsi="宋体" w:eastAsia="仿宋_GB2312"/>
          <w:b/>
          <w:bCs/>
          <w:sz w:val="24"/>
        </w:rPr>
      </w:pPr>
      <w:r>
        <w:rPr>
          <w:rFonts w:hint="eastAsia" w:ascii="仿宋" w:hAnsi="仿宋" w:eastAsia="仿宋"/>
          <w:b/>
          <w:sz w:val="24"/>
          <w:szCs w:val="24"/>
          <w:shd w:val="clear" w:color="auto" w:fill="FFFFFF"/>
        </w:rPr>
        <w:t>四）</w:t>
      </w:r>
      <w:r>
        <w:rPr>
          <w:rFonts w:hint="eastAsia" w:ascii="仿宋_GB2312" w:eastAsia="仿宋_GB2312"/>
          <w:b/>
          <w:sz w:val="24"/>
        </w:rPr>
        <w:t>采购人提供的相关场地</w:t>
      </w:r>
    </w:p>
    <w:p>
      <w:pPr>
        <w:spacing w:line="360" w:lineRule="auto"/>
        <w:ind w:firstLine="480" w:firstLineChars="200"/>
        <w:rPr>
          <w:rFonts w:ascii="仿宋_GB2312" w:hAnsi="宋体" w:eastAsia="仿宋_GB2312" w:cs="仿宋_GB2312"/>
          <w:sz w:val="24"/>
        </w:rPr>
      </w:pPr>
      <w:r>
        <w:rPr>
          <w:rFonts w:hint="eastAsia" w:ascii="仿宋_GB2312" w:hAnsi="宋体" w:eastAsia="仿宋_GB2312" w:cs="仿宋_GB2312"/>
          <w:sz w:val="24"/>
        </w:rPr>
        <w:t>采购单位免费提供物业管理的办公场地，但办公用品（指办公桌、电脑、打印机、对讲机、文件柜等自身使用的等公用品）由投标人自行解决。</w:t>
      </w:r>
    </w:p>
    <w:p>
      <w:pPr>
        <w:pStyle w:val="2"/>
        <w:outlineLvl w:val="2"/>
        <w:rPr>
          <w:rFonts w:ascii="仿宋_GB2312" w:eastAsia="仿宋_GB2312"/>
          <w:b/>
          <w:szCs w:val="22"/>
        </w:rPr>
      </w:pPr>
      <w:r>
        <w:rPr>
          <w:rFonts w:hint="eastAsia" w:ascii="仿宋" w:hAnsi="仿宋" w:eastAsia="仿宋"/>
          <w:b/>
          <w:szCs w:val="24"/>
          <w:shd w:val="clear" w:color="auto" w:fill="FFFFFF"/>
          <w:lang w:val="en-US"/>
        </w:rPr>
        <w:t>五</w:t>
      </w:r>
      <w:r>
        <w:rPr>
          <w:rFonts w:hint="eastAsia" w:ascii="仿宋" w:hAnsi="仿宋" w:eastAsia="仿宋"/>
          <w:b/>
          <w:szCs w:val="24"/>
          <w:shd w:val="clear" w:color="auto" w:fill="FFFFFF"/>
        </w:rPr>
        <w:t>）</w:t>
      </w:r>
      <w:r>
        <w:rPr>
          <w:rFonts w:hint="eastAsia" w:ascii="仿宋_GB2312" w:eastAsia="仿宋_GB2312"/>
          <w:b/>
          <w:szCs w:val="22"/>
        </w:rPr>
        <w:t>应急响应</w:t>
      </w:r>
    </w:p>
    <w:p>
      <w:pPr>
        <w:spacing w:line="360" w:lineRule="auto"/>
        <w:ind w:firstLine="480" w:firstLineChars="200"/>
        <w:rPr>
          <w:rFonts w:ascii="仿宋" w:hAnsi="仿宋" w:eastAsia="仿宋"/>
          <w:b/>
          <w:sz w:val="24"/>
          <w:szCs w:val="24"/>
          <w:shd w:val="clear" w:color="auto" w:fill="FFFFFF"/>
        </w:rPr>
      </w:pPr>
      <w:r>
        <w:rPr>
          <w:rFonts w:hint="eastAsia" w:ascii="仿宋_GB2312" w:hAnsi="仿宋_GB2312" w:eastAsia="仿宋_GB2312" w:cs="仿宋_GB2312"/>
          <w:sz w:val="24"/>
        </w:rPr>
        <w:t>如采购单位临时应急需要保安增加，投标人应保证能在40分钟内组织10名以上保安到现场协助甲方处理突发应急事故；临时派遣的保安员身体素质、业务技能等各类要求与常驻保安员相同。</w:t>
      </w:r>
    </w:p>
    <w:p>
      <w:pPr>
        <w:adjustRightInd w:val="0"/>
        <w:snapToGrid w:val="0"/>
        <w:spacing w:line="400" w:lineRule="exact"/>
        <w:outlineLvl w:val="2"/>
        <w:rPr>
          <w:rFonts w:ascii="仿宋" w:hAnsi="仿宋" w:eastAsia="仿宋"/>
          <w:b/>
          <w:sz w:val="24"/>
          <w:szCs w:val="24"/>
          <w:shd w:val="clear" w:color="auto" w:fill="FFFFFF"/>
        </w:rPr>
      </w:pPr>
      <w:r>
        <w:rPr>
          <w:rFonts w:hint="eastAsia" w:ascii="仿宋" w:hAnsi="仿宋" w:eastAsia="仿宋"/>
          <w:b/>
          <w:sz w:val="24"/>
          <w:szCs w:val="24"/>
          <w:shd w:val="clear" w:color="auto" w:fill="FFFFFF"/>
        </w:rPr>
        <w:t>六）其他要求</w:t>
      </w:r>
    </w:p>
    <w:p>
      <w:pPr>
        <w:spacing w:line="360" w:lineRule="auto"/>
        <w:ind w:firstLine="470" w:firstLineChars="196"/>
        <w:rPr>
          <w:rFonts w:hint="eastAsia" w:ascii="仿宋_GB2312" w:hAnsi="仿宋" w:eastAsia="仿宋_GB2312" w:cs="宋体"/>
          <w:sz w:val="24"/>
        </w:rPr>
      </w:pPr>
      <w:r>
        <w:rPr>
          <w:rFonts w:hint="eastAsia" w:ascii="仿宋_GB2312" w:hAnsi="仿宋" w:eastAsia="仿宋_GB2312" w:cs="宋体"/>
          <w:sz w:val="24"/>
        </w:rPr>
        <w:t>1、中标单位应考虑企业自身实力、经验及项目实施过程中的各种因素，根据采购要求，详细说明所能提供的各项具体服务内容，自主确定报价（按年度进行报价），实行总价包干，并按服务的内容分别独立报价并提供报价组成与成本分析。</w:t>
      </w:r>
    </w:p>
    <w:p>
      <w:pPr>
        <w:pStyle w:val="2"/>
        <w:ind w:firstLine="480" w:firstLineChars="200"/>
        <w:rPr>
          <w:rFonts w:hint="eastAsia" w:ascii="仿宋_GB2312" w:hAnsi="仿宋" w:eastAsia="仿宋_GB2312" w:cs="宋体"/>
          <w:szCs w:val="22"/>
        </w:rPr>
      </w:pPr>
      <w:r>
        <w:rPr>
          <w:rFonts w:hint="eastAsia" w:ascii="仿宋_GB2312" w:hAnsi="仿宋" w:eastAsia="仿宋_GB2312" w:cs="宋体"/>
          <w:szCs w:val="22"/>
        </w:rPr>
        <w:t>2、中标单位服务人员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pacing w:line="360" w:lineRule="auto"/>
        <w:ind w:firstLine="480" w:firstLineChars="200"/>
        <w:jc w:val="left"/>
        <w:rPr>
          <w:rFonts w:hint="eastAsia" w:ascii="仿宋_GB2312" w:hAnsi="仿宋" w:eastAsia="仿宋_GB2312" w:cs="宋体"/>
          <w:sz w:val="24"/>
        </w:rPr>
      </w:pPr>
      <w:r>
        <w:rPr>
          <w:rFonts w:hint="eastAsia" w:ascii="仿宋_GB2312" w:hAnsi="仿宋" w:eastAsia="仿宋_GB2312" w:cs="宋体"/>
          <w:sz w:val="24"/>
        </w:rPr>
        <w:t>3、每月不定期由业主单位和拱墅区机关事务中心一起进行考勤抽检，确认到岗人数和到岗时间。所配人员均需培训上岗，具备从事该工作的专业资质和相关证件。保安人员的值勤装备中对讲机、防暴装备等由乙方提供。</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4、按要求和事项发生量及时配备足够和胜任的相关管理和服务人员，并保持人员的稳定。遇调动或辞职时，项目经理提前一个月、工程综合维修人员提前20天、保安提前10天、保洁提前7天告知业主并得到同意后才能更换，按要求及时补充相应人员，提前做好交接班。对业主认为无能力、工作失职或不合适人员，应立即更换。</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5、按国家和当地政府有关劳动法规、条例，向管理服务人员提供相应工种的劳动工资、加班工资、劳动保护等待遇。为保证服务人员的技能素质、队伍的相对稳定，应保障关键技术岗位的工资待遇。</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6、对物业管理公司的违纪处罚：因物业管理公司责任造成财产损失、丢失，负责做出相应的赔偿。</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7、对物业管理公司安全防火的要求：严格管理工作人员，确保全年无一例安全火灾事件，因物业公司管理不善，或工作人员失误造成的损失全部由物业管理公司承担。</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8、对物业管理公司工作人员流动及必要的失业保险、医疗保险、人员意外伤害保险、死亡保险等办理及费用的要求：由物业管理公司按规定办理，其费用由物业管理公司自行承担。</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9、对物业管理公司员工统一着装，其费用由物业管理公司自行承担，所有人员均持有健康证；安保、工程人员需持资格证上岗。</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10、物业管理公司在承包期间内与外界发生的一切债权、债务等纠纷均与业主无关。</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11、对物业管理公司的其他要求：应制定严格的保密措施，防止泄密事故发生；所有安全管理工作必须健全记录。</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12、物业管理公司负责保安和保洁人员的招聘、使用、管理、调配和辞退。若有违反采购人相关纪律，对工作不负责的保安和保洁人员，业主有权进行辞退处理。</w:t>
      </w:r>
    </w:p>
    <w:p>
      <w:pPr>
        <w:spacing w:line="400" w:lineRule="exact"/>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13、本服务项目由中标的物业管理公司进行总承包，不得转包，一旦发现转包，业主有权终止承包合同。</w:t>
      </w:r>
    </w:p>
    <w:p>
      <w:pPr>
        <w:spacing w:line="360" w:lineRule="auto"/>
        <w:ind w:firstLine="480" w:firstLineChars="200"/>
        <w:jc w:val="left"/>
        <w:rPr>
          <w:rFonts w:hint="eastAsia" w:ascii="仿宋_GB2312" w:hAnsi="仿宋" w:eastAsia="仿宋_GB2312"/>
          <w:bCs/>
          <w:sz w:val="24"/>
          <w:szCs w:val="24"/>
          <w:shd w:val="clear" w:color="auto" w:fill="FFFFFF"/>
        </w:rPr>
      </w:pPr>
      <w:r>
        <w:rPr>
          <w:rFonts w:hint="eastAsia" w:ascii="仿宋_GB2312" w:hAnsi="仿宋" w:eastAsia="仿宋_GB2312"/>
          <w:bCs/>
          <w:sz w:val="24"/>
          <w:szCs w:val="24"/>
          <w:shd w:val="clear" w:color="auto" w:fill="FFFFFF"/>
        </w:rPr>
        <w:t>14、乙方自行承担乙方所有人员的服装费用，但服装样式需经过甲方认可。</w:t>
      </w:r>
    </w:p>
    <w:p>
      <w:pPr>
        <w:pStyle w:val="2"/>
        <w:rPr>
          <w:rFonts w:hint="eastAsia" w:ascii="仿宋_GB2312" w:hAnsi="仿宋" w:eastAsia="仿宋_GB2312"/>
          <w:bCs/>
          <w:szCs w:val="24"/>
          <w:shd w:val="clear" w:color="auto" w:fill="FFFFFF"/>
        </w:rPr>
      </w:pPr>
      <w:r>
        <w:rPr>
          <w:rFonts w:hint="eastAsia" w:ascii="仿宋_GB2312" w:hAnsi="仿宋" w:eastAsia="仿宋_GB2312"/>
          <w:bCs/>
          <w:szCs w:val="24"/>
          <w:shd w:val="clear" w:color="auto" w:fill="FFFFFF"/>
        </w:rPr>
        <w:t xml:space="preserve"> 15、投标报价包括完成招标项下全部工作所需的一切费用，包括完成招标项下全部工作所需的一切费用，包括但不限于：人工成本【人员工资、奖金、福利、各种加班费、夜餐费、各种社会保险（基本养老保险、基本医疗保险、工伤保险、生育保险、失业保险）、公积金等】，工器具费用，日常保洁用品费用、劳保用品费，其他相关费用（仓储、运输费等），各种管理费用、税费、利润、其他可能的风险费用（政策性文件规定引起的费用风险除外），参加本项目投标以及履行合同所需的全部费用。</w:t>
      </w:r>
    </w:p>
    <w:p>
      <w:pPr>
        <w:adjustRightInd w:val="0"/>
        <w:snapToGrid w:val="0"/>
        <w:spacing w:line="360" w:lineRule="auto"/>
        <w:ind w:firstLine="480" w:firstLineChars="200"/>
        <w:rPr>
          <w:rFonts w:hint="default" w:ascii="仿宋_GB2312" w:hAnsi="宋体" w:eastAsia="仿宋_GB2312" w:cs="Arial"/>
          <w:snapToGrid w:val="0"/>
          <w:kern w:val="0"/>
          <w:sz w:val="24"/>
          <w:szCs w:val="24"/>
          <w:lang w:val="en-US" w:eastAsia="zh-CN"/>
        </w:rPr>
      </w:pPr>
      <w:r>
        <w:rPr>
          <w:rFonts w:hint="eastAsia" w:ascii="仿宋_GB2312" w:hAnsi="宋体" w:eastAsia="仿宋_GB2312" w:cs="Arial"/>
          <w:snapToGrid w:val="0"/>
          <w:kern w:val="0"/>
          <w:sz w:val="24"/>
          <w:szCs w:val="24"/>
          <w:lang w:val="en-US" w:eastAsia="zh-CN"/>
        </w:rPr>
        <w:t xml:space="preserve">15、采购人按照招标需求、中标单位投标文件承诺的服务内容及招标文件中合同的相关约定适时开展履约验收。采购人成立验收小组，验收时，按照每一项技术、服务、安全标准的履约情况进行确认。验收结束后，应当出具验收书，列明各项标准的验收情况及项目总体评价。合同期第二年度结束时，供应商若能严格履行合同，通过采购单位的考核验收，采购人和供应商方能继续履行合同第三年度，如果考核验收不合格，则采购人有权提前终止合同，由此造成的一切后果和损失由供应商承担。此外，若供应商有严重违约行为或在采购单位安排的其他任意时间节点的考核不合格的，采购人有权提前终止合同，由此造成的一切后果和损失由供应商承担。 </w:t>
      </w:r>
    </w:p>
    <w:p>
      <w:pPr>
        <w:adjustRightInd w:val="0"/>
        <w:snapToGrid w:val="0"/>
        <w:spacing w:line="360" w:lineRule="auto"/>
        <w:ind w:firstLine="480" w:firstLineChars="200"/>
        <w:rPr>
          <w:rFonts w:ascii="仿宋_GB2312" w:hAnsi="仿宋" w:eastAsia="仿宋_GB2312" w:cs="Times New Roman"/>
          <w:sz w:val="24"/>
          <w:szCs w:val="24"/>
        </w:rPr>
      </w:pPr>
    </w:p>
    <w:p>
      <w:pPr>
        <w:adjustRightInd w:val="0"/>
        <w:snapToGrid w:val="0"/>
        <w:spacing w:line="460" w:lineRule="exact"/>
        <w:ind w:firstLine="480" w:firstLineChars="200"/>
        <w:rPr>
          <w:rFonts w:ascii="仿宋_GB2312" w:hAnsi="宋体" w:eastAsia="仿宋_GB2312" w:cs="Arial"/>
          <w:snapToGrid w:val="0"/>
          <w:kern w:val="0"/>
          <w:sz w:val="24"/>
          <w:szCs w:val="24"/>
        </w:rPr>
      </w:pPr>
    </w:p>
    <w:p>
      <w:pPr>
        <w:snapToGrid w:val="0"/>
        <w:spacing w:line="360" w:lineRule="auto"/>
        <w:jc w:val="center"/>
        <w:outlineLvl w:val="0"/>
        <w:rPr>
          <w:rFonts w:ascii="仿宋" w:hAnsi="仿宋" w:eastAsia="仿宋" w:cs="仿宋_GB2312"/>
          <w:b/>
          <w:sz w:val="36"/>
          <w:szCs w:val="36"/>
          <w:highlight w:val="yellow"/>
        </w:rPr>
      </w:pPr>
      <w:r>
        <w:rPr>
          <w:rFonts w:hint="eastAsia" w:ascii="仿宋_GB2312" w:hAnsi="仿宋" w:eastAsia="仿宋_GB2312" w:cs="仿宋_GB2312"/>
          <w:b/>
          <w:sz w:val="36"/>
          <w:szCs w:val="36"/>
        </w:rPr>
        <w:br w:type="page"/>
      </w:r>
      <w:r>
        <w:rPr>
          <w:rFonts w:hint="eastAsia" w:ascii="仿宋" w:hAnsi="仿宋" w:eastAsia="仿宋" w:cs="仿宋_GB2312"/>
          <w:b/>
          <w:sz w:val="36"/>
          <w:szCs w:val="36"/>
          <w:highlight w:val="yellow"/>
        </w:rPr>
        <w:t>第四部分</w:t>
      </w:r>
      <w:bookmarkStart w:id="23" w:name="_Toc184308079"/>
      <w:bookmarkEnd w:id="23"/>
      <w:bookmarkStart w:id="24" w:name="_Toc184312132"/>
      <w:bookmarkEnd w:id="24"/>
      <w:bookmarkStart w:id="25" w:name="_Toc184308040"/>
      <w:bookmarkEnd w:id="25"/>
      <w:bookmarkStart w:id="26" w:name="_Toc184312124"/>
      <w:bookmarkEnd w:id="26"/>
      <w:bookmarkStart w:id="27" w:name="_Toc184310280"/>
      <w:bookmarkEnd w:id="27"/>
      <w:bookmarkStart w:id="28" w:name="_Toc184310343"/>
      <w:bookmarkEnd w:id="28"/>
      <w:bookmarkStart w:id="29" w:name="_Toc184308057"/>
      <w:bookmarkEnd w:id="29"/>
      <w:bookmarkStart w:id="30" w:name="_Toc184310295"/>
      <w:bookmarkEnd w:id="30"/>
      <w:bookmarkStart w:id="31" w:name="_Toc184313242"/>
      <w:bookmarkEnd w:id="31"/>
      <w:bookmarkStart w:id="32" w:name="_Toc184310315"/>
      <w:bookmarkEnd w:id="32"/>
      <w:bookmarkStart w:id="33" w:name="_Toc184310323"/>
      <w:bookmarkEnd w:id="33"/>
      <w:bookmarkStart w:id="34" w:name="_Toc184314474"/>
      <w:bookmarkEnd w:id="34"/>
      <w:bookmarkStart w:id="35" w:name="_Toc184310273"/>
      <w:bookmarkEnd w:id="35"/>
      <w:bookmarkStart w:id="36" w:name="_Toc184308092"/>
      <w:bookmarkEnd w:id="36"/>
      <w:bookmarkStart w:id="37" w:name="_Toc184308095"/>
      <w:bookmarkEnd w:id="37"/>
      <w:bookmarkStart w:id="38" w:name="_Toc184312079"/>
      <w:bookmarkEnd w:id="38"/>
      <w:bookmarkStart w:id="39" w:name="_Toc184314460"/>
      <w:bookmarkEnd w:id="39"/>
      <w:bookmarkStart w:id="40" w:name="_Toc184314421"/>
      <w:bookmarkEnd w:id="40"/>
      <w:bookmarkStart w:id="41" w:name="_Toc184308101"/>
      <w:bookmarkEnd w:id="41"/>
      <w:bookmarkStart w:id="42" w:name="_Toc184314429"/>
      <w:bookmarkEnd w:id="42"/>
      <w:bookmarkStart w:id="43" w:name="_Toc184310274"/>
      <w:bookmarkEnd w:id="43"/>
      <w:bookmarkStart w:id="44" w:name="_Toc184312139"/>
      <w:bookmarkEnd w:id="44"/>
      <w:bookmarkStart w:id="45" w:name="_Toc184314435"/>
      <w:bookmarkEnd w:id="45"/>
      <w:bookmarkStart w:id="46" w:name="_Toc184310331"/>
      <w:bookmarkEnd w:id="46"/>
      <w:bookmarkStart w:id="47" w:name="_Toc184308067"/>
      <w:bookmarkEnd w:id="47"/>
      <w:bookmarkStart w:id="48" w:name="_Toc184312113"/>
      <w:bookmarkEnd w:id="48"/>
      <w:bookmarkStart w:id="49" w:name="_Toc184314431"/>
      <w:bookmarkEnd w:id="49"/>
      <w:bookmarkStart w:id="50" w:name="_Toc184310292"/>
      <w:bookmarkEnd w:id="50"/>
      <w:bookmarkStart w:id="51" w:name="_Toc184312110"/>
      <w:bookmarkEnd w:id="51"/>
      <w:bookmarkStart w:id="52" w:name="_Toc184312083"/>
      <w:bookmarkEnd w:id="52"/>
      <w:bookmarkStart w:id="53" w:name="_Toc184308036"/>
      <w:bookmarkEnd w:id="53"/>
      <w:bookmarkStart w:id="54" w:name="_Toc184310277"/>
      <w:bookmarkEnd w:id="54"/>
      <w:bookmarkStart w:id="55" w:name="_Toc184312100"/>
      <w:bookmarkEnd w:id="55"/>
      <w:bookmarkStart w:id="56" w:name="_Toc184308083"/>
      <w:bookmarkEnd w:id="56"/>
      <w:bookmarkStart w:id="57" w:name="_Toc184312071"/>
      <w:bookmarkEnd w:id="57"/>
      <w:bookmarkStart w:id="58" w:name="_Toc184314426"/>
      <w:bookmarkEnd w:id="58"/>
      <w:bookmarkStart w:id="59" w:name="_Toc184313251"/>
      <w:bookmarkEnd w:id="59"/>
      <w:bookmarkStart w:id="60" w:name="_Toc184308043"/>
      <w:bookmarkEnd w:id="60"/>
      <w:bookmarkStart w:id="61" w:name="_Toc184312105"/>
      <w:bookmarkEnd w:id="61"/>
      <w:bookmarkStart w:id="62" w:name="_Toc184313238"/>
      <w:bookmarkEnd w:id="62"/>
      <w:bookmarkStart w:id="63" w:name="_Toc184312093"/>
      <w:bookmarkEnd w:id="63"/>
      <w:bookmarkStart w:id="64" w:name="_Toc184310297"/>
      <w:bookmarkEnd w:id="64"/>
      <w:bookmarkStart w:id="65" w:name="_Toc184313240"/>
      <w:bookmarkEnd w:id="65"/>
      <w:bookmarkStart w:id="66" w:name="_Toc184312101"/>
      <w:bookmarkEnd w:id="66"/>
      <w:bookmarkStart w:id="67" w:name="_Toc184310316"/>
      <w:bookmarkEnd w:id="67"/>
      <w:bookmarkStart w:id="68" w:name="_Toc184308090"/>
      <w:bookmarkEnd w:id="68"/>
      <w:bookmarkStart w:id="69" w:name="_Toc184313301"/>
      <w:bookmarkEnd w:id="69"/>
      <w:bookmarkStart w:id="70" w:name="_Toc184310317"/>
      <w:bookmarkEnd w:id="70"/>
      <w:bookmarkStart w:id="71" w:name="_Toc184314442"/>
      <w:bookmarkEnd w:id="71"/>
      <w:bookmarkStart w:id="72" w:name="_Toc184308048"/>
      <w:bookmarkEnd w:id="72"/>
      <w:bookmarkStart w:id="73" w:name="_Toc184312068"/>
      <w:bookmarkEnd w:id="73"/>
      <w:bookmarkStart w:id="74" w:name="_Toc184313302"/>
      <w:bookmarkEnd w:id="74"/>
      <w:bookmarkStart w:id="75" w:name="_Toc184314479"/>
      <w:bookmarkEnd w:id="75"/>
      <w:bookmarkStart w:id="76" w:name="_Toc184314480"/>
      <w:bookmarkEnd w:id="76"/>
      <w:bookmarkStart w:id="77" w:name="_Toc184310286"/>
      <w:bookmarkEnd w:id="77"/>
      <w:bookmarkStart w:id="78" w:name="_Toc184308077"/>
      <w:bookmarkEnd w:id="78"/>
      <w:bookmarkStart w:id="79" w:name="_Toc184310278"/>
      <w:bookmarkEnd w:id="79"/>
      <w:bookmarkStart w:id="80" w:name="_Toc184313290"/>
      <w:bookmarkEnd w:id="80"/>
      <w:bookmarkStart w:id="81" w:name="_Toc184313244"/>
      <w:bookmarkEnd w:id="81"/>
      <w:bookmarkStart w:id="82" w:name="_Toc184308085"/>
      <w:bookmarkEnd w:id="82"/>
      <w:bookmarkStart w:id="83" w:name="_Toc184313256"/>
      <w:bookmarkEnd w:id="83"/>
      <w:bookmarkStart w:id="84" w:name="_Toc184310283"/>
      <w:bookmarkEnd w:id="84"/>
      <w:bookmarkStart w:id="85" w:name="_Toc184312084"/>
      <w:bookmarkEnd w:id="85"/>
      <w:bookmarkStart w:id="86" w:name="_Toc184308105"/>
      <w:bookmarkEnd w:id="86"/>
      <w:bookmarkStart w:id="87" w:name="_Toc184308046"/>
      <w:bookmarkEnd w:id="87"/>
      <w:bookmarkStart w:id="88" w:name="_Toc184310328"/>
      <w:bookmarkEnd w:id="88"/>
      <w:bookmarkStart w:id="89" w:name="_Toc184313265"/>
      <w:bookmarkEnd w:id="89"/>
      <w:bookmarkStart w:id="90" w:name="_Toc184310313"/>
      <w:bookmarkEnd w:id="90"/>
      <w:bookmarkStart w:id="91" w:name="_Toc184312116"/>
      <w:bookmarkEnd w:id="91"/>
      <w:bookmarkStart w:id="92" w:name="_Toc184314478"/>
      <w:bookmarkEnd w:id="92"/>
      <w:bookmarkStart w:id="93" w:name="_Toc184312133"/>
      <w:bookmarkEnd w:id="93"/>
      <w:bookmarkStart w:id="94" w:name="_Toc184312128"/>
      <w:bookmarkEnd w:id="94"/>
      <w:bookmarkStart w:id="95" w:name="_Toc184313245"/>
      <w:bookmarkEnd w:id="95"/>
      <w:bookmarkStart w:id="96" w:name="_Toc184310327"/>
      <w:bookmarkEnd w:id="96"/>
      <w:bookmarkStart w:id="97" w:name="_Toc184314437"/>
      <w:bookmarkEnd w:id="97"/>
      <w:bookmarkStart w:id="98" w:name="_Toc184310301"/>
      <w:bookmarkEnd w:id="98"/>
      <w:bookmarkStart w:id="99" w:name="_Toc184312112"/>
      <w:bookmarkEnd w:id="99"/>
      <w:bookmarkStart w:id="100" w:name="_Toc184313243"/>
      <w:bookmarkEnd w:id="100"/>
      <w:bookmarkStart w:id="101" w:name="_Toc184312131"/>
      <w:bookmarkEnd w:id="101"/>
      <w:bookmarkStart w:id="102" w:name="_Toc184308060"/>
      <w:bookmarkEnd w:id="102"/>
      <w:bookmarkStart w:id="103" w:name="_Toc184310338"/>
      <w:bookmarkEnd w:id="103"/>
      <w:bookmarkStart w:id="104" w:name="_Toc184310311"/>
      <w:bookmarkEnd w:id="104"/>
      <w:bookmarkStart w:id="105" w:name="_Toc184308072"/>
      <w:bookmarkEnd w:id="105"/>
      <w:bookmarkStart w:id="106" w:name="_Toc184308081"/>
      <w:bookmarkEnd w:id="106"/>
      <w:bookmarkStart w:id="107" w:name="_Toc184313280"/>
      <w:bookmarkEnd w:id="107"/>
      <w:bookmarkStart w:id="108" w:name="_Toc184312111"/>
      <w:bookmarkEnd w:id="108"/>
      <w:bookmarkStart w:id="109" w:name="_Toc184308056"/>
      <w:bookmarkEnd w:id="109"/>
      <w:bookmarkStart w:id="110" w:name="_Toc184314471"/>
      <w:bookmarkEnd w:id="110"/>
      <w:bookmarkStart w:id="111" w:name="_Toc184308037"/>
      <w:bookmarkEnd w:id="111"/>
      <w:bookmarkStart w:id="112" w:name="_Toc184310330"/>
      <w:bookmarkEnd w:id="112"/>
      <w:bookmarkStart w:id="113" w:name="_Toc184314417"/>
      <w:bookmarkEnd w:id="113"/>
      <w:bookmarkStart w:id="114" w:name="_Toc184308039"/>
      <w:bookmarkEnd w:id="114"/>
      <w:bookmarkStart w:id="115" w:name="_Toc184313306"/>
      <w:bookmarkEnd w:id="115"/>
      <w:bookmarkStart w:id="116" w:name="_Toc184313259"/>
      <w:bookmarkEnd w:id="116"/>
      <w:bookmarkStart w:id="117" w:name="_Toc184313287"/>
      <w:bookmarkEnd w:id="117"/>
      <w:bookmarkStart w:id="118" w:name="_Toc184312090"/>
      <w:bookmarkEnd w:id="118"/>
      <w:bookmarkStart w:id="119" w:name="_Toc184308094"/>
      <w:bookmarkEnd w:id="119"/>
      <w:bookmarkStart w:id="120" w:name="_Toc184314468"/>
      <w:bookmarkEnd w:id="120"/>
      <w:bookmarkStart w:id="121" w:name="_Toc184313278"/>
      <w:bookmarkEnd w:id="121"/>
      <w:bookmarkStart w:id="122" w:name="_Toc184312067"/>
      <w:bookmarkEnd w:id="122"/>
      <w:bookmarkStart w:id="123" w:name="_Toc184310302"/>
      <w:bookmarkEnd w:id="123"/>
      <w:bookmarkStart w:id="124" w:name="_Toc184312102"/>
      <w:bookmarkEnd w:id="124"/>
      <w:bookmarkStart w:id="125" w:name="_Toc184313269"/>
      <w:bookmarkEnd w:id="125"/>
      <w:bookmarkStart w:id="126" w:name="_Toc184310334"/>
      <w:bookmarkEnd w:id="126"/>
      <w:bookmarkStart w:id="127" w:name="_Toc184308099"/>
      <w:bookmarkEnd w:id="127"/>
      <w:bookmarkStart w:id="128" w:name="_Toc184310303"/>
      <w:bookmarkEnd w:id="128"/>
      <w:bookmarkStart w:id="129" w:name="_Toc184308065"/>
      <w:bookmarkEnd w:id="129"/>
      <w:bookmarkStart w:id="130" w:name="_Toc184313257"/>
      <w:bookmarkEnd w:id="130"/>
      <w:bookmarkStart w:id="131" w:name="_Toc184308089"/>
      <w:bookmarkEnd w:id="131"/>
      <w:bookmarkStart w:id="132" w:name="_Toc184313246"/>
      <w:bookmarkEnd w:id="132"/>
      <w:bookmarkStart w:id="133" w:name="_Toc184308059"/>
      <w:bookmarkEnd w:id="133"/>
      <w:bookmarkStart w:id="134" w:name="_Toc184312085"/>
      <w:bookmarkEnd w:id="134"/>
      <w:bookmarkStart w:id="135" w:name="_Toc184313274"/>
      <w:bookmarkEnd w:id="135"/>
      <w:bookmarkStart w:id="136" w:name="_Toc184313284"/>
      <w:bookmarkEnd w:id="136"/>
      <w:bookmarkStart w:id="137" w:name="_Toc184312103"/>
      <w:bookmarkEnd w:id="137"/>
      <w:bookmarkStart w:id="138" w:name="_Toc184310293"/>
      <w:bookmarkEnd w:id="138"/>
      <w:bookmarkStart w:id="139" w:name="_Toc184314470"/>
      <w:bookmarkEnd w:id="139"/>
      <w:bookmarkStart w:id="140" w:name="_Toc184312089"/>
      <w:bookmarkEnd w:id="140"/>
      <w:bookmarkStart w:id="141" w:name="_Toc184308063"/>
      <w:bookmarkEnd w:id="141"/>
      <w:bookmarkStart w:id="142" w:name="_Toc184314415"/>
      <w:bookmarkEnd w:id="142"/>
      <w:bookmarkStart w:id="143" w:name="_Toc184313272"/>
      <w:bookmarkEnd w:id="143"/>
      <w:bookmarkStart w:id="144" w:name="_Toc184313294"/>
      <w:bookmarkEnd w:id="144"/>
      <w:bookmarkStart w:id="145" w:name="_Toc184308042"/>
      <w:bookmarkEnd w:id="145"/>
      <w:bookmarkStart w:id="146" w:name="_Toc184313288"/>
      <w:bookmarkEnd w:id="146"/>
      <w:bookmarkStart w:id="147" w:name="_Toc184310344"/>
      <w:bookmarkEnd w:id="147"/>
      <w:bookmarkStart w:id="148" w:name="_Toc184308050"/>
      <w:bookmarkEnd w:id="148"/>
      <w:bookmarkStart w:id="149" w:name="_Toc184312115"/>
      <w:bookmarkEnd w:id="149"/>
      <w:bookmarkStart w:id="150" w:name="_Toc184310337"/>
      <w:bookmarkEnd w:id="150"/>
      <w:bookmarkStart w:id="151" w:name="_Toc184314464"/>
      <w:bookmarkEnd w:id="151"/>
      <w:bookmarkStart w:id="152" w:name="_Toc184312074"/>
      <w:bookmarkEnd w:id="152"/>
      <w:bookmarkStart w:id="153" w:name="_Toc184310333"/>
      <w:bookmarkEnd w:id="153"/>
      <w:bookmarkStart w:id="154" w:name="_Toc184308087"/>
      <w:bookmarkEnd w:id="154"/>
      <w:bookmarkStart w:id="155" w:name="_Toc184313309"/>
      <w:bookmarkEnd w:id="155"/>
      <w:bookmarkStart w:id="156" w:name="_Toc184313308"/>
      <w:bookmarkEnd w:id="156"/>
      <w:bookmarkStart w:id="157" w:name="_Toc184314410"/>
      <w:bookmarkEnd w:id="157"/>
      <w:bookmarkStart w:id="158" w:name="_Toc184314467"/>
      <w:bookmarkEnd w:id="158"/>
      <w:bookmarkStart w:id="159" w:name="_Toc184308076"/>
      <w:bookmarkEnd w:id="159"/>
      <w:bookmarkStart w:id="160" w:name="_Toc184310319"/>
      <w:bookmarkEnd w:id="160"/>
      <w:bookmarkStart w:id="161" w:name="_Toc184308071"/>
      <w:bookmarkEnd w:id="161"/>
      <w:bookmarkStart w:id="162" w:name="_Toc184310308"/>
      <w:bookmarkEnd w:id="162"/>
      <w:bookmarkStart w:id="163" w:name="_Toc184313252"/>
      <w:bookmarkEnd w:id="163"/>
      <w:bookmarkStart w:id="164" w:name="_Toc184314436"/>
      <w:bookmarkEnd w:id="164"/>
      <w:bookmarkStart w:id="165" w:name="_Toc184312119"/>
      <w:bookmarkEnd w:id="165"/>
      <w:bookmarkStart w:id="166" w:name="_Toc184312095"/>
      <w:bookmarkEnd w:id="166"/>
      <w:bookmarkStart w:id="167" w:name="_Toc184312136"/>
      <w:bookmarkEnd w:id="167"/>
      <w:bookmarkStart w:id="168" w:name="_Toc184314457"/>
      <w:bookmarkEnd w:id="168"/>
      <w:bookmarkStart w:id="169" w:name="_Toc184308064"/>
      <w:bookmarkEnd w:id="169"/>
      <w:bookmarkStart w:id="170" w:name="_Toc184314447"/>
      <w:bookmarkEnd w:id="170"/>
      <w:bookmarkStart w:id="171" w:name="_Toc184314444"/>
      <w:bookmarkEnd w:id="171"/>
      <w:bookmarkStart w:id="172" w:name="_Toc184314424"/>
      <w:bookmarkEnd w:id="172"/>
      <w:bookmarkStart w:id="173" w:name="_Toc184313270"/>
      <w:bookmarkEnd w:id="173"/>
      <w:bookmarkStart w:id="174" w:name="_Toc184308100"/>
      <w:bookmarkEnd w:id="174"/>
      <w:bookmarkStart w:id="175" w:name="_Toc184314416"/>
      <w:bookmarkEnd w:id="175"/>
      <w:bookmarkStart w:id="176" w:name="_Toc184312081"/>
      <w:bookmarkEnd w:id="176"/>
      <w:bookmarkStart w:id="177" w:name="_Toc184314462"/>
      <w:bookmarkEnd w:id="177"/>
      <w:bookmarkStart w:id="178" w:name="_Toc184314446"/>
      <w:bookmarkEnd w:id="178"/>
      <w:bookmarkStart w:id="179" w:name="_Toc184308098"/>
      <w:bookmarkEnd w:id="179"/>
      <w:bookmarkStart w:id="180" w:name="_Toc184312104"/>
      <w:bookmarkEnd w:id="180"/>
      <w:bookmarkStart w:id="181" w:name="_Toc184313298"/>
      <w:bookmarkEnd w:id="181"/>
      <w:bookmarkStart w:id="182" w:name="_Toc184310290"/>
      <w:bookmarkEnd w:id="182"/>
      <w:bookmarkStart w:id="183" w:name="_Toc184312123"/>
      <w:bookmarkEnd w:id="183"/>
      <w:bookmarkStart w:id="184" w:name="_Toc184314450"/>
      <w:bookmarkEnd w:id="184"/>
      <w:bookmarkStart w:id="185" w:name="_Toc184314481"/>
      <w:bookmarkEnd w:id="185"/>
      <w:bookmarkStart w:id="186" w:name="_Toc184308068"/>
      <w:bookmarkEnd w:id="186"/>
      <w:bookmarkStart w:id="187" w:name="_Toc184310272"/>
      <w:bookmarkEnd w:id="187"/>
      <w:bookmarkStart w:id="188" w:name="_Toc184312098"/>
      <w:bookmarkEnd w:id="188"/>
      <w:bookmarkStart w:id="189" w:name="_Toc184310282"/>
      <w:bookmarkEnd w:id="189"/>
      <w:bookmarkStart w:id="190" w:name="_Toc184312120"/>
      <w:bookmarkEnd w:id="190"/>
      <w:bookmarkStart w:id="191" w:name="_Toc184312078"/>
      <w:bookmarkEnd w:id="191"/>
      <w:bookmarkStart w:id="192" w:name="_Toc184308108"/>
      <w:bookmarkEnd w:id="192"/>
      <w:bookmarkStart w:id="193" w:name="_Toc184310305"/>
      <w:bookmarkEnd w:id="193"/>
      <w:bookmarkStart w:id="194" w:name="_Toc184314428"/>
      <w:bookmarkEnd w:id="194"/>
      <w:bookmarkStart w:id="195" w:name="_Toc184308107"/>
      <w:bookmarkEnd w:id="195"/>
      <w:bookmarkStart w:id="196" w:name="_Toc184313239"/>
      <w:bookmarkEnd w:id="196"/>
      <w:bookmarkStart w:id="197" w:name="_Toc184313258"/>
      <w:bookmarkEnd w:id="197"/>
      <w:bookmarkStart w:id="198" w:name="_Toc184314445"/>
      <w:bookmarkEnd w:id="198"/>
      <w:bookmarkStart w:id="199" w:name="_Toc184313285"/>
      <w:bookmarkEnd w:id="199"/>
      <w:bookmarkStart w:id="200" w:name="_Toc184310288"/>
      <w:bookmarkEnd w:id="200"/>
      <w:bookmarkStart w:id="201" w:name="_Toc184313250"/>
      <w:bookmarkEnd w:id="201"/>
      <w:bookmarkStart w:id="202" w:name="_Toc184313292"/>
      <w:bookmarkEnd w:id="202"/>
      <w:bookmarkStart w:id="203" w:name="_Toc184313263"/>
      <w:bookmarkEnd w:id="203"/>
      <w:bookmarkStart w:id="204" w:name="_Toc184312107"/>
      <w:bookmarkEnd w:id="204"/>
      <w:bookmarkStart w:id="205" w:name="_Toc184313283"/>
      <w:bookmarkEnd w:id="205"/>
      <w:bookmarkStart w:id="206" w:name="_Toc184312121"/>
      <w:bookmarkEnd w:id="206"/>
      <w:bookmarkStart w:id="207" w:name="_Toc184308038"/>
      <w:bookmarkEnd w:id="207"/>
      <w:bookmarkStart w:id="208" w:name="_Toc184314482"/>
      <w:bookmarkEnd w:id="208"/>
      <w:bookmarkStart w:id="209" w:name="_Toc184310326"/>
      <w:bookmarkEnd w:id="209"/>
      <w:bookmarkStart w:id="210" w:name="_Toc184310306"/>
      <w:bookmarkEnd w:id="210"/>
      <w:bookmarkStart w:id="211" w:name="_Toc184310320"/>
      <w:bookmarkEnd w:id="211"/>
      <w:bookmarkStart w:id="212" w:name="_Toc184313297"/>
      <w:bookmarkEnd w:id="212"/>
      <w:bookmarkStart w:id="213" w:name="_Toc184314412"/>
      <w:bookmarkEnd w:id="213"/>
      <w:bookmarkStart w:id="214" w:name="_Toc184308086"/>
      <w:bookmarkEnd w:id="214"/>
      <w:bookmarkStart w:id="215" w:name="_Toc184310340"/>
      <w:bookmarkEnd w:id="215"/>
      <w:bookmarkStart w:id="216" w:name="_Toc184314439"/>
      <w:bookmarkEnd w:id="216"/>
      <w:bookmarkStart w:id="217" w:name="_Toc184313279"/>
      <w:bookmarkEnd w:id="217"/>
      <w:bookmarkStart w:id="218" w:name="_Toc184308069"/>
      <w:bookmarkEnd w:id="218"/>
      <w:bookmarkStart w:id="219" w:name="_Toc184308106"/>
      <w:bookmarkEnd w:id="219"/>
      <w:bookmarkStart w:id="220" w:name="_Toc184314414"/>
      <w:bookmarkEnd w:id="220"/>
      <w:bookmarkStart w:id="221" w:name="_Toc184308097"/>
      <w:bookmarkEnd w:id="221"/>
      <w:bookmarkStart w:id="222" w:name="_Toc184313296"/>
      <w:bookmarkEnd w:id="222"/>
      <w:bookmarkStart w:id="223" w:name="_Toc184312099"/>
      <w:bookmarkEnd w:id="223"/>
      <w:bookmarkStart w:id="224" w:name="_Toc184308061"/>
      <w:bookmarkEnd w:id="224"/>
      <w:bookmarkStart w:id="225" w:name="_Toc184312109"/>
      <w:bookmarkEnd w:id="225"/>
      <w:bookmarkStart w:id="226" w:name="_Toc184312138"/>
      <w:bookmarkEnd w:id="226"/>
      <w:bookmarkStart w:id="227" w:name="_Toc184314453"/>
      <w:bookmarkEnd w:id="227"/>
      <w:bookmarkStart w:id="228" w:name="_Toc184313255"/>
      <w:bookmarkEnd w:id="228"/>
      <w:bookmarkStart w:id="229" w:name="_Toc184308073"/>
      <w:bookmarkEnd w:id="229"/>
      <w:bookmarkStart w:id="230" w:name="_Toc184310294"/>
      <w:bookmarkEnd w:id="230"/>
      <w:bookmarkStart w:id="231" w:name="_Toc184314465"/>
      <w:bookmarkEnd w:id="231"/>
      <w:bookmarkStart w:id="232" w:name="_Toc184308088"/>
      <w:bookmarkEnd w:id="232"/>
      <w:bookmarkStart w:id="233" w:name="_Toc184312080"/>
      <w:bookmarkEnd w:id="233"/>
      <w:bookmarkStart w:id="234" w:name="_Toc184314427"/>
      <w:bookmarkEnd w:id="234"/>
      <w:bookmarkStart w:id="235" w:name="_Toc184310332"/>
      <w:bookmarkEnd w:id="235"/>
      <w:bookmarkStart w:id="236" w:name="_Toc184313254"/>
      <w:bookmarkEnd w:id="236"/>
      <w:bookmarkStart w:id="237" w:name="_Toc184312137"/>
      <w:bookmarkEnd w:id="237"/>
      <w:bookmarkStart w:id="238" w:name="_Toc184310322"/>
      <w:bookmarkEnd w:id="238"/>
      <w:bookmarkStart w:id="239" w:name="_Toc184308093"/>
      <w:bookmarkEnd w:id="239"/>
      <w:bookmarkStart w:id="240" w:name="_Toc184308084"/>
      <w:bookmarkEnd w:id="240"/>
      <w:bookmarkStart w:id="241" w:name="_Toc184313291"/>
      <w:bookmarkEnd w:id="241"/>
      <w:bookmarkStart w:id="242" w:name="_Toc184313266"/>
      <w:bookmarkEnd w:id="242"/>
      <w:bookmarkStart w:id="243" w:name="_Toc184313295"/>
      <w:bookmarkEnd w:id="243"/>
      <w:bookmarkStart w:id="244" w:name="_Toc184308066"/>
      <w:bookmarkEnd w:id="244"/>
      <w:bookmarkStart w:id="245" w:name="_Toc184314432"/>
      <w:bookmarkEnd w:id="245"/>
      <w:bookmarkStart w:id="246" w:name="_Toc184308047"/>
      <w:bookmarkEnd w:id="246"/>
      <w:bookmarkStart w:id="247" w:name="_Toc184314419"/>
      <w:bookmarkEnd w:id="247"/>
      <w:bookmarkStart w:id="248" w:name="_Toc184314423"/>
      <w:bookmarkEnd w:id="248"/>
      <w:bookmarkStart w:id="249" w:name="_Toc184314461"/>
      <w:bookmarkEnd w:id="249"/>
      <w:bookmarkStart w:id="250" w:name="_Toc184313286"/>
      <w:bookmarkEnd w:id="250"/>
      <w:bookmarkStart w:id="251" w:name="_Toc184314420"/>
      <w:bookmarkEnd w:id="251"/>
      <w:bookmarkStart w:id="252" w:name="_Toc184310341"/>
      <w:bookmarkEnd w:id="252"/>
      <w:bookmarkStart w:id="253" w:name="_Toc184308102"/>
      <w:bookmarkEnd w:id="253"/>
      <w:bookmarkStart w:id="254" w:name="_Toc184314476"/>
      <w:bookmarkEnd w:id="254"/>
      <w:bookmarkStart w:id="255" w:name="_Toc184312108"/>
      <w:bookmarkEnd w:id="255"/>
      <w:bookmarkStart w:id="256" w:name="_Toc184313248"/>
      <w:bookmarkEnd w:id="256"/>
      <w:bookmarkStart w:id="257" w:name="_Toc184313268"/>
      <w:bookmarkEnd w:id="257"/>
      <w:bookmarkStart w:id="258" w:name="_Toc184310325"/>
      <w:bookmarkEnd w:id="258"/>
      <w:bookmarkStart w:id="259" w:name="_Toc184314459"/>
      <w:bookmarkEnd w:id="259"/>
      <w:bookmarkStart w:id="260" w:name="_Toc184313267"/>
      <w:bookmarkEnd w:id="260"/>
      <w:bookmarkStart w:id="261" w:name="_Toc184314434"/>
      <w:bookmarkEnd w:id="261"/>
      <w:bookmarkStart w:id="262" w:name="_Toc184308053"/>
      <w:bookmarkEnd w:id="262"/>
      <w:bookmarkStart w:id="263" w:name="_Toc184312072"/>
      <w:bookmarkEnd w:id="263"/>
      <w:bookmarkStart w:id="264" w:name="_Toc184310298"/>
      <w:bookmarkEnd w:id="264"/>
      <w:bookmarkStart w:id="265" w:name="_Toc184313247"/>
      <w:bookmarkEnd w:id="265"/>
      <w:bookmarkStart w:id="266" w:name="_Toc184313271"/>
      <w:bookmarkEnd w:id="266"/>
      <w:bookmarkStart w:id="267" w:name="_Toc184314452"/>
      <w:bookmarkEnd w:id="267"/>
      <w:bookmarkStart w:id="268" w:name="_Toc184313261"/>
      <w:bookmarkEnd w:id="268"/>
      <w:bookmarkStart w:id="269" w:name="_Toc184314418"/>
      <w:bookmarkEnd w:id="269"/>
      <w:bookmarkStart w:id="270" w:name="_Toc184312114"/>
      <w:bookmarkEnd w:id="270"/>
      <w:bookmarkStart w:id="271" w:name="_Toc184314448"/>
      <w:bookmarkEnd w:id="271"/>
      <w:bookmarkStart w:id="272" w:name="_Toc184313241"/>
      <w:bookmarkEnd w:id="272"/>
      <w:bookmarkStart w:id="273" w:name="_Toc184310304"/>
      <w:bookmarkEnd w:id="273"/>
      <w:bookmarkStart w:id="274" w:name="_Toc184310314"/>
      <w:bookmarkEnd w:id="274"/>
      <w:bookmarkStart w:id="275" w:name="_Toc184314456"/>
      <w:bookmarkEnd w:id="275"/>
      <w:bookmarkStart w:id="276" w:name="_Toc184312069"/>
      <w:bookmarkEnd w:id="276"/>
      <w:bookmarkStart w:id="277" w:name="_Toc184308052"/>
      <w:bookmarkEnd w:id="277"/>
      <w:bookmarkStart w:id="278" w:name="_Toc184310284"/>
      <w:bookmarkEnd w:id="278"/>
      <w:bookmarkStart w:id="279" w:name="_Toc184308045"/>
      <w:bookmarkEnd w:id="279"/>
      <w:bookmarkStart w:id="280" w:name="_Toc184310281"/>
      <w:bookmarkEnd w:id="280"/>
      <w:bookmarkStart w:id="281" w:name="_Toc184312086"/>
      <w:bookmarkEnd w:id="281"/>
      <w:bookmarkStart w:id="282" w:name="_Toc184313262"/>
      <w:bookmarkEnd w:id="282"/>
      <w:bookmarkStart w:id="283" w:name="_Toc184314473"/>
      <w:bookmarkEnd w:id="283"/>
      <w:bookmarkStart w:id="284" w:name="_Toc184313304"/>
      <w:bookmarkEnd w:id="284"/>
      <w:bookmarkStart w:id="285" w:name="_Toc184314477"/>
      <w:bookmarkEnd w:id="285"/>
      <w:bookmarkStart w:id="286" w:name="_Toc184314455"/>
      <w:bookmarkEnd w:id="286"/>
      <w:bookmarkStart w:id="287" w:name="_Toc184313249"/>
      <w:bookmarkEnd w:id="287"/>
      <w:bookmarkStart w:id="288" w:name="_Toc184312129"/>
      <w:bookmarkEnd w:id="288"/>
      <w:bookmarkStart w:id="289" w:name="_Toc184314454"/>
      <w:bookmarkEnd w:id="289"/>
      <w:bookmarkStart w:id="290" w:name="_Toc184310312"/>
      <w:bookmarkEnd w:id="290"/>
      <w:bookmarkStart w:id="291" w:name="_Toc184314425"/>
      <w:bookmarkEnd w:id="291"/>
      <w:bookmarkStart w:id="292" w:name="_Toc184313299"/>
      <w:bookmarkEnd w:id="292"/>
      <w:bookmarkStart w:id="293" w:name="_Toc184310318"/>
      <w:bookmarkEnd w:id="293"/>
      <w:bookmarkStart w:id="294" w:name="_Toc184314466"/>
      <w:bookmarkEnd w:id="294"/>
      <w:bookmarkStart w:id="295" w:name="_Toc184308049"/>
      <w:bookmarkEnd w:id="295"/>
      <w:bookmarkStart w:id="296" w:name="_Toc184312087"/>
      <w:bookmarkEnd w:id="296"/>
      <w:bookmarkStart w:id="297" w:name="_Toc184313293"/>
      <w:bookmarkEnd w:id="297"/>
      <w:bookmarkStart w:id="298" w:name="_Toc184308051"/>
      <w:bookmarkEnd w:id="298"/>
      <w:bookmarkStart w:id="299" w:name="_Toc184310324"/>
      <w:bookmarkEnd w:id="299"/>
      <w:bookmarkStart w:id="300" w:name="_Toc184308074"/>
      <w:bookmarkEnd w:id="300"/>
      <w:bookmarkStart w:id="301" w:name="_Toc184310291"/>
      <w:bookmarkEnd w:id="301"/>
      <w:bookmarkStart w:id="302" w:name="_Toc184312082"/>
      <w:bookmarkEnd w:id="302"/>
      <w:bookmarkStart w:id="303" w:name="_Toc184310342"/>
      <w:bookmarkEnd w:id="303"/>
      <w:bookmarkStart w:id="304" w:name="_Toc184313282"/>
      <w:bookmarkEnd w:id="304"/>
      <w:bookmarkStart w:id="305" w:name="_Toc184314430"/>
      <w:bookmarkEnd w:id="305"/>
      <w:bookmarkStart w:id="306" w:name="_Toc184313300"/>
      <w:bookmarkEnd w:id="306"/>
      <w:bookmarkStart w:id="307" w:name="_Toc184313310"/>
      <w:bookmarkEnd w:id="307"/>
      <w:bookmarkStart w:id="308" w:name="_Toc184314438"/>
      <w:bookmarkEnd w:id="308"/>
      <w:bookmarkStart w:id="309" w:name="_Toc184314463"/>
      <w:bookmarkEnd w:id="309"/>
      <w:bookmarkStart w:id="310" w:name="_Toc184314469"/>
      <w:bookmarkEnd w:id="310"/>
      <w:bookmarkStart w:id="311" w:name="_Toc184308055"/>
      <w:bookmarkEnd w:id="311"/>
      <w:bookmarkStart w:id="312" w:name="_Toc184310310"/>
      <w:bookmarkEnd w:id="312"/>
      <w:bookmarkStart w:id="313" w:name="_Toc184313273"/>
      <w:bookmarkEnd w:id="313"/>
      <w:bookmarkStart w:id="314" w:name="_Toc184312117"/>
      <w:bookmarkEnd w:id="314"/>
      <w:bookmarkStart w:id="315" w:name="_Toc184314472"/>
      <w:bookmarkEnd w:id="315"/>
      <w:bookmarkStart w:id="316" w:name="_Toc184312094"/>
      <w:bookmarkEnd w:id="316"/>
      <w:bookmarkStart w:id="317" w:name="_Toc184310289"/>
      <w:bookmarkEnd w:id="317"/>
      <w:bookmarkStart w:id="318" w:name="_Toc184313277"/>
      <w:bookmarkEnd w:id="318"/>
      <w:bookmarkStart w:id="319" w:name="_Toc184312075"/>
      <w:bookmarkEnd w:id="319"/>
      <w:bookmarkStart w:id="320" w:name="_Toc184312130"/>
      <w:bookmarkEnd w:id="320"/>
      <w:bookmarkStart w:id="321" w:name="_Toc184312073"/>
      <w:bookmarkEnd w:id="321"/>
      <w:bookmarkStart w:id="322" w:name="_Toc184310335"/>
      <w:bookmarkEnd w:id="322"/>
      <w:bookmarkStart w:id="323" w:name="_Toc184310299"/>
      <w:bookmarkEnd w:id="323"/>
      <w:bookmarkStart w:id="324" w:name="_Toc184312135"/>
      <w:bookmarkEnd w:id="324"/>
      <w:bookmarkStart w:id="325" w:name="_Toc184312125"/>
      <w:bookmarkEnd w:id="325"/>
      <w:bookmarkStart w:id="326" w:name="_Toc184313289"/>
      <w:bookmarkEnd w:id="326"/>
      <w:bookmarkStart w:id="327" w:name="_Toc184310329"/>
      <w:bookmarkEnd w:id="327"/>
      <w:bookmarkStart w:id="328" w:name="_Toc184314443"/>
      <w:bookmarkEnd w:id="328"/>
      <w:bookmarkStart w:id="329" w:name="_Toc184308058"/>
      <w:bookmarkEnd w:id="329"/>
      <w:bookmarkStart w:id="330" w:name="_Toc184308080"/>
      <w:bookmarkEnd w:id="330"/>
      <w:bookmarkStart w:id="331" w:name="_Toc184313275"/>
      <w:bookmarkEnd w:id="331"/>
      <w:bookmarkStart w:id="332" w:name="_Toc184314422"/>
      <w:bookmarkEnd w:id="332"/>
      <w:bookmarkStart w:id="333" w:name="_Toc184312126"/>
      <w:bookmarkEnd w:id="333"/>
      <w:bookmarkStart w:id="334" w:name="_Toc184313260"/>
      <w:bookmarkEnd w:id="334"/>
      <w:bookmarkStart w:id="335" w:name="_Toc184310275"/>
      <w:bookmarkEnd w:id="335"/>
      <w:bookmarkStart w:id="336" w:name="_Toc184314475"/>
      <w:bookmarkEnd w:id="336"/>
      <w:bookmarkStart w:id="337" w:name="_Toc184312092"/>
      <w:bookmarkEnd w:id="337"/>
      <w:bookmarkStart w:id="338" w:name="_Toc184314440"/>
      <w:bookmarkEnd w:id="338"/>
      <w:bookmarkStart w:id="339" w:name="_Toc184312088"/>
      <w:bookmarkEnd w:id="339"/>
      <w:bookmarkStart w:id="340" w:name="_Toc184314458"/>
      <w:bookmarkEnd w:id="340"/>
      <w:bookmarkStart w:id="341" w:name="_Toc184310321"/>
      <w:bookmarkEnd w:id="341"/>
      <w:bookmarkStart w:id="342" w:name="_Toc184308070"/>
      <w:bookmarkEnd w:id="342"/>
      <w:bookmarkStart w:id="343" w:name="_Toc184308044"/>
      <w:bookmarkEnd w:id="343"/>
      <w:bookmarkStart w:id="344" w:name="_Toc184310296"/>
      <w:bookmarkEnd w:id="344"/>
      <w:bookmarkStart w:id="345" w:name="_Toc184310300"/>
      <w:bookmarkEnd w:id="345"/>
      <w:bookmarkStart w:id="346" w:name="_Toc184313305"/>
      <w:bookmarkEnd w:id="346"/>
      <w:bookmarkStart w:id="347" w:name="_Toc184308082"/>
      <w:bookmarkEnd w:id="347"/>
      <w:bookmarkStart w:id="348" w:name="_Toc184312091"/>
      <w:bookmarkEnd w:id="348"/>
      <w:bookmarkStart w:id="349" w:name="_Toc184310285"/>
      <w:bookmarkEnd w:id="349"/>
      <w:bookmarkStart w:id="350" w:name="_Toc184310279"/>
      <w:bookmarkEnd w:id="350"/>
      <w:bookmarkStart w:id="351" w:name="_Toc184313276"/>
      <w:bookmarkEnd w:id="351"/>
      <w:bookmarkStart w:id="352" w:name="_Toc184314451"/>
      <w:bookmarkEnd w:id="352"/>
      <w:bookmarkStart w:id="353" w:name="_Toc184314413"/>
      <w:bookmarkEnd w:id="353"/>
      <w:bookmarkStart w:id="354" w:name="_Toc184313307"/>
      <w:bookmarkEnd w:id="354"/>
      <w:bookmarkStart w:id="355" w:name="_Toc184314433"/>
      <w:bookmarkEnd w:id="355"/>
      <w:bookmarkStart w:id="356" w:name="_Toc184314441"/>
      <w:bookmarkEnd w:id="356"/>
      <w:bookmarkStart w:id="357" w:name="_Toc184310339"/>
      <w:bookmarkEnd w:id="357"/>
      <w:bookmarkStart w:id="358" w:name="_Toc184308041"/>
      <w:bookmarkEnd w:id="358"/>
      <w:bookmarkStart w:id="359" w:name="_Toc184308075"/>
      <w:bookmarkEnd w:id="359"/>
      <w:bookmarkStart w:id="360" w:name="_Toc184312077"/>
      <w:bookmarkEnd w:id="360"/>
      <w:bookmarkStart w:id="361" w:name="_Toc184312106"/>
      <w:bookmarkEnd w:id="361"/>
      <w:bookmarkStart w:id="362" w:name="_Toc184312118"/>
      <w:bookmarkEnd w:id="362"/>
      <w:bookmarkStart w:id="363" w:name="_Toc184314411"/>
      <w:bookmarkEnd w:id="363"/>
      <w:bookmarkStart w:id="364" w:name="_Toc184313281"/>
      <w:bookmarkEnd w:id="364"/>
      <w:bookmarkStart w:id="365" w:name="_Toc184313253"/>
      <w:bookmarkEnd w:id="365"/>
      <w:bookmarkStart w:id="366" w:name="_Toc184310336"/>
      <w:bookmarkEnd w:id="366"/>
      <w:bookmarkStart w:id="367" w:name="_Toc184313264"/>
      <w:bookmarkEnd w:id="367"/>
      <w:bookmarkStart w:id="368" w:name="_Toc184313303"/>
      <w:bookmarkEnd w:id="368"/>
      <w:bookmarkStart w:id="369" w:name="_Toc184312127"/>
      <w:bookmarkEnd w:id="369"/>
      <w:bookmarkStart w:id="370" w:name="_Toc184312097"/>
      <w:bookmarkEnd w:id="370"/>
      <w:bookmarkStart w:id="371" w:name="_Toc184308091"/>
      <w:bookmarkEnd w:id="371"/>
      <w:bookmarkStart w:id="372" w:name="_Toc184310287"/>
      <w:bookmarkEnd w:id="372"/>
      <w:bookmarkStart w:id="373" w:name="_Toc184308103"/>
      <w:bookmarkEnd w:id="373"/>
      <w:bookmarkStart w:id="374" w:name="_Toc184308078"/>
      <w:bookmarkEnd w:id="374"/>
      <w:bookmarkStart w:id="375" w:name="_Toc184310307"/>
      <w:bookmarkEnd w:id="375"/>
      <w:bookmarkStart w:id="376" w:name="_Toc184308062"/>
      <w:bookmarkEnd w:id="376"/>
      <w:bookmarkStart w:id="377" w:name="_Toc184312122"/>
      <w:bookmarkEnd w:id="377"/>
      <w:bookmarkStart w:id="378" w:name="_Toc184314449"/>
      <w:bookmarkEnd w:id="378"/>
      <w:bookmarkStart w:id="379" w:name="_Toc184310276"/>
      <w:bookmarkEnd w:id="379"/>
      <w:bookmarkStart w:id="380" w:name="_Toc184312134"/>
      <w:bookmarkEnd w:id="380"/>
      <w:bookmarkStart w:id="381" w:name="_Toc184308054"/>
      <w:bookmarkEnd w:id="381"/>
      <w:bookmarkStart w:id="382" w:name="_Toc184310309"/>
      <w:bookmarkEnd w:id="382"/>
      <w:bookmarkStart w:id="383" w:name="_Toc184312076"/>
      <w:bookmarkEnd w:id="383"/>
      <w:bookmarkStart w:id="384" w:name="_Toc184308096"/>
      <w:bookmarkEnd w:id="384"/>
      <w:bookmarkStart w:id="385" w:name="_Toc184312070"/>
      <w:bookmarkEnd w:id="385"/>
      <w:bookmarkStart w:id="386" w:name="_Toc184308104"/>
      <w:bookmarkEnd w:id="386"/>
      <w:bookmarkStart w:id="387" w:name="_Toc184312096"/>
      <w:bookmarkEnd w:id="387"/>
      <w:r>
        <w:rPr>
          <w:rFonts w:hint="eastAsia" w:ascii="仿宋" w:hAnsi="仿宋" w:eastAsia="仿宋" w:cs="仿宋_GB2312"/>
          <w:b/>
          <w:sz w:val="36"/>
          <w:szCs w:val="36"/>
          <w:highlight w:val="yellow"/>
        </w:rPr>
        <w:t>评标办法</w:t>
      </w:r>
    </w:p>
    <w:p>
      <w:pPr>
        <w:autoSpaceDE w:val="0"/>
        <w:autoSpaceDN w:val="0"/>
        <w:spacing w:line="360" w:lineRule="auto"/>
        <w:ind w:firstLine="482" w:firstLineChars="200"/>
        <w:rPr>
          <w:rFonts w:ascii="仿宋" w:hAnsi="仿宋" w:eastAsia="仿宋" w:cs="仿宋_GB2312"/>
          <w:sz w:val="24"/>
        </w:rPr>
      </w:pPr>
      <w:r>
        <w:rPr>
          <w:rFonts w:hint="eastAsia" w:ascii="仿宋_GB2312" w:hAnsi="宋体" w:eastAsia="仿宋_GB2312"/>
          <w:b/>
          <w:sz w:val="24"/>
        </w:rPr>
        <w:t>本项目采用综合评分法</w:t>
      </w:r>
      <w:r>
        <w:rPr>
          <w:rFonts w:hint="eastAsia" w:ascii="仿宋_GB2312" w:hAnsi="宋体" w:eastAsia="仿宋_GB2312"/>
          <w:sz w:val="24"/>
        </w:rPr>
        <w:t>，评</w:t>
      </w:r>
      <w:r>
        <w:rPr>
          <w:rFonts w:hint="eastAsia" w:ascii="仿宋" w:hAnsi="仿宋" w:eastAsia="仿宋" w:cs="仿宋_GB2312"/>
          <w:sz w:val="24"/>
        </w:rPr>
        <w:t xml:space="preserve">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9" w:firstLineChars="178"/>
        <w:rPr>
          <w:rFonts w:ascii="仿宋_GB2312" w:hAnsi="仿宋_GB2312" w:eastAsia="仿宋_GB2312" w:cs="仿宋_GB2312"/>
          <w:b/>
          <w:sz w:val="24"/>
        </w:rPr>
      </w:pPr>
      <w:r>
        <w:rPr>
          <w:rFonts w:hint="eastAsia" w:ascii="仿宋_GB2312" w:hAnsi="仿宋_GB2312" w:eastAsia="仿宋_GB2312" w:cs="仿宋_GB2312"/>
          <w:b/>
          <w:bCs/>
          <w:sz w:val="24"/>
        </w:rPr>
        <w:t>各投标人的综合得分为：投标价格得分+技术和服务方案得分+</w:t>
      </w:r>
      <w:r>
        <w:rPr>
          <w:rFonts w:hint="eastAsia" w:ascii="仿宋_GB2312" w:hAnsi="宋体" w:eastAsia="仿宋_GB2312"/>
          <w:b/>
          <w:sz w:val="24"/>
        </w:rPr>
        <w:t>投标人的资质和业绩情况得分</w:t>
      </w:r>
      <w:r>
        <w:rPr>
          <w:rFonts w:hint="eastAsia" w:ascii="仿宋_GB2312" w:hAnsi="仿宋_GB2312" w:eastAsia="仿宋_GB2312" w:cs="仿宋_GB2312"/>
          <w:b/>
          <w:bCs/>
          <w:sz w:val="24"/>
        </w:rPr>
        <w:t>之和，总和为100分，其中：</w:t>
      </w:r>
      <w:r>
        <w:rPr>
          <w:rFonts w:hint="eastAsia" w:ascii="仿宋_GB2312" w:hAnsi="仿宋_GB2312" w:eastAsia="仿宋_GB2312" w:cs="仿宋_GB2312"/>
          <w:b/>
          <w:sz w:val="24"/>
        </w:rPr>
        <w:t>投标价格得分50分，技术和服务方案得分45分，</w:t>
      </w:r>
      <w:r>
        <w:rPr>
          <w:rFonts w:hint="eastAsia" w:ascii="仿宋_GB2312" w:hAnsi="宋体" w:eastAsia="仿宋_GB2312"/>
          <w:b/>
          <w:sz w:val="24"/>
        </w:rPr>
        <w:t>投标人的资质和业绩情况得分5分</w:t>
      </w:r>
      <w:r>
        <w:rPr>
          <w:rFonts w:hint="eastAsia" w:ascii="仿宋_GB2312" w:hAnsi="仿宋_GB2312" w:eastAsia="仿宋_GB2312" w:cs="仿宋_GB2312"/>
          <w:b/>
          <w:sz w:val="24"/>
        </w:rPr>
        <w:t>。</w:t>
      </w:r>
    </w:p>
    <w:p>
      <w:pPr>
        <w:tabs>
          <w:tab w:val="left" w:pos="0"/>
        </w:tabs>
        <w:spacing w:line="360" w:lineRule="auto"/>
        <w:ind w:firstLine="542" w:firstLineChars="225"/>
        <w:rPr>
          <w:rFonts w:ascii="仿宋_GB2312" w:hAnsi="仿宋_GB2312" w:eastAsia="仿宋_GB2312" w:cs="仿宋_GB2312"/>
          <w:sz w:val="24"/>
        </w:rPr>
      </w:pPr>
      <w:r>
        <w:rPr>
          <w:rFonts w:hint="eastAsia" w:ascii="仿宋_GB2312" w:hAnsi="仿宋_GB2312" w:eastAsia="仿宋_GB2312" w:cs="仿宋_GB2312"/>
          <w:b/>
          <w:sz w:val="24"/>
        </w:rPr>
        <w:t>各投标人的技术和服务方案、投标人的业绩情况得分为：评标委员会各成员评分的算术平均值。各投标人的投标价格得分按投标价格评分</w:t>
      </w:r>
      <w:r>
        <w:rPr>
          <w:rFonts w:hint="eastAsia" w:ascii="仿宋_GB2312" w:hAnsi="仿宋_GB2312" w:eastAsia="仿宋_GB2312" w:cs="仿宋_GB2312"/>
          <w:b/>
          <w:kern w:val="0"/>
          <w:sz w:val="24"/>
        </w:rPr>
        <w:t>公式由采购机构计算，</w:t>
      </w:r>
      <w:r>
        <w:rPr>
          <w:rFonts w:hint="eastAsia" w:ascii="仿宋_GB2312" w:hAnsi="仿宋_GB2312" w:eastAsia="仿宋_GB2312" w:cs="仿宋_GB2312"/>
          <w:b/>
          <w:sz w:val="24"/>
        </w:rPr>
        <w:t>评标委员会审核。</w:t>
      </w:r>
      <w:r>
        <w:rPr>
          <w:rFonts w:hint="eastAsia" w:ascii="仿宋_GB2312" w:hAnsi="仿宋_GB2312" w:eastAsia="仿宋_GB2312" w:cs="仿宋_GB2312"/>
          <w:sz w:val="24"/>
        </w:rPr>
        <w:t>根据上述评标原则，分值安排如下：</w:t>
      </w:r>
    </w:p>
    <w:p>
      <w:pPr>
        <w:snapToGrid w:val="0"/>
        <w:spacing w:line="360" w:lineRule="auto"/>
        <w:ind w:firstLine="482" w:firstLineChars="200"/>
        <w:outlineLvl w:val="1"/>
        <w:rPr>
          <w:rFonts w:ascii="仿宋_GB2312" w:hAnsi="宋体" w:eastAsia="仿宋_GB2312"/>
          <w:b/>
          <w:bCs/>
          <w:sz w:val="24"/>
        </w:rPr>
      </w:pPr>
      <w:r>
        <w:rPr>
          <w:rFonts w:hint="eastAsia" w:ascii="仿宋_GB2312" w:hAnsi="宋体" w:eastAsia="仿宋_GB2312"/>
          <w:b/>
          <w:bCs/>
          <w:sz w:val="24"/>
        </w:rPr>
        <w:t>评分细则如下：</w:t>
      </w:r>
    </w:p>
    <w:tbl>
      <w:tblPr>
        <w:tblStyle w:val="62"/>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57"/>
        <w:gridCol w:w="13"/>
        <w:gridCol w:w="1263"/>
        <w:gridCol w:w="785"/>
        <w:gridCol w:w="4508"/>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457" w:type="dxa"/>
            <w:noWrap/>
            <w:vAlign w:val="center"/>
          </w:tcPr>
          <w:p>
            <w:pPr>
              <w:jc w:val="center"/>
              <w:rPr>
                <w:rFonts w:ascii="Times New Roman" w:hAnsi="Times New Roman"/>
                <w:sz w:val="20"/>
                <w:szCs w:val="20"/>
              </w:rPr>
            </w:pPr>
            <w:r>
              <w:rPr>
                <w:rFonts w:hint="eastAsia" w:ascii="Times New Roman" w:hAnsi="Times New Roman"/>
                <w:sz w:val="20"/>
                <w:szCs w:val="20"/>
              </w:rPr>
              <w:t>序号</w:t>
            </w:r>
          </w:p>
        </w:tc>
        <w:tc>
          <w:tcPr>
            <w:tcW w:w="1276" w:type="dxa"/>
            <w:gridSpan w:val="2"/>
            <w:noWrap/>
            <w:vAlign w:val="center"/>
          </w:tcPr>
          <w:p>
            <w:pPr>
              <w:jc w:val="center"/>
              <w:rPr>
                <w:rFonts w:ascii="Times New Roman" w:hAnsi="Times New Roman"/>
                <w:sz w:val="20"/>
                <w:szCs w:val="20"/>
              </w:rPr>
            </w:pPr>
            <w:r>
              <w:rPr>
                <w:rFonts w:hint="eastAsia" w:ascii="Times New Roman" w:hAnsi="Times New Roman"/>
                <w:sz w:val="20"/>
                <w:szCs w:val="20"/>
              </w:rPr>
              <w:t>评审项目</w:t>
            </w:r>
          </w:p>
        </w:tc>
        <w:tc>
          <w:tcPr>
            <w:tcW w:w="785" w:type="dxa"/>
            <w:noWrap/>
            <w:vAlign w:val="center"/>
          </w:tcPr>
          <w:p>
            <w:pPr>
              <w:jc w:val="center"/>
              <w:rPr>
                <w:rFonts w:ascii="Times New Roman" w:hAnsi="Times New Roman"/>
                <w:sz w:val="20"/>
                <w:szCs w:val="20"/>
              </w:rPr>
            </w:pPr>
            <w:r>
              <w:rPr>
                <w:rFonts w:hint="eastAsia" w:ascii="Times New Roman" w:hAnsi="Times New Roman"/>
                <w:sz w:val="20"/>
                <w:szCs w:val="20"/>
              </w:rPr>
              <w:t>分值</w:t>
            </w:r>
          </w:p>
        </w:tc>
        <w:tc>
          <w:tcPr>
            <w:tcW w:w="4508" w:type="dxa"/>
            <w:noWrap/>
            <w:vAlign w:val="center"/>
          </w:tcPr>
          <w:p>
            <w:pPr>
              <w:jc w:val="center"/>
              <w:rPr>
                <w:rFonts w:ascii="Times New Roman" w:hAnsi="Times New Roman"/>
                <w:sz w:val="20"/>
                <w:szCs w:val="20"/>
              </w:rPr>
            </w:pPr>
            <w:r>
              <w:rPr>
                <w:rFonts w:hint="eastAsia" w:ascii="Times New Roman" w:hAnsi="Times New Roman"/>
                <w:sz w:val="20"/>
                <w:szCs w:val="20"/>
              </w:rPr>
              <w:t>评分标准</w:t>
            </w:r>
          </w:p>
        </w:tc>
        <w:tc>
          <w:tcPr>
            <w:tcW w:w="1909" w:type="dxa"/>
            <w:noWrap/>
            <w:vAlign w:val="center"/>
          </w:tcPr>
          <w:p>
            <w:pPr>
              <w:adjustRightInd w:val="0"/>
              <w:jc w:val="center"/>
              <w:rPr>
                <w:rFonts w:ascii="Times New Roman" w:hAnsi="Times New Roman"/>
                <w:sz w:val="20"/>
                <w:szCs w:val="20"/>
              </w:rPr>
            </w:pPr>
            <w:r>
              <w:rPr>
                <w:rFonts w:hint="eastAsia" w:ascii="Times New Roman" w:hAnsi="Times New Roman" w:eastAsia="宋体" w:cs="Times New Roman"/>
                <w:sz w:val="20"/>
                <w:szCs w:val="20"/>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99" w:hRule="atLeast"/>
          <w:jc w:val="center"/>
        </w:trPr>
        <w:tc>
          <w:tcPr>
            <w:tcW w:w="457" w:type="dxa"/>
            <w:noWrap/>
            <w:vAlign w:val="center"/>
          </w:tcPr>
          <w:p>
            <w:pPr>
              <w:widowControl/>
              <w:spacing w:line="360" w:lineRule="atLeast"/>
              <w:jc w:val="center"/>
              <w:rPr>
                <w:rFonts w:ascii="宋体" w:hAnsi="宋体"/>
                <w:sz w:val="20"/>
                <w:szCs w:val="20"/>
              </w:rPr>
            </w:pPr>
            <w:r>
              <w:rPr>
                <w:rFonts w:hint="eastAsia" w:ascii="宋体" w:hAnsi="宋体" w:cs="宋体"/>
                <w:kern w:val="0"/>
                <w:sz w:val="20"/>
                <w:szCs w:val="20"/>
              </w:rPr>
              <w:t>1</w:t>
            </w:r>
          </w:p>
        </w:tc>
        <w:tc>
          <w:tcPr>
            <w:tcW w:w="1276" w:type="dxa"/>
            <w:gridSpan w:val="2"/>
            <w:noWrap/>
            <w:vAlign w:val="center"/>
          </w:tcPr>
          <w:p>
            <w:pPr>
              <w:widowControl/>
              <w:spacing w:line="360" w:lineRule="atLeast"/>
              <w:jc w:val="center"/>
              <w:rPr>
                <w:rFonts w:ascii="宋体" w:hAnsi="宋体" w:cs="宋体"/>
                <w:kern w:val="0"/>
                <w:sz w:val="20"/>
                <w:szCs w:val="20"/>
              </w:rPr>
            </w:pPr>
            <w:r>
              <w:rPr>
                <w:rFonts w:hint="eastAsia" w:ascii="宋体" w:hAnsi="宋体" w:cs="宋体"/>
                <w:kern w:val="0"/>
                <w:sz w:val="20"/>
                <w:szCs w:val="20"/>
              </w:rPr>
              <w:t>投标人认证情况</w:t>
            </w:r>
          </w:p>
          <w:p>
            <w:pPr>
              <w:widowControl/>
              <w:spacing w:line="360" w:lineRule="atLeast"/>
              <w:jc w:val="center"/>
              <w:rPr>
                <w:rFonts w:ascii="宋体" w:hAnsi="宋体"/>
                <w:sz w:val="20"/>
                <w:szCs w:val="20"/>
                <w:shd w:val="clear" w:color="FFFFFF" w:fill="D9D9D9"/>
              </w:rPr>
            </w:pPr>
            <w:r>
              <w:rPr>
                <w:rFonts w:hint="eastAsia" w:ascii="宋体" w:hAnsi="宋体" w:cs="宋体"/>
                <w:kern w:val="0"/>
                <w:sz w:val="20"/>
                <w:szCs w:val="20"/>
              </w:rPr>
              <w:t>(客观分)</w:t>
            </w:r>
          </w:p>
        </w:tc>
        <w:tc>
          <w:tcPr>
            <w:tcW w:w="785" w:type="dxa"/>
            <w:noWrap/>
            <w:vAlign w:val="center"/>
          </w:tcPr>
          <w:p>
            <w:pPr>
              <w:widowControl/>
              <w:spacing w:line="360" w:lineRule="atLeast"/>
              <w:ind w:firstLine="200" w:firstLineChars="100"/>
              <w:jc w:val="left"/>
              <w:rPr>
                <w:sz w:val="20"/>
                <w:szCs w:val="20"/>
              </w:rPr>
            </w:pPr>
            <w:r>
              <w:rPr>
                <w:rFonts w:hint="eastAsia"/>
                <w:sz w:val="20"/>
                <w:szCs w:val="20"/>
              </w:rPr>
              <w:t>1</w:t>
            </w:r>
            <w:r>
              <w:rPr>
                <w:rFonts w:hint="eastAsia" w:ascii="Times New Roman" w:hAnsi="Times New Roman" w:eastAsia="宋体" w:cs="Times New Roman"/>
                <w:sz w:val="20"/>
                <w:szCs w:val="20"/>
              </w:rPr>
              <w:t>分</w:t>
            </w:r>
          </w:p>
        </w:tc>
        <w:tc>
          <w:tcPr>
            <w:tcW w:w="4508" w:type="dxa"/>
            <w:noWrap/>
            <w:vAlign w:val="center"/>
          </w:tcPr>
          <w:p>
            <w:pPr>
              <w:widowControl/>
              <w:spacing w:line="360" w:lineRule="atLeast"/>
              <w:jc w:val="left"/>
              <w:rPr>
                <w:sz w:val="20"/>
                <w:szCs w:val="20"/>
              </w:rPr>
            </w:pPr>
            <w:r>
              <w:rPr>
                <w:rFonts w:hint="eastAsia" w:ascii="Times New Roman" w:hAnsi="Times New Roman" w:eastAsia="宋体" w:cs="Times New Roman"/>
                <w:sz w:val="20"/>
                <w:szCs w:val="20"/>
              </w:rPr>
              <w:t>1</w:t>
            </w:r>
            <w:r>
              <w:rPr>
                <w:rFonts w:hint="eastAsia"/>
                <w:sz w:val="20"/>
                <w:szCs w:val="20"/>
              </w:rPr>
              <w:t>.</w:t>
            </w:r>
            <w:r>
              <w:rPr>
                <w:rFonts w:hint="eastAsia" w:ascii="Times New Roman" w:hAnsi="Times New Roman" w:eastAsia="宋体" w:cs="Times New Roman"/>
                <w:sz w:val="20"/>
                <w:szCs w:val="20"/>
              </w:rPr>
              <w:t>通过ISO9001质量管理体系认证，并获得有效证书得分；</w:t>
            </w:r>
          </w:p>
          <w:p>
            <w:pPr>
              <w:widowControl/>
              <w:spacing w:line="360" w:lineRule="atLeast"/>
              <w:jc w:val="left"/>
              <w:rPr>
                <w:sz w:val="20"/>
                <w:szCs w:val="20"/>
              </w:rPr>
            </w:pPr>
            <w:r>
              <w:rPr>
                <w:rFonts w:hint="eastAsia" w:ascii="Times New Roman" w:hAnsi="Times New Roman" w:eastAsia="宋体" w:cs="Times New Roman"/>
                <w:sz w:val="20"/>
                <w:szCs w:val="20"/>
              </w:rPr>
              <w:t>2</w:t>
            </w:r>
            <w:r>
              <w:rPr>
                <w:rFonts w:hint="eastAsia"/>
                <w:sz w:val="20"/>
                <w:szCs w:val="20"/>
              </w:rPr>
              <w:t>.</w:t>
            </w:r>
            <w:r>
              <w:rPr>
                <w:rFonts w:hint="eastAsia" w:ascii="Times New Roman" w:hAnsi="Times New Roman" w:eastAsia="宋体" w:cs="Times New Roman"/>
                <w:sz w:val="20"/>
                <w:szCs w:val="20"/>
              </w:rPr>
              <w:t>通过ISO14001环境体系认证，并获得有效证书得分；</w:t>
            </w:r>
          </w:p>
          <w:p>
            <w:pPr>
              <w:widowControl/>
              <w:spacing w:line="360" w:lineRule="atLeast"/>
              <w:jc w:val="left"/>
              <w:rPr>
                <w:sz w:val="20"/>
                <w:szCs w:val="20"/>
              </w:rPr>
            </w:pPr>
            <w:r>
              <w:rPr>
                <w:rFonts w:hint="eastAsia" w:ascii="Times New Roman" w:hAnsi="Times New Roman" w:eastAsia="宋体" w:cs="Times New Roman"/>
                <w:sz w:val="20"/>
                <w:szCs w:val="20"/>
              </w:rPr>
              <w:t>3</w:t>
            </w:r>
            <w:r>
              <w:rPr>
                <w:rFonts w:hint="eastAsia"/>
                <w:sz w:val="20"/>
                <w:szCs w:val="20"/>
              </w:rPr>
              <w:t>.</w:t>
            </w:r>
            <w:r>
              <w:rPr>
                <w:rFonts w:hint="eastAsia" w:ascii="Times New Roman" w:hAnsi="Times New Roman" w:eastAsia="宋体" w:cs="Times New Roman"/>
                <w:sz w:val="20"/>
                <w:szCs w:val="20"/>
              </w:rPr>
              <w:t>通过OHSAS18001或ISO45001或GB/T45001-2020职业健康安全体系认证，并获得有效证书得分；</w:t>
            </w:r>
          </w:p>
          <w:p>
            <w:pPr>
              <w:widowControl/>
              <w:spacing w:line="360" w:lineRule="atLeast"/>
              <w:jc w:val="left"/>
              <w:rPr>
                <w:sz w:val="20"/>
                <w:szCs w:val="20"/>
              </w:rPr>
            </w:pPr>
            <w:r>
              <w:rPr>
                <w:rFonts w:hint="eastAsia" w:ascii="Times New Roman" w:hAnsi="Times New Roman" w:eastAsia="宋体" w:cs="Times New Roman"/>
                <w:sz w:val="20"/>
                <w:szCs w:val="20"/>
              </w:rPr>
              <w:t xml:space="preserve"> 注：相关证书需在有效期内</w:t>
            </w:r>
          </w:p>
        </w:tc>
        <w:tc>
          <w:tcPr>
            <w:tcW w:w="1909" w:type="dxa"/>
            <w:noWrap/>
            <w:vAlign w:val="center"/>
          </w:tcPr>
          <w:p>
            <w:pPr>
              <w:widowControl/>
              <w:spacing w:line="360" w:lineRule="atLeast"/>
              <w:jc w:val="left"/>
              <w:rPr>
                <w:sz w:val="20"/>
                <w:szCs w:val="20"/>
              </w:rPr>
            </w:pPr>
            <w:r>
              <w:rPr>
                <w:rFonts w:hint="eastAsia"/>
                <w:sz w:val="20"/>
                <w:szCs w:val="20"/>
              </w:rPr>
              <w:t>3项认证及证书均有得1分，任一项未取得则不得分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57" w:type="dxa"/>
            <w:noWrap/>
            <w:vAlign w:val="center"/>
          </w:tcPr>
          <w:p>
            <w:pPr>
              <w:widowControl/>
              <w:spacing w:line="360" w:lineRule="atLeast"/>
              <w:jc w:val="center"/>
              <w:rPr>
                <w:rFonts w:ascii="宋体" w:hAnsi="宋体" w:cs="宋体"/>
                <w:kern w:val="0"/>
                <w:sz w:val="20"/>
                <w:szCs w:val="20"/>
              </w:rPr>
            </w:pPr>
            <w:r>
              <w:rPr>
                <w:rFonts w:hint="eastAsia" w:ascii="宋体" w:hAnsi="宋体" w:cs="宋体"/>
                <w:kern w:val="0"/>
                <w:sz w:val="20"/>
                <w:szCs w:val="20"/>
              </w:rPr>
              <w:t>2</w:t>
            </w:r>
          </w:p>
        </w:tc>
        <w:tc>
          <w:tcPr>
            <w:tcW w:w="1276" w:type="dxa"/>
            <w:gridSpan w:val="2"/>
            <w:noWrap/>
            <w:vAlign w:val="center"/>
          </w:tcPr>
          <w:p>
            <w:pPr>
              <w:pStyle w:val="281"/>
              <w:adjustRightInd w:val="0"/>
              <w:snapToGrid w:val="0"/>
              <w:spacing w:line="460" w:lineRule="exact"/>
              <w:rPr>
                <w:rFonts w:hAnsi="宋体" w:cs="宋体"/>
              </w:rPr>
            </w:pPr>
            <w:r>
              <w:rPr>
                <w:rFonts w:hint="eastAsia" w:hAnsi="宋体" w:cs="宋体"/>
                <w:kern w:val="0"/>
                <w:sz w:val="20"/>
                <w:szCs w:val="20"/>
              </w:rPr>
              <w:t>投标人2019年至今同类项目业绩</w:t>
            </w:r>
            <w:r>
              <w:rPr>
                <w:rFonts w:hint="eastAsia" w:hAnsi="宋体" w:cs="宋体"/>
              </w:rPr>
              <w:t>（客观分）</w:t>
            </w:r>
          </w:p>
        </w:tc>
        <w:tc>
          <w:tcPr>
            <w:tcW w:w="785" w:type="dxa"/>
            <w:noWrap/>
            <w:vAlign w:val="center"/>
          </w:tcPr>
          <w:p>
            <w:pPr>
              <w:spacing w:before="100" w:beforeAutospacing="1" w:after="100" w:afterAutospacing="1" w:line="260" w:lineRule="exact"/>
              <w:ind w:firstLine="200" w:firstLineChars="100"/>
              <w:rPr>
                <w:rFonts w:ascii="宋体" w:hAnsi="宋体" w:cs="宋体"/>
                <w:kern w:val="0"/>
                <w:sz w:val="20"/>
                <w:szCs w:val="20"/>
              </w:rPr>
            </w:pPr>
            <w:r>
              <w:rPr>
                <w:rFonts w:hint="eastAsia" w:ascii="宋体" w:hAnsi="宋体" w:cs="宋体"/>
                <w:kern w:val="0"/>
                <w:sz w:val="20"/>
                <w:szCs w:val="20"/>
              </w:rPr>
              <w:t>4分</w:t>
            </w:r>
          </w:p>
        </w:tc>
        <w:tc>
          <w:tcPr>
            <w:tcW w:w="4508" w:type="dxa"/>
            <w:noWrap/>
            <w:vAlign w:val="center"/>
          </w:tcPr>
          <w:p>
            <w:pPr>
              <w:widowControl/>
              <w:spacing w:line="360" w:lineRule="atLeast"/>
              <w:jc w:val="left"/>
              <w:rPr>
                <w:rFonts w:ascii="Times New Roman" w:hAnsi="Times New Roman" w:cs="Times New Roman"/>
                <w:sz w:val="20"/>
                <w:szCs w:val="20"/>
              </w:rPr>
            </w:pPr>
            <w:r>
              <w:rPr>
                <w:rFonts w:hint="eastAsia" w:ascii="Times New Roman" w:hAnsi="Times New Roman" w:eastAsia="宋体" w:cs="Times New Roman"/>
                <w:sz w:val="20"/>
                <w:szCs w:val="20"/>
              </w:rPr>
              <w:t>根据投标人2019年至今（以合同签订时间为准）签订的</w:t>
            </w:r>
            <w:r>
              <w:rPr>
                <w:rFonts w:hint="eastAsia"/>
                <w:sz w:val="20"/>
                <w:szCs w:val="20"/>
              </w:rPr>
              <w:t>类似</w:t>
            </w:r>
            <w:r>
              <w:rPr>
                <w:rFonts w:hint="eastAsia" w:ascii="Times New Roman" w:hAnsi="Times New Roman" w:eastAsia="宋体" w:cs="Times New Roman"/>
                <w:sz w:val="20"/>
                <w:szCs w:val="20"/>
              </w:rPr>
              <w:t>综合物业管理项目。（提供合同及客户满意证明材料</w:t>
            </w:r>
            <w:r>
              <w:rPr>
                <w:rFonts w:hint="eastAsia"/>
                <w:sz w:val="20"/>
                <w:szCs w:val="20"/>
              </w:rPr>
              <w:t>（验收报告）</w:t>
            </w:r>
            <w:r>
              <w:rPr>
                <w:rFonts w:hint="eastAsia" w:ascii="Times New Roman" w:hAnsi="Times New Roman" w:eastAsia="宋体" w:cs="Times New Roman"/>
                <w:sz w:val="20"/>
                <w:szCs w:val="20"/>
              </w:rPr>
              <w:t>，缺一不可, 否则不得分）</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（1）合同内容至少包</w:t>
            </w:r>
            <w:r>
              <w:rPr>
                <w:rFonts w:hint="eastAsia" w:ascii="宋体" w:hAnsi="宋体" w:cs="宋体"/>
                <w:kern w:val="0"/>
                <w:sz w:val="20"/>
                <w:szCs w:val="20"/>
              </w:rPr>
              <w:t>含保洁、设备维保</w:t>
            </w:r>
            <w:r>
              <w:rPr>
                <w:rFonts w:hint="eastAsia" w:ascii="宋体" w:hAnsi="宋体" w:eastAsia="宋体" w:cs="宋体"/>
                <w:kern w:val="0"/>
                <w:sz w:val="20"/>
                <w:szCs w:val="20"/>
              </w:rPr>
              <w:t xml:space="preserve">、安保基本服务内容，否则不得分； </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（2）续签的合同按一份合同认定。</w:t>
            </w:r>
          </w:p>
        </w:tc>
        <w:tc>
          <w:tcPr>
            <w:tcW w:w="1909" w:type="dxa"/>
            <w:noWrap/>
            <w:vAlign w:val="center"/>
          </w:tcPr>
          <w:p>
            <w:pPr>
              <w:widowControl/>
              <w:spacing w:line="360" w:lineRule="atLeast"/>
              <w:jc w:val="left"/>
              <w:rPr>
                <w:rFonts w:ascii="宋体" w:hAnsi="宋体" w:cs="宋体"/>
                <w:kern w:val="0"/>
                <w:sz w:val="20"/>
                <w:szCs w:val="20"/>
              </w:rPr>
            </w:pPr>
            <w:r>
              <w:rPr>
                <w:rFonts w:hint="eastAsia" w:ascii="宋体" w:hAnsi="宋体" w:cs="宋体"/>
                <w:kern w:val="0"/>
                <w:sz w:val="20"/>
                <w:szCs w:val="20"/>
              </w:rPr>
              <w:t>符合条件的物业管理项目每有一个得1分，最高得4分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57" w:type="dxa"/>
            <w:noWrap/>
            <w:vAlign w:val="center"/>
          </w:tcPr>
          <w:p>
            <w:pPr>
              <w:widowControl/>
              <w:spacing w:line="360" w:lineRule="atLeast"/>
              <w:jc w:val="center"/>
              <w:rPr>
                <w:rFonts w:ascii="宋体" w:hAnsi="宋体" w:cs="宋体"/>
                <w:kern w:val="0"/>
                <w:sz w:val="20"/>
                <w:szCs w:val="20"/>
              </w:rPr>
            </w:pPr>
            <w:r>
              <w:rPr>
                <w:rFonts w:hint="eastAsia" w:ascii="宋体" w:hAnsi="宋体" w:cs="宋体"/>
                <w:kern w:val="0"/>
                <w:sz w:val="20"/>
                <w:szCs w:val="20"/>
              </w:rPr>
              <w:t>3</w:t>
            </w:r>
          </w:p>
        </w:tc>
        <w:tc>
          <w:tcPr>
            <w:tcW w:w="1276" w:type="dxa"/>
            <w:gridSpan w:val="2"/>
            <w:noWrap/>
            <w:vAlign w:val="center"/>
          </w:tcPr>
          <w:p>
            <w:pPr>
              <w:pStyle w:val="281"/>
              <w:adjustRightInd w:val="0"/>
              <w:snapToGrid w:val="0"/>
              <w:spacing w:line="460" w:lineRule="exact"/>
              <w:rPr>
                <w:rFonts w:hAnsi="宋体" w:cs="宋体"/>
                <w:sz w:val="20"/>
                <w:szCs w:val="20"/>
              </w:rPr>
            </w:pPr>
            <w:r>
              <w:rPr>
                <w:rFonts w:hint="eastAsia" w:hAnsi="宋体" w:cs="宋体"/>
                <w:kern w:val="0"/>
                <w:sz w:val="20"/>
                <w:szCs w:val="20"/>
              </w:rPr>
              <w:t>拟派项目经理相关情况</w:t>
            </w:r>
            <w:r>
              <w:rPr>
                <w:rFonts w:hint="eastAsia" w:hAnsi="宋体" w:cs="宋体"/>
              </w:rPr>
              <w:t>（客观分）</w:t>
            </w:r>
          </w:p>
        </w:tc>
        <w:tc>
          <w:tcPr>
            <w:tcW w:w="785" w:type="dxa"/>
            <w:noWrap/>
            <w:vAlign w:val="center"/>
          </w:tcPr>
          <w:p>
            <w:pPr>
              <w:spacing w:before="100" w:beforeAutospacing="1" w:after="100" w:afterAutospacing="1" w:line="260" w:lineRule="exact"/>
              <w:ind w:firstLine="200" w:firstLineChars="100"/>
              <w:rPr>
                <w:rFonts w:ascii="宋体" w:hAnsi="宋体" w:cs="宋体"/>
                <w:kern w:val="0"/>
                <w:sz w:val="20"/>
                <w:szCs w:val="20"/>
              </w:rPr>
            </w:pPr>
            <w:r>
              <w:rPr>
                <w:rFonts w:hint="eastAsia" w:ascii="宋体" w:hAnsi="宋体" w:cs="宋体"/>
                <w:kern w:val="0"/>
                <w:sz w:val="20"/>
                <w:szCs w:val="20"/>
              </w:rPr>
              <w:t>3</w:t>
            </w:r>
            <w:r>
              <w:rPr>
                <w:rFonts w:hint="eastAsia" w:ascii="宋体" w:hAnsi="宋体" w:eastAsia="宋体" w:cs="宋体"/>
                <w:kern w:val="0"/>
                <w:sz w:val="20"/>
                <w:szCs w:val="20"/>
              </w:rPr>
              <w:t>分</w:t>
            </w:r>
          </w:p>
        </w:tc>
        <w:tc>
          <w:tcPr>
            <w:tcW w:w="4508" w:type="dxa"/>
            <w:noWrap/>
            <w:vAlign w:val="center"/>
          </w:tcPr>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拟派项目经理与中标后实派项目经理必须一致：</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1.</w:t>
            </w:r>
            <w:r>
              <w:rPr>
                <w:rFonts w:hint="eastAsia" w:ascii="宋体" w:hAnsi="宋体" w:cs="宋体"/>
                <w:kern w:val="0"/>
                <w:sz w:val="20"/>
                <w:szCs w:val="20"/>
              </w:rPr>
              <w:t>职业资格</w:t>
            </w:r>
            <w:r>
              <w:rPr>
                <w:rFonts w:hint="eastAsia" w:ascii="宋体" w:hAnsi="宋体" w:eastAsia="宋体" w:cs="宋体"/>
                <w:kern w:val="0"/>
                <w:sz w:val="20"/>
                <w:szCs w:val="20"/>
              </w:rPr>
              <w:t>：</w:t>
            </w:r>
            <w:r>
              <w:rPr>
                <w:rFonts w:hint="eastAsia" w:ascii="宋体" w:hAnsi="宋体" w:cs="宋体"/>
                <w:kern w:val="0"/>
                <w:sz w:val="20"/>
                <w:szCs w:val="20"/>
              </w:rPr>
              <w:t>具备中级职称</w:t>
            </w:r>
            <w:r>
              <w:rPr>
                <w:rFonts w:hint="eastAsia" w:ascii="宋体" w:hAnsi="宋体" w:eastAsia="宋体" w:cs="宋体"/>
                <w:kern w:val="0"/>
                <w:sz w:val="20"/>
                <w:szCs w:val="20"/>
              </w:rPr>
              <w:t>得1分</w:t>
            </w:r>
            <w:r>
              <w:rPr>
                <w:rFonts w:hint="eastAsia" w:ascii="宋体" w:hAnsi="宋体" w:cs="宋体"/>
                <w:kern w:val="0"/>
                <w:sz w:val="20"/>
                <w:szCs w:val="20"/>
              </w:rPr>
              <w:t>，否则不得分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2.拟派项目经理具有本科及以上学历得</w:t>
            </w:r>
            <w:r>
              <w:rPr>
                <w:rFonts w:hint="eastAsia" w:ascii="宋体" w:hAnsi="宋体" w:cs="宋体"/>
                <w:kern w:val="0"/>
                <w:sz w:val="20"/>
                <w:szCs w:val="20"/>
              </w:rPr>
              <w:t>1分，否则不得分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cs="宋体"/>
                <w:kern w:val="0"/>
                <w:sz w:val="20"/>
                <w:szCs w:val="20"/>
              </w:rPr>
              <w:t>3.</w:t>
            </w:r>
            <w:r>
              <w:rPr>
                <w:rFonts w:hint="eastAsia" w:ascii="宋体" w:hAnsi="宋体" w:eastAsia="宋体" w:cs="宋体"/>
                <w:kern w:val="0"/>
                <w:sz w:val="20"/>
                <w:szCs w:val="20"/>
              </w:rPr>
              <w:t>拟派项目经理具有</w:t>
            </w:r>
            <w:r>
              <w:rPr>
                <w:rFonts w:hint="eastAsia" w:ascii="宋体" w:hAnsi="宋体" w:cs="宋体"/>
                <w:kern w:val="0"/>
                <w:sz w:val="20"/>
                <w:szCs w:val="20"/>
              </w:rPr>
              <w:t>5</w:t>
            </w:r>
            <w:r>
              <w:rPr>
                <w:rFonts w:hint="eastAsia" w:ascii="宋体" w:hAnsi="宋体" w:eastAsia="宋体" w:cs="宋体"/>
                <w:kern w:val="0"/>
                <w:sz w:val="20"/>
                <w:szCs w:val="20"/>
              </w:rPr>
              <w:t>年及以上担任项目</w:t>
            </w:r>
            <w:r>
              <w:rPr>
                <w:rFonts w:hint="eastAsia" w:ascii="宋体" w:hAnsi="宋体" w:cs="宋体"/>
                <w:kern w:val="0"/>
                <w:sz w:val="20"/>
                <w:szCs w:val="20"/>
              </w:rPr>
              <w:t>经理</w:t>
            </w:r>
            <w:r>
              <w:rPr>
                <w:rFonts w:hint="eastAsia" w:ascii="宋体" w:hAnsi="宋体" w:eastAsia="宋体" w:cs="宋体"/>
                <w:kern w:val="0"/>
                <w:sz w:val="20"/>
                <w:szCs w:val="20"/>
              </w:rPr>
              <w:t>物业服务的工作经验，得</w:t>
            </w:r>
            <w:r>
              <w:rPr>
                <w:rFonts w:hint="eastAsia" w:ascii="宋体" w:hAnsi="宋体" w:cs="宋体"/>
                <w:kern w:val="0"/>
                <w:sz w:val="20"/>
                <w:szCs w:val="20"/>
              </w:rPr>
              <w:t>1</w:t>
            </w:r>
            <w:r>
              <w:rPr>
                <w:rFonts w:hint="eastAsia" w:ascii="宋体" w:hAnsi="宋体" w:eastAsia="宋体" w:cs="宋体"/>
                <w:kern w:val="0"/>
                <w:sz w:val="20"/>
                <w:szCs w:val="20"/>
              </w:rPr>
              <w:t>分</w:t>
            </w:r>
            <w:r>
              <w:rPr>
                <w:rFonts w:hint="eastAsia" w:ascii="宋体" w:hAnsi="宋体" w:cs="宋体"/>
                <w:kern w:val="0"/>
                <w:sz w:val="20"/>
                <w:szCs w:val="20"/>
              </w:rPr>
              <w:t>，否则不得分</w:t>
            </w:r>
            <w:r>
              <w:rPr>
                <w:rFonts w:hint="eastAsia" w:ascii="宋体" w:hAnsi="宋体" w:eastAsia="宋体" w:cs="宋体"/>
                <w:kern w:val="0"/>
                <w:sz w:val="20"/>
                <w:szCs w:val="20"/>
              </w:rPr>
              <w:t xml:space="preserve">。 </w:t>
            </w:r>
          </w:p>
          <w:p>
            <w:pPr>
              <w:widowControl/>
              <w:spacing w:line="360" w:lineRule="atLeast"/>
              <w:jc w:val="left"/>
              <w:rPr>
                <w:rFonts w:ascii="宋体" w:hAnsi="宋体" w:cs="宋体"/>
                <w:kern w:val="0"/>
                <w:sz w:val="20"/>
                <w:szCs w:val="20"/>
              </w:rPr>
            </w:pPr>
            <w:r>
              <w:rPr>
                <w:rFonts w:hint="eastAsia" w:ascii="宋体" w:hAnsi="宋体" w:cs="宋体"/>
                <w:kern w:val="0"/>
                <w:sz w:val="20"/>
                <w:szCs w:val="20"/>
              </w:rPr>
              <w:t>备注：拟派项目负责人须提供相关证书复印件及在相关项目任职的证明材料</w:t>
            </w:r>
            <w:r>
              <w:rPr>
                <w:rFonts w:hint="eastAsia" w:ascii="宋体" w:hAnsi="宋体" w:eastAsia="宋体" w:cs="宋体"/>
                <w:kern w:val="0"/>
                <w:sz w:val="20"/>
                <w:szCs w:val="20"/>
              </w:rPr>
              <w:t>。</w:t>
            </w:r>
          </w:p>
        </w:tc>
        <w:tc>
          <w:tcPr>
            <w:tcW w:w="1909" w:type="dxa"/>
            <w:noWrap/>
            <w:vAlign w:val="center"/>
          </w:tcPr>
          <w:p>
            <w:pPr>
              <w:widowControl/>
              <w:spacing w:line="360" w:lineRule="atLeast"/>
              <w:jc w:val="left"/>
              <w:rPr>
                <w:rFonts w:ascii="宋体" w:hAnsi="宋体" w:cs="宋体"/>
                <w:kern w:val="0"/>
                <w:sz w:val="20"/>
                <w:szCs w:val="20"/>
              </w:rPr>
            </w:pPr>
            <w:r>
              <w:rPr>
                <w:rFonts w:hint="eastAsia" w:ascii="宋体" w:hAnsi="宋体" w:cs="宋体"/>
                <w:kern w:val="0"/>
                <w:sz w:val="20"/>
                <w:szCs w:val="20"/>
              </w:rPr>
              <w:t>3项分数合计，最高得3分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57" w:type="dxa"/>
            <w:noWrap/>
            <w:vAlign w:val="center"/>
          </w:tcPr>
          <w:p>
            <w:pPr>
              <w:widowControl/>
              <w:spacing w:line="360" w:lineRule="atLeast"/>
              <w:jc w:val="left"/>
              <w:rPr>
                <w:rFonts w:ascii="宋体" w:hAnsi="宋体" w:cs="宋体"/>
                <w:kern w:val="0"/>
                <w:sz w:val="20"/>
                <w:szCs w:val="20"/>
              </w:rPr>
            </w:pPr>
            <w:r>
              <w:rPr>
                <w:rFonts w:hint="eastAsia" w:ascii="宋体" w:hAnsi="宋体" w:cs="宋体"/>
                <w:kern w:val="0"/>
                <w:sz w:val="20"/>
                <w:szCs w:val="20"/>
              </w:rPr>
              <w:t>4</w:t>
            </w:r>
          </w:p>
        </w:tc>
        <w:tc>
          <w:tcPr>
            <w:tcW w:w="1276" w:type="dxa"/>
            <w:gridSpan w:val="2"/>
            <w:noWrap/>
            <w:vAlign w:val="center"/>
          </w:tcPr>
          <w:p>
            <w:pPr>
              <w:widowControl/>
              <w:spacing w:line="360" w:lineRule="atLeast"/>
              <w:jc w:val="center"/>
              <w:rPr>
                <w:rFonts w:ascii="宋体" w:hAnsi="宋体" w:cs="宋体"/>
                <w:kern w:val="0"/>
                <w:sz w:val="20"/>
                <w:szCs w:val="20"/>
              </w:rPr>
            </w:pPr>
          </w:p>
          <w:p>
            <w:pPr>
              <w:widowControl/>
              <w:spacing w:line="360" w:lineRule="atLeast"/>
              <w:jc w:val="center"/>
              <w:rPr>
                <w:rFonts w:ascii="宋体" w:hAnsi="宋体" w:cs="宋体"/>
                <w:kern w:val="0"/>
                <w:sz w:val="20"/>
                <w:szCs w:val="20"/>
              </w:rPr>
            </w:pPr>
          </w:p>
          <w:p>
            <w:pPr>
              <w:widowControl/>
              <w:spacing w:line="360" w:lineRule="atLeast"/>
              <w:jc w:val="center"/>
              <w:rPr>
                <w:rFonts w:ascii="宋体" w:hAnsi="宋体" w:cs="宋体"/>
                <w:kern w:val="0"/>
                <w:sz w:val="20"/>
                <w:szCs w:val="20"/>
              </w:rPr>
            </w:pPr>
          </w:p>
          <w:p>
            <w:pPr>
              <w:widowControl/>
              <w:spacing w:line="360" w:lineRule="atLeast"/>
              <w:jc w:val="center"/>
              <w:rPr>
                <w:rFonts w:ascii="宋体" w:hAnsi="宋体" w:cs="宋体"/>
                <w:kern w:val="0"/>
                <w:sz w:val="20"/>
                <w:szCs w:val="20"/>
              </w:rPr>
            </w:pPr>
          </w:p>
          <w:p>
            <w:pPr>
              <w:widowControl/>
              <w:spacing w:line="360" w:lineRule="atLeast"/>
              <w:jc w:val="center"/>
              <w:rPr>
                <w:rFonts w:ascii="宋体" w:hAnsi="宋体" w:cs="宋体"/>
                <w:kern w:val="0"/>
                <w:sz w:val="20"/>
                <w:szCs w:val="20"/>
              </w:rPr>
            </w:pPr>
          </w:p>
          <w:p>
            <w:pPr>
              <w:widowControl/>
              <w:spacing w:line="360" w:lineRule="atLeast"/>
              <w:jc w:val="center"/>
              <w:rPr>
                <w:rFonts w:ascii="宋体" w:hAnsi="宋体" w:cs="宋体"/>
                <w:kern w:val="0"/>
                <w:sz w:val="20"/>
                <w:szCs w:val="20"/>
              </w:rPr>
            </w:pPr>
          </w:p>
          <w:p>
            <w:pPr>
              <w:widowControl/>
              <w:spacing w:line="360" w:lineRule="atLeast"/>
              <w:jc w:val="center"/>
              <w:rPr>
                <w:rFonts w:ascii="宋体" w:hAnsi="宋体" w:cs="宋体"/>
                <w:kern w:val="0"/>
                <w:sz w:val="20"/>
                <w:szCs w:val="20"/>
              </w:rPr>
            </w:pPr>
          </w:p>
          <w:p>
            <w:pPr>
              <w:widowControl/>
              <w:spacing w:line="360" w:lineRule="atLeast"/>
              <w:jc w:val="center"/>
              <w:rPr>
                <w:rFonts w:ascii="宋体" w:hAnsi="宋体" w:cs="宋体"/>
                <w:kern w:val="0"/>
                <w:sz w:val="20"/>
                <w:szCs w:val="20"/>
              </w:rPr>
            </w:pPr>
            <w:r>
              <w:rPr>
                <w:rFonts w:hint="eastAsia" w:ascii="宋体" w:hAnsi="宋体" w:eastAsia="宋体" w:cs="宋体"/>
                <w:kern w:val="0"/>
                <w:sz w:val="20"/>
                <w:szCs w:val="20"/>
              </w:rPr>
              <w:t>各工种人员配置情况</w:t>
            </w:r>
            <w:r>
              <w:rPr>
                <w:rFonts w:hint="eastAsia" w:ascii="宋体" w:hAnsi="宋体" w:cs="宋体"/>
                <w:kern w:val="0"/>
                <w:sz w:val="20"/>
                <w:szCs w:val="20"/>
              </w:rPr>
              <w:t>（客观分）</w:t>
            </w:r>
          </w:p>
        </w:tc>
        <w:tc>
          <w:tcPr>
            <w:tcW w:w="785" w:type="dxa"/>
            <w:noWrap/>
            <w:vAlign w:val="center"/>
          </w:tcPr>
          <w:p>
            <w:pPr>
              <w:widowControl/>
              <w:spacing w:line="360" w:lineRule="atLeast"/>
              <w:ind w:firstLine="200" w:firstLineChars="100"/>
              <w:jc w:val="left"/>
              <w:rPr>
                <w:rFonts w:ascii="宋体" w:hAnsi="宋体" w:cs="宋体"/>
                <w:kern w:val="0"/>
                <w:sz w:val="20"/>
                <w:szCs w:val="20"/>
              </w:rPr>
            </w:pPr>
            <w:r>
              <w:rPr>
                <w:rFonts w:hint="eastAsia" w:ascii="宋体" w:hAnsi="宋体" w:cs="宋体"/>
                <w:kern w:val="0"/>
                <w:sz w:val="20"/>
                <w:szCs w:val="20"/>
              </w:rPr>
              <w:t>7</w:t>
            </w:r>
            <w:r>
              <w:rPr>
                <w:rFonts w:hint="eastAsia" w:ascii="宋体" w:hAnsi="宋体" w:eastAsia="宋体" w:cs="宋体"/>
                <w:kern w:val="0"/>
                <w:sz w:val="20"/>
                <w:szCs w:val="20"/>
              </w:rPr>
              <w:t>分</w:t>
            </w:r>
          </w:p>
        </w:tc>
        <w:tc>
          <w:tcPr>
            <w:tcW w:w="4508" w:type="dxa"/>
            <w:noWrap/>
            <w:vAlign w:val="center"/>
          </w:tcPr>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拟派</w:t>
            </w:r>
            <w:r>
              <w:rPr>
                <w:rFonts w:hint="eastAsia" w:ascii="宋体" w:hAnsi="宋体" w:cs="宋体"/>
                <w:kern w:val="0"/>
                <w:sz w:val="20"/>
                <w:szCs w:val="20"/>
              </w:rPr>
              <w:t>人员</w:t>
            </w:r>
            <w:r>
              <w:rPr>
                <w:rFonts w:hint="eastAsia" w:ascii="宋体" w:hAnsi="宋体" w:eastAsia="宋体" w:cs="宋体"/>
                <w:kern w:val="0"/>
                <w:sz w:val="20"/>
                <w:szCs w:val="20"/>
              </w:rPr>
              <w:t>与中标后实派</w:t>
            </w:r>
            <w:r>
              <w:rPr>
                <w:rFonts w:hint="eastAsia" w:ascii="宋体" w:hAnsi="宋体" w:cs="宋体"/>
                <w:kern w:val="0"/>
                <w:sz w:val="20"/>
                <w:szCs w:val="20"/>
              </w:rPr>
              <w:t>人员</w:t>
            </w:r>
            <w:r>
              <w:rPr>
                <w:rFonts w:hint="eastAsia" w:ascii="宋体" w:hAnsi="宋体" w:eastAsia="宋体" w:cs="宋体"/>
                <w:kern w:val="0"/>
                <w:sz w:val="20"/>
                <w:szCs w:val="20"/>
              </w:rPr>
              <w:t>必须一致</w:t>
            </w:r>
            <w:r>
              <w:rPr>
                <w:rFonts w:hint="eastAsia" w:ascii="宋体" w:hAnsi="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1.拟派保洁主管相关情况</w:t>
            </w:r>
            <w:r>
              <w:rPr>
                <w:rFonts w:hint="eastAsia" w:ascii="宋体" w:hAnsi="宋体" w:cs="宋体"/>
                <w:kern w:val="0"/>
                <w:sz w:val="20"/>
                <w:szCs w:val="20"/>
              </w:rPr>
              <w:t>（1分）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具有</w:t>
            </w:r>
            <w:r>
              <w:rPr>
                <w:rFonts w:hint="eastAsia" w:ascii="宋体" w:hAnsi="宋体" w:cs="宋体"/>
                <w:kern w:val="0"/>
                <w:sz w:val="20"/>
                <w:szCs w:val="20"/>
              </w:rPr>
              <w:t>3年及以上担任保洁主管物业服务的工作经验</w:t>
            </w:r>
            <w:r>
              <w:rPr>
                <w:rFonts w:hint="eastAsia" w:ascii="宋体" w:hAnsi="宋体" w:eastAsia="宋体" w:cs="宋体"/>
                <w:kern w:val="0"/>
                <w:sz w:val="20"/>
                <w:szCs w:val="20"/>
              </w:rPr>
              <w:t>得</w:t>
            </w:r>
            <w:r>
              <w:rPr>
                <w:rFonts w:hint="eastAsia" w:ascii="宋体" w:hAnsi="宋体" w:cs="宋体"/>
                <w:kern w:val="0"/>
                <w:sz w:val="20"/>
                <w:szCs w:val="20"/>
              </w:rPr>
              <w:t>0.5</w:t>
            </w:r>
            <w:r>
              <w:rPr>
                <w:rFonts w:hint="eastAsia" w:ascii="宋体" w:hAnsi="宋体" w:eastAsia="宋体" w:cs="宋体"/>
                <w:kern w:val="0"/>
                <w:sz w:val="20"/>
                <w:szCs w:val="20"/>
              </w:rPr>
              <w:t>分</w:t>
            </w:r>
            <w:r>
              <w:rPr>
                <w:rFonts w:hint="eastAsia" w:ascii="宋体" w:hAnsi="宋体" w:cs="宋体"/>
                <w:kern w:val="0"/>
                <w:sz w:val="20"/>
                <w:szCs w:val="20"/>
              </w:rPr>
              <w:t>，否则不得分；具有大专以上学历得0.5分，否则不得分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2.拟派工程主管相关情况</w:t>
            </w:r>
            <w:r>
              <w:rPr>
                <w:rFonts w:hint="eastAsia" w:ascii="宋体" w:hAnsi="宋体" w:cs="宋体"/>
                <w:kern w:val="0"/>
                <w:sz w:val="20"/>
                <w:szCs w:val="20"/>
              </w:rPr>
              <w:t>（3分）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cs="宋体"/>
                <w:kern w:val="0"/>
                <w:sz w:val="20"/>
                <w:szCs w:val="20"/>
              </w:rPr>
              <w:t>具有中级及以上机电工程师职称或二级及以上技师证的得1分，否则不得分；具有特种作业证书（低压电工作业或高压电工作业）得0.5分，否则不得分；具有其它特种设备证书（电梯或锅炉）得0.5分，否则不得分；承担类似项目工程主管5年以上工作经验的得0.5分，否则不得分；具有大专以上学历得0.5分，否则不得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cs="宋体"/>
                <w:kern w:val="0"/>
                <w:sz w:val="20"/>
                <w:szCs w:val="20"/>
              </w:rPr>
              <w:t>3</w:t>
            </w:r>
            <w:r>
              <w:rPr>
                <w:rFonts w:hint="eastAsia" w:ascii="宋体" w:hAnsi="宋体" w:eastAsia="宋体" w:cs="宋体"/>
                <w:kern w:val="0"/>
                <w:sz w:val="20"/>
                <w:szCs w:val="20"/>
              </w:rPr>
              <w:t>.拟派保安主管相关情况</w:t>
            </w:r>
            <w:r>
              <w:rPr>
                <w:rFonts w:hint="eastAsia" w:ascii="宋体" w:hAnsi="宋体" w:cs="宋体"/>
                <w:kern w:val="0"/>
                <w:sz w:val="20"/>
                <w:szCs w:val="20"/>
              </w:rPr>
              <w:t>（1分）</w:t>
            </w:r>
            <w:r>
              <w:rPr>
                <w:rFonts w:hint="eastAsia" w:ascii="宋体" w:hAnsi="宋体" w:eastAsia="宋体" w:cs="宋体"/>
                <w:kern w:val="0"/>
                <w:sz w:val="20"/>
                <w:szCs w:val="20"/>
              </w:rPr>
              <w:t>：</w:t>
            </w:r>
          </w:p>
          <w:p>
            <w:pPr>
              <w:widowControl/>
              <w:spacing w:line="360" w:lineRule="atLeast"/>
              <w:jc w:val="left"/>
              <w:rPr>
                <w:rFonts w:hint="eastAsia" w:ascii="宋体" w:hAnsi="宋体" w:eastAsia="宋体" w:cs="宋体"/>
                <w:kern w:val="0"/>
                <w:sz w:val="20"/>
                <w:szCs w:val="20"/>
              </w:rPr>
            </w:pPr>
            <w:r>
              <w:rPr>
                <w:rFonts w:hint="eastAsia" w:ascii="宋体" w:hAnsi="宋体" w:eastAsia="宋体" w:cs="宋体"/>
                <w:kern w:val="0"/>
                <w:sz w:val="20"/>
                <w:szCs w:val="20"/>
              </w:rPr>
              <w:t>具有</w:t>
            </w:r>
            <w:r>
              <w:rPr>
                <w:rFonts w:hint="eastAsia" w:ascii="宋体" w:hAnsi="宋体" w:cs="宋体"/>
                <w:kern w:val="0"/>
                <w:sz w:val="20"/>
                <w:szCs w:val="20"/>
              </w:rPr>
              <w:t>3</w:t>
            </w:r>
            <w:r>
              <w:rPr>
                <w:rFonts w:hint="eastAsia" w:ascii="宋体" w:hAnsi="宋体" w:eastAsia="宋体" w:cs="宋体"/>
                <w:kern w:val="0"/>
                <w:sz w:val="20"/>
                <w:szCs w:val="20"/>
              </w:rPr>
              <w:t>年及以上担任保安主管物业服务的工作经验得</w:t>
            </w:r>
            <w:r>
              <w:rPr>
                <w:rFonts w:hint="eastAsia" w:ascii="宋体" w:hAnsi="宋体" w:cs="宋体"/>
                <w:kern w:val="0"/>
                <w:sz w:val="20"/>
                <w:szCs w:val="20"/>
              </w:rPr>
              <w:t>0.5</w:t>
            </w:r>
            <w:r>
              <w:rPr>
                <w:rFonts w:hint="eastAsia" w:ascii="宋体" w:hAnsi="宋体" w:eastAsia="宋体" w:cs="宋体"/>
                <w:kern w:val="0"/>
                <w:sz w:val="20"/>
                <w:szCs w:val="20"/>
              </w:rPr>
              <w:t>分</w:t>
            </w:r>
            <w:r>
              <w:rPr>
                <w:rFonts w:hint="eastAsia" w:ascii="宋体" w:hAnsi="宋体" w:cs="宋体"/>
                <w:kern w:val="0"/>
                <w:sz w:val="20"/>
                <w:szCs w:val="20"/>
              </w:rPr>
              <w:t>，否则不得分；具有大专以上学历得0.5分，否则不得分</w:t>
            </w:r>
            <w:r>
              <w:rPr>
                <w:rFonts w:hint="eastAsia" w:ascii="宋体" w:hAnsi="宋体" w:eastAsia="宋体" w:cs="宋体"/>
                <w:kern w:val="0"/>
                <w:sz w:val="20"/>
                <w:szCs w:val="20"/>
              </w:rPr>
              <w:t>。</w:t>
            </w:r>
          </w:p>
          <w:p>
            <w:pPr>
              <w:widowControl/>
              <w:spacing w:line="36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4</w:t>
            </w:r>
            <w:r>
              <w:rPr>
                <w:rFonts w:hint="eastAsia" w:ascii="宋体" w:hAnsi="宋体" w:eastAsia="宋体" w:cs="宋体"/>
                <w:kern w:val="0"/>
                <w:sz w:val="20"/>
                <w:szCs w:val="20"/>
              </w:rPr>
              <w:t>.拟派会务主管相关情况</w:t>
            </w:r>
            <w:r>
              <w:rPr>
                <w:rFonts w:hint="eastAsia" w:ascii="宋体" w:hAnsi="宋体" w:cs="宋体"/>
                <w:kern w:val="0"/>
                <w:sz w:val="20"/>
                <w:szCs w:val="20"/>
              </w:rPr>
              <w:t>（1分）</w:t>
            </w:r>
            <w:r>
              <w:rPr>
                <w:rFonts w:hint="eastAsia" w:ascii="宋体" w:hAnsi="宋体" w:cs="宋体"/>
                <w:kern w:val="0"/>
                <w:sz w:val="20"/>
                <w:szCs w:val="20"/>
                <w:lang w:eastAsia="zh-CN"/>
              </w:rPr>
              <w:t>：</w:t>
            </w:r>
          </w:p>
          <w:p>
            <w:pPr>
              <w:widowControl/>
              <w:spacing w:line="360" w:lineRule="atLeast"/>
              <w:jc w:val="left"/>
              <w:rPr>
                <w:rFonts w:hint="eastAsia" w:ascii="宋体" w:hAnsi="宋体" w:eastAsia="宋体" w:cs="宋体"/>
                <w:kern w:val="0"/>
                <w:sz w:val="20"/>
                <w:szCs w:val="20"/>
              </w:rPr>
            </w:pPr>
            <w:r>
              <w:rPr>
                <w:rFonts w:hint="eastAsia" w:ascii="宋体" w:hAnsi="宋体" w:eastAsia="宋体" w:cs="宋体"/>
                <w:kern w:val="0"/>
                <w:sz w:val="20"/>
                <w:szCs w:val="20"/>
              </w:rPr>
              <w:t>具有</w:t>
            </w:r>
            <w:r>
              <w:rPr>
                <w:rFonts w:hint="eastAsia" w:ascii="宋体" w:hAnsi="宋体" w:cs="宋体"/>
                <w:kern w:val="0"/>
                <w:sz w:val="20"/>
                <w:szCs w:val="20"/>
              </w:rPr>
              <w:t>3</w:t>
            </w:r>
            <w:r>
              <w:rPr>
                <w:rFonts w:hint="eastAsia" w:ascii="宋体" w:hAnsi="宋体" w:eastAsia="宋体" w:cs="宋体"/>
                <w:kern w:val="0"/>
                <w:sz w:val="20"/>
                <w:szCs w:val="20"/>
              </w:rPr>
              <w:t>年及以上担任会务主管物业服务的工作经验得</w:t>
            </w:r>
            <w:r>
              <w:rPr>
                <w:rFonts w:hint="eastAsia" w:ascii="宋体" w:hAnsi="宋体" w:cs="宋体"/>
                <w:kern w:val="0"/>
                <w:sz w:val="20"/>
                <w:szCs w:val="20"/>
              </w:rPr>
              <w:t>0.5</w:t>
            </w:r>
            <w:r>
              <w:rPr>
                <w:rFonts w:hint="eastAsia" w:ascii="宋体" w:hAnsi="宋体" w:eastAsia="宋体" w:cs="宋体"/>
                <w:kern w:val="0"/>
                <w:sz w:val="20"/>
                <w:szCs w:val="20"/>
              </w:rPr>
              <w:t>分</w:t>
            </w:r>
            <w:r>
              <w:rPr>
                <w:rFonts w:hint="eastAsia" w:ascii="宋体" w:hAnsi="宋体" w:cs="宋体"/>
                <w:kern w:val="0"/>
                <w:sz w:val="20"/>
                <w:szCs w:val="20"/>
              </w:rPr>
              <w:t>，否则不得分；具有大专以上学历得0.5分，否则不得分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cs="宋体"/>
                <w:kern w:val="0"/>
                <w:sz w:val="20"/>
                <w:szCs w:val="20"/>
              </w:rPr>
              <w:t>5</w:t>
            </w:r>
            <w:r>
              <w:rPr>
                <w:rFonts w:hint="eastAsia" w:ascii="宋体" w:hAnsi="宋体" w:eastAsia="宋体" w:cs="宋体"/>
                <w:kern w:val="0"/>
                <w:sz w:val="20"/>
                <w:szCs w:val="20"/>
              </w:rPr>
              <w:t>.工程部设备运行维修人员持证情况</w:t>
            </w:r>
            <w:r>
              <w:rPr>
                <w:rFonts w:hint="eastAsia" w:ascii="宋体" w:hAnsi="宋体" w:cs="宋体"/>
                <w:kern w:val="0"/>
                <w:sz w:val="20"/>
                <w:szCs w:val="20"/>
              </w:rPr>
              <w:t>（1分）</w:t>
            </w:r>
            <w:r>
              <w:rPr>
                <w:rFonts w:hint="eastAsia" w:ascii="宋体" w:hAnsi="宋体" w:eastAsia="宋体" w:cs="宋体"/>
                <w:kern w:val="0"/>
                <w:sz w:val="20"/>
                <w:szCs w:val="20"/>
              </w:rPr>
              <w:t>：</w:t>
            </w:r>
          </w:p>
          <w:p>
            <w:pPr>
              <w:widowControl/>
              <w:spacing w:line="360" w:lineRule="atLeast"/>
              <w:jc w:val="left"/>
              <w:rPr>
                <w:rFonts w:ascii="宋体" w:hAnsi="宋体" w:cs="宋体"/>
                <w:kern w:val="0"/>
                <w:sz w:val="20"/>
                <w:szCs w:val="20"/>
              </w:rPr>
            </w:pPr>
            <w:r>
              <w:rPr>
                <w:rFonts w:hint="eastAsia" w:ascii="宋体" w:hAnsi="宋体" w:cs="宋体"/>
                <w:kern w:val="0"/>
                <w:sz w:val="20"/>
                <w:szCs w:val="20"/>
              </w:rPr>
              <w:t>持有作业操作证（高、低压电工、电梯、制冷、锅炉</w:t>
            </w:r>
            <w:r>
              <w:rPr>
                <w:rFonts w:hint="eastAsia" w:ascii="宋体" w:hAnsi="宋体" w:eastAsia="宋体" w:cs="宋体"/>
                <w:kern w:val="0"/>
                <w:sz w:val="20"/>
                <w:szCs w:val="20"/>
              </w:rPr>
              <w:t>）</w:t>
            </w:r>
            <w:r>
              <w:rPr>
                <w:rFonts w:hint="eastAsia" w:ascii="宋体" w:hAnsi="宋体" w:cs="宋体"/>
                <w:kern w:val="0"/>
                <w:sz w:val="20"/>
                <w:szCs w:val="20"/>
              </w:rPr>
              <w:t>得1分，否则不得分。</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提</w:t>
            </w:r>
            <w:r>
              <w:rPr>
                <w:rFonts w:hint="eastAsia" w:ascii="宋体" w:hAnsi="宋体" w:cs="宋体"/>
                <w:kern w:val="0"/>
                <w:sz w:val="20"/>
                <w:szCs w:val="20"/>
              </w:rPr>
              <w:t>供相关证书复印件及相关工作经历证明材料。</w:t>
            </w:r>
          </w:p>
        </w:tc>
        <w:tc>
          <w:tcPr>
            <w:tcW w:w="1909" w:type="dxa"/>
            <w:noWrap/>
            <w:vAlign w:val="center"/>
          </w:tcPr>
          <w:p>
            <w:pPr>
              <w:widowControl/>
              <w:spacing w:line="360" w:lineRule="atLeast"/>
              <w:jc w:val="left"/>
              <w:rPr>
                <w:rFonts w:ascii="宋体" w:hAnsi="宋体" w:cs="宋体"/>
                <w:kern w:val="0"/>
                <w:sz w:val="20"/>
                <w:szCs w:val="20"/>
              </w:rPr>
            </w:pPr>
            <w:r>
              <w:rPr>
                <w:rFonts w:hint="eastAsia" w:ascii="宋体" w:hAnsi="宋体" w:cs="宋体"/>
                <w:kern w:val="0"/>
                <w:sz w:val="20"/>
                <w:szCs w:val="20"/>
              </w:rPr>
              <w:t>5项分数合计，最高得7分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57" w:type="dxa"/>
            <w:noWrap/>
            <w:vAlign w:val="center"/>
          </w:tcPr>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5</w:t>
            </w:r>
          </w:p>
        </w:tc>
        <w:tc>
          <w:tcPr>
            <w:tcW w:w="1276" w:type="dxa"/>
            <w:gridSpan w:val="2"/>
            <w:noWrap/>
            <w:vAlign w:val="center"/>
          </w:tcPr>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岗位员工配置计划</w:t>
            </w:r>
          </w:p>
          <w:p>
            <w:pPr>
              <w:widowControl/>
              <w:spacing w:line="360" w:lineRule="atLeast"/>
              <w:jc w:val="left"/>
              <w:rPr>
                <w:rFonts w:ascii="宋体" w:hAnsi="宋体" w:cs="宋体"/>
                <w:kern w:val="0"/>
                <w:sz w:val="20"/>
                <w:szCs w:val="20"/>
              </w:rPr>
            </w:pPr>
            <w:r>
              <w:rPr>
                <w:rFonts w:hint="eastAsia" w:ascii="宋体" w:hAnsi="宋体" w:cs="宋体"/>
                <w:kern w:val="0"/>
                <w:sz w:val="20"/>
                <w:szCs w:val="20"/>
              </w:rPr>
              <w:t>（主观分）</w:t>
            </w:r>
          </w:p>
        </w:tc>
        <w:tc>
          <w:tcPr>
            <w:tcW w:w="785" w:type="dxa"/>
            <w:noWrap/>
            <w:vAlign w:val="center"/>
          </w:tcPr>
          <w:p>
            <w:pPr>
              <w:widowControl/>
              <w:spacing w:line="360" w:lineRule="atLeast"/>
              <w:ind w:firstLine="200" w:firstLineChars="100"/>
              <w:jc w:val="left"/>
              <w:rPr>
                <w:rFonts w:ascii="宋体" w:hAnsi="宋体" w:cs="宋体"/>
                <w:kern w:val="0"/>
                <w:sz w:val="20"/>
                <w:szCs w:val="20"/>
              </w:rPr>
            </w:pPr>
            <w:r>
              <w:rPr>
                <w:rFonts w:hint="eastAsia" w:ascii="宋体" w:hAnsi="宋体" w:cs="宋体"/>
                <w:kern w:val="0"/>
                <w:sz w:val="20"/>
                <w:szCs w:val="20"/>
              </w:rPr>
              <w:t>3</w:t>
            </w:r>
            <w:r>
              <w:rPr>
                <w:rFonts w:hint="eastAsia" w:ascii="宋体" w:hAnsi="宋体" w:eastAsia="宋体" w:cs="宋体"/>
                <w:kern w:val="0"/>
                <w:sz w:val="20"/>
                <w:szCs w:val="20"/>
              </w:rPr>
              <w:t>分</w:t>
            </w:r>
          </w:p>
        </w:tc>
        <w:tc>
          <w:tcPr>
            <w:tcW w:w="4508" w:type="dxa"/>
            <w:noWrap/>
            <w:vAlign w:val="center"/>
          </w:tcPr>
          <w:p>
            <w:pPr>
              <w:pStyle w:val="933"/>
              <w:adjustRightInd w:val="0"/>
              <w:snapToGrid w:val="0"/>
              <w:spacing w:line="360" w:lineRule="auto"/>
              <w:rPr>
                <w:rFonts w:hAnsi="宋体" w:cs="宋体"/>
              </w:rPr>
            </w:pPr>
            <w:r>
              <w:rPr>
                <w:rFonts w:hint="eastAsia" w:hAnsi="宋体" w:cs="宋体"/>
              </w:rPr>
              <w:t>岗位设置及配备情况及是否符合采购需求（包括岗位明细、每个岗位的工作总时间、加班安排、每个岗位的总人数、每人每天上班时间、培训计划、专业人员持证情况和人员年龄要求）。</w:t>
            </w:r>
          </w:p>
          <w:p>
            <w:pPr>
              <w:pStyle w:val="933"/>
              <w:adjustRightInd w:val="0"/>
              <w:snapToGrid w:val="0"/>
              <w:spacing w:line="360" w:lineRule="auto"/>
              <w:rPr>
                <w:rFonts w:hAnsi="宋体" w:cs="宋体"/>
              </w:rPr>
            </w:pPr>
            <w:r>
              <w:rPr>
                <w:rFonts w:hint="eastAsia" w:hAnsi="宋体" w:cs="宋体"/>
              </w:rPr>
              <w:t>应答详尽、明晰，内容完整齐全、表述准确、条理清晰，内容无前后矛盾，符合招标文件要求，分析本项目的特点针对性强的3分；应答较详尽、较明晰，内容较齐全、表述较准确、条理较清晰，内容无明显前后矛盾，较为符合招标文件要求，分析本项目的特点针对性较强的2分；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tc>
        <w:tc>
          <w:tcPr>
            <w:tcW w:w="1909" w:type="dxa"/>
            <w:noWrap/>
            <w:vAlign w:val="center"/>
          </w:tcPr>
          <w:p>
            <w:pPr>
              <w:widowControl/>
              <w:spacing w:line="360" w:lineRule="atLeast"/>
              <w:jc w:val="left"/>
              <w:rPr>
                <w:rFonts w:ascii="宋体" w:hAnsi="宋体" w:cs="宋体"/>
                <w:kern w:val="0"/>
                <w:sz w:val="20"/>
                <w:szCs w:val="20"/>
              </w:rPr>
            </w:pPr>
            <w:r>
              <w:rPr>
                <w:rFonts w:hint="eastAsia" w:ascii="宋体" w:hAnsi="宋体" w:cs="宋体"/>
                <w:kern w:val="0"/>
                <w:sz w:val="20"/>
                <w:szCs w:val="20"/>
              </w:rPr>
              <w:t>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457" w:type="dxa"/>
            <w:noWrap/>
            <w:vAlign w:val="center"/>
          </w:tcPr>
          <w:p>
            <w:pPr>
              <w:widowControl/>
              <w:spacing w:line="360" w:lineRule="atLeast"/>
              <w:jc w:val="left"/>
              <w:rPr>
                <w:rFonts w:ascii="宋体" w:hAnsi="宋体" w:cs="宋体"/>
                <w:kern w:val="0"/>
                <w:sz w:val="20"/>
                <w:szCs w:val="20"/>
              </w:rPr>
            </w:pPr>
            <w:r>
              <w:rPr>
                <w:rFonts w:hint="eastAsia" w:ascii="宋体" w:hAnsi="宋体" w:cs="宋体"/>
                <w:kern w:val="0"/>
                <w:sz w:val="20"/>
                <w:szCs w:val="20"/>
              </w:rPr>
              <w:t>6</w:t>
            </w:r>
          </w:p>
        </w:tc>
        <w:tc>
          <w:tcPr>
            <w:tcW w:w="1276" w:type="dxa"/>
            <w:gridSpan w:val="2"/>
            <w:noWrap/>
            <w:vAlign w:val="center"/>
          </w:tcPr>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kern w:val="0"/>
                <w:sz w:val="20"/>
                <w:szCs w:val="20"/>
              </w:rPr>
            </w:pPr>
            <w:r>
              <w:rPr>
                <w:rFonts w:hint="eastAsia" w:ascii="宋体" w:hAnsi="宋体" w:cs="宋体"/>
                <w:bCs/>
                <w:kern w:val="0"/>
                <w:sz w:val="20"/>
                <w:szCs w:val="20"/>
              </w:rPr>
              <w:t>物业管理服务理念、组织架构及管理制度情况（主观分）</w:t>
            </w:r>
          </w:p>
        </w:tc>
        <w:tc>
          <w:tcPr>
            <w:tcW w:w="785" w:type="dxa"/>
            <w:noWrap/>
            <w:vAlign w:val="center"/>
          </w:tcPr>
          <w:p>
            <w:pPr>
              <w:widowControl/>
              <w:spacing w:line="360" w:lineRule="atLeast"/>
              <w:jc w:val="left"/>
              <w:rPr>
                <w:rFonts w:ascii="宋体" w:hAnsi="宋体" w:cs="宋体"/>
                <w:kern w:val="0"/>
                <w:sz w:val="20"/>
                <w:szCs w:val="20"/>
              </w:rPr>
            </w:pPr>
          </w:p>
          <w:p>
            <w:pPr>
              <w:widowControl/>
              <w:spacing w:line="360" w:lineRule="atLeast"/>
              <w:ind w:firstLine="200" w:firstLineChars="100"/>
              <w:jc w:val="left"/>
              <w:rPr>
                <w:rFonts w:ascii="宋体" w:hAnsi="宋体" w:cs="宋体"/>
                <w:kern w:val="0"/>
                <w:sz w:val="20"/>
                <w:szCs w:val="20"/>
              </w:rPr>
            </w:pPr>
            <w:r>
              <w:rPr>
                <w:rFonts w:hint="eastAsia" w:ascii="宋体" w:hAnsi="宋体" w:cs="宋体"/>
                <w:kern w:val="0"/>
                <w:sz w:val="20"/>
                <w:szCs w:val="20"/>
              </w:rPr>
              <w:t>3分</w:t>
            </w:r>
          </w:p>
        </w:tc>
        <w:tc>
          <w:tcPr>
            <w:tcW w:w="4508" w:type="dxa"/>
            <w:noWrap/>
            <w:vAlign w:val="center"/>
          </w:tcPr>
          <w:p>
            <w:pPr>
              <w:pStyle w:val="933"/>
              <w:adjustRightInd w:val="0"/>
              <w:spacing w:line="360" w:lineRule="auto"/>
              <w:rPr>
                <w:rFonts w:hAnsi="宋体" w:cs="宋体"/>
              </w:rPr>
            </w:pPr>
            <w:r>
              <w:rPr>
                <w:rFonts w:hint="eastAsia" w:hAnsi="宋体" w:cs="宋体"/>
              </w:rPr>
              <w:t>1.根据本项目物业使用特点提出合理的物业管理服务理念，提出服务定位、目标，投标人的管理模式能够切合实际，且安全可行，保密性、安全性、文明服务的计划及承诺情况(完全符合得1分，部分符合得0.5分，不符合不得分)；</w:t>
            </w:r>
          </w:p>
          <w:p>
            <w:pPr>
              <w:pStyle w:val="933"/>
              <w:adjustRightInd w:val="0"/>
              <w:spacing w:line="360" w:lineRule="auto"/>
              <w:rPr>
                <w:rFonts w:hAnsi="宋体" w:cs="宋体"/>
              </w:rPr>
            </w:pPr>
            <w:r>
              <w:rPr>
                <w:rFonts w:hint="eastAsia" w:hAnsi="宋体" w:cs="宋体"/>
              </w:rPr>
              <w:t>2.有比较完善的组织架构，清晰简练地列出主要管理流程，包括对运作流程图、激励机制、监督机制、自我约束机制、信息反馈渠道及处理机制，管理指标承诺达到</w:t>
            </w:r>
            <w:r>
              <w:rPr>
                <w:rFonts w:hAnsi="宋体" w:cs="宋体"/>
              </w:rPr>
              <w:t>物</w:t>
            </w:r>
            <w:r>
              <w:rPr>
                <w:rFonts w:hint="eastAsia" w:hAnsi="宋体" w:cs="宋体"/>
              </w:rPr>
              <w:t>业管理标准（完全符合得1分，部分符合得0.5分，不符合不得分）；</w:t>
            </w:r>
          </w:p>
          <w:p>
            <w:pPr>
              <w:pStyle w:val="933"/>
              <w:adjustRightInd w:val="0"/>
              <w:spacing w:line="360" w:lineRule="auto"/>
              <w:rPr>
                <w:rFonts w:hAnsi="宋体" w:cs="宋体"/>
              </w:rPr>
            </w:pPr>
            <w:r>
              <w:rPr>
                <w:rFonts w:hint="eastAsia" w:hAnsi="宋体" w:cs="宋体"/>
              </w:rPr>
              <w:t>3.有完善的物业管理制度、作业流程及物业管理工作计划及实施时间，并建立和完善档案管理制度、公众制度、物业管理制度及其配套设施权属清册等，体现标准化服务，管理服务水平是否符合国家和行业标准（完全符合得1分，部分符合得0.5分，不符合不得分）。</w:t>
            </w:r>
          </w:p>
        </w:tc>
        <w:tc>
          <w:tcPr>
            <w:tcW w:w="1909" w:type="dxa"/>
            <w:noWrap/>
            <w:vAlign w:val="center"/>
          </w:tcPr>
          <w:p>
            <w:pPr>
              <w:widowControl/>
              <w:spacing w:line="360" w:lineRule="atLeast"/>
              <w:jc w:val="left"/>
              <w:rPr>
                <w:rFonts w:ascii="宋体" w:hAnsi="宋体" w:cs="宋体"/>
                <w:kern w:val="0"/>
                <w:sz w:val="20"/>
                <w:szCs w:val="20"/>
              </w:rPr>
            </w:pPr>
          </w:p>
          <w:p>
            <w:pPr>
              <w:widowControl/>
              <w:spacing w:line="360" w:lineRule="atLeast"/>
              <w:jc w:val="left"/>
              <w:rPr>
                <w:rFonts w:ascii="宋体" w:hAnsi="宋体" w:cs="宋体"/>
                <w:kern w:val="0"/>
                <w:sz w:val="20"/>
                <w:szCs w:val="20"/>
              </w:rPr>
            </w:pPr>
          </w:p>
          <w:p>
            <w:pPr>
              <w:widowControl/>
              <w:spacing w:line="360" w:lineRule="atLeast"/>
              <w:jc w:val="left"/>
              <w:rPr>
                <w:rFonts w:ascii="宋体" w:hAnsi="宋体" w:cs="宋体"/>
                <w:kern w:val="0"/>
                <w:sz w:val="20"/>
                <w:szCs w:val="20"/>
              </w:rPr>
            </w:pPr>
          </w:p>
          <w:p>
            <w:pPr>
              <w:widowControl/>
              <w:spacing w:line="360" w:lineRule="atLeast"/>
              <w:jc w:val="left"/>
              <w:rPr>
                <w:rFonts w:ascii="宋体" w:hAnsi="宋体" w:cs="宋体"/>
                <w:kern w:val="0"/>
                <w:sz w:val="20"/>
                <w:szCs w:val="20"/>
              </w:rPr>
            </w:pPr>
          </w:p>
          <w:p>
            <w:pPr>
              <w:widowControl/>
              <w:spacing w:line="360" w:lineRule="atLeast"/>
              <w:jc w:val="left"/>
              <w:rPr>
                <w:rFonts w:ascii="宋体" w:hAnsi="宋体" w:cs="宋体"/>
                <w:kern w:val="0"/>
                <w:sz w:val="20"/>
                <w:szCs w:val="20"/>
              </w:rPr>
            </w:pPr>
          </w:p>
          <w:p>
            <w:pPr>
              <w:widowControl/>
              <w:spacing w:line="360" w:lineRule="atLeast"/>
              <w:jc w:val="left"/>
              <w:rPr>
                <w:rFonts w:ascii="宋体" w:hAnsi="宋体" w:cs="宋体"/>
                <w:kern w:val="0"/>
                <w:sz w:val="20"/>
                <w:szCs w:val="20"/>
              </w:rPr>
            </w:pPr>
            <w:r>
              <w:rPr>
                <w:rFonts w:hint="eastAsia" w:ascii="宋体" w:hAnsi="宋体" w:cs="宋体"/>
                <w:kern w:val="0"/>
                <w:sz w:val="20"/>
                <w:szCs w:val="20"/>
              </w:rPr>
              <w:t>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457" w:type="dxa"/>
            <w:noWrap/>
            <w:vAlign w:val="center"/>
          </w:tcPr>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7</w:t>
            </w:r>
          </w:p>
        </w:tc>
        <w:tc>
          <w:tcPr>
            <w:tcW w:w="1276" w:type="dxa"/>
            <w:gridSpan w:val="2"/>
            <w:noWrap/>
            <w:vAlign w:val="center"/>
          </w:tcPr>
          <w:p>
            <w:pPr>
              <w:widowControl/>
              <w:spacing w:line="360" w:lineRule="atLeast"/>
              <w:jc w:val="left"/>
              <w:rPr>
                <w:rFonts w:ascii="宋体" w:hAnsi="宋体" w:cs="宋体"/>
                <w:kern w:val="0"/>
                <w:sz w:val="20"/>
                <w:szCs w:val="20"/>
              </w:rPr>
            </w:pPr>
          </w:p>
          <w:p>
            <w:pPr>
              <w:pStyle w:val="2"/>
            </w:pPr>
          </w:p>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本项目分析与对策</w:t>
            </w:r>
          </w:p>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（主观分）</w:t>
            </w:r>
          </w:p>
          <w:p>
            <w:pPr>
              <w:widowControl/>
              <w:spacing w:line="360" w:lineRule="atLeast"/>
              <w:jc w:val="left"/>
              <w:rPr>
                <w:rFonts w:ascii="宋体" w:hAnsi="宋体" w:cs="宋体"/>
                <w:kern w:val="0"/>
                <w:sz w:val="20"/>
                <w:szCs w:val="20"/>
              </w:rPr>
            </w:pPr>
          </w:p>
          <w:p/>
        </w:tc>
        <w:tc>
          <w:tcPr>
            <w:tcW w:w="785" w:type="dxa"/>
            <w:noWrap/>
            <w:vAlign w:val="center"/>
          </w:tcPr>
          <w:p>
            <w:pPr>
              <w:widowControl/>
              <w:spacing w:line="360" w:lineRule="atLeast"/>
              <w:ind w:firstLine="200" w:firstLineChars="100"/>
              <w:jc w:val="left"/>
              <w:rPr>
                <w:rFonts w:ascii="宋体" w:hAnsi="宋体" w:cs="宋体"/>
                <w:kern w:val="0"/>
                <w:sz w:val="20"/>
                <w:szCs w:val="20"/>
              </w:rPr>
            </w:pPr>
            <w:r>
              <w:rPr>
                <w:rFonts w:hint="eastAsia" w:ascii="宋体" w:hAnsi="宋体" w:cs="宋体"/>
                <w:kern w:val="0"/>
                <w:sz w:val="20"/>
                <w:szCs w:val="20"/>
              </w:rPr>
              <w:t>3</w:t>
            </w:r>
            <w:r>
              <w:rPr>
                <w:rFonts w:hint="eastAsia" w:ascii="宋体" w:hAnsi="宋体" w:eastAsia="宋体" w:cs="宋体"/>
                <w:kern w:val="0"/>
                <w:sz w:val="20"/>
                <w:szCs w:val="20"/>
              </w:rPr>
              <w:t>分</w:t>
            </w:r>
          </w:p>
        </w:tc>
        <w:tc>
          <w:tcPr>
            <w:tcW w:w="4508" w:type="dxa"/>
            <w:noWrap/>
            <w:vAlign w:val="center"/>
          </w:tcPr>
          <w:p>
            <w:pPr>
              <w:pStyle w:val="933"/>
              <w:adjustRightInd w:val="0"/>
              <w:snapToGrid w:val="0"/>
              <w:spacing w:line="360" w:lineRule="auto"/>
              <w:rPr>
                <w:rFonts w:hAnsi="宋体" w:cs="宋体"/>
              </w:rPr>
            </w:pPr>
            <w:r>
              <w:rPr>
                <w:rFonts w:hint="eastAsia" w:hAnsi="宋体" w:cs="宋体"/>
              </w:rPr>
              <w:t>1.对投标方案阐述是否清晰、完整，对投标人自身的介绍（包括公司管理经营模式等方面）情况、项目实施和管理优势等方面因素，与项目需求的吻合程度以及偏差情况。（1分）</w:t>
            </w:r>
          </w:p>
          <w:p>
            <w:pPr>
              <w:pStyle w:val="933"/>
              <w:adjustRightInd w:val="0"/>
              <w:snapToGrid w:val="0"/>
              <w:spacing w:line="360" w:lineRule="auto"/>
              <w:rPr>
                <w:rFonts w:hAnsi="宋体" w:cs="宋体"/>
              </w:rPr>
            </w:pPr>
            <w:r>
              <w:rPr>
                <w:rFonts w:hint="eastAsia" w:hAnsi="宋体" w:cs="宋体"/>
              </w:rPr>
              <w:t>2.对列入本次采购的物业管理内容，能否提出针对性解决方案及更优化的建议，内容阐述是否全面，对重点、难点问题的理解和阐述是否合理等。（1分）</w:t>
            </w:r>
          </w:p>
          <w:p>
            <w:pPr>
              <w:pStyle w:val="933"/>
              <w:adjustRightInd w:val="0"/>
              <w:snapToGrid w:val="0"/>
              <w:spacing w:line="360" w:lineRule="auto"/>
              <w:rPr>
                <w:rFonts w:hAnsi="宋体" w:cs="宋体"/>
              </w:rPr>
            </w:pPr>
            <w:r>
              <w:rPr>
                <w:rFonts w:hint="eastAsia" w:hAnsi="宋体" w:cs="宋体"/>
              </w:rPr>
              <w:t>3.投标人对采购人现有物业管理总体框架及纳入本次物业管理范围内的物业管理区域的熟悉情况和理解是否全面、准确、合理，以及投标方案对招标文件中错漏项的纠正补全水平。（1分）</w:t>
            </w:r>
          </w:p>
          <w:p>
            <w:pPr>
              <w:pStyle w:val="933"/>
              <w:adjustRightInd w:val="0"/>
              <w:snapToGrid w:val="0"/>
              <w:spacing w:line="360" w:lineRule="auto"/>
              <w:rPr>
                <w:rFonts w:hAnsi="宋体" w:cs="宋体"/>
              </w:rPr>
            </w:pPr>
            <w:r>
              <w:rPr>
                <w:rFonts w:hint="eastAsia" w:hAnsi="宋体" w:cs="宋体"/>
              </w:rPr>
              <w:t>注：</w:t>
            </w:r>
            <w:r>
              <w:rPr>
                <w:rFonts w:hint="eastAsia" w:hAnsi="宋体" w:cs="宋体"/>
                <w:b/>
              </w:rPr>
              <w:t>每条分别计算分数。</w:t>
            </w:r>
            <w:r>
              <w:rPr>
                <w:rFonts w:hint="eastAsia" w:hAnsi="宋体" w:cs="宋体"/>
              </w:rPr>
              <w:t>应答详尽、明晰，内容完整齐全、表述准确、条理清晰，内容无前后矛盾，符合招标文件要求，分析本项目的特点针对性强的1分；应答基本详尽、基本明晰，内容基本齐全、表述基本准确、条理基本清晰，内容前后矛盾较少，基本符合招标文件要求，分析本项目的特点针对性一般的0.5分；应答不详尽、不明晰，内容不齐全、表述不准确、条理不清晰，内容有明显前后矛盾，不符合招标文件要求，分析本项目的特点针对性差的不得分。</w:t>
            </w:r>
          </w:p>
        </w:tc>
        <w:tc>
          <w:tcPr>
            <w:tcW w:w="1909" w:type="dxa"/>
            <w:noWrap/>
            <w:vAlign w:val="center"/>
          </w:tcPr>
          <w:p>
            <w:pPr>
              <w:widowControl/>
              <w:spacing w:line="360" w:lineRule="atLeast"/>
              <w:jc w:val="left"/>
              <w:rPr>
                <w:rFonts w:ascii="宋体" w:hAnsi="宋体" w:cs="宋体"/>
                <w:kern w:val="0"/>
                <w:sz w:val="20"/>
                <w:szCs w:val="20"/>
              </w:rPr>
            </w:pPr>
            <w:r>
              <w:rPr>
                <w:rFonts w:hint="eastAsia" w:ascii="宋体" w:hAnsi="宋体" w:cs="宋体"/>
                <w:kern w:val="0"/>
                <w:sz w:val="20"/>
                <w:szCs w:val="20"/>
              </w:rPr>
              <w:t>3项分数合计，最高得3分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5" w:hRule="atLeast"/>
          <w:jc w:val="center"/>
        </w:trPr>
        <w:tc>
          <w:tcPr>
            <w:tcW w:w="457" w:type="dxa"/>
            <w:noWrap/>
            <w:vAlign w:val="center"/>
          </w:tcPr>
          <w:p>
            <w:pPr>
              <w:widowControl/>
              <w:spacing w:line="360" w:lineRule="atLeast"/>
              <w:jc w:val="left"/>
              <w:rPr>
                <w:rFonts w:ascii="宋体" w:hAnsi="宋体" w:cs="宋体"/>
                <w:kern w:val="0"/>
                <w:sz w:val="20"/>
                <w:szCs w:val="20"/>
              </w:rPr>
            </w:pPr>
            <w:r>
              <w:rPr>
                <w:rFonts w:hint="eastAsia" w:ascii="宋体" w:hAnsi="宋体" w:eastAsia="宋体" w:cs="宋体"/>
                <w:kern w:val="0"/>
                <w:sz w:val="20"/>
                <w:szCs w:val="20"/>
              </w:rPr>
              <w:t>8</w:t>
            </w:r>
          </w:p>
        </w:tc>
        <w:tc>
          <w:tcPr>
            <w:tcW w:w="1276" w:type="dxa"/>
            <w:gridSpan w:val="2"/>
            <w:noWrap/>
            <w:vAlign w:val="center"/>
          </w:tcPr>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r>
              <w:rPr>
                <w:rFonts w:hint="eastAsia" w:ascii="宋体" w:hAnsi="宋体" w:cs="宋体"/>
                <w:bCs/>
                <w:kern w:val="0"/>
                <w:sz w:val="20"/>
                <w:szCs w:val="20"/>
              </w:rPr>
              <w:t>服务方案</w:t>
            </w:r>
          </w:p>
          <w:p>
            <w:pPr>
              <w:pStyle w:val="2"/>
              <w:rPr>
                <w:rFonts w:hAnsi="宋体" w:cs="宋体" w:eastAsiaTheme="minorEastAsia"/>
                <w:bCs/>
                <w:snapToGrid/>
                <w:kern w:val="0"/>
                <w:sz w:val="20"/>
                <w:szCs w:val="20"/>
                <w:lang w:val="en-US"/>
              </w:rPr>
            </w:pPr>
            <w:r>
              <w:rPr>
                <w:rFonts w:hint="eastAsia" w:hAnsi="宋体" w:cs="宋体" w:eastAsiaTheme="minorEastAsia"/>
                <w:bCs/>
                <w:snapToGrid/>
                <w:kern w:val="0"/>
                <w:sz w:val="20"/>
                <w:szCs w:val="20"/>
                <w:lang w:val="en-US"/>
              </w:rPr>
              <w:t>（主观分）</w:t>
            </w: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p>
          <w:p>
            <w:pPr>
              <w:widowControl/>
              <w:spacing w:line="360" w:lineRule="atLeast"/>
              <w:jc w:val="left"/>
              <w:rPr>
                <w:rFonts w:ascii="宋体" w:hAnsi="宋体" w:cs="宋体"/>
                <w:bCs/>
                <w:kern w:val="0"/>
                <w:sz w:val="20"/>
                <w:szCs w:val="20"/>
              </w:rPr>
            </w:pPr>
            <w:r>
              <w:rPr>
                <w:rFonts w:hint="eastAsia" w:ascii="宋体" w:hAnsi="宋体" w:cs="宋体"/>
                <w:bCs/>
                <w:kern w:val="0"/>
                <w:sz w:val="20"/>
                <w:szCs w:val="20"/>
              </w:rPr>
              <w:t xml:space="preserve">服务方案（主观分）                  </w:t>
            </w:r>
          </w:p>
        </w:tc>
        <w:tc>
          <w:tcPr>
            <w:tcW w:w="785" w:type="dxa"/>
            <w:noWrap/>
            <w:vAlign w:val="center"/>
          </w:tcPr>
          <w:p>
            <w:pPr>
              <w:widowControl/>
              <w:spacing w:line="360" w:lineRule="atLeast"/>
              <w:jc w:val="left"/>
              <w:rPr>
                <w:rFonts w:ascii="宋体" w:hAnsi="宋体" w:cs="宋体"/>
                <w:kern w:val="0"/>
                <w:sz w:val="20"/>
                <w:szCs w:val="20"/>
              </w:rPr>
            </w:pPr>
          </w:p>
          <w:p>
            <w:pPr>
              <w:pStyle w:val="2"/>
              <w:rPr>
                <w:rFonts w:hAnsi="宋体" w:cs="宋体"/>
                <w:kern w:val="0"/>
                <w:sz w:val="20"/>
                <w:szCs w:val="20"/>
              </w:rPr>
            </w:pPr>
          </w:p>
          <w:p>
            <w:pPr>
              <w:pStyle w:val="2"/>
              <w:rPr>
                <w:rFonts w:hAnsi="宋体" w:cs="宋体"/>
                <w:kern w:val="0"/>
                <w:sz w:val="20"/>
                <w:szCs w:val="20"/>
              </w:rPr>
            </w:pPr>
          </w:p>
          <w:p>
            <w:pPr>
              <w:widowControl/>
              <w:spacing w:line="360" w:lineRule="atLeast"/>
              <w:jc w:val="left"/>
              <w:rPr>
                <w:rFonts w:ascii="宋体" w:hAnsi="宋体" w:cs="宋体"/>
                <w:kern w:val="0"/>
                <w:sz w:val="20"/>
                <w:szCs w:val="20"/>
              </w:rPr>
            </w:pPr>
          </w:p>
          <w:p>
            <w:pPr>
              <w:widowControl/>
              <w:spacing w:line="360" w:lineRule="atLeast"/>
              <w:jc w:val="left"/>
              <w:rPr>
                <w:rFonts w:ascii="宋体" w:hAnsi="宋体" w:cs="宋体"/>
                <w:kern w:val="0"/>
                <w:sz w:val="20"/>
                <w:szCs w:val="20"/>
              </w:rPr>
            </w:pPr>
          </w:p>
          <w:p>
            <w:pPr>
              <w:widowControl/>
              <w:spacing w:line="360" w:lineRule="atLeast"/>
              <w:jc w:val="left"/>
              <w:rPr>
                <w:rFonts w:ascii="宋体" w:hAnsi="宋体" w:cs="宋体"/>
                <w:kern w:val="0"/>
                <w:sz w:val="20"/>
                <w:szCs w:val="20"/>
              </w:rPr>
            </w:pPr>
            <w:r>
              <w:rPr>
                <w:rFonts w:hint="eastAsia" w:ascii="宋体" w:hAnsi="宋体" w:cs="宋体"/>
                <w:kern w:val="0"/>
                <w:sz w:val="20"/>
                <w:szCs w:val="20"/>
              </w:rPr>
              <w:t>20</w:t>
            </w:r>
            <w:r>
              <w:rPr>
                <w:rFonts w:hint="eastAsia" w:ascii="宋体" w:hAnsi="宋体" w:eastAsia="宋体" w:cs="宋体"/>
                <w:kern w:val="0"/>
                <w:sz w:val="20"/>
                <w:szCs w:val="20"/>
              </w:rPr>
              <w:t>分</w:t>
            </w:r>
          </w:p>
        </w:tc>
        <w:tc>
          <w:tcPr>
            <w:tcW w:w="4508" w:type="dxa"/>
            <w:noWrap/>
            <w:vAlign w:val="center"/>
          </w:tcPr>
          <w:p>
            <w:pPr>
              <w:widowControl/>
              <w:spacing w:line="360" w:lineRule="atLeast"/>
              <w:jc w:val="left"/>
              <w:rPr>
                <w:sz w:val="20"/>
                <w:szCs w:val="20"/>
              </w:rPr>
            </w:pPr>
            <w:r>
              <w:rPr>
                <w:rFonts w:hint="eastAsia"/>
                <w:sz w:val="20"/>
                <w:szCs w:val="20"/>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widowControl/>
              <w:spacing w:line="360" w:lineRule="atLeast"/>
              <w:jc w:val="left"/>
              <w:rPr>
                <w:sz w:val="20"/>
                <w:szCs w:val="20"/>
              </w:rPr>
            </w:pPr>
            <w:r>
              <w:rPr>
                <w:rFonts w:hint="eastAsia"/>
                <w:sz w:val="20"/>
                <w:szCs w:val="20"/>
              </w:rPr>
              <w:t>1.管理区域内环境卫生管理方案。（2分）包括大楼内的楼梯（含安全通道）、大厅、走廊、屋顶平台（各楼层平台）、电梯厅、电梯间、卫生间、茶水间、花盆、会议室、办公区域、公共活动场所的台（地）面、明沟、墙面、门、窗、灯具、垃圾箱等设施和器皿，楼宇外墙等所有公共部位设施，停车场</w:t>
            </w:r>
            <w:r>
              <w:rPr>
                <w:sz w:val="20"/>
                <w:szCs w:val="20"/>
              </w:rPr>
              <w:t>(</w:t>
            </w:r>
            <w:r>
              <w:rPr>
                <w:rFonts w:hint="eastAsia"/>
                <w:sz w:val="20"/>
                <w:szCs w:val="20"/>
              </w:rPr>
              <w:t>库</w:t>
            </w:r>
            <w:r>
              <w:rPr>
                <w:sz w:val="20"/>
                <w:szCs w:val="20"/>
              </w:rPr>
              <w:t>)</w:t>
            </w:r>
            <w:r>
              <w:rPr>
                <w:rFonts w:hint="eastAsia"/>
                <w:sz w:val="20"/>
                <w:szCs w:val="20"/>
              </w:rPr>
              <w:t>、保安亭等所有公共场地及设施和“门前三包”区域的日常保洁保养以及垃圾分类管理、废弃物清理、禁烟管理、防疫消杀和灭“四害”等所有环境卫生保洁。（完全符合得2分，部分符合得1分，不符合不得分）</w:t>
            </w:r>
          </w:p>
          <w:p>
            <w:pPr>
              <w:widowControl/>
              <w:spacing w:line="360" w:lineRule="atLeast"/>
              <w:jc w:val="left"/>
              <w:rPr>
                <w:sz w:val="20"/>
                <w:szCs w:val="20"/>
              </w:rPr>
            </w:pPr>
            <w:r>
              <w:rPr>
                <w:rFonts w:hint="eastAsia"/>
                <w:sz w:val="20"/>
                <w:szCs w:val="20"/>
              </w:rPr>
              <w:t>2.管理区域内传达、秩序的管理方案。（2分）包括熟悉周边的环境，能处理和应对公共秩序维护工作，能正确使用各类消防、物防、技防器械和设备，能够熟悉、掌握各类刑事、治安案件和各类灾害事故的应急预案；来人来访的通报、证件检验、登记、报刊信件收发等；门卫、守护和巡逻，维护公共秩序；处理治安及其他突发事件。（完全符合得2分，部分符合得1分，不符合不得分）</w:t>
            </w:r>
          </w:p>
          <w:p>
            <w:pPr>
              <w:widowControl/>
              <w:spacing w:line="360" w:lineRule="atLeast"/>
              <w:jc w:val="left"/>
              <w:rPr>
                <w:sz w:val="20"/>
                <w:szCs w:val="20"/>
              </w:rPr>
            </w:pPr>
            <w:r>
              <w:rPr>
                <w:rFonts w:hint="eastAsia"/>
                <w:sz w:val="20"/>
                <w:szCs w:val="20"/>
              </w:rPr>
              <w:t>3.管理区域内车辆停车管理的管理方案。（2分）负责大楼地面、立体车库和地下车库的车位及交通管理、机动车和非机动车停放、停车管理。管理地面车位有车位的车辆，一律停放在固定车位内，无地面固定车位的车，应停放整齐、规范，非机动车应实行定点停放。对进出大楼的各类车辆要进行严格管理，维护交通秩序，保证车辆有序通行、有序停放。（完全符合得2分，部分符合得1分，不符合不得分）</w:t>
            </w:r>
          </w:p>
          <w:p>
            <w:pPr>
              <w:widowControl/>
              <w:spacing w:line="360" w:lineRule="atLeast"/>
              <w:jc w:val="left"/>
              <w:rPr>
                <w:sz w:val="20"/>
                <w:szCs w:val="20"/>
              </w:rPr>
            </w:pPr>
            <w:r>
              <w:rPr>
                <w:rFonts w:hint="eastAsia"/>
                <w:sz w:val="20"/>
                <w:szCs w:val="20"/>
              </w:rPr>
              <w:t>4.</w:t>
            </w:r>
            <w:r>
              <w:rPr>
                <w:rFonts w:hint="eastAsia"/>
                <w:bCs/>
                <w:sz w:val="20"/>
                <w:szCs w:val="20"/>
              </w:rPr>
              <w:t>物业管理区域内消防系统及监控设施维护管理方案。（2分）</w:t>
            </w:r>
            <w:r>
              <w:rPr>
                <w:rFonts w:hint="eastAsia"/>
                <w:sz w:val="20"/>
                <w:szCs w:val="20"/>
              </w:rPr>
              <w:t>负责防盗、防火报警监控设备运行管理，积极主动的配合、服从对口管理部门的临时应急调度。建立完善的消防制度和消防工作计划，物管人员应定期接受消防培训、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稳压系统、消防排烟机组等消空设备按安保条例进行监管和操作使用。（完全符合得2分，部分符合得1分，不符合不得分）</w:t>
            </w:r>
          </w:p>
          <w:p>
            <w:pPr>
              <w:widowControl/>
              <w:spacing w:line="360" w:lineRule="atLeast"/>
              <w:jc w:val="left"/>
              <w:rPr>
                <w:sz w:val="20"/>
                <w:szCs w:val="20"/>
              </w:rPr>
            </w:pPr>
            <w:r>
              <w:rPr>
                <w:rFonts w:hint="eastAsia"/>
                <w:sz w:val="20"/>
                <w:szCs w:val="20"/>
              </w:rPr>
              <w:t>5.物业管理区域内中央空调系统、锅炉设备、给排水设备运行维护方案。（2分）方案包括物业服务区域内中央空调系统、锅炉设备的日常养护维修，根据服务区域内实际情况设计，能满足采购需求中的服务质量标准；方案包括对办公楼室内外给排水系统的设备、设施，如水泵、消火栓、管道、管件、阀门、水嘴、卫生洁具、排水管、透气管、室外排水管及附属构筑物等进行日常养护维修，保持正常运行。（完全符合得2分，</w:t>
            </w:r>
            <w:r>
              <w:rPr>
                <w:rFonts w:hint="eastAsia"/>
                <w:sz w:val="20"/>
                <w:szCs w:val="20"/>
                <w:lang w:val="zh-CN"/>
              </w:rPr>
              <w:t>部分符合得</w:t>
            </w:r>
            <w:r>
              <w:rPr>
                <w:rFonts w:hint="eastAsia"/>
                <w:sz w:val="20"/>
                <w:szCs w:val="20"/>
              </w:rPr>
              <w:t>1</w:t>
            </w:r>
            <w:r>
              <w:rPr>
                <w:rFonts w:hint="eastAsia"/>
                <w:sz w:val="20"/>
                <w:szCs w:val="20"/>
                <w:lang w:val="zh-CN"/>
              </w:rPr>
              <w:t>分</w:t>
            </w:r>
            <w:r>
              <w:rPr>
                <w:rFonts w:hint="eastAsia"/>
                <w:sz w:val="20"/>
                <w:szCs w:val="20"/>
              </w:rPr>
              <w:t>，不符合不得分）</w:t>
            </w:r>
          </w:p>
          <w:p>
            <w:pPr>
              <w:pStyle w:val="2"/>
              <w:rPr>
                <w:rFonts w:ascii="Times New Roman" w:hAnsi="Times New Roman"/>
                <w:sz w:val="20"/>
                <w:szCs w:val="20"/>
              </w:rPr>
            </w:pPr>
            <w:r>
              <w:rPr>
                <w:rFonts w:hint="eastAsia"/>
              </w:rPr>
              <w:t>6.</w:t>
            </w:r>
            <w:r>
              <w:rPr>
                <w:rFonts w:hint="eastAsia" w:ascii="Times New Roman" w:hAnsi="Times New Roman"/>
                <w:sz w:val="20"/>
                <w:szCs w:val="20"/>
              </w:rPr>
              <w:t>物业管理区域内供电设备、弱电系统管理维护方案。（2分）包括对大楼内外的变压器、高及低压配电柜、能量管理系统、设备机房电气控制柜、疏散指示系统、电气管线、电线电缆、电源开关、动力插座、电开水炉、水泵等低压用电设施进行日常管理和维修，保持设施正常运行（完全符合得1分，</w:t>
            </w:r>
            <w:r>
              <w:rPr>
                <w:rFonts w:hint="eastAsia" w:ascii="Times New Roman" w:hAnsi="Times New Roman"/>
                <w:sz w:val="20"/>
                <w:szCs w:val="20"/>
                <w:lang w:val="en-US"/>
              </w:rPr>
              <w:t>部分符合得0.5分，</w:t>
            </w:r>
            <w:r>
              <w:rPr>
                <w:rFonts w:hint="eastAsia" w:ascii="Times New Roman" w:hAnsi="Times New Roman"/>
                <w:sz w:val="20"/>
                <w:szCs w:val="20"/>
              </w:rPr>
              <w:t>不符合不得分）；综合布线、楼宇设备自控系统、安全防范系统、多功能会议系统、弱电机房等进行日常管理和维修，保持设施正常运行（完全符合得2分，</w:t>
            </w:r>
            <w:r>
              <w:rPr>
                <w:rFonts w:hint="eastAsia" w:ascii="Times New Roman" w:hAnsi="Times New Roman"/>
                <w:sz w:val="20"/>
                <w:szCs w:val="20"/>
                <w:lang w:val="en-US"/>
              </w:rPr>
              <w:t>部分符合得1分，</w:t>
            </w:r>
            <w:r>
              <w:rPr>
                <w:rFonts w:hint="eastAsia" w:ascii="Times New Roman" w:hAnsi="Times New Roman"/>
                <w:sz w:val="20"/>
                <w:szCs w:val="20"/>
              </w:rPr>
              <w:t>不符合不得分）。</w:t>
            </w:r>
          </w:p>
          <w:p>
            <w:pPr>
              <w:widowControl/>
              <w:spacing w:line="360" w:lineRule="atLeast"/>
              <w:jc w:val="left"/>
              <w:rPr>
                <w:sz w:val="20"/>
                <w:szCs w:val="20"/>
              </w:rPr>
            </w:pPr>
            <w:r>
              <w:rPr>
                <w:rFonts w:hint="eastAsia"/>
                <w:sz w:val="20"/>
                <w:szCs w:val="20"/>
              </w:rPr>
              <w:t>7.管理区域内电梯、立体停车库的设备维护方案。（2分）包括物业管理区域内电梯日常保养及运行维护。建立运行安全管理制度，引导乘客安全用梯、用库，确保电梯、立体停车库按规定时间运行；电梯发生一般故障或发生电梯困人或其他重大事件时，应急处理工作以及电梯的清洁保养，包括每日保洁，每周清洁消毒、上光等；加强对立体停车库的安全检查和日常操作培训。（完全符合得2分，</w:t>
            </w:r>
            <w:r>
              <w:rPr>
                <w:rFonts w:hint="eastAsia"/>
                <w:sz w:val="20"/>
                <w:szCs w:val="20"/>
                <w:lang w:val="zh-CN"/>
              </w:rPr>
              <w:t>部分符合得</w:t>
            </w:r>
            <w:r>
              <w:rPr>
                <w:rFonts w:hint="eastAsia"/>
                <w:sz w:val="20"/>
                <w:szCs w:val="20"/>
              </w:rPr>
              <w:t>1</w:t>
            </w:r>
            <w:r>
              <w:rPr>
                <w:rFonts w:hint="eastAsia"/>
                <w:sz w:val="20"/>
                <w:szCs w:val="20"/>
                <w:lang w:val="zh-CN"/>
              </w:rPr>
              <w:t>分</w:t>
            </w:r>
            <w:r>
              <w:rPr>
                <w:rFonts w:hint="eastAsia"/>
                <w:sz w:val="20"/>
                <w:szCs w:val="20"/>
              </w:rPr>
              <w:t>，不符合不得分）</w:t>
            </w:r>
          </w:p>
          <w:p>
            <w:pPr>
              <w:widowControl/>
              <w:spacing w:line="360" w:lineRule="atLeast"/>
              <w:jc w:val="left"/>
              <w:rPr>
                <w:sz w:val="20"/>
                <w:szCs w:val="20"/>
              </w:rPr>
            </w:pPr>
            <w:r>
              <w:rPr>
                <w:rFonts w:hint="eastAsia"/>
                <w:sz w:val="20"/>
                <w:szCs w:val="20"/>
              </w:rPr>
              <w:t>8.管理区域内</w:t>
            </w:r>
            <w:r>
              <w:rPr>
                <w:rFonts w:hint="eastAsia"/>
                <w:bCs/>
                <w:sz w:val="20"/>
                <w:szCs w:val="20"/>
              </w:rPr>
              <w:t>房屋日常养护维修</w:t>
            </w:r>
            <w:r>
              <w:rPr>
                <w:rFonts w:hint="eastAsia"/>
                <w:sz w:val="20"/>
                <w:szCs w:val="20"/>
              </w:rPr>
              <w:t>方案及机房的标准化建设。（2分）包括办公楼</w:t>
            </w:r>
            <w:r>
              <w:rPr>
                <w:sz w:val="20"/>
                <w:szCs w:val="20"/>
              </w:rPr>
              <w:t>(</w:t>
            </w:r>
            <w:r>
              <w:rPr>
                <w:rFonts w:hint="eastAsia"/>
                <w:sz w:val="20"/>
                <w:szCs w:val="20"/>
              </w:rPr>
              <w:t>区</w:t>
            </w:r>
            <w:r>
              <w:rPr>
                <w:sz w:val="20"/>
                <w:szCs w:val="20"/>
              </w:rPr>
              <w:t>)</w:t>
            </w:r>
            <w:r>
              <w:rPr>
                <w:rFonts w:hint="eastAsia"/>
                <w:sz w:val="20"/>
                <w:szCs w:val="20"/>
              </w:rPr>
              <w:t>房屋地面、墙、台面及吊顶、门窗、楼梯、通风道等的日常巡查和养护维修；对各类机房按照行业标准进行标准化管理的方案。（完全符合得2分，</w:t>
            </w:r>
            <w:r>
              <w:rPr>
                <w:rFonts w:hint="eastAsia"/>
                <w:sz w:val="20"/>
                <w:szCs w:val="20"/>
                <w:lang w:val="zh-CN"/>
              </w:rPr>
              <w:t>部分符合得</w:t>
            </w:r>
            <w:r>
              <w:rPr>
                <w:rFonts w:hint="eastAsia"/>
                <w:sz w:val="20"/>
                <w:szCs w:val="20"/>
              </w:rPr>
              <w:t>1</w:t>
            </w:r>
            <w:r>
              <w:rPr>
                <w:rFonts w:hint="eastAsia"/>
                <w:sz w:val="20"/>
                <w:szCs w:val="20"/>
                <w:lang w:val="zh-CN"/>
              </w:rPr>
              <w:t>分</w:t>
            </w:r>
            <w:r>
              <w:rPr>
                <w:rFonts w:hint="eastAsia"/>
                <w:sz w:val="20"/>
                <w:szCs w:val="20"/>
              </w:rPr>
              <w:t xml:space="preserve">，不符合不得分）    </w:t>
            </w:r>
          </w:p>
          <w:p>
            <w:pPr>
              <w:widowControl/>
              <w:spacing w:line="360" w:lineRule="atLeast"/>
              <w:jc w:val="left"/>
              <w:rPr>
                <w:sz w:val="20"/>
                <w:szCs w:val="20"/>
              </w:rPr>
            </w:pPr>
            <w:r>
              <w:rPr>
                <w:rFonts w:hint="eastAsia"/>
                <w:sz w:val="20"/>
                <w:szCs w:val="20"/>
              </w:rPr>
              <w:t>9.大楼内综合会议、培训、活动方案。（2分）根据采购单位需要提供重大会议、庆典、节日、培训等活动的劳动服务，包括布置会场、绿化摆设和保养、横幅悬挂、搬运器材、桌椅、空调、茶水、会后清场等工作。会议期间全过程值班，制定完备的会务服务工作流程、细则及服务工作计划并严格执行，保证各项会议的正常进行（遇防汛、抗雪值班应安排物管人员全程服务）</w:t>
            </w:r>
          </w:p>
          <w:p>
            <w:pPr>
              <w:pStyle w:val="2"/>
              <w:rPr>
                <w:rFonts w:ascii="Times New Roman" w:hAnsi="Times New Roman"/>
                <w:sz w:val="20"/>
                <w:szCs w:val="20"/>
              </w:rPr>
            </w:pPr>
            <w:r>
              <w:rPr>
                <w:rFonts w:hint="eastAsia" w:ascii="Times New Roman" w:hAnsi="Times New Roman"/>
                <w:sz w:val="20"/>
                <w:szCs w:val="20"/>
              </w:rPr>
              <w:t>10. 物业服务区域内树木、花草、色块等的日常养护和管理，绿地的养护及卫生管理，大院门口、室内外摆花及盆栽绿色植物的摆放和养护。（2分）方案根据服务区域内实际情况设计，能满足服务质量标准。（完全符合得2分，部分符合得1分，不符合不得分）。</w:t>
            </w:r>
          </w:p>
        </w:tc>
        <w:tc>
          <w:tcPr>
            <w:tcW w:w="1909" w:type="dxa"/>
            <w:noWrap/>
            <w:vAlign w:val="center"/>
          </w:tcPr>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p>
          <w:p>
            <w:pPr>
              <w:pStyle w:val="933"/>
              <w:adjustRightInd w:val="0"/>
              <w:snapToGrid w:val="0"/>
              <w:spacing w:line="360" w:lineRule="auto"/>
              <w:rPr>
                <w:rFonts w:ascii="Times New Roman" w:hAnsi="Times New Roman"/>
                <w:kern w:val="2"/>
              </w:rPr>
            </w:pPr>
            <w:r>
              <w:rPr>
                <w:rFonts w:hint="eastAsia" w:ascii="Times New Roman" w:hAnsi="Times New Roman"/>
                <w:kern w:val="2"/>
              </w:rPr>
              <w:t>10项分别计算分数进行合计，最高得20分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77" w:hRule="atLeast"/>
          <w:jc w:val="center"/>
        </w:trPr>
        <w:tc>
          <w:tcPr>
            <w:tcW w:w="457" w:type="dxa"/>
            <w:noWrap/>
            <w:vAlign w:val="center"/>
          </w:tcPr>
          <w:p>
            <w:pPr>
              <w:widowControl/>
              <w:spacing w:line="360" w:lineRule="atLeast"/>
              <w:jc w:val="left"/>
              <w:rPr>
                <w:sz w:val="20"/>
                <w:szCs w:val="20"/>
              </w:rPr>
            </w:pPr>
            <w:r>
              <w:rPr>
                <w:rFonts w:hint="eastAsia" w:ascii="Times New Roman" w:hAnsi="Times New Roman" w:eastAsia="宋体" w:cs="Times New Roman"/>
                <w:sz w:val="20"/>
                <w:szCs w:val="20"/>
              </w:rPr>
              <w:t>9</w:t>
            </w:r>
          </w:p>
        </w:tc>
        <w:tc>
          <w:tcPr>
            <w:tcW w:w="1276" w:type="dxa"/>
            <w:gridSpan w:val="2"/>
            <w:noWrap/>
            <w:vAlign w:val="center"/>
          </w:tcPr>
          <w:p>
            <w:pPr>
              <w:widowControl/>
              <w:spacing w:line="360" w:lineRule="atLeast"/>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管理与考核制度</w:t>
            </w:r>
          </w:p>
          <w:p>
            <w:pPr>
              <w:widowControl/>
              <w:spacing w:line="360" w:lineRule="atLeast"/>
              <w:jc w:val="left"/>
              <w:rPr>
                <w:sz w:val="20"/>
                <w:szCs w:val="20"/>
              </w:rPr>
            </w:pPr>
            <w:r>
              <w:rPr>
                <w:rFonts w:hint="eastAsia" w:ascii="Times New Roman" w:hAnsi="Times New Roman" w:eastAsia="宋体" w:cs="Times New Roman"/>
                <w:sz w:val="20"/>
                <w:szCs w:val="20"/>
              </w:rPr>
              <w:t>（主观分）</w:t>
            </w:r>
          </w:p>
        </w:tc>
        <w:tc>
          <w:tcPr>
            <w:tcW w:w="785" w:type="dxa"/>
            <w:noWrap/>
            <w:vAlign w:val="center"/>
          </w:tcPr>
          <w:p>
            <w:pPr>
              <w:widowControl/>
              <w:spacing w:line="360" w:lineRule="atLeast"/>
              <w:ind w:firstLine="200" w:firstLineChars="100"/>
              <w:jc w:val="left"/>
              <w:rPr>
                <w:sz w:val="20"/>
                <w:szCs w:val="20"/>
              </w:rPr>
            </w:pPr>
            <w:r>
              <w:rPr>
                <w:rFonts w:hint="eastAsia"/>
                <w:sz w:val="20"/>
                <w:szCs w:val="20"/>
              </w:rPr>
              <w:t>5</w:t>
            </w:r>
            <w:r>
              <w:rPr>
                <w:rFonts w:hint="eastAsia" w:ascii="Times New Roman" w:hAnsi="Times New Roman" w:eastAsia="宋体" w:cs="Times New Roman"/>
                <w:sz w:val="20"/>
                <w:szCs w:val="20"/>
              </w:rPr>
              <w:t>分</w:t>
            </w:r>
          </w:p>
        </w:tc>
        <w:tc>
          <w:tcPr>
            <w:tcW w:w="4508" w:type="dxa"/>
            <w:noWrap/>
            <w:vAlign w:val="center"/>
          </w:tcPr>
          <w:p>
            <w:pPr>
              <w:widowControl/>
              <w:numPr>
                <w:ilvl w:val="0"/>
                <w:numId w:val="11"/>
              </w:numPr>
              <w:spacing w:line="360" w:lineRule="atLeast"/>
              <w:jc w:val="left"/>
              <w:rPr>
                <w:sz w:val="20"/>
                <w:szCs w:val="20"/>
              </w:rPr>
            </w:pPr>
            <w:r>
              <w:rPr>
                <w:rFonts w:hint="eastAsia"/>
                <w:bCs/>
                <w:sz w:val="20"/>
                <w:szCs w:val="20"/>
              </w:rPr>
              <w:t>档案台账的标准制度化管理、设施设备第三方维保监督</w:t>
            </w:r>
            <w:r>
              <w:rPr>
                <w:rFonts w:hint="eastAsia"/>
                <w:sz w:val="20"/>
                <w:szCs w:val="20"/>
              </w:rPr>
              <w:t>。建立完善并妥善保管人员花名册、巡逻打点、出入人员登记、设施设备维保记录、设备运行记录、水电燃气记录、设施设备、弱电等各类记录和档案，对采购单位购买的各项易耗品、工具及其他物资的管理及进出库制度；对各类设施设备第三方维保单位服务进行必要的监督和配合及落实监督的独立性。（2分）</w:t>
            </w:r>
          </w:p>
          <w:p>
            <w:pPr>
              <w:widowControl/>
              <w:spacing w:line="360" w:lineRule="atLeast"/>
              <w:ind w:left="100"/>
              <w:jc w:val="left"/>
              <w:rPr>
                <w:sz w:val="20"/>
                <w:szCs w:val="20"/>
              </w:rPr>
            </w:pPr>
            <w:r>
              <w:rPr>
                <w:rFonts w:hint="eastAsia"/>
                <w:b/>
                <w:bCs/>
                <w:sz w:val="20"/>
                <w:szCs w:val="20"/>
              </w:rPr>
              <w:t>注：每条分别计算分数。</w:t>
            </w:r>
            <w:r>
              <w:rPr>
                <w:rFonts w:hint="eastAsia"/>
                <w:sz w:val="20"/>
                <w:szCs w:val="20"/>
              </w:rPr>
              <w:t>应答详尽、明晰，内容完整齐全、表述准确、条理清晰，内容无前后矛盾，符合招标文件要求，分析本项目的特点针对性强的2分；一般的1分；差的不得分。</w:t>
            </w:r>
          </w:p>
          <w:p>
            <w:pPr>
              <w:pStyle w:val="2"/>
            </w:pPr>
          </w:p>
          <w:p>
            <w:pPr>
              <w:widowControl/>
              <w:numPr>
                <w:ilvl w:val="0"/>
                <w:numId w:val="11"/>
              </w:numPr>
              <w:spacing w:line="360" w:lineRule="atLeast"/>
              <w:jc w:val="left"/>
              <w:rPr>
                <w:sz w:val="20"/>
                <w:szCs w:val="20"/>
              </w:rPr>
            </w:pPr>
            <w:r>
              <w:rPr>
                <w:rFonts w:hint="eastAsia"/>
                <w:sz w:val="20"/>
                <w:szCs w:val="20"/>
                <w:lang w:val="zh-CN"/>
              </w:rPr>
              <w:t>对物业突发事件（包括发生台风、暴雨等灾害性天气及其他突发事件）时的应急预案及相应的措施，对智能化设施（如监控设备、公共区域及办公、会议室的供电系统、电气照明装置等公共设施）的检查、维护和应急维修方案等。（2分）</w:t>
            </w:r>
            <w:r>
              <w:rPr>
                <w:rFonts w:hint="eastAsia"/>
                <w:b/>
                <w:bCs/>
                <w:sz w:val="20"/>
                <w:szCs w:val="20"/>
              </w:rPr>
              <w:t>注：每条分别计算分数。</w:t>
            </w:r>
            <w:r>
              <w:rPr>
                <w:rFonts w:hint="eastAsia"/>
                <w:sz w:val="20"/>
                <w:szCs w:val="20"/>
              </w:rPr>
              <w:t>应答详尽、明晰，内容完整齐全、表述准确、条理清晰，内容无前后矛盾，符合招标文件要求，分析本项目的特点针对性强的2分；一般的1分；差的不得分。</w:t>
            </w:r>
          </w:p>
          <w:p>
            <w:pPr>
              <w:pStyle w:val="2"/>
              <w:ind w:left="100"/>
            </w:pPr>
          </w:p>
          <w:p>
            <w:pPr>
              <w:widowControl/>
              <w:numPr>
                <w:ilvl w:val="0"/>
                <w:numId w:val="11"/>
              </w:numPr>
              <w:spacing w:line="360" w:lineRule="atLeast"/>
              <w:jc w:val="left"/>
              <w:rPr>
                <w:sz w:val="20"/>
                <w:szCs w:val="20"/>
                <w:lang w:val="zh-CN"/>
              </w:rPr>
            </w:pPr>
            <w:r>
              <w:rPr>
                <w:rFonts w:hint="eastAsia"/>
                <w:sz w:val="20"/>
                <w:szCs w:val="20"/>
                <w:lang w:val="zh-CN"/>
              </w:rPr>
              <w:t>本项目实行的岗位责任制度、人员管理与考勤制度、考核管理制度、设施与设备管理制度。（1分）</w:t>
            </w:r>
          </w:p>
          <w:p>
            <w:pPr>
              <w:widowControl/>
              <w:spacing w:line="360" w:lineRule="atLeast"/>
              <w:ind w:left="100"/>
              <w:jc w:val="left"/>
              <w:rPr>
                <w:sz w:val="20"/>
                <w:szCs w:val="20"/>
                <w:lang w:val="zh-CN"/>
              </w:rPr>
            </w:pPr>
            <w:r>
              <w:rPr>
                <w:rFonts w:hint="eastAsia"/>
                <w:b/>
                <w:bCs/>
                <w:sz w:val="20"/>
                <w:szCs w:val="20"/>
              </w:rPr>
              <w:t>注：每条分别计算分数。</w:t>
            </w:r>
            <w:r>
              <w:rPr>
                <w:rFonts w:hint="eastAsia"/>
                <w:sz w:val="20"/>
                <w:szCs w:val="20"/>
              </w:rPr>
              <w:t>应答详尽、明晰，内容完整齐全、表述准确、条理清晰，内容无前后矛盾，符合招标文件要求，分析本项目的特点针对性强的1分；一般的0.5分；差的不得分。</w:t>
            </w:r>
          </w:p>
          <w:p>
            <w:pPr>
              <w:pStyle w:val="2"/>
              <w:rPr>
                <w:lang w:val="en-US"/>
              </w:rPr>
            </w:pPr>
          </w:p>
        </w:tc>
        <w:tc>
          <w:tcPr>
            <w:tcW w:w="1909" w:type="dxa"/>
            <w:noWrap/>
            <w:vAlign w:val="center"/>
          </w:tcPr>
          <w:p>
            <w:pPr>
              <w:widowControl/>
              <w:spacing w:line="360" w:lineRule="atLeast"/>
              <w:jc w:val="left"/>
              <w:rPr>
                <w:sz w:val="20"/>
                <w:szCs w:val="20"/>
              </w:rPr>
            </w:pPr>
            <w:r>
              <w:rPr>
                <w:rFonts w:hint="eastAsia"/>
                <w:sz w:val="20"/>
                <w:szCs w:val="20"/>
              </w:rPr>
              <w:t>3项分数合计，最高得5分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85" w:hRule="atLeast"/>
          <w:jc w:val="center"/>
        </w:trPr>
        <w:tc>
          <w:tcPr>
            <w:tcW w:w="470" w:type="dxa"/>
            <w:gridSpan w:val="2"/>
            <w:noWrap/>
            <w:vAlign w:val="center"/>
          </w:tcPr>
          <w:p>
            <w:pPr>
              <w:widowControl/>
              <w:spacing w:line="360" w:lineRule="atLeast"/>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c>
          <w:tcPr>
            <w:tcW w:w="1263" w:type="dxa"/>
            <w:noWrap/>
            <w:vAlign w:val="center"/>
          </w:tcPr>
          <w:p>
            <w:pPr>
              <w:widowControl/>
              <w:spacing w:line="360" w:lineRule="atLeast"/>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拟投入的易耗品及维修材料</w:t>
            </w:r>
          </w:p>
          <w:p>
            <w:pPr>
              <w:widowControl/>
              <w:spacing w:line="360" w:lineRule="atLeast"/>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（客观分）</w:t>
            </w:r>
          </w:p>
        </w:tc>
        <w:tc>
          <w:tcPr>
            <w:tcW w:w="785" w:type="dxa"/>
            <w:noWrap/>
            <w:vAlign w:val="center"/>
          </w:tcPr>
          <w:p>
            <w:pPr>
              <w:widowControl/>
              <w:spacing w:line="360" w:lineRule="atLeast"/>
              <w:ind w:firstLine="200" w:firstLineChars="100"/>
              <w:jc w:val="left"/>
              <w:rPr>
                <w:sz w:val="20"/>
                <w:szCs w:val="20"/>
              </w:rPr>
            </w:pPr>
            <w:r>
              <w:rPr>
                <w:rFonts w:hint="eastAsia"/>
                <w:sz w:val="20"/>
                <w:szCs w:val="20"/>
              </w:rPr>
              <w:t>1分</w:t>
            </w:r>
          </w:p>
        </w:tc>
        <w:tc>
          <w:tcPr>
            <w:tcW w:w="4508" w:type="dxa"/>
            <w:noWrap/>
            <w:vAlign w:val="center"/>
          </w:tcPr>
          <w:p>
            <w:pPr>
              <w:widowControl/>
              <w:spacing w:line="360" w:lineRule="atLeast"/>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拟投入本项目的卫生间易耗品（洗手液、擦手抽纸、厕用卷纸）的品牌、规格、型号、图片及市场价依据；对本项目公共区域（办公室除外）价值100元以下的维修材料清单及市场价依据。</w:t>
            </w:r>
          </w:p>
          <w:p>
            <w:pPr>
              <w:widowControl/>
              <w:spacing w:line="360" w:lineRule="atLeast"/>
              <w:jc w:val="left"/>
              <w:rPr>
                <w:rFonts w:ascii="Times New Roman" w:hAnsi="Times New Roman" w:cs="Times New Roman"/>
                <w:sz w:val="20"/>
                <w:szCs w:val="20"/>
              </w:rPr>
            </w:pPr>
            <w:r>
              <w:rPr>
                <w:rFonts w:hint="eastAsia" w:ascii="Times New Roman" w:hAnsi="Times New Roman" w:eastAsia="宋体" w:cs="Times New Roman"/>
                <w:sz w:val="20"/>
                <w:szCs w:val="20"/>
              </w:rPr>
              <w:t>注：易耗品需满足采购单位的采购需求，且保证优良品质和使用感受，材料清单对公共区域所需材料有较详尽的罗列，符合的得1分，否则不得分。</w:t>
            </w:r>
          </w:p>
        </w:tc>
        <w:tc>
          <w:tcPr>
            <w:tcW w:w="1909" w:type="dxa"/>
            <w:noWrap/>
            <w:vAlign w:val="center"/>
          </w:tcPr>
          <w:p>
            <w:pPr>
              <w:widowControl/>
              <w:spacing w:line="360" w:lineRule="atLeast"/>
              <w:jc w:val="left"/>
              <w:rPr>
                <w:sz w:val="20"/>
                <w:szCs w:val="20"/>
              </w:rPr>
            </w:pPr>
            <w:r>
              <w:rPr>
                <w:rFonts w:hint="eastAsia"/>
                <w:sz w:val="20"/>
                <w:szCs w:val="20"/>
              </w:rPr>
              <w:t>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78" w:hRule="atLeast"/>
          <w:jc w:val="center"/>
        </w:trPr>
        <w:tc>
          <w:tcPr>
            <w:tcW w:w="470" w:type="dxa"/>
            <w:gridSpan w:val="2"/>
            <w:noWrap/>
            <w:vAlign w:val="center"/>
          </w:tcPr>
          <w:p>
            <w:pPr>
              <w:widowControl/>
              <w:spacing w:line="360" w:lineRule="atLeast"/>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11</w:t>
            </w:r>
          </w:p>
        </w:tc>
        <w:tc>
          <w:tcPr>
            <w:tcW w:w="1263" w:type="dxa"/>
            <w:noWrap/>
            <w:vAlign w:val="center"/>
          </w:tcPr>
          <w:p>
            <w:pPr>
              <w:widowControl/>
              <w:spacing w:line="360" w:lineRule="atLeast"/>
              <w:jc w:val="center"/>
              <w:rPr>
                <w:rFonts w:ascii="Times New Roman" w:hAnsi="Times New Roman" w:eastAsia="宋体" w:cs="Times New Roman"/>
                <w:sz w:val="20"/>
                <w:szCs w:val="20"/>
              </w:rPr>
            </w:pPr>
            <w:r>
              <w:rPr>
                <w:rFonts w:hint="eastAsia" w:ascii="Times New Roman" w:hAnsi="Times New Roman" w:eastAsia="宋体" w:cs="Times New Roman"/>
                <w:sz w:val="20"/>
                <w:szCs w:val="20"/>
                <w:lang w:val="zh-CN"/>
              </w:rPr>
              <w:t>报价分</w:t>
            </w:r>
            <w:r>
              <w:rPr>
                <w:rFonts w:hint="eastAsia" w:ascii="Times New Roman" w:hAnsi="Times New Roman" w:eastAsia="宋体" w:cs="Times New Roman"/>
                <w:sz w:val="20"/>
                <w:szCs w:val="20"/>
              </w:rPr>
              <w:t>（客观分）</w:t>
            </w:r>
          </w:p>
        </w:tc>
        <w:tc>
          <w:tcPr>
            <w:tcW w:w="785" w:type="dxa"/>
            <w:noWrap/>
            <w:vAlign w:val="center"/>
          </w:tcPr>
          <w:p>
            <w:pPr>
              <w:widowControl/>
              <w:spacing w:line="360" w:lineRule="atLeast"/>
              <w:jc w:val="left"/>
              <w:rPr>
                <w:sz w:val="20"/>
                <w:szCs w:val="20"/>
              </w:rPr>
            </w:pPr>
            <w:r>
              <w:rPr>
                <w:rFonts w:hint="eastAsia"/>
                <w:sz w:val="20"/>
                <w:szCs w:val="20"/>
              </w:rPr>
              <w:t>50分</w:t>
            </w:r>
          </w:p>
        </w:tc>
        <w:tc>
          <w:tcPr>
            <w:tcW w:w="4508" w:type="dxa"/>
            <w:noWrap/>
            <w:vAlign w:val="center"/>
          </w:tcPr>
          <w:p>
            <w:pPr>
              <w:pStyle w:val="2"/>
              <w:rPr>
                <w:rFonts w:ascii="Times New Roman" w:hAnsi="Times New Roman" w:cs="Times New Roman"/>
                <w:snapToGrid/>
                <w:sz w:val="20"/>
                <w:szCs w:val="20"/>
                <w:lang w:val="en-US"/>
              </w:rPr>
            </w:pPr>
            <w:r>
              <w:rPr>
                <w:rFonts w:hint="eastAsia" w:ascii="Times New Roman" w:hAnsi="Times New Roman" w:cs="Times New Roman"/>
                <w:snapToGrid/>
                <w:sz w:val="20"/>
                <w:szCs w:val="20"/>
                <w:lang w:val="en-US"/>
              </w:rPr>
              <w:t>报价分计算方法：根据各投标人的有效投标报价，以满足招标文件要求且有效投标价格的最低的投标报价为评标基准价，其价格分为50分。其他投标人的价格分统一按照下列公式计算：投标报价得分＝(评标基准价/有效投标报价)×价格权值×100(精确到小数点后二位，由采购机构当场统一计算)。</w:t>
            </w:r>
          </w:p>
        </w:tc>
        <w:tc>
          <w:tcPr>
            <w:tcW w:w="1909" w:type="dxa"/>
            <w:noWrap/>
            <w:vAlign w:val="center"/>
          </w:tcPr>
          <w:p>
            <w:pPr>
              <w:widowControl/>
              <w:spacing w:line="360" w:lineRule="atLeast"/>
              <w:jc w:val="left"/>
              <w:rPr>
                <w:sz w:val="20"/>
                <w:szCs w:val="20"/>
              </w:rPr>
            </w:pPr>
            <w:r>
              <w:rPr>
                <w:rFonts w:hint="eastAsia"/>
                <w:sz w:val="20"/>
                <w:szCs w:val="20"/>
              </w:rPr>
              <w:t>最高得50分</w:t>
            </w:r>
          </w:p>
        </w:tc>
      </w:tr>
    </w:tbl>
    <w:p>
      <w:pPr>
        <w:tabs>
          <w:tab w:val="left" w:pos="6425"/>
        </w:tabs>
        <w:spacing w:line="360" w:lineRule="auto"/>
        <w:ind w:firstLine="482" w:firstLineChars="200"/>
      </w:pPr>
      <w:r>
        <w:rPr>
          <w:rFonts w:hint="eastAsia" w:ascii="仿宋_GB2312" w:hAnsi="仿宋_GB2312" w:eastAsia="仿宋_GB2312" w:cs="仿宋_GB2312"/>
          <w:b/>
          <w:sz w:val="24"/>
        </w:rPr>
        <w:tab/>
      </w:r>
    </w:p>
    <w:p>
      <w:pPr>
        <w:snapToGrid w:val="0"/>
        <w:spacing w:line="360" w:lineRule="auto"/>
        <w:ind w:firstLine="200" w:firstLineChars="100"/>
        <w:rPr>
          <w:rFonts w:hint="eastAsia" w:ascii="仿宋_GB2312" w:hAnsi="Times New Roman" w:eastAsia="仿宋_GB2312"/>
          <w:sz w:val="24"/>
          <w:szCs w:val="24"/>
        </w:rPr>
      </w:pPr>
      <w:r>
        <w:rPr>
          <w:rFonts w:ascii="Arial" w:hAnsi="Arial" w:cs="Arial"/>
          <w:sz w:val="20"/>
          <w:szCs w:val="20"/>
          <w:highlight w:val="yellow"/>
          <w:shd w:val="clear" w:color="auto" w:fill="FFFFFF"/>
        </w:rPr>
        <w:t>*</w:t>
      </w:r>
      <w:r>
        <w:rPr>
          <w:rFonts w:hint="eastAsia" w:ascii="仿宋" w:hAnsi="仿宋" w:eastAsia="仿宋" w:cs="仿宋_GB2312"/>
          <w:b/>
          <w:sz w:val="24"/>
          <w:highlight w:val="yellow"/>
        </w:rPr>
        <w:t>备注：</w:t>
      </w:r>
      <w:r>
        <w:rPr>
          <w:rFonts w:hint="eastAsia" w:ascii="仿宋" w:hAnsi="仿宋" w:eastAsia="仿宋" w:cs="仿宋_GB2312"/>
          <w:sz w:val="24"/>
          <w:highlight w:val="yellow"/>
        </w:rPr>
        <w:t>投标人编制投标文件（商务技术文件部分）时，建议按此目录（序号和内容）提供评标标准相应的商务技术资料。</w:t>
      </w:r>
      <w:r>
        <w:rPr>
          <w:rFonts w:ascii="仿宋" w:hAnsi="仿宋" w:eastAsia="仿宋" w:cs="仿宋_GB2312"/>
          <w:sz w:val="24"/>
          <w:highlight w:val="yellow"/>
        </w:rPr>
        <w:t> </w:t>
      </w:r>
    </w:p>
    <w:p>
      <w:pPr>
        <w:pStyle w:val="32"/>
        <w:spacing w:line="360" w:lineRule="auto"/>
        <w:ind w:firstLine="470" w:firstLineChars="196"/>
        <w:rPr>
          <w:rFonts w:ascii="仿宋_GB2312" w:hAnsi="Times New Roman" w:eastAsia="仿宋_GB2312"/>
          <w:sz w:val="24"/>
          <w:szCs w:val="24"/>
        </w:rPr>
      </w:pPr>
      <w:r>
        <w:rPr>
          <w:rFonts w:hint="eastAsia" w:ascii="仿宋_GB2312" w:hAnsi="Times New Roman" w:eastAsia="仿宋_GB2312"/>
          <w:sz w:val="24"/>
          <w:szCs w:val="24"/>
        </w:rPr>
        <w:t>评标委员会根据投标人提供的有效证明材料和采购机构提供的相关数据进行打分。</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82" w:firstLineChars="200"/>
        <w:rPr>
          <w:rFonts w:ascii="仿宋_GB2312" w:hAnsi="仿宋" w:eastAsia="仿宋_GB2312" w:cs="Arial"/>
          <w:kern w:val="0"/>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82" w:firstLineChars="200"/>
        <w:rPr>
          <w:rFonts w:ascii="仿宋_GB2312" w:hAnsi="仿宋" w:eastAsia="仿宋_GB2312" w:cs="Arial"/>
          <w:b/>
          <w:kern w:val="0"/>
          <w:sz w:val="24"/>
        </w:rPr>
      </w:pPr>
      <w:r>
        <w:rPr>
          <w:rFonts w:ascii="仿宋_GB2312" w:hAnsi="仿宋" w:eastAsia="仿宋_GB2312" w:cs="Arial"/>
          <w:b/>
          <w:kern w:val="0"/>
          <w:sz w:val="24"/>
        </w:rPr>
        <w:t>3.4报价评审。</w:t>
      </w:r>
    </w:p>
    <w:p>
      <w:pPr>
        <w:pStyle w:val="231"/>
        <w:spacing w:before="0"/>
        <w:ind w:firstLine="480"/>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231"/>
        <w:spacing w:before="0"/>
        <w:ind w:firstLine="480"/>
        <w:rPr>
          <w:rFonts w:hint="eastAsia" w:ascii="仿宋_GB2312" w:hAnsi="仿宋" w:eastAsia="仿宋_GB2312" w:cs="仿宋"/>
          <w:kern w:val="0"/>
          <w:szCs w:val="24"/>
        </w:rPr>
      </w:pPr>
      <w:r>
        <w:rPr>
          <w:rFonts w:ascii="仿宋" w:hAnsi="仿宋" w:eastAsia="仿宋" w:cs="仿宋"/>
          <w:kern w:val="0"/>
          <w:szCs w:val="24"/>
        </w:rPr>
        <w:t>3.4.1.1投标文件中开标一览表(报价表)内容与投标文件中相应内容不一</w:t>
      </w:r>
      <w:r>
        <w:rPr>
          <w:rFonts w:hint="eastAsia" w:ascii="仿宋_GB2312" w:hAnsi="仿宋" w:eastAsia="仿宋_GB2312" w:cs="仿宋"/>
          <w:kern w:val="0"/>
          <w:szCs w:val="24"/>
        </w:rPr>
        <w:t>致的，以开标一览表(报价表)为准;</w:t>
      </w:r>
    </w:p>
    <w:p>
      <w:pPr>
        <w:pStyle w:val="231"/>
        <w:spacing w:before="0"/>
        <w:ind w:firstLine="480"/>
        <w:rPr>
          <w:rFonts w:hint="eastAsia" w:ascii="仿宋_GB2312" w:hAnsi="仿宋" w:eastAsia="仿宋_GB2312" w:cs="仿宋"/>
          <w:kern w:val="0"/>
          <w:szCs w:val="24"/>
        </w:rPr>
      </w:pPr>
      <w:r>
        <w:rPr>
          <w:rFonts w:hint="eastAsia" w:ascii="仿宋_GB2312" w:hAnsi="仿宋" w:eastAsia="仿宋_GB2312" w:cs="仿宋"/>
          <w:kern w:val="0"/>
          <w:szCs w:val="24"/>
        </w:rPr>
        <w:t>3.4.1.2大写金额和小写金额不一致的，以大写金额为准;</w:t>
      </w:r>
    </w:p>
    <w:p>
      <w:pPr>
        <w:pStyle w:val="231"/>
        <w:spacing w:before="0"/>
        <w:ind w:firstLine="480"/>
        <w:rPr>
          <w:rFonts w:hint="eastAsia" w:ascii="仿宋_GB2312" w:hAnsi="仿宋" w:eastAsia="仿宋_GB2312" w:cs="仿宋"/>
          <w:kern w:val="0"/>
          <w:szCs w:val="24"/>
        </w:rPr>
      </w:pPr>
      <w:r>
        <w:rPr>
          <w:rFonts w:hint="eastAsia" w:ascii="仿宋_GB2312" w:hAnsi="仿宋" w:eastAsia="仿宋_GB2312" w:cs="仿宋"/>
          <w:kern w:val="0"/>
          <w:szCs w:val="24"/>
        </w:rPr>
        <w:t>3.4.1.3单价金额小数点或者百分比有明显错位的，以开标一览表的总价为准，并修改单价;</w:t>
      </w:r>
    </w:p>
    <w:p>
      <w:pPr>
        <w:pStyle w:val="231"/>
        <w:spacing w:before="0"/>
        <w:ind w:firstLine="480"/>
        <w:rPr>
          <w:rFonts w:hint="eastAsia" w:ascii="仿宋_GB2312" w:hAnsi="仿宋" w:eastAsia="仿宋_GB2312" w:cs="仿宋"/>
          <w:kern w:val="0"/>
          <w:szCs w:val="24"/>
        </w:rPr>
      </w:pPr>
      <w:r>
        <w:rPr>
          <w:rFonts w:hint="eastAsia" w:ascii="仿宋_GB2312" w:hAnsi="仿宋" w:eastAsia="仿宋_GB2312" w:cs="仿宋"/>
          <w:kern w:val="0"/>
          <w:szCs w:val="24"/>
        </w:rPr>
        <w:t>3.4.1.4总价金额与按单价汇总金额不一致的，以单价金额计算结果为准。</w:t>
      </w:r>
    </w:p>
    <w:p>
      <w:pPr>
        <w:pStyle w:val="231"/>
        <w:spacing w:before="0"/>
        <w:ind w:firstLine="480"/>
        <w:rPr>
          <w:rFonts w:hint="eastAsia" w:ascii="仿宋_GB2312" w:hAnsi="仿宋" w:eastAsia="仿宋_GB2312" w:cs="仿宋"/>
          <w:kern w:val="0"/>
          <w:szCs w:val="24"/>
        </w:rPr>
      </w:pPr>
      <w:r>
        <w:rPr>
          <w:rFonts w:hint="eastAsia" w:ascii="仿宋_GB2312" w:hAnsi="仿宋" w:eastAsia="仿宋_GB2312"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 w:eastAsia="仿宋_GB2312" w:cs="仿宋"/>
          <w:kern w:val="0"/>
          <w:sz w:val="24"/>
        </w:rPr>
      </w:pPr>
      <w:r>
        <w:rPr>
          <w:rFonts w:hint="eastAsia" w:ascii="仿宋_GB2312" w:hAnsi="仿宋" w:eastAsia="仿宋_GB2312" w:cs="仿宋"/>
          <w:kern w:val="0"/>
          <w:sz w:val="24"/>
        </w:rPr>
        <w:t>3.4.2投标文件出现不是唯一的、有选择性投标报价的，投标无效。</w:t>
      </w:r>
    </w:p>
    <w:p>
      <w:pPr>
        <w:snapToGrid w:val="0"/>
        <w:spacing w:line="360" w:lineRule="auto"/>
        <w:ind w:firstLine="480" w:firstLineChars="200"/>
        <w:jc w:val="left"/>
        <w:rPr>
          <w:rFonts w:hint="eastAsia" w:ascii="仿宋_GB2312" w:hAnsi="仿宋" w:eastAsia="仿宋_GB2312" w:cs="仿宋"/>
          <w:kern w:val="0"/>
          <w:sz w:val="24"/>
        </w:rPr>
      </w:pPr>
      <w:r>
        <w:rPr>
          <w:rFonts w:hint="eastAsia" w:ascii="仿宋_GB2312" w:hAnsi="仿宋" w:eastAsia="仿宋_GB2312" w:cs="仿宋"/>
          <w:kern w:val="0"/>
          <w:sz w:val="24"/>
        </w:rPr>
        <w:t>3.4.3投标报价超过招标文件中规定的预算金额或者最高限价的，投标无效。</w:t>
      </w:r>
    </w:p>
    <w:p>
      <w:pPr>
        <w:pStyle w:val="231"/>
        <w:spacing w:before="0"/>
        <w:ind w:firstLine="480"/>
        <w:rPr>
          <w:rFonts w:hint="eastAsia" w:ascii="仿宋_GB2312" w:hAnsi="仿宋" w:eastAsia="仿宋_GB2312" w:cs="仿宋"/>
          <w:kern w:val="0"/>
          <w:szCs w:val="24"/>
        </w:rPr>
      </w:pPr>
      <w:r>
        <w:rPr>
          <w:rFonts w:hint="eastAsia" w:ascii="仿宋_GB2312" w:hAnsi="仿宋" w:eastAsia="仿宋_GB2312"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31"/>
        <w:spacing w:before="0"/>
        <w:ind w:firstLine="480"/>
        <w:rPr>
          <w:rFonts w:hint="eastAsia" w:ascii="仿宋_GB2312" w:hAnsi="仿宋" w:eastAsia="仿宋_GB2312" w:cs="仿宋"/>
          <w:kern w:val="0"/>
          <w:szCs w:val="24"/>
        </w:rPr>
      </w:pPr>
      <w:r>
        <w:rPr>
          <w:rFonts w:hint="eastAsia" w:ascii="仿宋_GB2312" w:hAnsi="仿宋" w:eastAsia="仿宋_GB2312" w:cs="仿宋"/>
          <w:kern w:val="0"/>
          <w:szCs w:val="24"/>
        </w:rPr>
        <w:t>3.4.5对于未预留份额专门面向中小企业的政府采购服务项目，以及预留份额政府采购服务项目中的非预留部分标项，</w:t>
      </w:r>
      <w:r>
        <w:rPr>
          <w:rFonts w:hint="eastAsia" w:ascii="仿宋_GB2312" w:hAnsi="仿宋" w:eastAsia="仿宋_GB2312" w:cs="仿宋"/>
          <w:kern w:val="0"/>
          <w:szCs w:val="24"/>
          <w:highlight w:val="red"/>
        </w:rPr>
        <w:t>对小型和微型企业的投标报价给予20%的扣除，</w:t>
      </w:r>
      <w:r>
        <w:rPr>
          <w:rFonts w:hint="eastAsia" w:ascii="仿宋_GB2312" w:hAnsi="仿宋" w:eastAsia="仿宋_GB2312" w:cs="仿宋"/>
          <w:kern w:val="0"/>
          <w:szCs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231"/>
        <w:spacing w:before="0"/>
        <w:ind w:firstLine="482"/>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4.2投标无效。有下列情况之一的，投标无效：</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4.2.2投标文件未按照招标文件要求签署、盖章的；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4.2.4投标文件含有采购人不能接受的附加条件的；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szCs w:val="24"/>
        </w:rPr>
      </w:pPr>
      <w:r>
        <w:rPr>
          <w:rFonts w:hint="eastAsia" w:ascii="仿宋_GB2312" w:hAnsi="仿宋" w:eastAsia="仿宋_GB2312" w:cs="Arial"/>
          <w:kern w:val="0"/>
          <w:sz w:val="24"/>
          <w:szCs w:val="24"/>
        </w:rPr>
        <w:t xml:space="preserve">   4.2.6投标文件出现不是唯一的、有选择性投标报价的;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4.2.9投标人对根据修正原则修正后的报价不确认的；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4.2.10投标人提供虚假材料投标的；</w:t>
      </w:r>
    </w:p>
    <w:p>
      <w:pPr>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4.2.11投标人有恶意串通、妨碍其他投标人的竞争行为、损害采购人或者其他投标人的合法权益情形的；</w:t>
      </w:r>
    </w:p>
    <w:p>
      <w:pPr>
        <w:spacing w:line="360" w:lineRule="auto"/>
        <w:ind w:firstLine="240" w:firstLineChars="100"/>
        <w:rPr>
          <w:rFonts w:ascii="仿宋_GB2312" w:hAnsi="仿宋" w:eastAsia="仿宋_GB2312" w:cs="Arial"/>
          <w:kern w:val="0"/>
          <w:sz w:val="24"/>
          <w:szCs w:val="24"/>
        </w:rPr>
      </w:pPr>
      <w:r>
        <w:rPr>
          <w:rFonts w:hint="eastAsia" w:ascii="仿宋_GB2312" w:hAnsi="仿宋" w:eastAsia="仿宋_GB2312" w:cs="Arial"/>
          <w:kern w:val="0"/>
          <w:sz w:val="24"/>
          <w:szCs w:val="24"/>
        </w:rPr>
        <w:t>4.2.12投标人仅提交备份投标文件，没有在电子交易平台传输递交投标文件的，投标无效；</w:t>
      </w:r>
    </w:p>
    <w:p>
      <w:pPr>
        <w:pStyle w:val="6"/>
        <w:numPr>
          <w:ilvl w:val="0"/>
          <w:numId w:val="0"/>
        </w:numPr>
        <w:tabs>
          <w:tab w:val="clear" w:pos="864"/>
        </w:tabs>
        <w:ind w:firstLine="240" w:firstLineChars="100"/>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rPr>
          <w:rFonts w:ascii="仿宋_GB2312" w:hAnsi="仿宋" w:eastAsia="仿宋_GB2312" w:cs="仿宋_GB2312"/>
          <w:sz w:val="24"/>
        </w:rPr>
      </w:pPr>
      <w:r>
        <w:rPr>
          <w:rFonts w:ascii="仿宋_GB2312" w:hAnsi="仿宋" w:eastAsia="仿宋_GB2312" w:cs="仿宋_GB2312"/>
          <w:b/>
          <w:sz w:val="24"/>
        </w:rPr>
        <w:t>5.废标。</w:t>
      </w:r>
      <w:r>
        <w:rPr>
          <w:rFonts w:hint="eastAsia" w:ascii="仿宋_GB2312" w:hAnsi="仿宋" w:eastAsia="仿宋_GB2312" w:cs="仿宋_GB2312"/>
          <w:sz w:val="24"/>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5.1符合专业条件的供应商或者对招标文件作实质响应的供应商不足3家的；</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5.2出现影响采购公正的违法、违规行为的；</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5.3投标人的报价均超过了采购预算，采购人不能支付的；</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5.4因重大变故，采购任务取消的。</w:t>
      </w:r>
    </w:p>
    <w:p>
      <w:pPr>
        <w:pStyle w:val="24"/>
        <w:snapToGrid w:val="0"/>
        <w:spacing w:line="360" w:lineRule="auto"/>
        <w:rPr>
          <w:rFonts w:ascii="仿宋_GB2312" w:hAnsi="仿宋" w:eastAsia="仿宋_GB2312" w:cs="仿宋_GB2312"/>
          <w:sz w:val="24"/>
        </w:rPr>
      </w:pPr>
      <w:r>
        <w:rPr>
          <w:rFonts w:hint="eastAsia" w:ascii="仿宋_GB2312" w:hAnsi="仿宋" w:eastAsia="仿宋_GB2312" w:cs="仿宋_GB2312"/>
          <w:sz w:val="24"/>
        </w:rPr>
        <w:t>废标后，采购机构应当将废标理由通知所有投标人。</w:t>
      </w:r>
    </w:p>
    <w:p>
      <w:pPr>
        <w:pStyle w:val="24"/>
        <w:snapToGrid w:val="0"/>
        <w:spacing w:line="360" w:lineRule="auto"/>
        <w:ind w:left="0" w:leftChars="0" w:firstLine="241" w:firstLineChars="100"/>
        <w:rPr>
          <w:rFonts w:ascii="仿宋_GB2312" w:hAnsi="仿宋" w:eastAsia="仿宋_GB2312" w:cs="仿宋_GB2312"/>
          <w:sz w:val="24"/>
        </w:rPr>
      </w:pPr>
      <w:r>
        <w:rPr>
          <w:rFonts w:ascii="仿宋_GB2312" w:hAnsi="仿宋" w:eastAsia="仿宋_GB2312" w:cs="仿宋_GB2312"/>
          <w:b/>
          <w:sz w:val="24"/>
        </w:rPr>
        <w:t>6.修改招标文件，重新组织采购活动。</w:t>
      </w:r>
      <w:r>
        <w:rPr>
          <w:rFonts w:hint="eastAsia" w:ascii="仿宋_GB2312" w:hAnsi="仿宋" w:eastAsia="仿宋_GB2312" w:cs="仿宋_GB2312"/>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left="0" w:leftChars="0" w:firstLine="482" w:firstLineChars="200"/>
        <w:rPr>
          <w:rFonts w:ascii="仿宋_GB2312" w:hAnsi="仿宋" w:eastAsia="仿宋_GB2312" w:cs="仿宋_GB2312"/>
          <w:sz w:val="24"/>
        </w:rPr>
      </w:pPr>
      <w:r>
        <w:rPr>
          <w:rFonts w:hint="eastAsia" w:ascii="仿宋_GB2312" w:hAnsi="Helvetica" w:eastAsia="仿宋_GB2312" w:cs="Helvetica"/>
          <w:b/>
          <w:kern w:val="0"/>
          <w:sz w:val="24"/>
        </w:rPr>
        <w:t>7.重新开展采购。</w:t>
      </w:r>
      <w:r>
        <w:rPr>
          <w:rFonts w:hint="eastAsia" w:ascii="仿宋_GB2312" w:hAnsi="仿宋" w:eastAsia="仿宋_GB2312" w:cs="仿宋_GB2312"/>
          <w:sz w:val="24"/>
        </w:rPr>
        <w:t>有政府采购法第七十一条、第七十二条规定的违法行为之一，影响或者可能影响中标结果的，依照下列规定处理：</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7.1未确定</w:t>
      </w:r>
      <w:r>
        <w:rPr>
          <w:rFonts w:hint="eastAsia" w:ascii="仿宋_GB2312" w:hAnsi="仿宋" w:eastAsia="仿宋_GB2312" w:cs="仿宋_GB2312"/>
          <w:sz w:val="24"/>
        </w:rPr>
        <w:t>中标供应商</w:t>
      </w:r>
      <w:r>
        <w:rPr>
          <w:rFonts w:ascii="仿宋_GB2312" w:hAnsi="仿宋" w:eastAsia="仿宋_GB2312" w:cs="仿宋_GB2312"/>
          <w:sz w:val="24"/>
        </w:rPr>
        <w:t>的，终止本次政府采购活动，重新开展政府采购</w:t>
      </w:r>
      <w:r>
        <w:rPr>
          <w:rFonts w:hint="eastAsia" w:ascii="仿宋_GB2312" w:hAnsi="仿宋" w:eastAsia="仿宋_GB2312" w:cs="仿宋_GB2312"/>
          <w:sz w:val="24"/>
        </w:rPr>
        <w:t>活动。</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7.2已确定中标</w:t>
      </w:r>
      <w:r>
        <w:rPr>
          <w:rFonts w:hint="eastAsia" w:ascii="仿宋_GB2312" w:hAnsi="仿宋" w:eastAsia="仿宋_GB2312" w:cs="仿宋_GB2312"/>
          <w:sz w:val="24"/>
        </w:rPr>
        <w:t>供应商</w:t>
      </w:r>
      <w:r>
        <w:rPr>
          <w:rFonts w:ascii="仿宋_GB2312" w:hAnsi="仿宋" w:eastAsia="仿宋_GB2312" w:cs="仿宋_GB2312"/>
          <w:sz w:val="24"/>
        </w:rPr>
        <w:t>但尚未签订政府采购合同的，中标结果无效，从合格的中标候选人中另行确定中标</w:t>
      </w:r>
      <w:r>
        <w:rPr>
          <w:rFonts w:hint="eastAsia" w:ascii="仿宋_GB2312" w:hAnsi="仿宋" w:eastAsia="仿宋_GB2312" w:cs="仿宋_GB2312"/>
          <w:sz w:val="24"/>
        </w:rPr>
        <w:t>供应商</w:t>
      </w:r>
      <w:r>
        <w:rPr>
          <w:rFonts w:ascii="仿宋_GB2312" w:hAnsi="仿宋" w:eastAsia="仿宋_GB2312" w:cs="仿宋_GB2312"/>
          <w:sz w:val="24"/>
        </w:rPr>
        <w:t>；没有合格的中标候选人的，重新开展政府采购活动。</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7.3政府采购合同已签订但尚未履行的，撤销合同，从合格的中标候选人中另行确定中标</w:t>
      </w:r>
      <w:r>
        <w:rPr>
          <w:rFonts w:hint="eastAsia" w:ascii="仿宋_GB2312" w:hAnsi="仿宋" w:eastAsia="仿宋_GB2312" w:cs="仿宋_GB2312"/>
          <w:sz w:val="24"/>
        </w:rPr>
        <w:t>供应商</w:t>
      </w:r>
      <w:r>
        <w:rPr>
          <w:rFonts w:ascii="仿宋_GB2312" w:hAnsi="仿宋" w:eastAsia="仿宋_GB2312" w:cs="仿宋_GB2312"/>
          <w:sz w:val="24"/>
        </w:rPr>
        <w:t>；没有合格的中标候选人的，重新开展政府采购活动。</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7.4政府采购合同已经履行，给采购人、供应</w:t>
      </w:r>
      <w:r>
        <w:rPr>
          <w:rFonts w:hint="eastAsia" w:ascii="仿宋_GB2312" w:hAnsi="仿宋" w:eastAsia="仿宋_GB2312" w:cs="仿宋_GB2312"/>
          <w:sz w:val="24"/>
        </w:rPr>
        <w:t>商造成损失的，由责任人承担赔偿责任。</w:t>
      </w:r>
    </w:p>
    <w:p>
      <w:pPr>
        <w:pStyle w:val="24"/>
        <w:snapToGrid w:val="0"/>
        <w:spacing w:line="360" w:lineRule="auto"/>
        <w:rPr>
          <w:rFonts w:ascii="仿宋_GB2312" w:hAnsi="仿宋" w:eastAsia="仿宋_GB2312" w:cs="仿宋_GB2312"/>
          <w:sz w:val="24"/>
        </w:rPr>
      </w:pPr>
      <w:r>
        <w:rPr>
          <w:rFonts w:ascii="仿宋_GB2312" w:hAnsi="仿宋" w:eastAsia="仿宋_GB2312" w:cs="仿宋_GB2312"/>
          <w:sz w:val="24"/>
        </w:rPr>
        <w:t>7.5政府采购当事人有其他违反政府采购</w:t>
      </w:r>
      <w:r>
        <w:rPr>
          <w:rFonts w:hint="eastAsia" w:ascii="仿宋_GB2312" w:hAnsi="仿宋" w:eastAsia="仿宋_GB2312" w:cs="仿宋_GB2312"/>
          <w:sz w:val="24"/>
        </w:rPr>
        <w:t>法</w:t>
      </w:r>
      <w:r>
        <w:rPr>
          <w:rFonts w:hint="eastAsia" w:ascii="仿宋_GB2312" w:hAnsi="仿宋" w:eastAsia="仿宋_GB2312" w:cs="Arial"/>
          <w:kern w:val="0"/>
          <w:sz w:val="24"/>
        </w:rPr>
        <w:t>或者政府采购法实施条例等法律法规规定</w:t>
      </w:r>
      <w:r>
        <w:rPr>
          <w:rFonts w:hint="eastAsia" w:ascii="仿宋_GB2312" w:hAnsi="仿宋" w:eastAsia="仿宋_GB2312" w:cs="仿宋_GB2312"/>
          <w:sz w:val="24"/>
        </w:rPr>
        <w:t>的行为，经改正后仍然影响或者可能影响中标结果或者依法被认定为中标无效的，依照</w:t>
      </w:r>
      <w:r>
        <w:rPr>
          <w:rFonts w:ascii="仿宋_GB2312" w:hAnsi="仿宋" w:eastAsia="仿宋_GB2312" w:cs="仿宋_GB2312"/>
          <w:sz w:val="24"/>
        </w:rPr>
        <w:t>7.1-7.4规定处理。</w:t>
      </w:r>
      <w:bookmarkEnd w:id="22"/>
      <w:bookmarkStart w:id="388" w:name="第五部分"/>
      <w:bookmarkStart w:id="389" w:name="_Toc86217003"/>
    </w:p>
    <w:p>
      <w:pPr>
        <w:pStyle w:val="24"/>
        <w:snapToGrid w:val="0"/>
        <w:spacing w:line="360" w:lineRule="auto"/>
        <w:rPr>
          <w:rFonts w:ascii="仿宋_GB2312" w:hAnsi="仿宋" w:eastAsia="仿宋_GB2312" w:cs="仿宋_GB2312"/>
          <w:sz w:val="24"/>
        </w:rPr>
      </w:pPr>
    </w:p>
    <w:p>
      <w:pPr>
        <w:pStyle w:val="24"/>
        <w:snapToGrid w:val="0"/>
        <w:spacing w:line="360" w:lineRule="auto"/>
        <w:rPr>
          <w:rFonts w:ascii="仿宋_GB2312" w:hAnsi="仿宋" w:eastAsia="仿宋_GB2312" w:cs="仿宋_GB2312"/>
          <w:sz w:val="24"/>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pStyle w:val="24"/>
        <w:snapToGrid w:val="0"/>
        <w:spacing w:line="360" w:lineRule="auto"/>
        <w:rPr>
          <w:rFonts w:hint="eastAsia" w:ascii="仿宋_GB2312" w:hAnsi="仿宋" w:eastAsia="仿宋_GB2312" w:cs="仿宋_GB2312"/>
          <w:sz w:val="24"/>
          <w:lang w:eastAsia="zh-CN"/>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hint="default" w:ascii="楷体" w:hAnsi="楷体" w:eastAsia="楷体"/>
          <w:sz w:val="24"/>
          <w:u w:val="single"/>
          <w:lang w:val="en-US" w:eastAsia="zh-CN"/>
        </w:rPr>
      </w:pPr>
      <w:r>
        <w:rPr>
          <w:rFonts w:hint="eastAsia" w:ascii="楷体" w:hAnsi="楷体" w:eastAsia="楷体"/>
          <w:sz w:val="24"/>
        </w:rPr>
        <w:t>合同编号：</w:t>
      </w:r>
      <w:r>
        <w:rPr>
          <w:rFonts w:hint="eastAsia" w:ascii="楷体" w:hAnsi="楷体" w:eastAsia="楷体"/>
          <w:sz w:val="24"/>
          <w:u w:val="single"/>
          <w:lang w:val="en-US" w:eastAsia="zh-CN"/>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 w:hAnsi="仿宋" w:eastAsia="仿宋"/>
          <w:szCs w:val="24"/>
        </w:rPr>
      </w:pPr>
      <w:r>
        <w:rPr>
          <w:rFonts w:hint="eastAsia" w:cs="仿宋_GB2312" w:asciiTheme="minorEastAsia" w:hAnsiTheme="minorEastAsia"/>
          <w:b/>
          <w:color w:val="0000FF"/>
          <w:sz w:val="36"/>
          <w:szCs w:val="36"/>
        </w:rPr>
        <w:t>（服务类）</w:t>
      </w:r>
    </w:p>
    <w:p>
      <w:pPr>
        <w:pStyle w:val="329"/>
        <w:rPr>
          <w:rFonts w:ascii="仿宋" w:hAnsi="仿宋" w:eastAsia="仿宋"/>
          <w:szCs w:val="24"/>
        </w:rPr>
      </w:pPr>
    </w:p>
    <w:p>
      <w:pPr>
        <w:pStyle w:val="329"/>
        <w:jc w:val="center"/>
        <w:rPr>
          <w:rFonts w:ascii="仿宋" w:hAnsi="仿宋" w:eastAsia="仿宋"/>
          <w:szCs w:val="24"/>
        </w:rPr>
      </w:pPr>
    </w:p>
    <w:p>
      <w:pPr>
        <w:pStyle w:val="329"/>
        <w:ind w:firstLine="2843" w:firstLineChars="1180"/>
        <w:rPr>
          <w:rFonts w:ascii="仿宋" w:hAnsi="仿宋" w:eastAsia="仿宋"/>
          <w:b/>
          <w:szCs w:val="24"/>
        </w:rPr>
      </w:pPr>
      <w:r>
        <w:rPr>
          <w:rFonts w:hint="eastAsia" w:ascii="仿宋" w:hAnsi="仿宋" w:eastAsia="仿宋"/>
          <w:b/>
          <w:szCs w:val="24"/>
        </w:rPr>
        <w:t>第一部分合同书</w:t>
      </w:r>
    </w:p>
    <w:p>
      <w:pPr>
        <w:pStyle w:val="329"/>
        <w:rPr>
          <w:rFonts w:ascii="仿宋" w:hAnsi="仿宋" w:eastAsia="仿宋"/>
          <w:szCs w:val="24"/>
        </w:rPr>
      </w:pPr>
    </w:p>
    <w:p>
      <w:pPr>
        <w:pStyle w:val="32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hint="default" w:ascii="仿宋" w:hAnsi="仿宋" w:eastAsia="仿宋"/>
          <w:sz w:val="24"/>
          <w:lang w:val="en-US"/>
        </w:rPr>
      </w:pPr>
      <w:r>
        <w:rPr>
          <w:rFonts w:hint="eastAsia" w:ascii="仿宋" w:hAnsi="仿宋" w:eastAsia="仿宋"/>
          <w:sz w:val="24"/>
        </w:rPr>
        <w:t>项目名称：</w:t>
      </w:r>
      <w:r>
        <w:rPr>
          <w:rFonts w:hint="eastAsia" w:ascii="楷体" w:hAnsi="楷体" w:eastAsia="楷体"/>
          <w:sz w:val="24"/>
          <w:u w:val="single"/>
          <w:lang w:val="en-US" w:eastAsia="zh-CN"/>
        </w:rPr>
        <w:t xml:space="preserve">                 </w:t>
      </w:r>
    </w:p>
    <w:p>
      <w:pPr>
        <w:pStyle w:val="648"/>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楷体" w:hAnsi="楷体" w:eastAsia="楷体"/>
          <w:sz w:val="24"/>
          <w:u w:val="single"/>
          <w:lang w:val="en-US" w:eastAsia="zh-CN"/>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hint="eastAsia" w:ascii="楷体" w:hAnsi="楷体" w:eastAsia="楷体"/>
          <w:sz w:val="24"/>
          <w:u w:val="single"/>
          <w:lang w:val="en-US" w:eastAsia="zh-CN"/>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hint="eastAsia" w:ascii="楷体" w:hAnsi="楷体" w:eastAsia="楷体"/>
          <w:sz w:val="24"/>
          <w:u w:val="single"/>
          <w:lang w:val="en-US" w:eastAsia="zh-CN"/>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hint="eastAsia" w:ascii="楷体" w:hAnsi="楷体" w:eastAsia="楷体"/>
          <w:sz w:val="24"/>
          <w:u w:val="single"/>
          <w:lang w:val="en-US" w:eastAsia="zh-CN"/>
        </w:rPr>
        <w:t xml:space="preserve">        </w:t>
      </w:r>
      <w:r>
        <w:rPr>
          <w:rFonts w:hint="eastAsia" w:ascii="仿宋" w:hAnsi="仿宋" w:eastAsia="仿宋"/>
          <w:sz w:val="24"/>
        </w:rPr>
        <w:t>年</w:t>
      </w:r>
      <w:r>
        <w:rPr>
          <w:rFonts w:hint="eastAsia" w:ascii="楷体" w:hAnsi="楷体" w:eastAsia="楷体"/>
          <w:sz w:val="24"/>
          <w:u w:val="single"/>
          <w:lang w:val="en-US" w:eastAsia="zh-CN"/>
        </w:rPr>
        <w:t xml:space="preserve">       </w:t>
      </w:r>
      <w:r>
        <w:rPr>
          <w:rFonts w:hint="eastAsia" w:ascii="仿宋" w:hAnsi="仿宋" w:eastAsia="仿宋"/>
          <w:sz w:val="24"/>
        </w:rPr>
        <w:t>月</w:t>
      </w:r>
      <w:r>
        <w:rPr>
          <w:rFonts w:hint="eastAsia" w:ascii="楷体" w:hAnsi="楷体" w:eastAsia="楷体"/>
          <w:sz w:val="24"/>
          <w:u w:val="single"/>
          <w:lang w:val="en-US" w:eastAsia="zh-CN"/>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pPr>
        <w:autoSpaceDE w:val="0"/>
        <w:autoSpaceDN w:val="0"/>
        <w:spacing w:line="360" w:lineRule="auto"/>
        <w:ind w:firstLine="480" w:firstLineChars="200"/>
        <w:jc w:val="left"/>
        <w:rPr>
          <w:rFonts w:ascii="仿宋" w:hAnsi="仿宋" w:eastAsia="仿宋"/>
          <w:b/>
          <w:sz w:val="24"/>
        </w:rPr>
      </w:pPr>
      <w:bookmarkStart w:id="390" w:name="_Toc3029"/>
      <w:bookmarkStart w:id="391" w:name="_Toc2232"/>
      <w:bookmarkStart w:id="392" w:name="_Toc24059"/>
      <w:r>
        <w:rPr>
          <w:rFonts w:hint="eastAsia" w:ascii="仿宋_GB2312" w:eastAsia="仿宋_GB2312"/>
          <w:sz w:val="24"/>
          <w:szCs w:val="24"/>
        </w:rPr>
        <w:t>经甲、乙双方充分协商，本着平等互利、诚实信用原则，依据《中华人民共和国合同法》及其它有关法律、法规，双方就甲方委托乙方开展保安服务的相关事宜，签订本合同。</w:t>
      </w:r>
      <w:bookmarkEnd w:id="390"/>
      <w:bookmarkEnd w:id="391"/>
      <w:bookmarkEnd w:id="392"/>
    </w:p>
    <w:p>
      <w:pPr>
        <w:spacing w:line="360" w:lineRule="auto"/>
        <w:ind w:firstLine="482" w:firstLineChars="200"/>
        <w:rPr>
          <w:rFonts w:ascii="仿宋" w:hAnsi="仿宋" w:eastAsia="仿宋"/>
          <w:b/>
          <w:sz w:val="24"/>
        </w:rPr>
      </w:pPr>
      <w:r>
        <w:rPr>
          <w:rFonts w:hint="eastAsia" w:ascii="仿宋" w:hAnsi="仿宋" w:eastAsia="仿宋"/>
          <w:b/>
          <w:sz w:val="24"/>
        </w:rPr>
        <w:t>一、物业基本情况</w:t>
      </w:r>
    </w:p>
    <w:p>
      <w:pPr>
        <w:spacing w:line="360" w:lineRule="auto"/>
        <w:ind w:firstLine="480" w:firstLineChars="200"/>
        <w:rPr>
          <w:rFonts w:ascii="仿宋" w:hAnsi="仿宋" w:eastAsia="仿宋"/>
          <w:sz w:val="24"/>
        </w:rPr>
      </w:pPr>
      <w:r>
        <w:rPr>
          <w:rFonts w:hint="eastAsia" w:ascii="仿宋" w:hAnsi="仿宋" w:eastAsia="仿宋"/>
          <w:sz w:val="24"/>
        </w:rPr>
        <w:t>1.1 物业类型：</w:t>
      </w:r>
    </w:p>
    <w:p>
      <w:pPr>
        <w:spacing w:line="360" w:lineRule="auto"/>
        <w:ind w:firstLine="480" w:firstLineChars="200"/>
        <w:rPr>
          <w:rFonts w:ascii="仿宋" w:hAnsi="仿宋" w:eastAsia="仿宋"/>
          <w:sz w:val="24"/>
        </w:rPr>
      </w:pPr>
      <w:r>
        <w:rPr>
          <w:rFonts w:hint="eastAsia" w:ascii="仿宋" w:hAnsi="仿宋" w:eastAsia="仿宋"/>
          <w:sz w:val="24"/>
        </w:rPr>
        <w:t>1.2 座落位置：位于</w:t>
      </w:r>
    </w:p>
    <w:p>
      <w:pPr>
        <w:autoSpaceDE w:val="0"/>
        <w:autoSpaceDN w:val="0"/>
        <w:spacing w:line="360" w:lineRule="auto"/>
        <w:ind w:firstLine="480" w:firstLineChars="200"/>
        <w:jc w:val="left"/>
        <w:rPr>
          <w:rFonts w:ascii="仿宋" w:hAnsi="仿宋" w:eastAsia="仿宋"/>
          <w:sz w:val="24"/>
        </w:rPr>
      </w:pPr>
      <w:r>
        <w:rPr>
          <w:rFonts w:hint="eastAsia" w:ascii="仿宋" w:hAnsi="仿宋" w:eastAsia="仿宋"/>
          <w:sz w:val="24"/>
        </w:rPr>
        <w:t>1.3 占地面积：</w:t>
      </w:r>
      <w:r>
        <w:rPr>
          <w:rFonts w:hint="eastAsia" w:ascii="仿宋" w:hAnsi="仿宋" w:eastAsia="仿宋"/>
          <w:b/>
          <w:sz w:val="24"/>
        </w:rPr>
        <w:t>。</w:t>
      </w:r>
      <w:r>
        <w:rPr>
          <w:rFonts w:hint="eastAsia" w:ascii="仿宋" w:hAnsi="仿宋" w:eastAsia="仿宋"/>
          <w:sz w:val="24"/>
        </w:rPr>
        <w:t>该物业的建筑面积约平方米，其中地上层；地下层。地上主要为场所，地下包括。有电梯部（可根据项目内容酌情完善)。</w:t>
      </w:r>
    </w:p>
    <w:p>
      <w:pPr>
        <w:autoSpaceDE w:val="0"/>
        <w:autoSpaceDN w:val="0"/>
        <w:spacing w:line="360" w:lineRule="auto"/>
        <w:ind w:firstLine="482" w:firstLineChars="200"/>
        <w:jc w:val="left"/>
        <w:rPr>
          <w:rFonts w:ascii="仿宋_GB2312" w:eastAsia="仿宋_GB2312"/>
          <w:b/>
          <w:kern w:val="0"/>
          <w:sz w:val="24"/>
          <w:szCs w:val="24"/>
        </w:rPr>
      </w:pPr>
      <w:r>
        <w:rPr>
          <w:rFonts w:hint="eastAsia" w:ascii="仿宋_GB2312" w:eastAsia="仿宋_GB2312"/>
          <w:b/>
          <w:kern w:val="0"/>
          <w:sz w:val="24"/>
          <w:szCs w:val="24"/>
        </w:rPr>
        <w:t>二、服务时间</w:t>
      </w:r>
    </w:p>
    <w:p>
      <w:pPr>
        <w:spacing w:line="360" w:lineRule="auto"/>
        <w:ind w:firstLine="470" w:firstLineChars="196"/>
        <w:rPr>
          <w:rFonts w:ascii="仿宋_GB2312" w:hAnsi="楷体" w:eastAsia="仿宋_GB2312"/>
          <w:b/>
          <w:sz w:val="24"/>
        </w:rPr>
      </w:pPr>
      <w:r>
        <w:rPr>
          <w:rFonts w:hint="eastAsia" w:ascii="仿宋_GB2312" w:eastAsia="仿宋_GB2312"/>
          <w:sz w:val="24"/>
          <w:szCs w:val="24"/>
        </w:rPr>
        <w:t>本合同服务期限：。</w:t>
      </w:r>
    </w:p>
    <w:p>
      <w:pPr>
        <w:autoSpaceDE w:val="0"/>
        <w:autoSpaceDN w:val="0"/>
        <w:spacing w:line="360" w:lineRule="auto"/>
        <w:ind w:firstLine="482" w:firstLineChars="200"/>
        <w:jc w:val="left"/>
        <w:rPr>
          <w:rFonts w:ascii="仿宋_GB2312" w:eastAsia="仿宋_GB2312"/>
          <w:b/>
          <w:kern w:val="0"/>
          <w:sz w:val="24"/>
          <w:szCs w:val="24"/>
        </w:rPr>
      </w:pPr>
      <w:bookmarkStart w:id="393" w:name="_Toc21423"/>
      <w:bookmarkStart w:id="394" w:name="_Toc27250"/>
      <w:bookmarkStart w:id="395" w:name="_Toc19554"/>
      <w:r>
        <w:rPr>
          <w:rFonts w:hint="eastAsia" w:ascii="仿宋_GB2312" w:eastAsia="仿宋_GB2312"/>
          <w:b/>
          <w:kern w:val="0"/>
          <w:sz w:val="24"/>
          <w:szCs w:val="24"/>
        </w:rPr>
        <w:t>三、物业服务的范围、目的</w:t>
      </w:r>
    </w:p>
    <w:p>
      <w:pPr>
        <w:pStyle w:val="231"/>
        <w:snapToGrid w:val="0"/>
        <w:spacing w:before="0"/>
        <w:ind w:firstLine="480"/>
        <w:rPr>
          <w:rFonts w:ascii="仿宋_GB2312" w:hAnsi="仿宋" w:eastAsia="仿宋_GB2312"/>
          <w:szCs w:val="24"/>
        </w:rPr>
      </w:pPr>
      <w:r>
        <w:rPr>
          <w:rFonts w:hint="eastAsia" w:ascii="仿宋_GB2312" w:hAnsi="仿宋" w:eastAsia="仿宋_GB2312"/>
          <w:szCs w:val="24"/>
        </w:rPr>
        <w:t>杭州市拱墅区文晖综合楼，位于杭州市拱墅区文晖路1号，用地面积14700平方米，行政区域共有3个建筑单体，总建筑面积30500平方米，其中西南侧副楼2层、裙楼共3层，地上17层，地下一层；楼高72米，地下一层空间主要为中央空调冷冻机房、锅炉房、高压配电房、消防水泵（水池）及生活给水泵机房、人防等各类设备用房及机动车库、非机动车库。</w:t>
      </w:r>
    </w:p>
    <w:p>
      <w:pPr>
        <w:pStyle w:val="231"/>
        <w:snapToGrid w:val="0"/>
        <w:spacing w:before="0"/>
        <w:ind w:firstLine="480"/>
        <w:rPr>
          <w:rFonts w:ascii="仿宋_GB2312" w:hAnsi="仿宋" w:eastAsia="仿宋_GB2312"/>
          <w:szCs w:val="24"/>
        </w:rPr>
      </w:pPr>
      <w:r>
        <w:rPr>
          <w:rFonts w:hint="eastAsia" w:ascii="仿宋_GB2312" w:hAnsi="仿宋" w:eastAsia="仿宋_GB2312"/>
          <w:szCs w:val="24"/>
        </w:rPr>
        <w:t>院子内绿化面积：5332平方米，地下一层停车位76个，地面停车位：45个，立体机械停库2座，车位：138个，主楼基本设施：地下一层设有变电所1间，地面一层设有消监控室1间；中央空调冷冻机房1间，锅炉房1间，生活给水泵机房1间；电梯6台（客梯4台、消防电梯1台、运餐梯1台）; VRV空调、中央空调系统、新风系统、照明电源、空调电源、动力电源、给排水系统、消控系统、安保系统、巡更系统、楼宇自控、音控及视频、电子显示屏、背景音乐以及消防设施设备等。</w:t>
      </w:r>
    </w:p>
    <w:p>
      <w:pPr>
        <w:pStyle w:val="231"/>
        <w:snapToGrid w:val="0"/>
        <w:spacing w:before="0"/>
        <w:ind w:firstLine="480"/>
        <w:rPr>
          <w:rFonts w:ascii="仿宋_GB2312" w:hAnsi="仿宋" w:eastAsia="仿宋_GB2312"/>
          <w:szCs w:val="24"/>
        </w:rPr>
      </w:pPr>
      <w:r>
        <w:rPr>
          <w:rFonts w:hint="eastAsia" w:ascii="仿宋_GB2312" w:hAnsi="仿宋" w:eastAsia="仿宋_GB2312"/>
          <w:szCs w:val="24"/>
        </w:rPr>
        <w:t>物业管理内容包含但不限于下列内容：</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（1）安保服务（含停车管理）；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（2）清卫保洁（包括灭“四害”消杀及同心弄办公区5间办公室内部保洁）；</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（3）院内绿化养护及大门口、室内外绿植盆栽摆放（不少于450盆,其中大盆不少于100盆，具体数量需满足甲方需要）；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（4）指定会议室服务（主楼会议室：29间，西南侧副楼2间）,不包含茶水费； </w:t>
      </w:r>
    </w:p>
    <w:p>
      <w:pPr>
        <w:pStyle w:val="16"/>
        <w:spacing w:line="360" w:lineRule="auto"/>
        <w:ind w:left="466" w:leftChars="222" w:firstLine="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（5）提供大楼内洗手间使用的洗手液（蓝月亮、威露士或舒肤佳）、抽纸（清风、心相印或维达）、卷纸（清风、心相印或维达）；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（6）立体停车库服务（立体机械停车位138个）；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（7）访客登记传达；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（8）高（低）压线路、照明及供电设备管理维护（包括办公室内）；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（9）给排水设备运行维护管理；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（10）空调系统运行维护管理；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（11）办公楼石材日常维护；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（12）房屋家具设施日常维护维修；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（13）电梯管理维护（客梯：4台，消防梯：1台，餐梯1台）； </w:t>
      </w:r>
    </w:p>
    <w:p>
      <w:pPr>
        <w:pStyle w:val="16"/>
        <w:spacing w:line="360" w:lineRule="auto"/>
        <w:ind w:firstLine="470" w:firstLineChars="196"/>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（14）工程综合维修及巡查；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（15）重大活动服务保障（提供迎宾、音控、会务、休息场所相关服务等，根据甲方需要临时增派部分人员，相关成本已包含在物业费用内）；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 xml:space="preserve">（16）专项维保项目的监督管理。维保设备包含：开水器、中央空调、多联机空调、燃气热水锅炉、燃气调压站、消防设备系统、会议音视频系统、电梯及立体车库等。 </w:t>
      </w:r>
    </w:p>
    <w:p>
      <w:pPr>
        <w:pStyle w:val="16"/>
        <w:spacing w:line="360" w:lineRule="auto"/>
        <w:ind w:left="586" w:leftChars="222" w:hanging="120" w:hangingChars="50"/>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（17）自行承担物业服务范围内公共区域材料费单次价值100元以下的零星维修。</w:t>
      </w:r>
    </w:p>
    <w:p>
      <w:pPr>
        <w:pStyle w:val="16"/>
        <w:spacing w:line="360" w:lineRule="auto"/>
        <w:ind w:firstLine="588" w:firstLineChars="245"/>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(18) 落实国家级能效领跑者示范单位的各项日常节能管理目标。</w:t>
      </w:r>
    </w:p>
    <w:p>
      <w:pPr>
        <w:pStyle w:val="16"/>
        <w:spacing w:line="360" w:lineRule="auto"/>
        <w:ind w:firstLine="588" w:firstLineChars="245"/>
        <w:rPr>
          <w:rFonts w:hint="eastAsia" w:ascii="仿宋_GB2312" w:hAnsi="仿宋" w:eastAsia="仿宋_GB2312"/>
          <w:snapToGrid/>
          <w:color w:val="auto"/>
          <w:kern w:val="2"/>
          <w:sz w:val="24"/>
          <w:szCs w:val="24"/>
        </w:rPr>
      </w:pPr>
      <w:r>
        <w:rPr>
          <w:rFonts w:hint="eastAsia" w:ascii="仿宋_GB2312" w:hAnsi="仿宋" w:eastAsia="仿宋_GB2312"/>
          <w:snapToGrid/>
          <w:color w:val="auto"/>
          <w:kern w:val="2"/>
          <w:sz w:val="24"/>
          <w:szCs w:val="24"/>
        </w:rPr>
        <w:t>(19) 其他。</w:t>
      </w:r>
    </w:p>
    <w:p>
      <w:pPr>
        <w:pStyle w:val="2"/>
        <w:kinsoku w:val="0"/>
        <w:overflowPunct w:val="0"/>
        <w:spacing w:before="29"/>
        <w:ind w:firstLine="482" w:firstLineChars="200"/>
        <w:rPr>
          <w:rFonts w:ascii="仿宋" w:hAnsi="仿宋" w:eastAsia="仿宋"/>
          <w:b/>
          <w:szCs w:val="24"/>
          <w:shd w:val="clear" w:color="auto" w:fill="FFFFFF"/>
        </w:rPr>
      </w:pPr>
      <w:bookmarkStart w:id="507" w:name="_GoBack"/>
      <w:bookmarkEnd w:id="507"/>
      <w:r>
        <w:rPr>
          <w:rFonts w:hint="eastAsia" w:ascii="仿宋_GB2312" w:eastAsia="仿宋_GB2312"/>
          <w:b/>
          <w:kern w:val="0"/>
          <w:szCs w:val="24"/>
        </w:rPr>
        <w:t>四、</w:t>
      </w:r>
      <w:r>
        <w:rPr>
          <w:rFonts w:hint="eastAsia" w:ascii="仿宋" w:hAnsi="仿宋" w:eastAsia="仿宋"/>
          <w:b/>
          <w:szCs w:val="24"/>
          <w:shd w:val="clear" w:color="auto" w:fill="FFFFFF"/>
        </w:rPr>
        <w:t>人员配置及要求</w:t>
      </w:r>
    </w:p>
    <w:p>
      <w:pPr>
        <w:pStyle w:val="2"/>
        <w:kinsoku w:val="0"/>
        <w:overflowPunct w:val="0"/>
        <w:spacing w:before="29"/>
        <w:ind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（1）人员配置及要求</w:t>
      </w:r>
    </w:p>
    <w:p>
      <w:pPr>
        <w:adjustRightInd w:val="0"/>
        <w:snapToGrid w:val="0"/>
        <w:spacing w:line="440" w:lineRule="atLeast"/>
        <w:ind w:firstLine="480"/>
        <w:rPr>
          <w:rFonts w:ascii="仿宋" w:hAnsi="仿宋" w:eastAsia="仿宋" w:cs="Arial"/>
          <w:sz w:val="24"/>
        </w:rPr>
      </w:pPr>
      <w:r>
        <w:rPr>
          <w:rFonts w:hint="eastAsia" w:ascii="仿宋" w:hAnsi="仿宋" w:eastAsia="仿宋"/>
          <w:sz w:val="24"/>
        </w:rPr>
        <w:t>管理、安保、保洁及工程人员，投入本次项目总人数不少于53人，以下规定了投标人人员配备数量的参考要求（53人），其中电梯管理人员不少于1名、立体机械停车位管理人员不少于2名，高配电工不少于3名。</w:t>
      </w:r>
      <w:r>
        <w:rPr>
          <w:rFonts w:hint="eastAsia" w:ascii="仿宋" w:hAnsi="仿宋" w:eastAsia="仿宋" w:cs="Arial"/>
          <w:sz w:val="24"/>
        </w:rPr>
        <w:t>投标人应结合自身实际情况提供实际人数，但不应低于53人的总人数要求：具体如下：</w:t>
      </w:r>
    </w:p>
    <w:p>
      <w:pPr>
        <w:adjustRightInd w:val="0"/>
        <w:snapToGrid w:val="0"/>
        <w:spacing w:line="440" w:lineRule="atLeast"/>
        <w:rPr>
          <w:rFonts w:ascii="仿宋" w:hAnsi="仿宋" w:eastAsia="仿宋" w:cs="Arial"/>
          <w:sz w:val="24"/>
        </w:rPr>
      </w:pPr>
      <w:r>
        <w:rPr>
          <w:rFonts w:hint="eastAsia" w:ascii="仿宋" w:hAnsi="仿宋" w:eastAsia="仿宋" w:cs="Arial"/>
          <w:sz w:val="24"/>
        </w:rPr>
        <w:t>主任：              1人</w:t>
      </w:r>
    </w:p>
    <w:p>
      <w:pPr>
        <w:adjustRightInd w:val="0"/>
        <w:snapToGrid w:val="0"/>
        <w:spacing w:line="440" w:lineRule="atLeast"/>
        <w:rPr>
          <w:rFonts w:ascii="仿宋" w:hAnsi="仿宋" w:eastAsia="仿宋" w:cs="Arial"/>
          <w:sz w:val="24"/>
        </w:rPr>
      </w:pPr>
      <w:r>
        <w:rPr>
          <w:rFonts w:hint="eastAsia" w:ascii="仿宋" w:hAnsi="仿宋" w:eastAsia="仿宋" w:cs="Arial"/>
          <w:sz w:val="24"/>
        </w:rPr>
        <w:t>管理资深主管：      1人</w:t>
      </w:r>
    </w:p>
    <w:p>
      <w:pPr>
        <w:adjustRightInd w:val="0"/>
        <w:snapToGrid w:val="0"/>
        <w:spacing w:line="440" w:lineRule="atLeast"/>
        <w:rPr>
          <w:rFonts w:ascii="仿宋" w:hAnsi="仿宋" w:eastAsia="仿宋" w:cs="Arial"/>
          <w:sz w:val="24"/>
        </w:rPr>
      </w:pPr>
      <w:r>
        <w:rPr>
          <w:rFonts w:hint="eastAsia" w:ascii="仿宋" w:hAnsi="仿宋" w:eastAsia="仿宋" w:cs="Arial"/>
          <w:sz w:val="24"/>
        </w:rPr>
        <w:t>工程部经理：        1人</w:t>
      </w:r>
    </w:p>
    <w:p>
      <w:pPr>
        <w:adjustRightInd w:val="0"/>
        <w:snapToGrid w:val="0"/>
        <w:spacing w:line="440" w:lineRule="atLeast"/>
        <w:rPr>
          <w:rFonts w:ascii="仿宋" w:hAnsi="仿宋" w:eastAsia="仿宋" w:cs="Arial"/>
          <w:sz w:val="24"/>
        </w:rPr>
      </w:pPr>
      <w:r>
        <w:rPr>
          <w:rFonts w:hint="eastAsia" w:ascii="仿宋" w:hAnsi="仿宋" w:eastAsia="仿宋" w:cs="Arial"/>
          <w:sz w:val="24"/>
        </w:rPr>
        <w:t>工    程：          8人</w:t>
      </w:r>
    </w:p>
    <w:p>
      <w:pPr>
        <w:adjustRightInd w:val="0"/>
        <w:snapToGrid w:val="0"/>
        <w:spacing w:line="440" w:lineRule="atLeast"/>
        <w:rPr>
          <w:rFonts w:ascii="仿宋" w:hAnsi="仿宋" w:eastAsia="仿宋" w:cs="Arial"/>
          <w:sz w:val="24"/>
        </w:rPr>
      </w:pPr>
      <w:r>
        <w:rPr>
          <w:rFonts w:hint="eastAsia" w:ascii="仿宋" w:hAnsi="仿宋" w:eastAsia="仿宋" w:cs="Arial"/>
          <w:sz w:val="24"/>
        </w:rPr>
        <w:t>秩序维护部经理：    1人</w:t>
      </w:r>
    </w:p>
    <w:p>
      <w:pPr>
        <w:adjustRightInd w:val="0"/>
        <w:snapToGrid w:val="0"/>
        <w:spacing w:line="440" w:lineRule="atLeast"/>
        <w:rPr>
          <w:rFonts w:ascii="仿宋" w:hAnsi="仿宋" w:eastAsia="仿宋" w:cs="Arial"/>
          <w:sz w:val="24"/>
        </w:rPr>
      </w:pPr>
      <w:r>
        <w:rPr>
          <w:rFonts w:hint="eastAsia" w:ascii="仿宋" w:hAnsi="仿宋" w:eastAsia="仿宋" w:cs="Arial"/>
          <w:sz w:val="24"/>
        </w:rPr>
        <w:t>秩序维护员：        19人</w:t>
      </w:r>
    </w:p>
    <w:p>
      <w:pPr>
        <w:adjustRightInd w:val="0"/>
        <w:snapToGrid w:val="0"/>
        <w:spacing w:line="440" w:lineRule="exact"/>
        <w:rPr>
          <w:rFonts w:ascii="仿宋" w:hAnsi="仿宋" w:eastAsia="仿宋" w:cs="Arial"/>
          <w:sz w:val="24"/>
        </w:rPr>
      </w:pPr>
      <w:r>
        <w:rPr>
          <w:rFonts w:hint="eastAsia" w:ascii="仿宋" w:hAnsi="仿宋" w:eastAsia="仿宋" w:cs="Arial"/>
          <w:sz w:val="24"/>
        </w:rPr>
        <w:t>保洁主管：          1人</w:t>
      </w:r>
    </w:p>
    <w:p>
      <w:pPr>
        <w:adjustRightInd w:val="0"/>
        <w:snapToGrid w:val="0"/>
        <w:spacing w:line="440" w:lineRule="exact"/>
        <w:rPr>
          <w:rFonts w:ascii="仿宋" w:hAnsi="仿宋" w:eastAsia="仿宋" w:cs="Arial"/>
          <w:sz w:val="24"/>
        </w:rPr>
      </w:pPr>
      <w:r>
        <w:rPr>
          <w:rFonts w:hint="eastAsia" w:ascii="仿宋" w:hAnsi="仿宋" w:eastAsia="仿宋" w:cs="Arial"/>
          <w:sz w:val="24"/>
        </w:rPr>
        <w:t>保洁人员：          15人</w:t>
      </w:r>
    </w:p>
    <w:p>
      <w:pPr>
        <w:pStyle w:val="2"/>
        <w:spacing w:line="440" w:lineRule="exact"/>
        <w:rPr>
          <w:rFonts w:ascii="仿宋" w:hAnsi="仿宋" w:eastAsia="仿宋"/>
        </w:rPr>
      </w:pPr>
      <w:r>
        <w:rPr>
          <w:rFonts w:hint="eastAsia" w:ascii="仿宋" w:hAnsi="仿宋" w:eastAsia="仿宋"/>
        </w:rPr>
        <w:t>绿植养护摆放人员：  1人</w:t>
      </w:r>
    </w:p>
    <w:p>
      <w:pPr>
        <w:pStyle w:val="2"/>
        <w:kinsoku w:val="0"/>
        <w:overflowPunct w:val="0"/>
        <w:spacing w:before="29" w:line="440" w:lineRule="exact"/>
        <w:rPr>
          <w:rFonts w:ascii="仿宋" w:hAnsi="仿宋" w:eastAsia="仿宋"/>
          <w:szCs w:val="22"/>
        </w:rPr>
      </w:pPr>
      <w:r>
        <w:rPr>
          <w:rFonts w:hint="eastAsia" w:ascii="仿宋" w:hAnsi="仿宋" w:eastAsia="仿宋"/>
        </w:rPr>
        <w:t>会务服务人员：      5人</w:t>
      </w:r>
    </w:p>
    <w:p>
      <w:pPr>
        <w:pStyle w:val="2"/>
        <w:kinsoku w:val="0"/>
        <w:overflowPunct w:val="0"/>
        <w:spacing w:before="8"/>
        <w:ind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（2）工作时间要求</w:t>
      </w:r>
    </w:p>
    <w:p>
      <w:pPr>
        <w:pStyle w:val="2"/>
        <w:kinsoku w:val="0"/>
        <w:overflowPunct w:val="0"/>
        <w:ind w:firstLine="480" w:firstLineChars="200"/>
        <w:rPr>
          <w:rFonts w:ascii="仿宋" w:hAnsi="仿宋" w:eastAsia="仿宋"/>
          <w:bCs/>
          <w:szCs w:val="24"/>
          <w:shd w:val="clear" w:color="auto" w:fill="FFFFFF"/>
        </w:rPr>
      </w:pPr>
      <w:r>
        <w:rPr>
          <w:rFonts w:hint="eastAsia" w:ascii="仿宋" w:hAnsi="仿宋" w:eastAsia="仿宋"/>
          <w:szCs w:val="22"/>
        </w:rPr>
        <w:t>所有工作人员上班需在事务中心工作人员的上班时间前上岗</w:t>
      </w:r>
      <w:r>
        <w:rPr>
          <w:rFonts w:hint="eastAsia" w:ascii="仿宋" w:hAnsi="仿宋" w:eastAsia="仿宋"/>
          <w:bCs/>
          <w:szCs w:val="24"/>
          <w:shd w:val="clear" w:color="auto" w:fill="FFFFFF"/>
        </w:rPr>
        <w:t>，工程维修提前0.5小时、保洁每天上班提前 1.5 小时。休息日需保证值班人员。如有抗台等特殊时期，24小时到场服务。</w:t>
      </w:r>
    </w:p>
    <w:p>
      <w:pPr>
        <w:pStyle w:val="2"/>
        <w:kinsoku w:val="0"/>
        <w:overflowPunct w:val="0"/>
        <w:spacing w:before="29"/>
        <w:ind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（3）所有相关人员的配备如需获得相关主管部门认证的，均需持证上岗，且根据不同岗位统一着装。工程维修、值班必须有电工证和高压电工证，消控值班员必须有消控证，安保必须有安全相关书。</w:t>
      </w:r>
      <w:r>
        <w:rPr>
          <w:rFonts w:ascii="仿宋" w:hAnsi="仿宋" w:eastAsia="仿宋"/>
          <w:bCs/>
          <w:szCs w:val="24"/>
          <w:shd w:val="clear" w:color="auto" w:fill="FFFFFF"/>
        </w:rPr>
        <w:t>会议设备操作人员必须持有相关匹配证书。</w:t>
      </w:r>
    </w:p>
    <w:p>
      <w:pPr>
        <w:pStyle w:val="2"/>
        <w:kinsoku w:val="0"/>
        <w:overflowPunct w:val="0"/>
        <w:spacing w:before="29"/>
        <w:ind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（4）所有相关人员要求政治上可靠，身体素质好，有健康证,无不良行为记录（包括无犯罪记录）。</w:t>
      </w:r>
    </w:p>
    <w:p>
      <w:pPr>
        <w:pStyle w:val="2"/>
        <w:kinsoku w:val="0"/>
        <w:overflowPunct w:val="0"/>
        <w:spacing w:before="27"/>
        <w:ind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（5）为提高物业管理服务水平，所有物业人员还需进行宾馆礼仪的培训。除投标单位对服务人员的培训外，需接受招标单位对服务人员的集中进行培训。</w:t>
      </w:r>
    </w:p>
    <w:p>
      <w:pPr>
        <w:pStyle w:val="2"/>
        <w:kinsoku w:val="0"/>
        <w:overflowPunct w:val="0"/>
        <w:spacing w:before="32"/>
        <w:ind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（6）招标单位将对前期进场人员进行考核，如在培训、熟悉环境过程中发现其不能胜任的， 招标单位可要求更换，直至胜任为止。</w:t>
      </w:r>
    </w:p>
    <w:p>
      <w:pPr>
        <w:pStyle w:val="2"/>
        <w:kinsoku w:val="0"/>
        <w:overflowPunct w:val="0"/>
        <w:spacing w:before="29"/>
        <w:ind w:right="2877"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 xml:space="preserve">（7）工程人员 </w:t>
      </w:r>
    </w:p>
    <w:p>
      <w:pPr>
        <w:spacing w:line="360" w:lineRule="auto"/>
        <w:ind w:firstLine="480" w:firstLineChars="200"/>
        <w:rPr>
          <w:rFonts w:ascii="仿宋" w:hAnsi="仿宋" w:eastAsia="仿宋"/>
          <w:bCs/>
          <w:sz w:val="24"/>
          <w:szCs w:val="24"/>
          <w:shd w:val="clear" w:color="auto" w:fill="FFFFFF"/>
        </w:rPr>
      </w:pPr>
      <w:r>
        <w:rPr>
          <w:rFonts w:hint="eastAsia" w:ascii="仿宋" w:hAnsi="仿宋" w:eastAsia="仿宋"/>
          <w:bCs/>
          <w:sz w:val="24"/>
          <w:szCs w:val="24"/>
          <w:shd w:val="clear" w:color="auto" w:fill="FFFFFF"/>
        </w:rPr>
        <w:t>维修人员</w:t>
      </w:r>
      <w:r>
        <w:rPr>
          <w:rFonts w:ascii="仿宋" w:hAnsi="仿宋" w:eastAsia="仿宋"/>
          <w:bCs/>
          <w:sz w:val="24"/>
          <w:szCs w:val="24"/>
          <w:shd w:val="clear" w:color="auto" w:fill="FFFFFF"/>
        </w:rPr>
        <w:t>必须持证上岗，必须配备至少</w:t>
      </w:r>
      <w:r>
        <w:rPr>
          <w:rFonts w:hint="eastAsia" w:ascii="仿宋" w:hAnsi="仿宋" w:eastAsia="仿宋"/>
          <w:bCs/>
          <w:sz w:val="24"/>
          <w:szCs w:val="24"/>
          <w:shd w:val="clear" w:color="auto" w:fill="FFFFFF"/>
        </w:rPr>
        <w:t>3名</w:t>
      </w:r>
      <w:r>
        <w:rPr>
          <w:rFonts w:ascii="仿宋" w:hAnsi="仿宋" w:eastAsia="仿宋"/>
          <w:bCs/>
          <w:sz w:val="24"/>
          <w:szCs w:val="24"/>
          <w:shd w:val="clear" w:color="auto" w:fill="FFFFFF"/>
        </w:rPr>
        <w:t>具有高配电工证人员，严格执行用电安全规范，确保用电安全。</w:t>
      </w:r>
    </w:p>
    <w:p>
      <w:pPr>
        <w:pStyle w:val="2"/>
        <w:kinsoku w:val="0"/>
        <w:overflowPunct w:val="0"/>
        <w:spacing w:before="29"/>
        <w:ind w:right="2877"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（8）秩序维护员</w:t>
      </w:r>
    </w:p>
    <w:p>
      <w:pPr>
        <w:spacing w:line="360" w:lineRule="auto"/>
        <w:ind w:firstLine="480" w:firstLineChars="200"/>
        <w:rPr>
          <w:rFonts w:ascii="仿宋" w:hAnsi="仿宋" w:eastAsia="仿宋"/>
          <w:bCs/>
          <w:sz w:val="24"/>
          <w:szCs w:val="24"/>
          <w:shd w:val="clear" w:color="auto" w:fill="FFFFFF"/>
        </w:rPr>
      </w:pPr>
      <w:r>
        <w:rPr>
          <w:rFonts w:hint="eastAsia" w:ascii="仿宋" w:hAnsi="仿宋" w:eastAsia="仿宋"/>
          <w:bCs/>
          <w:sz w:val="24"/>
          <w:szCs w:val="24"/>
          <w:shd w:val="clear" w:color="auto" w:fill="FFFFFF"/>
        </w:rPr>
        <w:t>高中以上文化程度，有良好的思想素质和服务意识，身体健康，反应灵敏。</w:t>
      </w:r>
    </w:p>
    <w:p>
      <w:pPr>
        <w:numPr>
          <w:ilvl w:val="0"/>
          <w:numId w:val="12"/>
        </w:numPr>
        <w:spacing w:line="360" w:lineRule="auto"/>
        <w:ind w:firstLine="480" w:firstLineChars="200"/>
        <w:jc w:val="left"/>
        <w:rPr>
          <w:rFonts w:ascii="仿宋" w:hAnsi="仿宋" w:eastAsia="仿宋"/>
          <w:bCs/>
          <w:sz w:val="24"/>
          <w:szCs w:val="24"/>
          <w:shd w:val="clear" w:color="auto" w:fill="FFFFFF"/>
        </w:rPr>
      </w:pPr>
      <w:r>
        <w:rPr>
          <w:rFonts w:hint="eastAsia" w:ascii="仿宋" w:hAnsi="仿宋" w:eastAsia="仿宋"/>
          <w:bCs/>
          <w:sz w:val="24"/>
          <w:szCs w:val="24"/>
          <w:shd w:val="clear" w:color="auto" w:fill="FFFFFF"/>
        </w:rPr>
        <w:t>安全保卫人员</w:t>
      </w:r>
    </w:p>
    <w:p>
      <w:pPr>
        <w:spacing w:line="360" w:lineRule="auto"/>
        <w:ind w:firstLine="480" w:firstLineChars="200"/>
        <w:jc w:val="left"/>
        <w:rPr>
          <w:rFonts w:ascii="仿宋" w:hAnsi="仿宋" w:eastAsia="仿宋"/>
          <w:bCs/>
          <w:sz w:val="24"/>
          <w:szCs w:val="24"/>
          <w:shd w:val="clear" w:color="auto" w:fill="FFFFFF"/>
        </w:rPr>
      </w:pPr>
      <w:r>
        <w:rPr>
          <w:rFonts w:hint="eastAsia" w:ascii="仿宋" w:hAnsi="仿宋" w:eastAsia="仿宋"/>
          <w:bCs/>
          <w:sz w:val="24"/>
          <w:szCs w:val="24"/>
          <w:shd w:val="clear" w:color="auto" w:fill="FFFFFF"/>
        </w:rPr>
        <w:t>初中以上学历，年龄应在18-45岁，男身高1.70米以上、女身高1.60米以上，初中以上文化，体检合格、政审合格，经过培训，持有上岗证转业（退伍）军人优先。并向甲方提供保安人员的人事档案备份。甲方要求更换的队员，乙方在3个工作日内重新选派；如派出的保安员发生违法行为、严重事故、突发疾病等情况，乙方应当在12小时内妥善处理。</w:t>
      </w:r>
    </w:p>
    <w:p>
      <w:pPr>
        <w:pStyle w:val="2"/>
        <w:kinsoku w:val="0"/>
        <w:overflowPunct w:val="0"/>
        <w:spacing w:before="28"/>
        <w:ind w:right="1677" w:firstLine="480" w:firstLineChars="200"/>
        <w:rPr>
          <w:rFonts w:ascii="仿宋" w:hAnsi="仿宋" w:eastAsia="仿宋"/>
          <w:bCs/>
          <w:szCs w:val="24"/>
          <w:shd w:val="clear" w:color="auto" w:fill="FFFFFF"/>
        </w:rPr>
      </w:pPr>
      <w:r>
        <w:rPr>
          <w:rFonts w:hint="eastAsia" w:ascii="仿宋" w:hAnsi="仿宋" w:eastAsia="仿宋"/>
          <w:bCs/>
          <w:szCs w:val="24"/>
          <w:shd w:val="clear" w:color="auto" w:fill="FFFFFF"/>
        </w:rPr>
        <w:t>（10）保洁人员</w:t>
      </w:r>
    </w:p>
    <w:p>
      <w:pPr>
        <w:spacing w:line="360" w:lineRule="auto"/>
        <w:rPr>
          <w:rFonts w:ascii="仿宋" w:hAnsi="仿宋" w:eastAsia="仿宋"/>
          <w:bCs/>
          <w:sz w:val="24"/>
          <w:szCs w:val="24"/>
          <w:shd w:val="clear" w:color="auto" w:fill="FFFFFF"/>
        </w:rPr>
      </w:pPr>
      <w:r>
        <w:rPr>
          <w:rFonts w:hint="eastAsia" w:ascii="仿宋" w:hAnsi="仿宋" w:eastAsia="仿宋"/>
          <w:bCs/>
          <w:sz w:val="24"/>
          <w:szCs w:val="24"/>
          <w:shd w:val="clear" w:color="auto" w:fill="FFFFFF"/>
        </w:rPr>
        <w:t xml:space="preserve">     初中以上文化程度，身体健康，年龄在50岁以下，有良好的思想素质和服务意识，无违法犯罪记录。</w:t>
      </w:r>
    </w:p>
    <w:p>
      <w:pPr>
        <w:autoSpaceDE w:val="0"/>
        <w:autoSpaceDN w:val="0"/>
        <w:spacing w:line="360" w:lineRule="auto"/>
        <w:ind w:firstLine="482" w:firstLineChars="200"/>
      </w:pPr>
      <w:r>
        <w:rPr>
          <w:rFonts w:hint="eastAsia" w:ascii="仿宋" w:hAnsi="仿宋" w:eastAsia="仿宋"/>
          <w:b/>
          <w:bCs/>
          <w:sz w:val="24"/>
        </w:rPr>
        <w:t>五、</w:t>
      </w:r>
      <w:r>
        <w:rPr>
          <w:rFonts w:hint="eastAsia" w:ascii="仿宋_GB2312" w:hAnsi="宋体" w:eastAsia="仿宋_GB2312" w:cs="Arial"/>
          <w:b/>
          <w:snapToGrid w:val="0"/>
          <w:kern w:val="0"/>
          <w:sz w:val="24"/>
        </w:rPr>
        <w:t>物业装备、耗材的使用</w:t>
      </w:r>
    </w:p>
    <w:p>
      <w:pPr>
        <w:spacing w:line="360" w:lineRule="auto"/>
        <w:ind w:firstLine="480" w:firstLineChars="200"/>
      </w:pPr>
      <w:r>
        <w:rPr>
          <w:rFonts w:hint="eastAsia" w:ascii="仿宋_GB2312" w:hAnsi="宋体" w:eastAsia="仿宋_GB2312" w:cs="仿宋_GB2312"/>
          <w:sz w:val="24"/>
        </w:rPr>
        <w:t xml:space="preserve">采购单位免费提供物业管理的办公场地，但办公用品（指办公桌、电脑、打印机、对讲机、文件柜等自身使用的等公用品）由投标人自行解决。物业管理部门发生的电话费用自理。  </w:t>
      </w:r>
    </w:p>
    <w:p>
      <w:pPr>
        <w:autoSpaceDE w:val="0"/>
        <w:autoSpaceDN w:val="0"/>
        <w:spacing w:line="360" w:lineRule="auto"/>
        <w:ind w:firstLine="482" w:firstLineChars="200"/>
        <w:jc w:val="left"/>
        <w:rPr>
          <w:rFonts w:ascii="仿宋_GB2312" w:eastAsia="仿宋_GB2312"/>
          <w:b/>
          <w:bCs/>
          <w:kern w:val="0"/>
          <w:sz w:val="24"/>
          <w:szCs w:val="24"/>
        </w:rPr>
      </w:pPr>
      <w:r>
        <w:rPr>
          <w:rFonts w:hint="eastAsia" w:ascii="仿宋_GB2312" w:eastAsia="仿宋_GB2312"/>
          <w:b/>
          <w:kern w:val="0"/>
          <w:sz w:val="24"/>
          <w:szCs w:val="24"/>
        </w:rPr>
        <w:t>六、物业管理收费</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本合同期内物业管理服务费为</w:t>
      </w:r>
      <w:r>
        <w:rPr>
          <w:rFonts w:hint="eastAsia" w:ascii="仿宋_GB2312" w:hAnsi="宋体" w:eastAsia="仿宋_GB2312" w:cs="仿宋_GB2312"/>
          <w:kern w:val="0"/>
          <w:sz w:val="24"/>
          <w:lang w:val="zh-CN"/>
        </w:rPr>
        <w:t>人民币</w:t>
      </w:r>
      <w:r>
        <w:rPr>
          <w:rFonts w:hint="eastAsia" w:ascii="仿宋_GB2312" w:hAnsi="宋体" w:eastAsia="仿宋_GB2312" w:cs="仿宋_GB2312"/>
          <w:kern w:val="0"/>
          <w:sz w:val="24"/>
          <w:u w:val="single"/>
          <w:lang w:val="zh-CN"/>
        </w:rPr>
        <w:t xml:space="preserve">            （</w:t>
      </w:r>
      <w:r>
        <w:rPr>
          <w:rFonts w:hint="eastAsia" w:ascii="仿宋_GB2312" w:hAnsi="宋体" w:eastAsia="仿宋_GB2312" w:cs="仿宋_GB2312"/>
          <w:kern w:val="0"/>
          <w:sz w:val="24"/>
          <w:lang w:val="zh-CN"/>
        </w:rPr>
        <w:t>￥    元）</w:t>
      </w:r>
      <w:r>
        <w:rPr>
          <w:rFonts w:hint="eastAsia" w:ascii="仿宋_GB2312" w:hAnsi="宋体" w:eastAsia="仿宋_GB2312" w:cs="Arial"/>
          <w:snapToGrid w:val="0"/>
          <w:kern w:val="0"/>
          <w:sz w:val="24"/>
        </w:rPr>
        <w:t>。采用包干制，所有物业管理及服务费用均包括在内，乙方不得另行向甲方或使用人收取任何费用。</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物业管理服务费成本监审：</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乙方承诺，接受甲方主管部门实施的物业管理服务费成本监审，并遵守以下原则：</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1．合法性原则。计入定价成本的费用符合有关法律、行政法律和国家统一会计制度的规定；</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2．相关性原则。计入定价成本的费用为与物业服务直接相关或间接相关的费用；</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3．对应性原则。计入定价成本的费用与物业服务内容及服务标准相对应；</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4．合理性原则。与物业服务定价成本各项费用的主要技术、经济指标均符合行业标准或者社会公允水平。</w:t>
      </w:r>
    </w:p>
    <w:p>
      <w:pPr>
        <w:pStyle w:val="2"/>
        <w:ind w:firstLine="482" w:firstLineChars="200"/>
        <w:rPr>
          <w:rFonts w:ascii="仿宋_GB2312" w:eastAsia="仿宋_GB2312"/>
          <w:b/>
          <w:bCs/>
          <w:szCs w:val="24"/>
        </w:rPr>
      </w:pPr>
      <w:r>
        <w:rPr>
          <w:rFonts w:hint="eastAsia" w:ascii="仿宋_GB2312" w:eastAsia="仿宋_GB2312"/>
          <w:b/>
          <w:bCs/>
          <w:szCs w:val="24"/>
        </w:rPr>
        <w:t>在中标价中包含10万/年满意度考核奖奖金，具体以年度考核打分为准。</w:t>
      </w:r>
    </w:p>
    <w:p>
      <w:pPr>
        <w:pStyle w:val="2"/>
        <w:ind w:firstLine="482" w:firstLineChars="200"/>
        <w:rPr>
          <w:rFonts w:ascii="仿宋_GB2312" w:eastAsia="仿宋_GB2312"/>
          <w:b/>
          <w:kern w:val="0"/>
          <w:szCs w:val="24"/>
        </w:rPr>
      </w:pPr>
      <w:r>
        <w:rPr>
          <w:rFonts w:hint="eastAsia" w:ascii="仿宋_GB2312" w:eastAsia="仿宋_GB2312"/>
          <w:b/>
          <w:kern w:val="0"/>
          <w:szCs w:val="24"/>
        </w:rPr>
        <w:t>七、费用结算方式</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乙方进场服务并通过甲方考核后，甲方凭供应商开具的正规发票和甲方认可的各项记录复印件，每季支付一次, 在次月的15日前支付给乙方上季度物业管理费。</w:t>
      </w:r>
    </w:p>
    <w:p>
      <w:pPr>
        <w:pStyle w:val="2"/>
        <w:ind w:left="435" w:leftChars="207"/>
        <w:rPr>
          <w:rFonts w:ascii="仿宋_GB2312" w:eastAsia="仿宋_GB2312"/>
          <w:b/>
          <w:kern w:val="0"/>
          <w:szCs w:val="24"/>
        </w:rPr>
      </w:pPr>
      <w:r>
        <w:rPr>
          <w:rFonts w:hint="eastAsia" w:ascii="仿宋_GB2312" w:hAnsi="宋体" w:eastAsia="仿宋_GB2312"/>
          <w:b/>
          <w:kern w:val="0"/>
        </w:rPr>
        <w:t>八、物业管理服务质量要求</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乙方须按下列约定，实现目标管理，如双方认为需要进一步细化的，可以通过附件形式进行进一步明确。</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乙方根据楼层分布和采购需求每日需安排一定数量的保洁人员进行清理，除每日甲方下班时间后对办公楼进行全面清理外，保洁人员在工作时间随时清理垃圾，尘土，保持办公环境的整洁，乙方保证保洁人员工作规范，作风优良；</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2．甲方工作人员及其他物业使用人可随时组织进行对乙方物业服务的综合考评；</w:t>
      </w:r>
    </w:p>
    <w:p>
      <w:pPr>
        <w:pStyle w:val="2"/>
        <w:ind w:left="435" w:leftChars="207"/>
        <w:rPr>
          <w:rFonts w:ascii="仿宋_GB2312" w:hAnsi="宋体" w:eastAsia="仿宋_GB2312"/>
          <w:kern w:val="0"/>
        </w:rPr>
      </w:pPr>
      <w:r>
        <w:rPr>
          <w:rFonts w:hint="eastAsia" w:ascii="仿宋_GB2312" w:hAnsi="宋体" w:eastAsia="仿宋_GB2312"/>
          <w:kern w:val="0"/>
        </w:rPr>
        <w:t>3. 投标文件规定的其他内容。</w:t>
      </w:r>
    </w:p>
    <w:p>
      <w:pPr>
        <w:pStyle w:val="2"/>
        <w:ind w:left="435" w:leftChars="207"/>
        <w:rPr>
          <w:rFonts w:ascii="仿宋_GB2312" w:hAnsi="宋体" w:eastAsia="仿宋_GB2312"/>
          <w:b/>
          <w:kern w:val="0"/>
        </w:rPr>
      </w:pPr>
      <w:r>
        <w:rPr>
          <w:rFonts w:hint="eastAsia" w:ascii="仿宋_GB2312" w:eastAsia="仿宋_GB2312"/>
          <w:b/>
          <w:kern w:val="0"/>
          <w:szCs w:val="24"/>
        </w:rPr>
        <w:t>九、</w:t>
      </w:r>
      <w:r>
        <w:rPr>
          <w:rFonts w:hint="eastAsia" w:ascii="仿宋_GB2312" w:hAnsi="宋体" w:eastAsia="仿宋_GB2312"/>
          <w:b/>
          <w:kern w:val="0"/>
        </w:rPr>
        <w:t>经营制约</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 乙方不得以甲方的名义从事任何经济活动，且由此发生的一切债权、债务与甲方无关。</w:t>
      </w:r>
    </w:p>
    <w:p>
      <w:pPr>
        <w:pStyle w:val="2"/>
        <w:ind w:firstLine="482" w:firstLineChars="200"/>
        <w:rPr>
          <w:rFonts w:ascii="仿宋_GB2312" w:hAnsi="宋体" w:eastAsia="仿宋_GB2312"/>
          <w:kern w:val="0"/>
        </w:rPr>
      </w:pPr>
      <w:r>
        <w:rPr>
          <w:rFonts w:hint="eastAsia" w:ascii="仿宋_GB2312" w:eastAsia="仿宋_GB2312"/>
          <w:b/>
          <w:kern w:val="0"/>
          <w:szCs w:val="24"/>
        </w:rPr>
        <w:t>十、</w:t>
      </w:r>
      <w:r>
        <w:rPr>
          <w:rFonts w:hint="eastAsia" w:ascii="仿宋_GB2312" w:hAnsi="宋体" w:eastAsia="仿宋_GB2312"/>
          <w:b/>
          <w:kern w:val="0"/>
        </w:rPr>
        <w:t>乙方对甲方作出如下承诺</w:t>
      </w:r>
      <w:r>
        <w:rPr>
          <w:rFonts w:hint="eastAsia" w:ascii="仿宋_GB2312" w:hAnsi="宋体" w:eastAsia="仿宋_GB2312"/>
          <w:kern w:val="0"/>
        </w:rPr>
        <w:t>：</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 乙方应允许甲方或其授权的人员对承包区域内各项服务质量控制进行检查，有关费用由乙方承担。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4. 乙方必须聘请(或指定)一位项目经理，全权代表乙方与甲方保持密切联系并保证承包区域服务工作。根据综合考评或工作情况，甲方有权要求乙方在一个星期内更换项目经理、相关骨干人员。</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5. 为承包区域的服务工作配备承诺的人员及人员数量（ 53人），甲方不定期抽查乙方投入的人员数量，如果抽查时发现乙方投入的人员数量少于合同约定的数量，甲方可以按缺少人数每人1000元/次累计扣除当季度合同款。乙方聘用的工作人员必须符合劳动部门有关用工规定，并经乙方相关专业考核合格后持证上岗，甲方有权进行审核，该类费用开支由乙方负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7. 乙方工作人员上岗穿着由甲方确认的制服及甲方许可的装饰物品，费用和制作均由乙方负担。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8. 乙方必须出具或办妥法律及甲方规定的与承包区域经营业务有关的执照和许可证，方可从事经营并在经营中遵守一切有关条例和规定，自行缴纳有关税费。</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9.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11.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12. </w:t>
      </w:r>
      <w:r>
        <w:rPr>
          <w:rFonts w:hint="eastAsia" w:ascii="仿宋_GB2312" w:hAnsi="宋体" w:eastAsia="仿宋_GB2312" w:cs="Arial"/>
          <w:b/>
          <w:snapToGrid w:val="0"/>
          <w:kern w:val="0"/>
          <w:sz w:val="24"/>
        </w:rPr>
        <w:t>禁止事项</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12.1乙方不得以任何理由向甲方工作人员支付小费或赠送实物，违者将终止合同。乙方人员也不得以任何形式向大楼内相关人员索取小费或钱物等。</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12.2不得在承包区域住宿或从事非法活动，也不得从事有损甲方利益的活动，同时不允许在承包区域对甲方经营活动进行滋扰性的行为。</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12.4未获甲方书面同意，乙方任何时候都不能在承包区域存放易燃物品、挥发性大或气味浓烈的液体等。</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13. </w:t>
      </w:r>
      <w:r>
        <w:rPr>
          <w:rFonts w:hint="eastAsia" w:ascii="仿宋_GB2312" w:hAnsi="宋体" w:eastAsia="仿宋_GB2312" w:cs="Arial"/>
          <w:b/>
          <w:snapToGrid w:val="0"/>
          <w:kern w:val="0"/>
          <w:sz w:val="24"/>
        </w:rPr>
        <w:t>保险</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13.1第三者责任保险</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13.2员工人身意外</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在承包期内，乙方所有人员的事故由乙方自行全权负责(如乙方应对其员工投保人身意外险)，以保证甲方在乙方工作人员索赔时不受任何责任的约束。</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13.3其他保险及费用</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乙方须按《劳动合同法》和政府有关各部门规定为全体服务人员交纳所有相关的社会保险及其他相关费用。乙方对此全权负责。</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14. 乙方及其员工遵守行政大楼内的一切行政管理、消防安全等规定和制度，保证承包区域的消防设施能正常使用，消防通道畅通，同时承担违规责任。</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15. 遇突发事件或安全检查时，乙方必须配合有关部门执行任务，并指定专职人员协助工作，直至完成。</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16. 乙方保证在承包期满当天下午五时前撤离现场。</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17. 乙方须积极配合甲方对其进行的物业服务综合考评。</w:t>
      </w:r>
    </w:p>
    <w:p>
      <w:pPr>
        <w:snapToGrid w:val="0"/>
        <w:spacing w:line="360" w:lineRule="auto"/>
        <w:ind w:firstLine="482" w:firstLineChars="200"/>
        <w:rPr>
          <w:rFonts w:ascii="仿宋_GB2312" w:hAnsi="宋体" w:eastAsia="仿宋_GB2312" w:cs="Arial"/>
          <w:b/>
          <w:snapToGrid w:val="0"/>
          <w:kern w:val="0"/>
          <w:sz w:val="24"/>
        </w:rPr>
      </w:pPr>
      <w:r>
        <w:rPr>
          <w:rFonts w:hint="eastAsia" w:ascii="仿宋" w:hAnsi="仿宋" w:eastAsia="仿宋"/>
          <w:b/>
          <w:bCs/>
          <w:sz w:val="24"/>
        </w:rPr>
        <w:t>十一、</w:t>
      </w:r>
      <w:r>
        <w:rPr>
          <w:rFonts w:hint="eastAsia" w:ascii="仿宋_GB2312" w:hAnsi="宋体" w:eastAsia="仿宋_GB2312" w:cs="Arial"/>
          <w:b/>
          <w:snapToGrid w:val="0"/>
          <w:kern w:val="0"/>
          <w:sz w:val="24"/>
        </w:rPr>
        <w:t>甲方对乙方作出如下承诺：</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1、甲方在职权范围内保证乙方的正常经营不受干扰。</w:t>
      </w:r>
    </w:p>
    <w:p>
      <w:pPr>
        <w:snapToGrid w:val="0"/>
        <w:spacing w:line="360" w:lineRule="auto"/>
        <w:ind w:firstLine="480" w:firstLineChars="200"/>
        <w:rPr>
          <w:rFonts w:ascii="仿宋_GB2312" w:hAnsi="宋体" w:eastAsia="仿宋_GB2312"/>
          <w:b/>
          <w:sz w:val="24"/>
        </w:rPr>
      </w:pPr>
      <w:r>
        <w:rPr>
          <w:rFonts w:hint="eastAsia" w:ascii="仿宋_GB2312" w:hAnsi="宋体" w:eastAsia="仿宋_GB2312" w:cs="Arial"/>
          <w:snapToGrid w:val="0"/>
          <w:kern w:val="0"/>
          <w:sz w:val="24"/>
        </w:rPr>
        <w:t>2、保证乙方的员工按规定正常进入承包区域开展服务工作。</w:t>
      </w:r>
    </w:p>
    <w:p>
      <w:pPr>
        <w:snapToGrid w:val="0"/>
        <w:spacing w:line="360" w:lineRule="auto"/>
        <w:ind w:firstLine="482" w:firstLineChars="200"/>
        <w:rPr>
          <w:rFonts w:ascii="仿宋_GB2312" w:hAnsi="宋体" w:eastAsia="仿宋_GB2312"/>
          <w:sz w:val="24"/>
        </w:rPr>
      </w:pPr>
      <w:r>
        <w:rPr>
          <w:rFonts w:hint="eastAsia" w:ascii="仿宋" w:hAnsi="仿宋" w:eastAsia="仿宋"/>
          <w:b/>
          <w:bCs/>
          <w:sz w:val="24"/>
        </w:rPr>
        <w:t>十二、</w:t>
      </w:r>
      <w:r>
        <w:rPr>
          <w:rFonts w:hint="eastAsia" w:ascii="仿宋_GB2312" w:hAnsi="宋体" w:eastAsia="仿宋_GB2312" w:cs="Arial"/>
          <w:b/>
          <w:snapToGrid w:val="0"/>
          <w:kern w:val="0"/>
          <w:sz w:val="24"/>
        </w:rPr>
        <w:t>合同生效和终止</w:t>
      </w:r>
      <w:r>
        <w:rPr>
          <w:rFonts w:hint="eastAsia" w:ascii="仿宋_GB2312" w:hAnsi="宋体" w:eastAsia="仿宋_GB2312"/>
          <w:sz w:val="24"/>
        </w:rPr>
        <w:t>：</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1. </w:t>
      </w:r>
      <w:r>
        <w:rPr>
          <w:rFonts w:hint="eastAsia" w:ascii="仿宋_GB2312" w:hAnsi="宋体" w:eastAsia="仿宋_GB2312"/>
          <w:sz w:val="24"/>
        </w:rPr>
        <w:t>本合同经甲乙双方法定代表人或其委托人签字盖章，</w:t>
      </w:r>
      <w:r>
        <w:rPr>
          <w:rFonts w:hint="eastAsia" w:ascii="仿宋_GB2312" w:hAnsi="宋体" w:eastAsia="仿宋_GB2312" w:cs="仿宋_GB2312"/>
          <w:sz w:val="24"/>
        </w:rPr>
        <w:t>经</w:t>
      </w:r>
      <w:r>
        <w:rPr>
          <w:rFonts w:hint="eastAsia" w:ascii="仿宋_GB2312" w:hAnsi="宋体" w:eastAsia="仿宋_GB2312"/>
          <w:sz w:val="24"/>
          <w:lang w:val="zh-CN"/>
        </w:rPr>
        <w:t>采购监管部门备案后生效</w:t>
      </w:r>
      <w:r>
        <w:rPr>
          <w:rFonts w:hint="eastAsia" w:ascii="仿宋_GB2312" w:hAnsi="宋体" w:eastAsia="仿宋_GB2312" w:cs="Arial"/>
          <w:snapToGrid w:val="0"/>
          <w:kern w:val="0"/>
          <w:sz w:val="24"/>
        </w:rPr>
        <w:t>。</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2. </w:t>
      </w:r>
      <w:r>
        <w:rPr>
          <w:rFonts w:hint="eastAsia" w:ascii="仿宋_GB2312" w:hAnsi="宋体" w:eastAsia="仿宋_GB2312" w:cs="Arial"/>
          <w:b/>
          <w:snapToGrid w:val="0"/>
          <w:kern w:val="0"/>
          <w:sz w:val="24"/>
        </w:rPr>
        <w:t>终止</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w:t>
      </w:r>
      <w:r>
        <w:rPr>
          <w:rFonts w:hint="eastAsia" w:ascii="仿宋_GB2312" w:hAnsi="宋体" w:eastAsia="仿宋_GB2312" w:cs="Arial"/>
          <w:b/>
          <w:snapToGrid w:val="0"/>
          <w:kern w:val="0"/>
          <w:sz w:val="24"/>
        </w:rPr>
        <w:t>提前终止</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2.1.1如果甲方在服务期内无理由终止合同，甲方须提前一个月向乙方发出书面通知终止承包，甲方支付给乙方月度承包服务款二倍金额的赔偿金。</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2.1.2因乙方在服务期内物业服务综合考评未达标，甲方可以单方面终止承包，且乙方须支付给甲方月度承包服务款二倍金额的赔偿金。</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2.1.3如甲方发现乙方出现转租、转让、抵押承包等情况，甲方可以单方面终止承包，且乙方须支付给甲方月度承包服务款二倍金额的赔偿金。</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2.1.4如果乙方在服务期内无理由终止合同，乙方须提前三个月向甲方发出书面通知终止承包，乙方须支付给甲方月度承包服务款二倍金额的赔偿金；如果乙方在服务期内突然无理由终止合同，未提前三个月向采购人发出书面通知终止承包，乙方须支付给甲方月度承包服务款三倍金额的赔偿金。</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2.1.5如果乙方在服务期内由于乙方原因造成重大责任事故或安全事故，甲方可以单方面终止承包，且乙方须赔偿给甲方造成的经济损失，并须支付给甲方月度承包服务款五倍金额的赔偿金。</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2.1.6提前终止承包期早于月底最后一天，应视为月底最后一天期满，此条适用于上述2.1.1、2.1.2、2.1.3、2.1.4、2.1.5五条。</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2.1.7乙方未能履行合同和遵守有关规定，在甲方发出书面警告后一周内乙方仍无采取补救措施，甲方可立即终止承包。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2.1.8乙方破产清处、重组及兼并等事实发生，或被债权人接管经营，甲方不必通知乙方即可终止承包。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2.2 </w:t>
      </w:r>
      <w:r>
        <w:rPr>
          <w:rFonts w:hint="eastAsia" w:ascii="仿宋_GB2312" w:hAnsi="宋体" w:eastAsia="仿宋_GB2312" w:cs="Arial"/>
          <w:b/>
          <w:snapToGrid w:val="0"/>
          <w:kern w:val="0"/>
          <w:sz w:val="24"/>
        </w:rPr>
        <w:t>协议终止</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经双方协商同意，可在任何时候终止承包。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2.3 </w:t>
      </w:r>
      <w:r>
        <w:rPr>
          <w:rFonts w:hint="eastAsia" w:ascii="仿宋_GB2312" w:hAnsi="宋体" w:eastAsia="仿宋_GB2312" w:cs="Arial"/>
          <w:b/>
          <w:snapToGrid w:val="0"/>
          <w:kern w:val="0"/>
          <w:sz w:val="24"/>
        </w:rPr>
        <w:t>自然终止</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合同规定的承包服务期满，承包自然终止。在承包服务期内乙方服务通过甲方有关评分标准并得到甲方认可，</w:t>
      </w:r>
      <w:r>
        <w:rPr>
          <w:rFonts w:hint="eastAsia" w:ascii="仿宋_GB2312" w:hAnsi="宋体" w:eastAsia="仿宋_GB2312"/>
          <w:sz w:val="24"/>
        </w:rPr>
        <w:t>报经采购监管部门同意，</w:t>
      </w:r>
      <w:r>
        <w:rPr>
          <w:rFonts w:hint="eastAsia" w:ascii="仿宋_GB2312" w:hAnsi="宋体" w:eastAsia="仿宋_GB2312" w:cs="Arial"/>
          <w:snapToGrid w:val="0"/>
          <w:kern w:val="0"/>
          <w:sz w:val="24"/>
        </w:rPr>
        <w:t>双方可协商在下一年度续约。</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3. </w:t>
      </w:r>
      <w:r>
        <w:rPr>
          <w:rFonts w:hint="eastAsia" w:ascii="仿宋_GB2312" w:hAnsi="宋体" w:eastAsia="仿宋_GB2312" w:cs="Arial"/>
          <w:b/>
          <w:snapToGrid w:val="0"/>
          <w:kern w:val="0"/>
          <w:sz w:val="24"/>
        </w:rPr>
        <w:t>承包终止后果</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3.1终止承包，不影响根据合同规定进行的赔偿、补偿。</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3.2承包终止时，双方应进行结算，甲方同时进行乙方承包区域设施、设备状况检查并要求乙方三天内将乙方物品撤离承包区域，否则甲方将代理处理，乙方支付甲方代理费及10%的手续费。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4. </w:t>
      </w:r>
      <w:r>
        <w:rPr>
          <w:rFonts w:hint="eastAsia" w:ascii="仿宋_GB2312" w:hAnsi="宋体" w:eastAsia="仿宋_GB2312" w:cs="Arial"/>
          <w:b/>
          <w:snapToGrid w:val="0"/>
          <w:kern w:val="0"/>
          <w:sz w:val="24"/>
        </w:rPr>
        <w:t>不放弃权利</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甲方接受乙方的服务，但不放弃对乙方违约行为进行追究的权利；同时，若甲方对乙方某一违约行为放弃进行追究的权利，但不放弃对乙方其他违约行为进行追究的权利。</w:t>
      </w:r>
    </w:p>
    <w:p>
      <w:pPr>
        <w:autoSpaceDE w:val="0"/>
        <w:autoSpaceDN w:val="0"/>
        <w:spacing w:line="360" w:lineRule="auto"/>
        <w:ind w:firstLine="482" w:firstLineChars="200"/>
        <w:jc w:val="left"/>
        <w:rPr>
          <w:rFonts w:ascii="仿宋_GB2312" w:eastAsia="仿宋_GB2312"/>
          <w:b/>
          <w:kern w:val="0"/>
          <w:sz w:val="24"/>
          <w:szCs w:val="24"/>
        </w:rPr>
      </w:pPr>
      <w:r>
        <w:rPr>
          <w:rFonts w:hint="eastAsia" w:ascii="仿宋_GB2312" w:eastAsia="仿宋_GB2312"/>
          <w:b/>
          <w:kern w:val="0"/>
          <w:sz w:val="24"/>
          <w:szCs w:val="24"/>
        </w:rPr>
        <w:t>十三、双方权利义务</w:t>
      </w:r>
      <w:bookmarkEnd w:id="393"/>
      <w:bookmarkEnd w:id="394"/>
      <w:bookmarkEnd w:id="395"/>
    </w:p>
    <w:p>
      <w:pPr>
        <w:snapToGrid w:val="0"/>
        <w:spacing w:line="360" w:lineRule="auto"/>
        <w:ind w:firstLine="482" w:firstLineChars="200"/>
        <w:rPr>
          <w:rFonts w:ascii="仿宋_GB2312" w:hAnsi="宋体" w:eastAsia="仿宋_GB2312" w:cs="Arial"/>
          <w:b/>
          <w:snapToGrid w:val="0"/>
          <w:kern w:val="0"/>
          <w:sz w:val="24"/>
        </w:rPr>
      </w:pPr>
      <w:r>
        <w:rPr>
          <w:rFonts w:hint="eastAsia" w:ascii="仿宋_GB2312" w:hAnsi="宋体" w:eastAsia="仿宋_GB2312" w:cs="Arial"/>
          <w:b/>
          <w:snapToGrid w:val="0"/>
          <w:kern w:val="0"/>
          <w:sz w:val="24"/>
        </w:rPr>
        <w:t>1. 甲方权利义务</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（1）代表和维护产权人、使用人的合法权益；</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（2）审定乙方拟定的物业管理制度；</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（3）检查监督乙方管理工作的实施及制度的执行情况；</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（4）审定乙方提出的物业管理服务年度计划、财务预算及决算；</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（5）负责收集、整理物业管理所需全部图纸、档案、资料，根据管理需要向乙方提供大楼相关资料和设备、设施的安装、使用和维护保养技术资料；</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（6）按期支付物业管理费用；</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（7）在不可预见的情况下，如发生煤气泄漏、漏电、火灾、救助人命、协助公安机关执行任务等突发事件的，甲方应积极配合乙方采取必要的紧急避险措施。</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（8）提供乙方所需的办公用房。</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82" w:firstLineChars="200"/>
        <w:rPr>
          <w:rFonts w:ascii="仿宋_GB2312" w:hAnsi="宋体" w:eastAsia="仿宋_GB2312" w:cs="Arial"/>
          <w:b/>
          <w:snapToGrid w:val="0"/>
          <w:kern w:val="0"/>
          <w:sz w:val="24"/>
        </w:rPr>
      </w:pPr>
      <w:r>
        <w:rPr>
          <w:rFonts w:hint="eastAsia" w:ascii="仿宋_GB2312" w:hAnsi="宋体" w:eastAsia="仿宋_GB2312" w:cs="Arial"/>
          <w:b/>
          <w:snapToGrid w:val="0"/>
          <w:kern w:val="0"/>
          <w:sz w:val="24"/>
        </w:rPr>
        <w:t>2.  乙方权利义务</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sz w:val="24"/>
        </w:rPr>
        <w:t>（1）乙方</w:t>
      </w:r>
      <w:r>
        <w:rPr>
          <w:rFonts w:hint="eastAsia" w:ascii="仿宋_GB2312" w:hAnsi="宋体" w:eastAsia="仿宋_GB2312"/>
          <w:kern w:val="0"/>
          <w:sz w:val="24"/>
          <w:lang w:val="zh-CN"/>
        </w:rPr>
        <w:t>应为</w:t>
      </w:r>
      <w:r>
        <w:rPr>
          <w:rFonts w:hint="eastAsia" w:ascii="仿宋_GB2312" w:hAnsi="仿宋_GB2312" w:eastAsia="仿宋_GB2312" w:cs="仿宋_GB2312"/>
          <w:kern w:val="0"/>
          <w:sz w:val="24"/>
          <w:lang w:val="zh-CN"/>
        </w:rPr>
        <w:t>政府采购云平台注册供应商</w:t>
      </w:r>
      <w:r>
        <w:rPr>
          <w:rFonts w:hint="eastAsia" w:ascii="仿宋_GB2312" w:hAnsi="宋体" w:eastAsia="仿宋_GB2312"/>
          <w:kern w:val="0"/>
          <w:sz w:val="24"/>
        </w:rPr>
        <w:t>，</w:t>
      </w:r>
      <w:r>
        <w:rPr>
          <w:rFonts w:hint="eastAsia" w:ascii="仿宋_GB2312" w:hAnsi="宋体" w:eastAsia="仿宋_GB2312"/>
          <w:kern w:val="0"/>
          <w:sz w:val="24"/>
          <w:lang w:val="zh-CN"/>
        </w:rPr>
        <w:t>如尚未注册</w:t>
      </w:r>
      <w:r>
        <w:rPr>
          <w:rFonts w:hint="eastAsia" w:ascii="仿宋_GB2312" w:hAnsi="宋体" w:eastAsia="仿宋_GB2312"/>
          <w:kern w:val="0"/>
          <w:sz w:val="24"/>
        </w:rPr>
        <w:t>，</w:t>
      </w:r>
      <w:r>
        <w:rPr>
          <w:rFonts w:hint="eastAsia" w:ascii="仿宋_GB2312" w:hAnsi="宋体" w:eastAsia="仿宋_GB2312"/>
          <w:kern w:val="0"/>
          <w:sz w:val="24"/>
          <w:lang w:val="zh-CN"/>
        </w:rPr>
        <w:t>应在签订合同前</w:t>
      </w:r>
      <w:r>
        <w:rPr>
          <w:rFonts w:hint="eastAsia" w:ascii="仿宋_GB2312" w:hAnsi="宋体" w:eastAsia="仿宋_GB2312"/>
          <w:kern w:val="0"/>
          <w:sz w:val="24"/>
        </w:rPr>
        <w:t>，</w:t>
      </w:r>
      <w:r>
        <w:rPr>
          <w:rFonts w:hint="eastAsia" w:ascii="仿宋_GB2312" w:hAnsi="宋体" w:eastAsia="仿宋_GB2312"/>
          <w:kern w:val="0"/>
          <w:sz w:val="24"/>
          <w:lang w:val="zh-CN"/>
        </w:rPr>
        <w:t>登陆</w:t>
      </w:r>
      <w:r>
        <w:rPr>
          <w:rFonts w:hint="eastAsia" w:ascii="仿宋_GB2312" w:hAnsi="仿宋_GB2312" w:eastAsia="仿宋_GB2312" w:cs="仿宋_GB2312"/>
          <w:kern w:val="0"/>
          <w:sz w:val="24"/>
          <w:lang w:val="zh-CN"/>
        </w:rPr>
        <w:t>政府采购云平台</w:t>
      </w:r>
      <w:r>
        <w:rPr>
          <w:rFonts w:hint="eastAsia" w:ascii="仿宋_GB2312" w:hAnsi="仿宋_GB2312" w:eastAsia="仿宋_GB2312" w:cs="仿宋_GB2312"/>
          <w:sz w:val="24"/>
        </w:rPr>
        <w:t>（</w:t>
      </w:r>
      <w:r>
        <w:rPr>
          <w:rFonts w:ascii="仿宋_GB2312" w:hAnsi="仿宋_GB2312" w:eastAsia="仿宋_GB2312" w:cs="仿宋_GB2312"/>
          <w:sz w:val="24"/>
        </w:rPr>
        <w:t>https://www.zcy.gov.cn/</w:t>
      </w:r>
      <w:r>
        <w:rPr>
          <w:rFonts w:hint="eastAsia" w:ascii="仿宋_GB2312" w:hAnsi="仿宋_GB2312" w:eastAsia="仿宋_GB2312" w:cs="仿宋_GB2312"/>
          <w:sz w:val="24"/>
        </w:rPr>
        <w:t>）</w:t>
      </w:r>
      <w:r>
        <w:rPr>
          <w:rFonts w:hint="eastAsia" w:ascii="仿宋_GB2312" w:hAnsi="宋体" w:eastAsia="仿宋_GB2312"/>
          <w:kern w:val="0"/>
          <w:sz w:val="24"/>
          <w:lang w:val="zh-CN"/>
        </w:rPr>
        <w:t>进行注册并将书面资料提交采购机构复核备案。</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（2）根据有关法律法规、投标文件及本合同的约定，制订物业管理制度、方案，根据甲方核定的物业管理制度、方案自主开展物业日常管理服务活动；</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（3）按甲方要求及时如实向甲方报告物业管理服务实施情况；</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（4）征得甲方同意可选聘专营公司承担本物业的专项管理业务，但不得将本物业的管理责任转让给第三方；</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（5）负责编制年度计划、方案，经双方议定后由乙方组织实施；</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（6）向甲方工作人员和其他使用人告知物业使用的有关规定，并负责监督；</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（7）建立、妥善保管和正确使用本物业相关的管理档案，并负责及时记载有关变更情况；</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（8）对本物业的公用设施不得擅自占用和改变使用功能；</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（9）因乙方在管理中的过错或违反本合同的约定进行管理造成甲方或第三人损失的，乙方应依法承担赔偿责任；</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（10）乙方自行承担办公桌、电脑、打印机、文件柜等自身使用的办公用品，自行承担所有人员服装费用，但服装样式需经过甲方认可，办公、生活用水、电、通讯费用由乙方自行承担。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（11）本合同终止时，乙方必须向甲方移交全部管理用房及物业管理的全部档案资料，确保移交的资料和设备、设施完好无缺。</w:t>
      </w:r>
    </w:p>
    <w:p>
      <w:pPr>
        <w:snapToGrid w:val="0"/>
        <w:spacing w:line="360" w:lineRule="auto"/>
        <w:ind w:firstLine="482" w:firstLineChars="200"/>
        <w:rPr>
          <w:rFonts w:ascii="仿宋_GB2312" w:hAnsi="宋体" w:eastAsia="仿宋_GB2312" w:cs="Arial"/>
          <w:snapToGrid w:val="0"/>
          <w:kern w:val="0"/>
          <w:sz w:val="24"/>
        </w:rPr>
      </w:pPr>
      <w:r>
        <w:rPr>
          <w:rFonts w:hint="eastAsia" w:ascii="仿宋" w:hAnsi="仿宋" w:eastAsia="仿宋"/>
          <w:b/>
          <w:bCs/>
          <w:sz w:val="24"/>
        </w:rPr>
        <w:t>十四、</w:t>
      </w:r>
      <w:r>
        <w:rPr>
          <w:rFonts w:hint="eastAsia" w:ascii="仿宋_GB2312" w:hAnsi="宋体" w:eastAsia="仿宋_GB2312" w:cs="Arial"/>
          <w:b/>
          <w:snapToGrid w:val="0"/>
          <w:kern w:val="0"/>
          <w:sz w:val="24"/>
        </w:rPr>
        <w:t>乙方的人员配置</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1.  </w:t>
      </w:r>
      <w:r>
        <w:rPr>
          <w:rFonts w:hint="eastAsia" w:ascii="仿宋_GB2312" w:hAnsi="宋体" w:eastAsia="仿宋_GB2312" w:cs="Arial"/>
          <w:b/>
          <w:snapToGrid w:val="0"/>
          <w:kern w:val="0"/>
          <w:sz w:val="24"/>
        </w:rPr>
        <w:t>乙方的人员配置</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 xml:space="preserve">1.1乙方的项目经理             ，身份证号码：                     </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1.2乙方必须采取措施，确保乙方人员稳定，特别是骨干人员。骨干人员变动须经甲方同意，其他人员变动须甲方备案。</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1.3乙方项目经理及业务主管须及时与甲方沟通，第一时间报告重大、紧急事件；每月须向甲方汇报上月工作情况，并提供相关报告。</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w:t>
      </w:r>
      <w:r>
        <w:rPr>
          <w:rFonts w:hint="eastAsia" w:ascii="仿宋_GB2312" w:hAnsi="宋体" w:eastAsia="仿宋_GB2312" w:cs="Arial"/>
          <w:b/>
          <w:snapToGrid w:val="0"/>
          <w:kern w:val="0"/>
          <w:sz w:val="24"/>
        </w:rPr>
        <w:t xml:space="preserve"> 物业人员要求</w:t>
      </w:r>
      <w:r>
        <w:rPr>
          <w:rFonts w:hint="eastAsia" w:ascii="仿宋_GB2312" w:hAnsi="宋体" w:eastAsia="仿宋_GB2312" w:cs="Arial"/>
          <w:snapToGrid w:val="0"/>
          <w:kern w:val="0"/>
          <w:sz w:val="24"/>
        </w:rPr>
        <w:t>：</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（1）所有相关人员的配备须获得相关主管部门认证的，须配证并持证上岗，且根据不同岗位统一着装。</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（2）所有相关人员要求政治上可靠，身体素质好，无不良行为记录。</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宋体" w:eastAsia="仿宋_GB2312" w:cs="Arial"/>
          <w:snapToGrid w:val="0"/>
          <w:kern w:val="0"/>
          <w:sz w:val="24"/>
        </w:rPr>
        <w:t>（3）重要岗位人员必须由甲方人事部门考核、政治审查通过方可录用。</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cs="Arial"/>
          <w:snapToGrid w:val="0"/>
          <w:kern w:val="0"/>
          <w:sz w:val="24"/>
        </w:rPr>
        <w:t>（4）为提高物业管理水平，所有物业人员还需进行宾馆礼仪的培训。除乙方对服务人员的培训外，需接受甲方对服务人员的集中进行培训，培训费用由乙方承担。</w:t>
      </w:r>
    </w:p>
    <w:p>
      <w:pPr>
        <w:spacing w:line="360" w:lineRule="auto"/>
        <w:ind w:firstLine="482" w:firstLineChars="200"/>
        <w:outlineLvl w:val="0"/>
        <w:rPr>
          <w:rFonts w:ascii="仿宋_GB2312" w:eastAsia="仿宋_GB2312"/>
          <w:b/>
          <w:bCs/>
          <w:sz w:val="24"/>
        </w:rPr>
      </w:pPr>
      <w:r>
        <w:rPr>
          <w:rFonts w:hint="eastAsia" w:ascii="仿宋" w:hAnsi="仿宋" w:eastAsia="仿宋"/>
          <w:b/>
          <w:sz w:val="24"/>
        </w:rPr>
        <w:t>十五、</w:t>
      </w:r>
      <w:r>
        <w:rPr>
          <w:rFonts w:hint="eastAsia" w:ascii="仿宋_GB2312" w:eastAsia="仿宋_GB2312"/>
          <w:b/>
          <w:bCs/>
          <w:sz w:val="24"/>
        </w:rPr>
        <w:t>违约责任</w:t>
      </w:r>
    </w:p>
    <w:p>
      <w:pPr>
        <w:tabs>
          <w:tab w:val="left" w:pos="0"/>
          <w:tab w:val="left" w:pos="180"/>
          <w:tab w:val="left" w:pos="198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1、除合同第十二条另有约定外,乙方如违反本协议的约定，应向甲方支付违约金100000元，甲方有权决定取消乙方承接组织审查业务资格，解除委托审查协议并减少甚至不支付报酬；造成甲方经济损失的，违约金不足以弥补实际损失（包括但不限于因违约造成的具体损失、诉讼费、律师费、保全费、鉴定费等）部分，乙方还应补足损失差额。</w:t>
      </w:r>
    </w:p>
    <w:p>
      <w:pPr>
        <w:tabs>
          <w:tab w:val="left" w:pos="0"/>
          <w:tab w:val="left" w:pos="180"/>
          <w:tab w:val="left" w:pos="198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2、乙方应勤勉尽责，诚实守信履行审查职责，遵循为客户保守商业秘密的原则，不得泄露与本合同相关的任何资料和情况。如乙方或审查人员违反对其适用的法律法规、行业纪律和道德规范要求以及本合同约定，应向甲方支付违约金100000元，情节严重的，将依法追究乙方和相关责任人的法律责任。</w:t>
      </w:r>
    </w:p>
    <w:p>
      <w:pPr>
        <w:tabs>
          <w:tab w:val="left" w:pos="0"/>
          <w:tab w:val="left" w:pos="180"/>
          <w:tab w:val="left" w:pos="1980"/>
        </w:tabs>
        <w:snapToGrid w:val="0"/>
        <w:spacing w:before="50" w:after="50" w:line="360" w:lineRule="auto"/>
        <w:ind w:firstLine="480" w:firstLineChars="200"/>
        <w:rPr>
          <w:rFonts w:ascii="仿宋_GB2312" w:eastAsia="仿宋_GB2312"/>
          <w:sz w:val="24"/>
        </w:rPr>
      </w:pPr>
      <w:r>
        <w:rPr>
          <w:rFonts w:hint="eastAsia" w:ascii="仿宋_GB2312" w:eastAsia="仿宋_GB2312"/>
          <w:sz w:val="24"/>
        </w:rPr>
        <w:t>3、乙方对甲方的业务安排推辞二次以上（含）、对甲方要求不予配合、无视审计时间要求造成拖延二次以上（含）、未经委托方同意安排新人员参与审计、经甲方复核，每年项目复核差异率超过5%以上的项目两个（含）等情况，均将作为不良服务行为予以记录，自动失去协审单位的资格。</w:t>
      </w:r>
    </w:p>
    <w:p>
      <w:pPr>
        <w:tabs>
          <w:tab w:val="left" w:pos="0"/>
          <w:tab w:val="left" w:pos="917"/>
          <w:tab w:val="left" w:pos="1080"/>
        </w:tabs>
        <w:snapToGrid w:val="0"/>
        <w:spacing w:before="50" w:after="50" w:line="360" w:lineRule="auto"/>
        <w:ind w:firstLine="482" w:firstLineChars="200"/>
        <w:rPr>
          <w:rFonts w:ascii="仿宋_GB2312" w:eastAsia="仿宋_GB2312"/>
          <w:b/>
          <w:bCs/>
          <w:sz w:val="24"/>
        </w:rPr>
      </w:pPr>
      <w:r>
        <w:rPr>
          <w:rFonts w:hint="eastAsia" w:ascii="仿宋" w:hAnsi="仿宋" w:eastAsia="仿宋"/>
          <w:b/>
          <w:sz w:val="24"/>
        </w:rPr>
        <w:t>十六、</w:t>
      </w:r>
      <w:r>
        <w:rPr>
          <w:rFonts w:hint="eastAsia" w:ascii="仿宋_GB2312" w:eastAsia="仿宋_GB2312"/>
          <w:b/>
          <w:bCs/>
          <w:sz w:val="24"/>
        </w:rPr>
        <w:t>续期服务</w:t>
      </w:r>
    </w:p>
    <w:p>
      <w:pPr>
        <w:snapToGrid w:val="0"/>
        <w:spacing w:line="360" w:lineRule="auto"/>
        <w:ind w:firstLine="480" w:firstLineChars="200"/>
        <w:rPr>
          <w:rFonts w:ascii="仿宋_GB2312" w:eastAsia="仿宋_GB2312"/>
          <w:b/>
          <w:bCs/>
          <w:sz w:val="24"/>
        </w:rPr>
      </w:pPr>
      <w:r>
        <w:rPr>
          <w:rFonts w:hint="eastAsia" w:ascii="仿宋_GB2312" w:eastAsia="仿宋_GB2312"/>
          <w:sz w:val="24"/>
        </w:rPr>
        <w:t>合同期第二年结束时，供应商能严格履行合同，通过采购单位的考核，供应商方可继续和采购人履约至第三年结束,若考核不合格,采购人可直接解除合同</w:t>
      </w:r>
      <w:r>
        <w:rPr>
          <w:rFonts w:hint="eastAsia" w:ascii="仿宋_GB2312" w:eastAsia="仿宋_GB2312"/>
          <w:b/>
          <w:bCs/>
          <w:sz w:val="24"/>
        </w:rPr>
        <w:t>。</w:t>
      </w:r>
      <w:r>
        <w:rPr>
          <w:rFonts w:hint="eastAsia" w:ascii="仿宋_GB2312" w:eastAsia="仿宋_GB2312"/>
          <w:sz w:val="24"/>
        </w:rPr>
        <w:t>若在合同期内乙方有严重违约行为或考核不合格的，甲方有权提前终止合同，由此造成的一切后果和损失由乙方承担。</w:t>
      </w:r>
    </w:p>
    <w:p>
      <w:pPr>
        <w:spacing w:line="360" w:lineRule="auto"/>
        <w:ind w:firstLine="482" w:firstLineChars="200"/>
        <w:outlineLvl w:val="0"/>
        <w:rPr>
          <w:rFonts w:ascii="仿宋" w:hAnsi="仿宋" w:eastAsia="仿宋"/>
          <w:b/>
          <w:sz w:val="24"/>
        </w:rPr>
      </w:pPr>
      <w:bookmarkStart w:id="396" w:name="_Toc16021"/>
      <w:bookmarkStart w:id="397" w:name="_Toc28375"/>
      <w:bookmarkStart w:id="398" w:name="_Toc15583"/>
      <w:r>
        <w:rPr>
          <w:rFonts w:hint="eastAsia" w:ascii="仿宋" w:hAnsi="仿宋" w:eastAsia="仿宋"/>
          <w:b/>
          <w:sz w:val="24"/>
        </w:rPr>
        <w:t>十七、合同争议的解决</w:t>
      </w:r>
      <w:bookmarkEnd w:id="396"/>
      <w:bookmarkEnd w:id="397"/>
      <w:bookmarkEnd w:id="398"/>
    </w:p>
    <w:p>
      <w:pPr>
        <w:autoSpaceDE w:val="0"/>
        <w:autoSpaceDN w:val="0"/>
        <w:snapToGrid w:val="0"/>
        <w:spacing w:line="360" w:lineRule="auto"/>
        <w:ind w:firstLine="480" w:firstLineChars="200"/>
        <w:jc w:val="left"/>
        <w:rPr>
          <w:rFonts w:ascii="仿宋_GB2312" w:hAnsi="宋体" w:eastAsia="仿宋_GB2312"/>
          <w:kern w:val="0"/>
          <w:sz w:val="24"/>
          <w:lang w:val="zh-CN"/>
        </w:rPr>
      </w:pPr>
      <w:bookmarkStart w:id="399" w:name="_Toc11173"/>
      <w:bookmarkStart w:id="400" w:name="_Toc15322"/>
      <w:bookmarkStart w:id="401" w:name="_Toc7245"/>
      <w:r>
        <w:rPr>
          <w:rFonts w:hint="eastAsia" w:ascii="仿宋_GB2312" w:hAnsi="宋体" w:eastAsia="仿宋_GB2312"/>
          <w:sz w:val="24"/>
        </w:rPr>
        <w:t>1．</w:t>
      </w:r>
      <w:r>
        <w:rPr>
          <w:rFonts w:hint="eastAsia" w:ascii="仿宋_GB2312" w:hAnsi="宋体" w:eastAsia="仿宋_GB2312"/>
          <w:kern w:val="0"/>
          <w:sz w:val="24"/>
          <w:lang w:val="zh-CN"/>
        </w:rPr>
        <w:t>合同在履行过程中发生争议时，甲方与乙方及时协商解决。协商不成时，提请杭州仲裁委员会根据仲裁规则仲裁。</w:t>
      </w:r>
    </w:p>
    <w:p>
      <w:pPr>
        <w:snapToGrid w:val="0"/>
        <w:spacing w:line="360" w:lineRule="auto"/>
        <w:ind w:firstLine="480" w:firstLineChars="200"/>
        <w:rPr>
          <w:rFonts w:ascii="仿宋_GB2312" w:hAnsi="宋体" w:eastAsia="仿宋_GB2312"/>
          <w:b/>
          <w:kern w:val="0"/>
          <w:sz w:val="24"/>
          <w:lang w:val="zh-CN"/>
        </w:rPr>
      </w:pPr>
      <w:r>
        <w:rPr>
          <w:rFonts w:hint="eastAsia" w:ascii="仿宋_GB2312" w:hAnsi="宋体" w:eastAsia="仿宋_GB2312"/>
          <w:sz w:val="24"/>
        </w:rPr>
        <w:t>2．</w:t>
      </w:r>
      <w:r>
        <w:rPr>
          <w:rFonts w:hint="eastAsia" w:ascii="仿宋_GB2312" w:hAnsi="宋体" w:eastAsia="仿宋_GB2312"/>
          <w:kern w:val="0"/>
          <w:sz w:val="24"/>
          <w:lang w:val="zh-CN"/>
        </w:rPr>
        <w:t>对于因违反或终止合同而引起的损失、损害的赔偿，由甲方与乙方友好协商解决，经协商仍未能达成一致的，提交杭州仲裁委员会仲裁。</w:t>
      </w:r>
    </w:p>
    <w:p>
      <w:pPr>
        <w:spacing w:line="360" w:lineRule="auto"/>
        <w:ind w:firstLine="482" w:firstLineChars="200"/>
        <w:outlineLvl w:val="0"/>
        <w:rPr>
          <w:rFonts w:ascii="仿宋" w:hAnsi="仿宋" w:eastAsia="仿宋"/>
          <w:b/>
          <w:sz w:val="24"/>
        </w:rPr>
      </w:pPr>
      <w:r>
        <w:rPr>
          <w:rFonts w:hint="eastAsia" w:ascii="仿宋" w:hAnsi="仿宋" w:eastAsia="仿宋"/>
          <w:b/>
          <w:sz w:val="24"/>
        </w:rPr>
        <w:t>十八、合同生效</w:t>
      </w:r>
      <w:bookmarkEnd w:id="399"/>
      <w:bookmarkEnd w:id="400"/>
      <w:bookmarkEnd w:id="401"/>
    </w:p>
    <w:p>
      <w:pPr>
        <w:spacing w:line="360" w:lineRule="auto"/>
        <w:ind w:firstLine="480" w:firstLineChars="200"/>
        <w:rPr>
          <w:rFonts w:ascii="仿宋" w:hAnsi="仿宋" w:eastAsia="仿宋"/>
          <w:sz w:val="24"/>
        </w:rPr>
      </w:pPr>
      <w:r>
        <w:rPr>
          <w:rFonts w:hint="eastAsia" w:ascii="仿宋" w:hAnsi="仿宋" w:eastAsia="仿宋"/>
          <w:sz w:val="24"/>
        </w:rPr>
        <w:t>本合同自双方当事人盖章或者签字时生效。</w:t>
      </w:r>
    </w:p>
    <w:p>
      <w:pPr>
        <w:spacing w:line="360" w:lineRule="auto"/>
        <w:ind w:firstLine="482" w:firstLineChars="200"/>
        <w:rPr>
          <w:rFonts w:ascii="仿宋" w:hAnsi="仿宋" w:eastAsia="仿宋"/>
          <w:sz w:val="24"/>
        </w:rPr>
      </w:pPr>
      <w:r>
        <w:rPr>
          <w:rFonts w:hint="eastAsia" w:ascii="仿宋" w:hAnsi="仿宋" w:eastAsia="仿宋"/>
          <w:b/>
          <w:bCs/>
          <w:sz w:val="24"/>
        </w:rPr>
        <w:t>十九、</w:t>
      </w:r>
      <w:r>
        <w:rPr>
          <w:rFonts w:hint="eastAsia" w:ascii="仿宋_GB2312" w:eastAsia="仿宋_GB2312"/>
          <w:b/>
          <w:kern w:val="0"/>
          <w:sz w:val="24"/>
          <w:szCs w:val="24"/>
        </w:rPr>
        <w:t>其他</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1．未经过甲方的书面同意，乙方不得转让其应履行的合同项下的义务，和将部分合同项下的义务分包给其他单位完成。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2．乙方人员在甲方场地工作时，应遵守甲方相关规章、制度。</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3．本合同任何一方给另一方的通知，都应以书面或电传/传真/电报的形式发送，而另一方应以书面形式确认并发送到对方明确的地址。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4．合同履行期内甲乙双方均不得随意变更或解除合同。合同若有未尽事宜，需经双方共同协商，订立补充协议，补充协议与本合同有同等法律效力。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80" w:firstLineChars="200"/>
        <w:jc w:val="left"/>
        <w:rPr>
          <w:rFonts w:ascii="仿宋_GB2312" w:eastAsia="仿宋_GB2312"/>
          <w:kern w:val="0"/>
          <w:sz w:val="24"/>
          <w:szCs w:val="24"/>
        </w:rPr>
      </w:pPr>
      <w:r>
        <w:rPr>
          <w:rFonts w:hint="eastAsia" w:ascii="仿宋_GB2312" w:eastAsia="仿宋_GB2312"/>
          <w:kern w:val="0"/>
          <w:sz w:val="24"/>
          <w:szCs w:val="24"/>
        </w:rPr>
        <w:t>5．本合同一式份，甲方执份、乙方执份。</w:t>
      </w:r>
    </w:p>
    <w:p>
      <w:pPr>
        <w:autoSpaceDE w:val="0"/>
        <w:autoSpaceDN w:val="0"/>
        <w:spacing w:line="360" w:lineRule="auto"/>
        <w:ind w:firstLine="480" w:firstLineChars="200"/>
        <w:jc w:val="left"/>
        <w:rPr>
          <w:rFonts w:ascii="仿宋" w:hAnsi="仿宋" w:eastAsia="仿宋"/>
          <w:sz w:val="24"/>
          <w:lang w:val="zh-CN"/>
        </w:rPr>
      </w:pPr>
      <w:r>
        <w:rPr>
          <w:rFonts w:hint="eastAsia" w:ascii="仿宋_GB2312" w:eastAsia="仿宋_GB2312"/>
          <w:kern w:val="0"/>
          <w:sz w:val="24"/>
          <w:szCs w:val="24"/>
        </w:rPr>
        <w:t>6．适用法律：本合同应按照中华人民共和国的法律进行解释。</w:t>
      </w: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 xml:space="preserve">授权代表（签字）：                       或授权代表（签字）: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 xml:space="preserve">电话: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                                    传真:</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 xml:space="preserve">开户银行：                               开户银行： </w:t>
      </w:r>
    </w:p>
    <w:p>
      <w:pPr>
        <w:autoSpaceDE w:val="0"/>
        <w:autoSpaceDN w:val="0"/>
        <w:spacing w:line="360" w:lineRule="auto"/>
        <w:rPr>
          <w:rFonts w:ascii="仿宋" w:hAnsi="仿宋" w:eastAsia="仿宋"/>
          <w:sz w:val="24"/>
        </w:rPr>
      </w:pPr>
      <w:r>
        <w:rPr>
          <w:rFonts w:hint="eastAsia" w:ascii="仿宋" w:hAnsi="仿宋" w:eastAsia="仿宋"/>
          <w:sz w:val="24"/>
        </w:rPr>
        <w:t xml:space="preserve">开户名称：                               开户名称： </w:t>
      </w:r>
    </w:p>
    <w:p>
      <w:pPr>
        <w:autoSpaceDE w:val="0"/>
        <w:autoSpaceDN w:val="0"/>
        <w:spacing w:line="360" w:lineRule="auto"/>
        <w:rPr>
          <w:rFonts w:ascii="仿宋" w:hAnsi="仿宋" w:eastAsia="仿宋"/>
          <w:sz w:val="24"/>
        </w:rPr>
      </w:pPr>
      <w:r>
        <w:rPr>
          <w:rFonts w:hint="eastAsia" w:ascii="仿宋" w:hAnsi="仿宋" w:eastAsia="仿宋"/>
          <w:sz w:val="24"/>
        </w:rPr>
        <w:t>开户账号：开户账号：</w:t>
      </w:r>
    </w:p>
    <w:p>
      <w:pPr>
        <w:pStyle w:val="329"/>
        <w:ind w:firstLine="482"/>
        <w:jc w:val="center"/>
        <w:rPr>
          <w:rFonts w:hint="eastAsia" w:ascii="仿宋" w:hAnsi="仿宋" w:eastAsia="仿宋"/>
          <w:szCs w:val="24"/>
        </w:rPr>
      </w:pPr>
      <w:bookmarkStart w:id="402" w:name="_Toc331685783"/>
      <w:r>
        <w:rPr>
          <w:rFonts w:hint="eastAsia" w:ascii="仿宋" w:hAnsi="仿宋" w:eastAsia="仿宋"/>
          <w:b/>
          <w:szCs w:val="24"/>
        </w:rPr>
        <w:t>第二部分 合同一般条款</w:t>
      </w:r>
      <w:bookmarkEnd w:id="402"/>
    </w:p>
    <w:p>
      <w:pPr>
        <w:spacing w:line="360" w:lineRule="auto"/>
        <w:ind w:firstLine="482" w:firstLineChars="200"/>
        <w:outlineLvl w:val="0"/>
        <w:rPr>
          <w:rFonts w:ascii="仿宋" w:hAnsi="仿宋" w:eastAsia="仿宋"/>
          <w:b/>
          <w:sz w:val="24"/>
        </w:rPr>
      </w:pPr>
      <w:r>
        <w:rPr>
          <w:rFonts w:ascii="仿宋" w:hAnsi="仿宋" w:eastAsia="仿宋"/>
          <w:b/>
          <w:sz w:val="24"/>
        </w:rPr>
        <w:t xml:space="preserve">2.1 </w:t>
      </w:r>
      <w:r>
        <w:rPr>
          <w:rFonts w:hint="eastAsia" w:ascii="仿宋" w:hAnsi="仿宋" w:eastAsia="仿宋"/>
          <w:b/>
          <w:sz w:val="24"/>
        </w:rPr>
        <w:t>定义</w:t>
      </w:r>
    </w:p>
    <w:p>
      <w:pPr>
        <w:spacing w:line="360" w:lineRule="auto"/>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360" w:lineRule="auto"/>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360" w:lineRule="auto"/>
        <w:ind w:firstLine="480" w:firstLineChars="200"/>
        <w:rPr>
          <w:rFonts w:ascii="仿宋" w:hAnsi="仿宋" w:eastAsia="仿宋"/>
          <w:color w:val="auto"/>
          <w:sz w:val="24"/>
          <w:highlight w:val="green"/>
        </w:rPr>
      </w:pPr>
      <w:r>
        <w:rPr>
          <w:rFonts w:hint="eastAsia" w:ascii="仿宋" w:hAnsi="仿宋" w:eastAsia="仿宋"/>
          <w:color w:val="auto"/>
          <w:sz w:val="24"/>
          <w:highlight w:val="green"/>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 xml:space="preserve">2.1.4 </w:t>
      </w:r>
      <w:r>
        <w:rPr>
          <w:rFonts w:hint="eastAsia" w:ascii="仿宋" w:hAnsi="仿宋" w:eastAsia="仿宋"/>
          <w:sz w:val="24"/>
        </w:rPr>
        <w:t>“甲方”系指与中标供应商签署合同的采购人；采购人委托采购代理机构代表其与乙方签订合同的，采购人的授权委托书作为合同附件。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sz w:val="24"/>
          <w:highlight w:val="green"/>
        </w:rPr>
      </w:pPr>
      <w:bookmarkStart w:id="403" w:name="_Ref467379400"/>
      <w:bookmarkStart w:id="404" w:name="_Toc279701241"/>
      <w:bookmarkStart w:id="405" w:name="_Toc487900350"/>
      <w:bookmarkStart w:id="406" w:name="_Toc32504"/>
      <w:bookmarkStart w:id="407" w:name="_Toc259093670"/>
      <w:bookmarkStart w:id="408" w:name="_Toc13336"/>
      <w:bookmarkStart w:id="409" w:name="_Toc27635"/>
      <w:r>
        <w:rPr>
          <w:rFonts w:hint="eastAsia" w:ascii="仿宋" w:hAnsi="仿宋" w:eastAsia="仿宋"/>
          <w:sz w:val="24"/>
          <w:highlight w:val="green"/>
        </w:rPr>
        <w:t>2.1.5 “乙方”系指根据合同约定提供服务的中标供应商</w:t>
      </w:r>
      <w:bookmarkEnd w:id="403"/>
      <w:r>
        <w:rPr>
          <w:rFonts w:hint="eastAsia" w:ascii="仿宋" w:hAnsi="仿宋" w:eastAsia="仿宋"/>
          <w:sz w:val="24"/>
          <w:highlight w:val="green"/>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sz w:val="24"/>
          <w:highlight w:val="green"/>
        </w:rPr>
      </w:pPr>
      <w:bookmarkStart w:id="410" w:name="_Ref467379436"/>
      <w:r>
        <w:rPr>
          <w:rFonts w:hint="eastAsia" w:ascii="仿宋" w:hAnsi="仿宋" w:eastAsia="仿宋"/>
          <w:sz w:val="24"/>
          <w:highlight w:val="green"/>
        </w:rPr>
        <w:t>2.1.6 “现场”系指合同约定提供服务的地点。</w:t>
      </w:r>
      <w:bookmarkEnd w:id="410"/>
    </w:p>
    <w:p>
      <w:pPr>
        <w:spacing w:line="560" w:lineRule="exact"/>
        <w:ind w:firstLine="482" w:firstLineChars="200"/>
        <w:outlineLvl w:val="0"/>
        <w:rPr>
          <w:rFonts w:ascii="仿宋" w:hAnsi="仿宋" w:eastAsia="仿宋"/>
          <w:b/>
          <w:sz w:val="24"/>
        </w:rPr>
      </w:pPr>
      <w:r>
        <w:rPr>
          <w:rFonts w:ascii="仿宋" w:hAnsi="仿宋" w:eastAsia="仿宋"/>
          <w:b/>
          <w:sz w:val="24"/>
        </w:rPr>
        <w:t xml:space="preserve">2.2 </w:t>
      </w:r>
      <w:r>
        <w:rPr>
          <w:rFonts w:hint="eastAsia" w:ascii="仿宋" w:hAnsi="仿宋" w:eastAsia="仿宋"/>
          <w:b/>
          <w:sz w:val="24"/>
        </w:rPr>
        <w:t>技术规范</w:t>
      </w:r>
      <w:bookmarkEnd w:id="404"/>
      <w:bookmarkEnd w:id="405"/>
      <w:bookmarkEnd w:id="406"/>
      <w:bookmarkEnd w:id="407"/>
      <w:bookmarkEnd w:id="408"/>
      <w:bookmarkEnd w:id="409"/>
    </w:p>
    <w:p>
      <w:pPr>
        <w:spacing w:line="560" w:lineRule="exact"/>
        <w:ind w:firstLine="480" w:firstLineChars="200"/>
        <w:rPr>
          <w:rFonts w:ascii="仿宋" w:hAnsi="仿宋" w:eastAsia="仿宋"/>
          <w:sz w:val="24"/>
        </w:rPr>
      </w:pPr>
      <w:r>
        <w:rPr>
          <w:rFonts w:hint="eastAsia" w:ascii="仿宋" w:hAnsi="仿宋" w:eastAsia="仿宋"/>
          <w:sz w:val="24"/>
          <w:highlight w:val="green"/>
          <w:lang w:val="en-US" w:eastAsia="zh-CN"/>
        </w:rPr>
        <w:t>服务</w:t>
      </w:r>
      <w:r>
        <w:rPr>
          <w:rFonts w:hint="eastAsia" w:ascii="仿宋" w:hAnsi="仿宋" w:eastAsia="仿宋"/>
          <w:sz w:val="24"/>
        </w:rPr>
        <w:t>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11" w:name="_Toc9829"/>
      <w:bookmarkStart w:id="412" w:name="_Toc31634"/>
      <w:bookmarkStart w:id="413" w:name="_Toc279701242"/>
      <w:bookmarkStart w:id="414" w:name="_Toc487900351"/>
      <w:bookmarkStart w:id="415" w:name="_Toc27853"/>
      <w:bookmarkStart w:id="416" w:name="_Toc259093671"/>
      <w:r>
        <w:rPr>
          <w:rFonts w:ascii="仿宋" w:hAnsi="仿宋" w:eastAsia="仿宋"/>
          <w:b/>
          <w:sz w:val="24"/>
        </w:rPr>
        <w:t xml:space="preserve">2.3 </w:t>
      </w:r>
      <w:r>
        <w:rPr>
          <w:rFonts w:hint="eastAsia" w:ascii="仿宋" w:hAnsi="仿宋" w:eastAsia="仿宋"/>
          <w:b/>
          <w:sz w:val="24"/>
        </w:rPr>
        <w:t>知识产权</w:t>
      </w:r>
      <w:bookmarkEnd w:id="411"/>
      <w:bookmarkEnd w:id="412"/>
      <w:bookmarkEnd w:id="413"/>
      <w:bookmarkEnd w:id="414"/>
      <w:bookmarkEnd w:id="415"/>
      <w:bookmarkEnd w:id="416"/>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w:t>
      </w:r>
      <w:r>
        <w:rPr>
          <w:rFonts w:hint="eastAsia" w:ascii="仿宋" w:hAnsi="仿宋" w:eastAsia="仿宋"/>
          <w:sz w:val="24"/>
          <w:highlight w:val="green"/>
        </w:rPr>
        <w:t>其提供的服务</w:t>
      </w:r>
      <w:r>
        <w:rPr>
          <w:rFonts w:hint="eastAsia" w:ascii="仿宋" w:hAnsi="仿宋" w:eastAsia="仿宋"/>
          <w:sz w:val="24"/>
        </w:rPr>
        <w:t>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w:t>
      </w:r>
      <w:r>
        <w:rPr>
          <w:rFonts w:hint="eastAsia" w:ascii="仿宋" w:hAnsi="仿宋" w:eastAsia="仿宋"/>
          <w:sz w:val="24"/>
          <w:lang w:val="en-US" w:eastAsia="zh-CN"/>
        </w:rPr>
        <w:t>标的</w:t>
      </w:r>
      <w:r>
        <w:rPr>
          <w:rFonts w:ascii="仿宋" w:hAnsi="仿宋" w:eastAsia="仿宋"/>
          <w:sz w:val="24"/>
        </w:rPr>
        <w:t>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lang w:val="en-US" w:eastAsia="zh-CN"/>
        </w:rPr>
        <w:t>4</w:t>
      </w:r>
      <w:r>
        <w:rPr>
          <w:rFonts w:ascii="仿宋" w:hAnsi="仿宋" w:eastAsia="仿宋"/>
          <w:b/>
          <w:sz w:val="24"/>
        </w:rPr>
        <w:t xml:space="preserve">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.1</w:t>
      </w:r>
      <w:r>
        <w:rPr>
          <w:rFonts w:hint="eastAsia" w:ascii="仿宋" w:hAnsi="仿宋" w:eastAsia="仿宋"/>
          <w:sz w:val="24"/>
        </w:rPr>
        <w:t>甲方有权在其认为必要时，对乙方是否能够按照合同约定</w:t>
      </w:r>
      <w:r>
        <w:rPr>
          <w:rFonts w:hint="eastAsia" w:ascii="仿宋" w:hAnsi="仿宋" w:eastAsia="仿宋"/>
          <w:sz w:val="24"/>
          <w:highlight w:val="green"/>
          <w:lang w:val="en-US" w:eastAsia="zh-CN"/>
        </w:rPr>
        <w:t>提供服务</w:t>
      </w:r>
      <w:r>
        <w:rPr>
          <w:rFonts w:hint="eastAsia" w:ascii="仿宋" w:hAnsi="仿宋" w:eastAsia="仿宋"/>
          <w:sz w:val="24"/>
        </w:rPr>
        <w:t>进行履约检查，以确保乙方所</w:t>
      </w:r>
      <w:r>
        <w:rPr>
          <w:rFonts w:hint="eastAsia" w:ascii="仿宋" w:hAnsi="仿宋" w:eastAsia="仿宋"/>
          <w:sz w:val="24"/>
          <w:highlight w:val="green"/>
          <w:lang w:val="en-US" w:eastAsia="zh-CN"/>
        </w:rPr>
        <w:t>提供的服务</w:t>
      </w:r>
      <w:r>
        <w:rPr>
          <w:rFonts w:hint="eastAsia" w:ascii="仿宋" w:hAnsi="仿宋" w:eastAsia="仿宋"/>
          <w:sz w:val="24"/>
        </w:rPr>
        <w:t>能够依约满足甲方之项目需求，但不得因履约检查妨碍乙方的正常工作，乙方应予积极配合；</w:t>
      </w:r>
    </w:p>
    <w:p>
      <w:pPr>
        <w:spacing w:line="560" w:lineRule="exact"/>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.2 </w:t>
      </w:r>
      <w:r>
        <w:rPr>
          <w:rFonts w:hint="eastAsia" w:ascii="仿宋" w:hAnsi="仿宋" w:eastAsia="仿宋"/>
          <w:sz w:val="24"/>
        </w:rPr>
        <w:t>合同履行期间，甲方有权将履行过程中出现的问题反馈给乙方，双方当事人应以书面形式约定需要完善和改进的内容</w:t>
      </w:r>
      <w:bookmarkStart w:id="417" w:name="_Toc186431855"/>
      <w:r>
        <w:rPr>
          <w:rFonts w:hint="eastAsia" w:ascii="仿宋" w:hAnsi="仿宋" w:eastAsia="仿宋"/>
          <w:sz w:val="24"/>
        </w:rPr>
        <w:t>。</w:t>
      </w:r>
    </w:p>
    <w:p>
      <w:pPr>
        <w:spacing w:line="560" w:lineRule="exact"/>
        <w:ind w:firstLine="482" w:firstLineChars="200"/>
        <w:rPr>
          <w:rFonts w:ascii="仿宋" w:hAnsi="仿宋" w:eastAsia="仿宋"/>
          <w:b/>
          <w:bCs/>
          <w:sz w:val="24"/>
        </w:rPr>
      </w:pPr>
      <w:bookmarkStart w:id="418" w:name="_Toc31233"/>
      <w:bookmarkStart w:id="419" w:name="_Toc26555"/>
      <w:bookmarkStart w:id="420" w:name="_Toc22011"/>
      <w:bookmarkStart w:id="421" w:name="_Toc15447"/>
      <w:bookmarkStart w:id="422" w:name="_Toc32670"/>
      <w:r>
        <w:rPr>
          <w:rFonts w:ascii="仿宋" w:hAnsi="仿宋" w:eastAsia="仿宋"/>
          <w:b/>
          <w:bCs/>
          <w:sz w:val="24"/>
        </w:rPr>
        <w:t>2.5 结算方式和付款条件</w:t>
      </w:r>
      <w:bookmarkEnd w:id="418"/>
      <w:bookmarkEnd w:id="419"/>
      <w:bookmarkEnd w:id="420"/>
      <w:bookmarkEnd w:id="421"/>
      <w:bookmarkEnd w:id="422"/>
    </w:p>
    <w:p>
      <w:pPr>
        <w:spacing w:line="560" w:lineRule="exact"/>
        <w:ind w:firstLine="480" w:firstLineChars="200"/>
      </w:pPr>
      <w:r>
        <w:rPr>
          <w:rFonts w:ascii="仿宋" w:hAnsi="仿宋" w:eastAsia="仿宋"/>
          <w:sz w:val="24"/>
        </w:rPr>
        <w:t>详见</w:t>
      </w:r>
      <w:r>
        <w:rPr>
          <w:rFonts w:ascii="仿宋" w:hAnsi="仿宋" w:eastAsia="仿宋"/>
          <w:i/>
          <w:iCs/>
          <w:sz w:val="24"/>
          <w:u w:val="single"/>
        </w:rPr>
        <w:t>合同专用条款</w:t>
      </w:r>
      <w:r>
        <w:rPr>
          <w:rFonts w:ascii="仿宋" w:hAnsi="仿宋" w:eastAsia="仿宋"/>
          <w:sz w:val="24"/>
        </w:rPr>
        <w:t>。</w:t>
      </w:r>
    </w:p>
    <w:bookmarkEnd w:id="417"/>
    <w:p>
      <w:pPr>
        <w:spacing w:line="560" w:lineRule="exact"/>
        <w:ind w:firstLine="482" w:firstLineChars="200"/>
        <w:outlineLvl w:val="0"/>
        <w:rPr>
          <w:rFonts w:ascii="仿宋" w:hAnsi="仿宋" w:eastAsia="仿宋"/>
          <w:b/>
          <w:sz w:val="24"/>
        </w:rPr>
      </w:pPr>
      <w:bookmarkStart w:id="423" w:name="_Toc487900358"/>
      <w:bookmarkStart w:id="424" w:name="_Ref467379863"/>
      <w:bookmarkStart w:id="425" w:name="_Ref467379852"/>
      <w:bookmarkStart w:id="426" w:name="_Toc259093677"/>
      <w:bookmarkStart w:id="427" w:name="_Ref467379923"/>
      <w:bookmarkStart w:id="428" w:name="_Toc279701248"/>
      <w:bookmarkStart w:id="429" w:name="_Toc3225"/>
      <w:bookmarkStart w:id="430" w:name="_Toc16110"/>
      <w:bookmarkStart w:id="431" w:name="_Toc774"/>
      <w:r>
        <w:rPr>
          <w:rFonts w:ascii="仿宋" w:hAnsi="仿宋" w:eastAsia="仿宋"/>
          <w:b/>
          <w:sz w:val="24"/>
        </w:rPr>
        <w:t>2.</w:t>
      </w:r>
      <w:r>
        <w:rPr>
          <w:rFonts w:hint="eastAsia" w:ascii="仿宋" w:hAnsi="仿宋" w:eastAsia="仿宋"/>
          <w:b/>
          <w:sz w:val="24"/>
          <w:lang w:val="en-US" w:eastAsia="zh-CN"/>
        </w:rPr>
        <w:t>6</w:t>
      </w:r>
      <w:r>
        <w:rPr>
          <w:rFonts w:ascii="仿宋" w:hAnsi="仿宋" w:eastAsia="仿宋"/>
          <w:b/>
          <w:sz w:val="24"/>
        </w:rPr>
        <w:t xml:space="preserve"> </w:t>
      </w:r>
      <w:r>
        <w:rPr>
          <w:rFonts w:hint="eastAsia" w:ascii="仿宋" w:hAnsi="仿宋" w:eastAsia="仿宋"/>
          <w:b/>
          <w:sz w:val="24"/>
        </w:rPr>
        <w:t>技术资料</w:t>
      </w:r>
      <w:bookmarkEnd w:id="423"/>
      <w:bookmarkEnd w:id="424"/>
      <w:bookmarkEnd w:id="425"/>
      <w:bookmarkEnd w:id="426"/>
      <w:bookmarkEnd w:id="427"/>
      <w:bookmarkEnd w:id="428"/>
      <w:r>
        <w:rPr>
          <w:rFonts w:hint="eastAsia" w:ascii="仿宋" w:hAnsi="仿宋" w:eastAsia="仿宋"/>
          <w:b/>
          <w:sz w:val="24"/>
        </w:rPr>
        <w:t>和保密义务</w:t>
      </w:r>
      <w:bookmarkEnd w:id="429"/>
      <w:bookmarkEnd w:id="430"/>
      <w:bookmarkEnd w:id="431"/>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6</w:t>
      </w:r>
      <w:r>
        <w:rPr>
          <w:rFonts w:ascii="仿宋" w:hAnsi="仿宋" w:eastAsia="仿宋"/>
          <w:sz w:val="24"/>
        </w:rPr>
        <w:t xml:space="preserve">.1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6</w:t>
      </w:r>
      <w:r>
        <w:rPr>
          <w:rFonts w:ascii="仿宋" w:hAnsi="仿宋" w:eastAsia="仿宋"/>
          <w:sz w:val="24"/>
        </w:rPr>
        <w:t xml:space="preserve">.2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6</w:t>
      </w:r>
      <w:r>
        <w:rPr>
          <w:rFonts w:ascii="仿宋" w:hAnsi="仿宋" w:eastAsia="仿宋"/>
          <w:sz w:val="24"/>
        </w:rPr>
        <w:t xml:space="preserve">.3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32" w:name="_Toc7860"/>
      <w:r>
        <w:rPr>
          <w:rFonts w:ascii="仿宋" w:hAnsi="仿宋" w:eastAsia="仿宋"/>
          <w:b/>
          <w:sz w:val="24"/>
        </w:rPr>
        <w:t>2.</w:t>
      </w:r>
      <w:r>
        <w:rPr>
          <w:rFonts w:hint="eastAsia" w:ascii="仿宋" w:hAnsi="仿宋" w:eastAsia="仿宋"/>
          <w:b/>
          <w:sz w:val="24"/>
          <w:lang w:val="en-US" w:eastAsia="zh-CN"/>
        </w:rPr>
        <w:t>7</w:t>
      </w:r>
      <w:r>
        <w:rPr>
          <w:rFonts w:ascii="仿宋" w:hAnsi="仿宋" w:eastAsia="仿宋"/>
          <w:b/>
          <w:sz w:val="24"/>
        </w:rPr>
        <w:t xml:space="preserve"> </w:t>
      </w:r>
      <w:r>
        <w:rPr>
          <w:rFonts w:hint="eastAsia" w:ascii="仿宋" w:hAnsi="仿宋" w:eastAsia="仿宋"/>
          <w:b/>
          <w:sz w:val="24"/>
        </w:rPr>
        <w:t>质量保证</w:t>
      </w:r>
      <w:bookmarkEnd w:id="432"/>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7</w:t>
      </w:r>
      <w:r>
        <w:rPr>
          <w:rFonts w:ascii="仿宋" w:hAnsi="仿宋" w:eastAsia="仿宋"/>
          <w:sz w:val="24"/>
        </w:rPr>
        <w:t xml:space="preserve">.1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pPr>
      <w:r>
        <w:rPr>
          <w:rFonts w:ascii="仿宋" w:hAnsi="仿宋" w:eastAsia="仿宋"/>
          <w:sz w:val="24"/>
        </w:rPr>
        <w:t>2.</w:t>
      </w:r>
      <w:r>
        <w:rPr>
          <w:rFonts w:hint="eastAsia" w:ascii="仿宋" w:hAnsi="仿宋" w:eastAsia="仿宋"/>
          <w:sz w:val="24"/>
          <w:lang w:val="en-US" w:eastAsia="zh-CN"/>
        </w:rPr>
        <w:t>7</w:t>
      </w:r>
      <w:r>
        <w:rPr>
          <w:rFonts w:ascii="仿宋" w:hAnsi="仿宋" w:eastAsia="仿宋"/>
          <w:sz w:val="24"/>
        </w:rPr>
        <w:t xml:space="preserve">.2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b/>
          <w:sz w:val="24"/>
          <w:highlight w:val="green"/>
        </w:rPr>
      </w:pPr>
      <w:bookmarkStart w:id="433" w:name="_Toc259093681"/>
      <w:bookmarkStart w:id="434" w:name="_Toc487900362"/>
      <w:bookmarkStart w:id="435" w:name="_Toc17244"/>
      <w:bookmarkStart w:id="436" w:name="_Toc279701252"/>
      <w:r>
        <w:rPr>
          <w:rFonts w:hint="eastAsia" w:ascii="仿宋" w:hAnsi="仿宋" w:eastAsia="仿宋"/>
          <w:b/>
          <w:sz w:val="24"/>
          <w:highlight w:val="green"/>
        </w:rPr>
        <w:t>2.</w:t>
      </w:r>
      <w:r>
        <w:rPr>
          <w:rFonts w:hint="eastAsia" w:ascii="仿宋" w:hAnsi="仿宋" w:eastAsia="仿宋"/>
          <w:b/>
          <w:sz w:val="24"/>
          <w:highlight w:val="green"/>
          <w:lang w:val="en-US" w:eastAsia="zh-CN"/>
        </w:rPr>
        <w:t>8</w:t>
      </w:r>
      <w:r>
        <w:rPr>
          <w:rFonts w:hint="eastAsia" w:ascii="仿宋" w:hAnsi="仿宋" w:eastAsia="仿宋"/>
          <w:b/>
          <w:sz w:val="24"/>
          <w:highlight w:val="green"/>
        </w:rPr>
        <w:t xml:space="preserve"> 延迟履行</w:t>
      </w:r>
    </w:p>
    <w:p>
      <w:pPr>
        <w:spacing w:line="560" w:lineRule="exact"/>
        <w:ind w:firstLine="480" w:firstLineChars="200"/>
        <w:outlineLvl w:val="0"/>
        <w:rPr>
          <w:rFonts w:ascii="仿宋" w:hAnsi="仿宋" w:eastAsia="仿宋"/>
          <w:b w:val="0"/>
          <w:bCs/>
          <w:sz w:val="24"/>
          <w:highlight w:val="green"/>
        </w:rPr>
      </w:pPr>
      <w:r>
        <w:rPr>
          <w:rFonts w:hint="eastAsia" w:ascii="仿宋" w:hAnsi="仿宋" w:eastAsia="仿宋"/>
          <w:b w:val="0"/>
          <w:bCs/>
          <w:sz w:val="24"/>
          <w:highlight w:val="gree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bookmarkEnd w:id="433"/>
    <w:bookmarkEnd w:id="434"/>
    <w:bookmarkEnd w:id="435"/>
    <w:bookmarkEnd w:id="436"/>
    <w:p>
      <w:pPr>
        <w:spacing w:line="560" w:lineRule="exact"/>
        <w:ind w:firstLine="482" w:firstLineChars="200"/>
        <w:outlineLvl w:val="0"/>
        <w:rPr>
          <w:rFonts w:ascii="仿宋" w:hAnsi="仿宋" w:eastAsia="仿宋"/>
          <w:b/>
          <w:sz w:val="24"/>
        </w:rPr>
      </w:pPr>
      <w:bookmarkStart w:id="437" w:name="_Toc7502"/>
      <w:bookmarkStart w:id="438" w:name="_Toc279701254"/>
      <w:bookmarkStart w:id="439" w:name="_Ref467378121"/>
      <w:bookmarkStart w:id="440" w:name="_Toc259093683"/>
      <w:bookmarkStart w:id="441" w:name="_Toc487900364"/>
      <w:r>
        <w:rPr>
          <w:rFonts w:ascii="仿宋" w:hAnsi="仿宋" w:eastAsia="仿宋"/>
          <w:b/>
          <w:sz w:val="24"/>
        </w:rPr>
        <w:t>2.</w:t>
      </w:r>
      <w:r>
        <w:rPr>
          <w:rFonts w:hint="eastAsia" w:ascii="仿宋" w:hAnsi="仿宋" w:eastAsia="仿宋"/>
          <w:b/>
          <w:sz w:val="24"/>
          <w:lang w:val="en-US" w:eastAsia="zh-CN"/>
        </w:rPr>
        <w:t>9</w:t>
      </w:r>
      <w:r>
        <w:rPr>
          <w:rFonts w:ascii="仿宋" w:hAnsi="仿宋" w:eastAsia="仿宋"/>
          <w:b/>
          <w:sz w:val="24"/>
        </w:rPr>
        <w:t xml:space="preserve"> </w:t>
      </w:r>
      <w:r>
        <w:rPr>
          <w:rFonts w:hint="eastAsia" w:ascii="仿宋" w:hAnsi="仿宋" w:eastAsia="仿宋"/>
          <w:b/>
          <w:sz w:val="24"/>
        </w:rPr>
        <w:t>合同变更</w:t>
      </w:r>
      <w:bookmarkEnd w:id="43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42" w:name="_Toc259093688"/>
      <w:bookmarkStart w:id="443" w:name="_Toc279701259"/>
      <w:bookmarkStart w:id="444" w:name="_Toc487900369"/>
    </w:p>
    <w:p>
      <w:pPr>
        <w:spacing w:line="560" w:lineRule="exact"/>
        <w:ind w:firstLine="482" w:firstLineChars="200"/>
        <w:outlineLvl w:val="0"/>
        <w:rPr>
          <w:rFonts w:ascii="仿宋" w:hAnsi="仿宋" w:eastAsia="仿宋"/>
          <w:b/>
          <w:sz w:val="24"/>
        </w:rPr>
      </w:pPr>
      <w:bookmarkStart w:id="445" w:name="_Toc22955"/>
      <w:bookmarkStart w:id="446" w:name="_Toc15237"/>
      <w:bookmarkStart w:id="447" w:name="_Toc10366"/>
      <w:r>
        <w:rPr>
          <w:rFonts w:ascii="仿宋" w:hAnsi="仿宋" w:eastAsia="仿宋"/>
          <w:b/>
          <w:sz w:val="24"/>
        </w:rPr>
        <w:t>2.</w:t>
      </w:r>
      <w:r>
        <w:rPr>
          <w:rFonts w:hint="eastAsia" w:ascii="仿宋" w:hAnsi="仿宋" w:eastAsia="仿宋"/>
          <w:b/>
          <w:sz w:val="24"/>
          <w:lang w:val="en-US" w:eastAsia="zh-CN"/>
        </w:rPr>
        <w:t>10</w:t>
      </w:r>
      <w:r>
        <w:rPr>
          <w:rFonts w:ascii="仿宋" w:hAnsi="仿宋" w:eastAsia="仿宋"/>
          <w:b/>
          <w:sz w:val="24"/>
        </w:rPr>
        <w:t xml:space="preserve"> </w:t>
      </w:r>
      <w:r>
        <w:rPr>
          <w:rFonts w:hint="eastAsia" w:ascii="仿宋" w:hAnsi="仿宋" w:eastAsia="仿宋"/>
          <w:b/>
          <w:sz w:val="24"/>
        </w:rPr>
        <w:t>合同转让</w:t>
      </w:r>
      <w:bookmarkEnd w:id="442"/>
      <w:bookmarkEnd w:id="443"/>
      <w:bookmarkEnd w:id="444"/>
      <w:r>
        <w:rPr>
          <w:rFonts w:hint="eastAsia" w:ascii="仿宋" w:hAnsi="仿宋" w:eastAsia="仿宋"/>
          <w:b/>
          <w:sz w:val="24"/>
        </w:rPr>
        <w:t>和分包</w:t>
      </w:r>
      <w:bookmarkEnd w:id="445"/>
      <w:bookmarkEnd w:id="446"/>
      <w:bookmarkEnd w:id="447"/>
    </w:p>
    <w:p>
      <w:pPr>
        <w:spacing w:line="560" w:lineRule="exact"/>
        <w:ind w:firstLine="480" w:firstLineChars="200"/>
        <w:rPr>
          <w:rFonts w:ascii="仿宋" w:hAnsi="仿宋" w:eastAsia="仿宋"/>
          <w:sz w:val="24"/>
        </w:rPr>
      </w:pPr>
      <w:r>
        <w:rPr>
          <w:rFonts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b/>
          <w:sz w:val="24"/>
        </w:rPr>
      </w:pPr>
      <w:bookmarkStart w:id="448" w:name="_Toc13566"/>
      <w:bookmarkStart w:id="449" w:name="_Toc14066"/>
      <w:bookmarkStart w:id="450" w:name="_Toc16508"/>
      <w:r>
        <w:rPr>
          <w:rFonts w:ascii="仿宋" w:hAnsi="仿宋" w:eastAsia="仿宋"/>
          <w:b/>
          <w:sz w:val="24"/>
        </w:rPr>
        <w:t>2.</w:t>
      </w:r>
      <w:r>
        <w:rPr>
          <w:rFonts w:hint="eastAsia" w:ascii="仿宋" w:hAnsi="仿宋" w:eastAsia="仿宋"/>
          <w:b/>
          <w:sz w:val="24"/>
          <w:lang w:val="en-US" w:eastAsia="zh-CN"/>
        </w:rPr>
        <w:t>11</w:t>
      </w:r>
      <w:r>
        <w:rPr>
          <w:rFonts w:ascii="仿宋" w:hAnsi="仿宋" w:eastAsia="仿宋"/>
          <w:b/>
          <w:sz w:val="24"/>
        </w:rPr>
        <w:t xml:space="preserve"> </w:t>
      </w:r>
      <w:r>
        <w:rPr>
          <w:rFonts w:hint="eastAsia" w:ascii="仿宋" w:hAnsi="仿宋" w:eastAsia="仿宋"/>
          <w:b/>
          <w:sz w:val="24"/>
        </w:rPr>
        <w:t>不可抗力</w:t>
      </w:r>
      <w:bookmarkEnd w:id="448"/>
      <w:bookmarkEnd w:id="449"/>
      <w:bookmarkEnd w:id="450"/>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11</w:t>
      </w:r>
      <w:r>
        <w:rPr>
          <w:rFonts w:ascii="仿宋" w:hAnsi="仿宋" w:eastAsia="仿宋"/>
          <w:sz w:val="24"/>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11</w:t>
      </w:r>
      <w:r>
        <w:rPr>
          <w:rFonts w:ascii="仿宋" w:hAnsi="仿宋" w:eastAsia="仿宋"/>
          <w:sz w:val="24"/>
        </w:rPr>
        <w:t xml:space="preserve">.2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11</w:t>
      </w:r>
      <w:r>
        <w:rPr>
          <w:rFonts w:ascii="仿宋" w:hAnsi="仿宋" w:eastAsia="仿宋"/>
          <w:sz w:val="24"/>
        </w:rPr>
        <w:t xml:space="preserve">.3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11</w:t>
      </w:r>
      <w:r>
        <w:rPr>
          <w:rFonts w:ascii="仿宋" w:hAnsi="仿宋" w:eastAsia="仿宋"/>
          <w:sz w:val="24"/>
        </w:rPr>
        <w:t>.4受不可抗力影响的一方在不可抗力发生后，应在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51" w:name="_Toc259093684"/>
      <w:bookmarkStart w:id="452" w:name="_Toc487900365"/>
      <w:bookmarkStart w:id="453" w:name="_Toc30676"/>
      <w:bookmarkStart w:id="454" w:name="_Toc279701255"/>
      <w:bookmarkStart w:id="455" w:name="_Toc6969"/>
      <w:bookmarkStart w:id="456" w:name="_Toc689"/>
      <w:r>
        <w:rPr>
          <w:rFonts w:ascii="仿宋" w:hAnsi="仿宋" w:eastAsia="仿宋"/>
          <w:b/>
          <w:sz w:val="24"/>
        </w:rPr>
        <w:t>2.</w:t>
      </w:r>
      <w:r>
        <w:rPr>
          <w:rFonts w:hint="eastAsia" w:ascii="仿宋" w:hAnsi="仿宋" w:eastAsia="仿宋"/>
          <w:b/>
          <w:sz w:val="24"/>
          <w:lang w:val="en-US" w:eastAsia="zh-CN"/>
        </w:rPr>
        <w:t>12</w:t>
      </w:r>
      <w:r>
        <w:rPr>
          <w:rFonts w:ascii="仿宋" w:hAnsi="仿宋" w:eastAsia="仿宋"/>
          <w:b/>
          <w:sz w:val="24"/>
        </w:rPr>
        <w:t xml:space="preserve"> </w:t>
      </w:r>
      <w:r>
        <w:rPr>
          <w:rFonts w:hint="eastAsia" w:ascii="仿宋" w:hAnsi="仿宋" w:eastAsia="仿宋"/>
          <w:b/>
          <w:sz w:val="24"/>
        </w:rPr>
        <w:t>税费</w:t>
      </w:r>
      <w:bookmarkEnd w:id="451"/>
      <w:bookmarkEnd w:id="452"/>
      <w:bookmarkEnd w:id="453"/>
      <w:bookmarkEnd w:id="454"/>
      <w:bookmarkEnd w:id="455"/>
      <w:bookmarkEnd w:id="45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457" w:name="_Toc16959"/>
      <w:bookmarkStart w:id="458" w:name="_Toc259093687"/>
      <w:bookmarkStart w:id="459" w:name="_Toc487900368"/>
      <w:bookmarkStart w:id="460" w:name="_Toc8298"/>
      <w:bookmarkStart w:id="461" w:name="_Toc279701258"/>
      <w:bookmarkStart w:id="462" w:name="_Toc7102"/>
      <w:r>
        <w:rPr>
          <w:rFonts w:ascii="仿宋" w:hAnsi="仿宋" w:eastAsia="仿宋"/>
          <w:b/>
          <w:sz w:val="24"/>
        </w:rPr>
        <w:t>2.</w:t>
      </w:r>
      <w:r>
        <w:rPr>
          <w:rFonts w:hint="eastAsia" w:ascii="仿宋" w:hAnsi="仿宋" w:eastAsia="仿宋"/>
          <w:b/>
          <w:sz w:val="24"/>
          <w:lang w:val="en-US" w:eastAsia="zh-CN"/>
        </w:rPr>
        <w:t>13</w:t>
      </w:r>
      <w:r>
        <w:rPr>
          <w:rFonts w:ascii="仿宋" w:hAnsi="仿宋" w:eastAsia="仿宋"/>
          <w:b/>
          <w:sz w:val="24"/>
        </w:rPr>
        <w:t>乙方破产</w:t>
      </w:r>
      <w:bookmarkEnd w:id="457"/>
      <w:bookmarkEnd w:id="458"/>
      <w:bookmarkEnd w:id="459"/>
      <w:bookmarkEnd w:id="460"/>
      <w:bookmarkEnd w:id="461"/>
      <w:bookmarkEnd w:id="46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463" w:name="_Toc15387"/>
      <w:bookmarkStart w:id="464" w:name="_Toc6134"/>
      <w:bookmarkStart w:id="465" w:name="_Toc29333"/>
      <w:r>
        <w:rPr>
          <w:rFonts w:ascii="仿宋" w:hAnsi="仿宋" w:eastAsia="仿宋"/>
          <w:b/>
          <w:sz w:val="24"/>
        </w:rPr>
        <w:t>2.</w:t>
      </w:r>
      <w:r>
        <w:rPr>
          <w:rFonts w:hint="eastAsia" w:ascii="仿宋" w:hAnsi="仿宋" w:eastAsia="仿宋"/>
          <w:b/>
          <w:sz w:val="24"/>
          <w:lang w:val="en-US" w:eastAsia="zh-CN"/>
        </w:rPr>
        <w:t>14</w:t>
      </w:r>
      <w:r>
        <w:rPr>
          <w:rFonts w:ascii="仿宋" w:hAnsi="仿宋" w:eastAsia="仿宋"/>
          <w:b/>
          <w:sz w:val="24"/>
        </w:rPr>
        <w:t xml:space="preserve"> </w:t>
      </w:r>
      <w:r>
        <w:rPr>
          <w:rFonts w:hint="eastAsia" w:ascii="仿宋" w:hAnsi="仿宋" w:eastAsia="仿宋"/>
          <w:b/>
          <w:sz w:val="24"/>
        </w:rPr>
        <w:t>合同中止、终止</w:t>
      </w:r>
      <w:bookmarkEnd w:id="463"/>
      <w:bookmarkEnd w:id="464"/>
      <w:bookmarkEnd w:id="465"/>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14</w:t>
      </w:r>
      <w:r>
        <w:rPr>
          <w:rFonts w:ascii="仿宋" w:hAnsi="仿宋" w:eastAsia="仿宋"/>
          <w:sz w:val="24"/>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466" w:name="_Toc6596"/>
      <w:bookmarkStart w:id="467" w:name="_Toc14563"/>
      <w:bookmarkStart w:id="468" w:name="_Toc1125"/>
      <w:r>
        <w:rPr>
          <w:rFonts w:ascii="仿宋" w:hAnsi="仿宋" w:eastAsia="仿宋"/>
          <w:b/>
          <w:sz w:val="24"/>
        </w:rPr>
        <w:t>2.</w:t>
      </w:r>
      <w:r>
        <w:rPr>
          <w:rFonts w:hint="eastAsia" w:ascii="仿宋" w:hAnsi="仿宋" w:eastAsia="仿宋"/>
          <w:b/>
          <w:sz w:val="24"/>
          <w:lang w:val="en-US" w:eastAsia="zh-CN"/>
        </w:rPr>
        <w:t>15</w:t>
      </w:r>
      <w:r>
        <w:rPr>
          <w:rFonts w:ascii="仿宋" w:hAnsi="仿宋" w:eastAsia="仿宋"/>
          <w:b/>
          <w:sz w:val="24"/>
        </w:rPr>
        <w:t>检验和验收</w:t>
      </w:r>
      <w:bookmarkEnd w:id="466"/>
      <w:bookmarkEnd w:id="467"/>
      <w:bookmarkEnd w:id="468"/>
    </w:p>
    <w:bookmarkEnd w:id="438"/>
    <w:bookmarkEnd w:id="439"/>
    <w:bookmarkEnd w:id="440"/>
    <w:bookmarkEnd w:id="441"/>
    <w:p>
      <w:pPr>
        <w:spacing w:line="560" w:lineRule="exact"/>
        <w:ind w:firstLine="480" w:firstLineChars="200"/>
        <w:outlineLvl w:val="0"/>
        <w:rPr>
          <w:rFonts w:hint="eastAsia" w:ascii="仿宋" w:hAnsi="仿宋" w:eastAsia="仿宋"/>
          <w:b w:val="0"/>
          <w:bCs/>
          <w:sz w:val="24"/>
          <w:highlight w:val="green"/>
        </w:rPr>
      </w:pPr>
      <w:bookmarkStart w:id="469" w:name="_Toc487900371"/>
      <w:bookmarkStart w:id="470" w:name="_Toc279701261"/>
      <w:bookmarkStart w:id="471" w:name="_Toc259093690"/>
      <w:bookmarkStart w:id="472" w:name="_Toc25182"/>
      <w:bookmarkStart w:id="473" w:name="_Toc19604"/>
      <w:bookmarkStart w:id="474" w:name="_Toc11284"/>
      <w:r>
        <w:rPr>
          <w:rFonts w:hint="eastAsia" w:ascii="仿宋" w:hAnsi="仿宋" w:eastAsia="仿宋"/>
          <w:b w:val="0"/>
          <w:bCs/>
          <w:sz w:val="24"/>
          <w:highlight w:val="green"/>
        </w:rPr>
        <w:t>2.</w:t>
      </w:r>
      <w:r>
        <w:rPr>
          <w:rFonts w:hint="eastAsia" w:ascii="仿宋" w:hAnsi="仿宋" w:eastAsia="仿宋"/>
          <w:b w:val="0"/>
          <w:bCs/>
          <w:sz w:val="24"/>
          <w:highlight w:val="green"/>
          <w:lang w:val="en-US" w:eastAsia="zh-CN"/>
        </w:rPr>
        <w:t>15</w:t>
      </w:r>
      <w:r>
        <w:rPr>
          <w:rFonts w:hint="eastAsia" w:ascii="仿宋" w:hAnsi="仿宋" w:eastAsia="仿宋"/>
          <w:b w:val="0"/>
          <w:bCs/>
          <w:sz w:val="24"/>
          <w:highlight w:val="green"/>
        </w:rPr>
        <w:t>.1 乙方按照</w:t>
      </w:r>
      <w:r>
        <w:rPr>
          <w:rFonts w:hint="eastAsia" w:ascii="仿宋" w:hAnsi="仿宋" w:eastAsia="仿宋"/>
          <w:b/>
          <w:i/>
          <w:sz w:val="24"/>
          <w:u w:val="single"/>
        </w:rPr>
        <w:t>合同专用条款</w:t>
      </w:r>
      <w:r>
        <w:rPr>
          <w:rFonts w:hint="eastAsia" w:ascii="仿宋" w:hAnsi="仿宋" w:eastAsia="仿宋"/>
          <w:b w:val="0"/>
          <w:bCs/>
          <w:sz w:val="24"/>
          <w:highlight w:val="green"/>
        </w:rPr>
        <w:t>的约定，定期提交服务报告，甲方按照</w:t>
      </w:r>
      <w:r>
        <w:rPr>
          <w:rFonts w:hint="eastAsia" w:ascii="仿宋" w:hAnsi="仿宋" w:eastAsia="仿宋"/>
          <w:b/>
          <w:i/>
          <w:sz w:val="24"/>
          <w:highlight w:val="green"/>
          <w:u w:val="single"/>
        </w:rPr>
        <w:t>合同专用条款</w:t>
      </w:r>
      <w:r>
        <w:rPr>
          <w:rFonts w:hint="eastAsia" w:ascii="仿宋" w:hAnsi="仿宋" w:eastAsia="仿宋"/>
          <w:b w:val="0"/>
          <w:bCs/>
          <w:sz w:val="24"/>
          <w:highlight w:val="green"/>
        </w:rPr>
        <w:t>的约定进行定期验收；</w:t>
      </w:r>
    </w:p>
    <w:p>
      <w:pPr>
        <w:spacing w:line="560" w:lineRule="exact"/>
        <w:ind w:firstLine="480" w:firstLineChars="200"/>
        <w:outlineLvl w:val="0"/>
        <w:rPr>
          <w:rFonts w:hint="eastAsia" w:ascii="仿宋" w:hAnsi="仿宋" w:eastAsia="仿宋"/>
          <w:b w:val="0"/>
          <w:bCs/>
          <w:sz w:val="24"/>
          <w:highlight w:val="green"/>
          <w:lang w:eastAsia="zh-CN"/>
        </w:rPr>
      </w:pPr>
      <w:r>
        <w:rPr>
          <w:rFonts w:hint="eastAsia" w:ascii="仿宋" w:hAnsi="仿宋" w:eastAsia="仿宋"/>
          <w:b w:val="0"/>
          <w:bCs/>
          <w:sz w:val="24"/>
          <w:highlight w:val="green"/>
        </w:rPr>
        <w:t>2.</w:t>
      </w:r>
      <w:r>
        <w:rPr>
          <w:rFonts w:hint="eastAsia" w:ascii="仿宋" w:hAnsi="仿宋" w:eastAsia="仿宋"/>
          <w:b w:val="0"/>
          <w:bCs/>
          <w:sz w:val="24"/>
          <w:highlight w:val="green"/>
          <w:lang w:val="en-US" w:eastAsia="zh-CN"/>
        </w:rPr>
        <w:t>15</w:t>
      </w:r>
      <w:r>
        <w:rPr>
          <w:rFonts w:hint="eastAsia" w:ascii="仿宋" w:hAnsi="仿宋" w:eastAsia="仿宋"/>
          <w:b w:val="0"/>
          <w:bCs/>
          <w:sz w:val="24"/>
          <w:highlight w:val="green"/>
        </w:rPr>
        <w:t>.2合同期满或者履行完毕后，甲方有权组织（包括依法邀请国家认可的质量检测机构参加）对乙方履约的验收，即：按照合同约定</w:t>
      </w:r>
      <w:r>
        <w:rPr>
          <w:rFonts w:hint="eastAsia" w:ascii="仿宋" w:hAnsi="仿宋" w:eastAsia="仿宋"/>
          <w:b w:val="0"/>
          <w:bCs/>
          <w:sz w:val="24"/>
          <w:highlight w:val="green"/>
          <w:lang w:val="en-US" w:eastAsia="zh-CN"/>
        </w:rPr>
        <w:t>的</w:t>
      </w:r>
      <w:r>
        <w:rPr>
          <w:rFonts w:hint="eastAsia" w:ascii="仿宋" w:hAnsi="仿宋" w:eastAsia="仿宋"/>
          <w:b w:val="0"/>
          <w:bCs/>
          <w:sz w:val="24"/>
          <w:highlight w:val="green"/>
        </w:rPr>
        <w:t>标准，组织对</w:t>
      </w:r>
      <w:r>
        <w:rPr>
          <w:rFonts w:hint="eastAsia" w:ascii="仿宋" w:hAnsi="仿宋" w:eastAsia="仿宋"/>
          <w:b w:val="0"/>
          <w:bCs/>
          <w:sz w:val="24"/>
          <w:highlight w:val="green"/>
          <w:lang w:val="en-US" w:eastAsia="zh-CN"/>
        </w:rPr>
        <w:t>乙方</w:t>
      </w:r>
      <w:r>
        <w:rPr>
          <w:rFonts w:hint="eastAsia" w:ascii="仿宋" w:hAnsi="仿宋" w:eastAsia="仿宋"/>
          <w:b w:val="0"/>
          <w:bCs/>
          <w:sz w:val="24"/>
          <w:highlight w:val="green"/>
        </w:rPr>
        <w:t>履约情况的验收，并出具验收书</w:t>
      </w:r>
      <w:r>
        <w:rPr>
          <w:rFonts w:hint="eastAsia" w:ascii="仿宋" w:hAnsi="仿宋" w:eastAsia="仿宋"/>
          <w:b w:val="0"/>
          <w:bCs/>
          <w:sz w:val="24"/>
          <w:highlight w:val="green"/>
          <w:lang w:eastAsia="zh-CN"/>
        </w:rPr>
        <w:t>；向社会公众提供的公共服务项目，验收时应当邀请服务对象参与并出具意见，验收结果应当向社会公告；</w:t>
      </w:r>
    </w:p>
    <w:p>
      <w:pPr>
        <w:spacing w:line="560" w:lineRule="exact"/>
        <w:ind w:firstLine="480" w:firstLineChars="200"/>
        <w:outlineLvl w:val="0"/>
        <w:rPr>
          <w:rFonts w:hint="eastAsia" w:ascii="仿宋" w:hAnsi="仿宋" w:eastAsia="仿宋"/>
          <w:b/>
          <w:i/>
          <w:sz w:val="24"/>
          <w:highlight w:val="green"/>
          <w:u w:val="single"/>
        </w:rPr>
      </w:pPr>
      <w:r>
        <w:rPr>
          <w:rFonts w:hint="eastAsia" w:ascii="仿宋" w:hAnsi="仿宋" w:eastAsia="仿宋"/>
          <w:b w:val="0"/>
          <w:bCs/>
          <w:sz w:val="24"/>
          <w:highlight w:val="green"/>
        </w:rPr>
        <w:t>2.</w:t>
      </w:r>
      <w:r>
        <w:rPr>
          <w:rFonts w:hint="eastAsia" w:ascii="仿宋" w:hAnsi="仿宋" w:eastAsia="仿宋"/>
          <w:b w:val="0"/>
          <w:bCs/>
          <w:sz w:val="24"/>
          <w:highlight w:val="green"/>
          <w:lang w:val="en-US" w:eastAsia="zh-CN"/>
        </w:rPr>
        <w:t>15</w:t>
      </w:r>
      <w:r>
        <w:rPr>
          <w:rFonts w:hint="eastAsia" w:ascii="仿宋" w:hAnsi="仿宋" w:eastAsia="仿宋"/>
          <w:b w:val="0"/>
          <w:bCs/>
          <w:sz w:val="24"/>
          <w:highlight w:val="green"/>
        </w:rPr>
        <w:t>.3 检验和验收标准、程序等具体内容以及前述验收书的效力详见</w:t>
      </w:r>
      <w:r>
        <w:rPr>
          <w:rFonts w:hint="eastAsia" w:ascii="仿宋" w:hAnsi="仿宋" w:eastAsia="仿宋"/>
          <w:b/>
          <w:i/>
          <w:sz w:val="24"/>
          <w:highlight w:val="green"/>
          <w:u w:val="single"/>
        </w:rPr>
        <w:t>合同专用条款。</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lang w:val="en-US" w:eastAsia="zh-CN"/>
        </w:rPr>
        <w:t>16</w:t>
      </w:r>
      <w:r>
        <w:rPr>
          <w:rFonts w:ascii="仿宋" w:hAnsi="仿宋" w:eastAsia="仿宋"/>
          <w:b/>
          <w:sz w:val="24"/>
        </w:rPr>
        <w:t xml:space="preserve"> </w:t>
      </w:r>
      <w:r>
        <w:rPr>
          <w:rFonts w:hint="eastAsia" w:ascii="仿宋" w:hAnsi="仿宋" w:eastAsia="仿宋"/>
          <w:b/>
          <w:sz w:val="24"/>
        </w:rPr>
        <w:t>通知</w:t>
      </w:r>
      <w:bookmarkEnd w:id="469"/>
      <w:bookmarkEnd w:id="470"/>
      <w:bookmarkEnd w:id="471"/>
      <w:r>
        <w:rPr>
          <w:rFonts w:hint="eastAsia" w:ascii="仿宋" w:hAnsi="仿宋" w:eastAsia="仿宋"/>
          <w:b/>
          <w:sz w:val="24"/>
        </w:rPr>
        <w:t>和送达</w:t>
      </w:r>
      <w:bookmarkEnd w:id="472"/>
      <w:bookmarkEnd w:id="473"/>
      <w:bookmarkEnd w:id="474"/>
    </w:p>
    <w:p>
      <w:pPr>
        <w:spacing w:line="560" w:lineRule="exact"/>
        <w:ind w:firstLine="480" w:firstLineChars="200"/>
        <w:rPr>
          <w:rFonts w:ascii="仿宋" w:hAnsi="仿宋" w:eastAsia="仿宋"/>
          <w:sz w:val="24"/>
        </w:rPr>
      </w:pPr>
      <w:bookmarkStart w:id="475" w:name="_Toc3135"/>
      <w:bookmarkStart w:id="476" w:name="_Toc6698"/>
      <w:bookmarkStart w:id="477" w:name="_Toc487900372"/>
      <w:bookmarkStart w:id="478" w:name="_Toc259093691"/>
      <w:bookmarkStart w:id="479" w:name="_Toc279701262"/>
      <w:r>
        <w:rPr>
          <w:rFonts w:ascii="仿宋" w:hAnsi="仿宋" w:eastAsia="仿宋"/>
          <w:sz w:val="24"/>
        </w:rPr>
        <w:t>2.</w:t>
      </w:r>
      <w:r>
        <w:rPr>
          <w:rFonts w:hint="eastAsia" w:ascii="仿宋" w:hAnsi="仿宋" w:eastAsia="仿宋"/>
          <w:sz w:val="24"/>
          <w:lang w:val="en-US" w:eastAsia="zh-CN"/>
        </w:rPr>
        <w:t>16</w:t>
      </w:r>
      <w:r>
        <w:rPr>
          <w:rFonts w:ascii="仿宋" w:hAnsi="仿宋" w:eastAsia="仿宋"/>
          <w:sz w:val="24"/>
        </w:rPr>
        <w:t>.1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475"/>
      <w:bookmarkEnd w:id="476"/>
    </w:p>
    <w:p>
      <w:pPr>
        <w:spacing w:line="560" w:lineRule="exact"/>
        <w:ind w:firstLine="480" w:firstLineChars="200"/>
        <w:rPr>
          <w:rFonts w:ascii="仿宋" w:hAnsi="仿宋" w:eastAsia="仿宋"/>
          <w:sz w:val="24"/>
        </w:rPr>
      </w:pPr>
      <w:bookmarkStart w:id="480" w:name="_Toc23128"/>
      <w:bookmarkStart w:id="481" w:name="_Toc23294"/>
      <w:r>
        <w:rPr>
          <w:rFonts w:ascii="仿宋" w:hAnsi="仿宋" w:eastAsia="仿宋"/>
          <w:sz w:val="24"/>
        </w:rPr>
        <w:t>2.</w:t>
      </w:r>
      <w:r>
        <w:rPr>
          <w:rFonts w:hint="eastAsia" w:ascii="仿宋" w:hAnsi="仿宋" w:eastAsia="仿宋"/>
          <w:sz w:val="24"/>
          <w:lang w:val="en-US" w:eastAsia="zh-CN"/>
        </w:rPr>
        <w:t>16</w:t>
      </w:r>
      <w:r>
        <w:rPr>
          <w:rFonts w:ascii="仿宋" w:hAnsi="仿宋" w:eastAsia="仿宋"/>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77"/>
      <w:bookmarkEnd w:id="478"/>
      <w:bookmarkEnd w:id="479"/>
      <w:bookmarkEnd w:id="480"/>
      <w:bookmarkEnd w:id="481"/>
    </w:p>
    <w:p>
      <w:pPr>
        <w:spacing w:line="560" w:lineRule="exact"/>
        <w:ind w:firstLine="482" w:firstLineChars="200"/>
        <w:outlineLvl w:val="0"/>
        <w:rPr>
          <w:rFonts w:ascii="仿宋" w:hAnsi="仿宋" w:eastAsia="仿宋"/>
          <w:b/>
          <w:sz w:val="24"/>
        </w:rPr>
      </w:pPr>
      <w:bookmarkStart w:id="482" w:name="_Toc18567"/>
      <w:bookmarkStart w:id="483" w:name="_Toc487900373"/>
      <w:bookmarkStart w:id="484" w:name="_Toc279701263"/>
      <w:bookmarkStart w:id="485" w:name="_Toc10330"/>
      <w:bookmarkStart w:id="486" w:name="_Toc259093692"/>
      <w:bookmarkStart w:id="487" w:name="_Toc12773"/>
      <w:r>
        <w:rPr>
          <w:rFonts w:ascii="仿宋" w:hAnsi="仿宋" w:eastAsia="仿宋"/>
          <w:b/>
          <w:sz w:val="24"/>
        </w:rPr>
        <w:t>2.</w:t>
      </w:r>
      <w:r>
        <w:rPr>
          <w:rFonts w:hint="eastAsia" w:ascii="仿宋" w:hAnsi="仿宋" w:eastAsia="仿宋"/>
          <w:b/>
          <w:sz w:val="24"/>
          <w:lang w:val="en-US" w:eastAsia="zh-CN"/>
        </w:rPr>
        <w:t>17</w:t>
      </w:r>
      <w:r>
        <w:rPr>
          <w:rFonts w:hint="eastAsia" w:ascii="仿宋" w:hAnsi="仿宋" w:eastAsia="仿宋"/>
          <w:b/>
          <w:sz w:val="24"/>
        </w:rPr>
        <w:t>合同使用的文字和适用的法律</w:t>
      </w:r>
      <w:bookmarkEnd w:id="482"/>
      <w:bookmarkEnd w:id="483"/>
      <w:bookmarkEnd w:id="484"/>
      <w:bookmarkEnd w:id="485"/>
      <w:bookmarkEnd w:id="486"/>
      <w:bookmarkEnd w:id="487"/>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17</w:t>
      </w:r>
      <w:r>
        <w:rPr>
          <w:rFonts w:ascii="仿宋" w:hAnsi="仿宋" w:eastAsia="仿宋"/>
          <w:sz w:val="24"/>
        </w:rPr>
        <w:t xml:space="preserve">.1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17.</w:t>
      </w:r>
      <w:r>
        <w:rPr>
          <w:rFonts w:ascii="仿宋" w:hAnsi="仿宋" w:eastAsia="仿宋"/>
          <w:sz w:val="24"/>
        </w:rPr>
        <w:t xml:space="preserve">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488" w:name="_Toc16673"/>
      <w:bookmarkStart w:id="489" w:name="_Toc259093693"/>
      <w:bookmarkStart w:id="490" w:name="_Toc3148"/>
      <w:bookmarkStart w:id="491" w:name="_Toc12004"/>
      <w:bookmarkStart w:id="492" w:name="_Toc279701264"/>
      <w:bookmarkStart w:id="493" w:name="_Toc487900374"/>
      <w:r>
        <w:rPr>
          <w:rFonts w:ascii="仿宋" w:hAnsi="仿宋" w:eastAsia="仿宋"/>
          <w:b/>
          <w:sz w:val="24"/>
        </w:rPr>
        <w:t>2.</w:t>
      </w:r>
      <w:r>
        <w:rPr>
          <w:rFonts w:hint="eastAsia" w:ascii="仿宋" w:hAnsi="仿宋" w:eastAsia="仿宋"/>
          <w:b/>
          <w:sz w:val="24"/>
          <w:lang w:val="en-US" w:eastAsia="zh-CN"/>
        </w:rPr>
        <w:t>18</w:t>
      </w:r>
      <w:r>
        <w:rPr>
          <w:rFonts w:ascii="仿宋" w:hAnsi="仿宋" w:eastAsia="仿宋"/>
          <w:b/>
          <w:sz w:val="24"/>
        </w:rPr>
        <w:t xml:space="preserve"> </w:t>
      </w:r>
      <w:r>
        <w:rPr>
          <w:rFonts w:hint="eastAsia" w:ascii="仿宋" w:hAnsi="仿宋" w:eastAsia="仿宋"/>
          <w:b/>
          <w:sz w:val="24"/>
        </w:rPr>
        <w:t>履约保证金</w:t>
      </w:r>
      <w:bookmarkEnd w:id="488"/>
      <w:bookmarkEnd w:id="489"/>
      <w:bookmarkEnd w:id="490"/>
      <w:bookmarkEnd w:id="491"/>
      <w:bookmarkEnd w:id="492"/>
    </w:p>
    <w:p>
      <w:pPr>
        <w:pStyle w:val="932"/>
        <w:spacing w:before="0" w:beforeAutospacing="0" w:after="0" w:afterAutospacing="0" w:line="360" w:lineRule="auto"/>
        <w:ind w:firstLine="420"/>
        <w:rPr>
          <w:rFonts w:hint="eastAsia" w:ascii="仿宋" w:hAnsi="仿宋" w:eastAsia="仿宋"/>
          <w:lang w:eastAsia="zh-CN"/>
        </w:rPr>
      </w:pPr>
      <w:r>
        <w:rPr>
          <w:rFonts w:ascii="仿宋" w:hAnsi="仿宋" w:eastAsia="仿宋"/>
        </w:rPr>
        <w:t>2</w:t>
      </w:r>
      <w:r>
        <w:rPr>
          <w:rFonts w:ascii="仿宋" w:hAnsi="仿宋" w:eastAsia="仿宋" w:cstheme="minorBidi"/>
          <w:kern w:val="2"/>
          <w:sz w:val="24"/>
          <w:szCs w:val="22"/>
          <w:lang w:val="en-US" w:eastAsia="zh-CN" w:bidi="ar-SA"/>
        </w:rPr>
        <w:t>.</w:t>
      </w:r>
      <w:r>
        <w:rPr>
          <w:rFonts w:hint="eastAsia" w:ascii="仿宋" w:hAnsi="仿宋" w:eastAsia="仿宋" w:cstheme="minorBidi"/>
          <w:kern w:val="2"/>
          <w:sz w:val="24"/>
          <w:szCs w:val="22"/>
          <w:lang w:val="en-US" w:eastAsia="zh-CN" w:bidi="ar-SA"/>
        </w:rPr>
        <w:t>18</w:t>
      </w:r>
      <w:r>
        <w:rPr>
          <w:rFonts w:ascii="仿宋" w:hAnsi="仿宋" w:eastAsia="仿宋" w:cstheme="minorBidi"/>
          <w:kern w:val="2"/>
          <w:sz w:val="24"/>
          <w:szCs w:val="22"/>
          <w:lang w:val="en-US" w:eastAsia="zh-CN" w:bidi="ar-SA"/>
        </w:rPr>
        <w:t xml:space="preserve">.1 </w:t>
      </w:r>
      <w:r>
        <w:rPr>
          <w:rFonts w:hint="eastAsia" w:ascii="仿宋" w:hAnsi="仿宋" w:eastAsia="仿宋" w:cstheme="minorBidi"/>
          <w:kern w:val="2"/>
          <w:sz w:val="24"/>
          <w:szCs w:val="22"/>
          <w:lang w:val="en-US" w:eastAsia="zh-CN" w:bidi="ar-SA"/>
        </w:rPr>
        <w:t>采购文件要求乙方提交履约保证金的，乙方应按</w:t>
      </w:r>
      <w:r>
        <w:rPr>
          <w:rFonts w:hint="eastAsia" w:ascii="仿宋" w:hAnsi="仿宋" w:eastAsia="仿宋" w:cstheme="minorBidi"/>
          <w:b/>
          <w:bCs/>
          <w:i/>
          <w:iCs/>
          <w:kern w:val="2"/>
          <w:sz w:val="24"/>
          <w:szCs w:val="22"/>
          <w:u w:val="single"/>
          <w:lang w:val="en-US" w:eastAsia="zh-CN" w:bidi="ar-SA"/>
        </w:rPr>
        <w:t>合同专用条款</w:t>
      </w:r>
      <w:r>
        <w:rPr>
          <w:rFonts w:hint="eastAsia" w:ascii="仿宋" w:hAnsi="仿宋" w:eastAsia="仿宋" w:cstheme="minorBidi"/>
          <w:kern w:val="2"/>
          <w:sz w:val="24"/>
          <w:szCs w:val="22"/>
          <w:lang w:val="en-US" w:eastAsia="zh-CN" w:bidi="ar-SA"/>
        </w:rPr>
        <w:t>约定的方式，以支票、汇票、本票或者金融机构、担保机构出具的保函等非现金形式，提交不超过合同金额1</w:t>
      </w:r>
      <w:r>
        <w:rPr>
          <w:rFonts w:ascii="仿宋" w:hAnsi="仿宋" w:eastAsia="仿宋" w:cstheme="minorBidi"/>
          <w:kern w:val="2"/>
          <w:sz w:val="24"/>
          <w:szCs w:val="22"/>
          <w:lang w:val="en-US" w:eastAsia="zh-CN" w:bidi="ar-SA"/>
        </w:rPr>
        <w:t>%的履约保证金；鼓励和支持乙方以银行、保险公司出具的保函形式提供履约保证</w:t>
      </w:r>
      <w:r>
        <w:rPr>
          <w:rFonts w:hint="eastAsia" w:ascii="仿宋" w:hAnsi="仿宋" w:eastAsia="仿宋" w:cstheme="minorBidi"/>
          <w:kern w:val="2"/>
          <w:sz w:val="24"/>
          <w:szCs w:val="22"/>
          <w:lang w:val="en-US" w:eastAsia="zh-CN" w:bidi="ar-SA"/>
        </w:rPr>
        <w:t>，乙方以银行、保险公司出具保函形式提交履约保证金的，甲方不得拒收</w:t>
      </w:r>
      <w:r>
        <w:rPr>
          <w:rFonts w:hint="eastAsia" w:ascii="仿宋" w:hAnsi="仿宋" w:eastAsia="仿宋"/>
          <w:lang w:eastAsia="zh-CN"/>
        </w:rPr>
        <w:t>。</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18</w:t>
      </w:r>
      <w:r>
        <w:rPr>
          <w:rFonts w:ascii="仿宋" w:hAnsi="仿宋" w:eastAsia="仿宋"/>
          <w:sz w:val="24"/>
        </w:rPr>
        <w:t xml:space="preserve">.2  </w:t>
      </w:r>
      <w:r>
        <w:rPr>
          <w:rFonts w:hint="eastAsia" w:ascii="仿宋" w:hAnsi="仿宋" w:eastAsia="仿宋"/>
          <w:sz w:val="24"/>
        </w:rPr>
        <w:t xml:space="preserve">甲方在项目验收结束后及时退还履约保证金。甲方在项目通过验收之日起 </w:t>
      </w:r>
      <w:r>
        <w:rPr>
          <w:rFonts w:hint="eastAsia" w:ascii="仿宋" w:hAnsi="仿宋" w:eastAsia="仿宋"/>
          <w:sz w:val="24"/>
          <w:u w:val="single"/>
        </w:rPr>
        <w:t xml:space="preserve">5 </w:t>
      </w:r>
      <w:r>
        <w:rPr>
          <w:rFonts w:hint="eastAsia" w:ascii="仿宋" w:hAnsi="仿宋" w:eastAsia="仿宋"/>
          <w:sz w:val="24"/>
        </w:rPr>
        <w:t>个工作日内，按</w:t>
      </w:r>
      <w:r>
        <w:rPr>
          <w:rFonts w:hint="eastAsia" w:ascii="仿宋" w:hAnsi="仿宋" w:eastAsia="仿宋"/>
          <w:b/>
          <w:bCs/>
          <w:i/>
          <w:iCs/>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18</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sz w:val="24"/>
          <w:highlight w:val="green"/>
          <w:lang w:val="en-US" w:eastAsia="zh-CN"/>
        </w:rPr>
      </w:pPr>
      <w:r>
        <w:rPr>
          <w:rFonts w:ascii="仿宋" w:hAnsi="仿宋" w:eastAsia="仿宋"/>
          <w:sz w:val="24"/>
          <w:highlight w:val="green"/>
        </w:rPr>
        <w:t>2.</w:t>
      </w:r>
      <w:r>
        <w:rPr>
          <w:rFonts w:hint="eastAsia" w:ascii="仿宋" w:hAnsi="仿宋" w:eastAsia="仿宋"/>
          <w:sz w:val="24"/>
          <w:highlight w:val="green"/>
          <w:lang w:val="en-US" w:eastAsia="zh-CN"/>
        </w:rPr>
        <w:t>18</w:t>
      </w:r>
      <w:r>
        <w:rPr>
          <w:rFonts w:ascii="仿宋" w:hAnsi="仿宋" w:eastAsia="仿宋"/>
          <w:sz w:val="24"/>
          <w:highlight w:val="green"/>
        </w:rPr>
        <w:t>.4</w:t>
      </w:r>
      <w:r>
        <w:rPr>
          <w:rFonts w:hint="eastAsia" w:ascii="仿宋" w:hAnsi="仿宋" w:eastAsia="仿宋"/>
          <w:sz w:val="24"/>
          <w:highlight w:val="green"/>
        </w:rPr>
        <w:t> 甲方根据杭州市政府采购网公布的供应商履约评价情况减免履约保证金。乙方履约验收评价总分为</w:t>
      </w:r>
      <w:r>
        <w:rPr>
          <w:rFonts w:ascii="仿宋" w:hAnsi="仿宋" w:eastAsia="仿宋"/>
          <w:sz w:val="24"/>
          <w:highlight w:val="green"/>
        </w:rPr>
        <w:t>100分的，甲方免收履约保证金</w:t>
      </w:r>
      <w:r>
        <w:rPr>
          <w:rFonts w:hint="eastAsia" w:ascii="仿宋" w:hAnsi="仿宋" w:eastAsia="仿宋"/>
          <w:sz w:val="24"/>
          <w:highlight w:val="green"/>
          <w:lang w:val="en-US" w:eastAsia="zh-CN"/>
        </w:rPr>
        <w:t>.</w:t>
      </w:r>
    </w:p>
    <w:p>
      <w:pPr>
        <w:spacing w:line="560" w:lineRule="exact"/>
        <w:ind w:firstLine="480" w:firstLineChars="200"/>
      </w:pPr>
      <w:r>
        <w:rPr>
          <w:rFonts w:ascii="仿宋" w:hAnsi="仿宋" w:eastAsia="仿宋"/>
          <w:sz w:val="24"/>
        </w:rPr>
        <w:t>2.</w:t>
      </w:r>
      <w:r>
        <w:rPr>
          <w:rFonts w:hint="eastAsia" w:ascii="仿宋" w:hAnsi="仿宋" w:eastAsia="仿宋"/>
          <w:sz w:val="24"/>
          <w:lang w:val="en-US" w:eastAsia="zh-CN"/>
        </w:rPr>
        <w:t>18</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19</w:t>
      </w:r>
      <w:r>
        <w:rPr>
          <w:rFonts w:ascii="仿宋" w:hAnsi="仿宋" w:eastAsia="仿宋"/>
          <w:sz w:val="24"/>
        </w:rPr>
        <w:t>对于因甲方原因导致变更、中止或者终止政府采购合同的，甲方应当依照合同约定对供应商受到的损失予以赔偿或者补偿。</w:t>
      </w:r>
    </w:p>
    <w:bookmarkEnd w:id="493"/>
    <w:p>
      <w:pPr>
        <w:spacing w:line="560" w:lineRule="exact"/>
        <w:ind w:firstLine="482" w:firstLineChars="200"/>
        <w:outlineLvl w:val="0"/>
        <w:rPr>
          <w:rFonts w:ascii="仿宋" w:hAnsi="仿宋" w:eastAsia="仿宋"/>
          <w:b/>
          <w:sz w:val="24"/>
        </w:rPr>
      </w:pPr>
      <w:bookmarkStart w:id="494" w:name="_Toc14001"/>
      <w:bookmarkStart w:id="495" w:name="_Toc19890"/>
      <w:bookmarkStart w:id="496" w:name="_Toc6885"/>
      <w:r>
        <w:rPr>
          <w:rFonts w:ascii="仿宋" w:hAnsi="仿宋" w:eastAsia="仿宋"/>
          <w:b/>
          <w:sz w:val="24"/>
        </w:rPr>
        <w:t>2.</w:t>
      </w:r>
      <w:r>
        <w:rPr>
          <w:rFonts w:hint="eastAsia" w:ascii="仿宋" w:hAnsi="仿宋" w:eastAsia="仿宋"/>
          <w:b/>
          <w:sz w:val="24"/>
          <w:lang w:val="en-US" w:eastAsia="zh-CN"/>
        </w:rPr>
        <w:t>20</w:t>
      </w:r>
      <w:r>
        <w:rPr>
          <w:rFonts w:hint="eastAsia" w:ascii="仿宋" w:hAnsi="仿宋" w:eastAsia="仿宋"/>
          <w:b/>
          <w:sz w:val="24"/>
        </w:rPr>
        <w:t>合同份数</w:t>
      </w:r>
      <w:bookmarkEnd w:id="494"/>
      <w:bookmarkEnd w:id="495"/>
      <w:bookmarkEnd w:id="496"/>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29"/>
        <w:jc w:val="both"/>
        <w:rPr>
          <w:rFonts w:ascii="仿宋" w:hAnsi="仿宋" w:eastAsia="仿宋"/>
          <w:szCs w:val="24"/>
        </w:rPr>
      </w:pPr>
      <w:r>
        <w:rPr>
          <w:rFonts w:hint="eastAsia" w:ascii="仿宋" w:hAnsi="仿宋" w:eastAsia="仿宋"/>
          <w:szCs w:val="24"/>
        </w:rPr>
        <w:br w:type="page"/>
      </w:r>
      <w:bookmarkStart w:id="497" w:name="_Toc331685784"/>
    </w:p>
    <w:p>
      <w:pPr>
        <w:pStyle w:val="329"/>
        <w:ind w:firstLine="482"/>
        <w:jc w:val="center"/>
        <w:rPr>
          <w:rFonts w:ascii="仿宋" w:hAnsi="仿宋" w:eastAsia="仿宋"/>
          <w:b/>
          <w:szCs w:val="24"/>
        </w:rPr>
      </w:pPr>
      <w:r>
        <w:rPr>
          <w:rFonts w:hint="eastAsia" w:ascii="仿宋" w:hAnsi="仿宋" w:eastAsia="仿宋"/>
          <w:b/>
          <w:szCs w:val="24"/>
        </w:rPr>
        <w:t>第三部分  合同专用条款</w:t>
      </w:r>
      <w:bookmarkEnd w:id="497"/>
    </w:p>
    <w:p>
      <w:pPr>
        <w:spacing w:line="360" w:lineRule="auto"/>
        <w:ind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_GB2312" w:hAnsi="楷体" w:eastAsia="仿宋_GB2312"/>
                <w:b/>
                <w:sz w:val="24"/>
              </w:rPr>
            </w:pPr>
            <w:r>
              <w:rPr>
                <w:rFonts w:hint="eastAsia" w:ascii="仿宋_GB2312" w:hAnsi="楷体" w:eastAsia="仿宋_GB2312"/>
                <w:b/>
                <w:sz w:val="24"/>
              </w:rPr>
              <w:t>条款号</w:t>
            </w: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_GB2312" w:hAnsi="微软雅黑"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outlineLvl w:val="0"/>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tabs>
                <w:tab w:val="left" w:pos="360"/>
                <w:tab w:val="left" w:pos="540"/>
                <w:tab w:val="left" w:pos="1080"/>
              </w:tabs>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82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ascii="仿宋_GB2312" w:hAnsi="楷体" w:eastAsia="仿宋_GB2312"/>
                <w:sz w:val="24"/>
              </w:rPr>
            </w:pPr>
          </w:p>
        </w:tc>
      </w:tr>
    </w:tbl>
    <w:p>
      <w:pPr>
        <w:spacing w:line="360" w:lineRule="auto"/>
        <w:ind w:left="-420" w:leftChars="-200" w:right="-420" w:rightChars="-200" w:firstLine="480" w:firstLineChars="200"/>
        <w:rPr>
          <w:rFonts w:ascii="仿宋" w:hAnsi="仿宋" w:eastAsia="仿宋"/>
          <w:sz w:val="24"/>
        </w:rPr>
      </w:pPr>
    </w:p>
    <w:p>
      <w:pPr>
        <w:widowControl/>
        <w:jc w:val="left"/>
        <w:rPr>
          <w:rFonts w:ascii="仿宋_GB2312" w:hAnsi="仿宋_GB2312" w:eastAsia="仿宋_GB2312" w:cs="仿宋_GB2312"/>
          <w:b/>
          <w:sz w:val="36"/>
          <w:szCs w:val="20"/>
        </w:rPr>
      </w:pPr>
    </w:p>
    <w:bookmarkEnd w:id="388"/>
    <w:bookmarkEnd w:id="389"/>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（1）符合参加政府采购活动应当具备的一般条件的承诺函……………（页码）</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（2）联合协议………………………………………………………………（页码）</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（3）落实政府采购政策需满足的资格要求………………………………（页码）</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（4）本项目的特定资格要求………………………………………………（页码）</w:t>
      </w:r>
    </w:p>
    <w:p>
      <w:pPr>
        <w:spacing w:line="360" w:lineRule="auto"/>
        <w:ind w:firstLine="480" w:firstLineChars="200"/>
        <w:rPr>
          <w:rFonts w:ascii="仿宋_GB2312" w:hAnsi="仿宋" w:eastAsia="仿宋_GB2312" w:cs="仿宋_GB2312"/>
          <w:sz w:val="24"/>
        </w:rPr>
      </w:pPr>
    </w:p>
    <w:p>
      <w:pPr>
        <w:adjustRightInd w:val="0"/>
        <w:spacing w:line="360" w:lineRule="auto"/>
        <w:rPr>
          <w:rFonts w:ascii="仿宋_GB2312" w:hAnsi="仿宋" w:eastAsia="仿宋_GB2312" w:cs="Times New Roman"/>
          <w:sz w:val="24"/>
          <w:szCs w:val="24"/>
        </w:rPr>
      </w:pPr>
      <w:r>
        <w:rPr>
          <w:rFonts w:ascii="仿宋_GB2312" w:hAnsi="仿宋" w:eastAsia="仿宋_GB2312" w:cs="仿宋_GB2312"/>
          <w:kern w:val="0"/>
          <w:sz w:val="24"/>
        </w:rPr>
        <w:br w:type="page"/>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b/>
          <w:sz w:val="24"/>
          <w:highlight w:val="yellow"/>
        </w:rPr>
        <w:t>杭州市拱墅区机关事务中心文晖综合楼物业管理服务采购项目</w:t>
      </w:r>
      <w:r>
        <w:rPr>
          <w:rFonts w:hint="eastAsia" w:ascii="仿宋_GB2312" w:hAnsi="仿宋" w:eastAsia="仿宋_GB2312" w:cs="仿宋_GB2312"/>
          <w:sz w:val="24"/>
          <w:highlight w:val="yellow"/>
        </w:rPr>
        <w:t>【招标编号：</w:t>
      </w:r>
      <w:r>
        <w:rPr>
          <w:rFonts w:hint="eastAsia" w:ascii="仿宋_GB2312" w:hAnsi="仿宋" w:eastAsia="仿宋_GB2312"/>
          <w:b/>
          <w:sz w:val="24"/>
          <w:highlight w:val="yellow"/>
        </w:rPr>
        <w:t>GSZFCG-2022-013</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宋体" w:eastAsia="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专门面向中小企业，服务全部由符合政策要求的中小企业（或小微企业）承接的，提供相应的中小企业声明函（附件7）。</w:t>
      </w:r>
    </w:p>
    <w:p>
      <w:pPr>
        <w:widowControl/>
        <w:numPr>
          <w:ilvl w:val="0"/>
          <w:numId w:val="13"/>
        </w:numPr>
        <w:spacing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C、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adjustRightInd w:val="0"/>
        <w:snapToGrid w:val="0"/>
        <w:spacing w:line="360" w:lineRule="auto"/>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720" w:firstLineChars="3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b/>
          <w:sz w:val="24"/>
          <w:highlight w:val="yellow"/>
        </w:rPr>
        <w:t>杭州市拱墅区机关事务中心文晖综合楼物业管理服务采购项目</w:t>
      </w:r>
      <w:r>
        <w:rPr>
          <w:rFonts w:hint="eastAsia" w:ascii="仿宋_GB2312" w:hAnsi="仿宋" w:eastAsia="仿宋_GB2312" w:cs="仿宋_GB2312"/>
          <w:sz w:val="24"/>
          <w:highlight w:val="yellow"/>
        </w:rPr>
        <w:t>【招标编号：</w:t>
      </w:r>
      <w:r>
        <w:rPr>
          <w:rFonts w:hint="eastAsia" w:ascii="仿宋_GB2312" w:hAnsi="仿宋" w:eastAsia="仿宋_GB2312"/>
          <w:b/>
          <w:sz w:val="24"/>
          <w:highlight w:val="yellow"/>
        </w:rPr>
        <w:t>GSZFCG-2022-013</w:t>
      </w:r>
      <w:r>
        <w:rPr>
          <w:rFonts w:hint="eastAsia" w:ascii="仿宋_GB2312" w:hAnsi="仿宋" w:eastAsia="仿宋_GB2312" w:cs="仿宋_GB2312"/>
          <w:sz w:val="24"/>
        </w:rPr>
        <w:t>】招标的有关活动，并对此项目进行投标。为此：</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210" w:leftChars="100" w:firstLine="720" w:firstLineChars="300"/>
        <w:rPr>
          <w:rFonts w:ascii="仿宋_GB2312" w:hAnsi="仿宋" w:eastAsia="仿宋_GB2312" w:cs="仿宋_GB2312"/>
          <w:sz w:val="24"/>
        </w:rPr>
      </w:pPr>
      <w:r>
        <w:rPr>
          <w:rFonts w:hint="eastAsia" w:ascii="仿宋_GB2312" w:hAnsi="仿宋" w:eastAsia="仿宋_GB2312" w:cs="仿宋_GB2312"/>
          <w:sz w:val="24"/>
        </w:rPr>
        <w:t xml:space="preserve">2.2.1投标函； </w:t>
      </w:r>
    </w:p>
    <w:p>
      <w:pPr>
        <w:snapToGrid w:val="0"/>
        <w:spacing w:line="360" w:lineRule="auto"/>
        <w:ind w:left="210" w:leftChars="100" w:firstLine="720" w:firstLineChars="3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360" w:lineRule="auto"/>
        <w:ind w:left="210" w:leftChars="100" w:firstLine="720" w:firstLineChars="300"/>
        <w:rPr>
          <w:rFonts w:ascii="仿宋_GB2312" w:hAnsi="仿宋" w:eastAsia="仿宋_GB2312" w:cs="仿宋_GB2312"/>
          <w:sz w:val="24"/>
        </w:rPr>
      </w:pPr>
      <w:r>
        <w:rPr>
          <w:rFonts w:hint="eastAsia" w:ascii="仿宋_GB2312" w:hAnsi="仿宋" w:eastAsia="仿宋_GB2312" w:cs="仿宋_GB2312"/>
          <w:sz w:val="24"/>
        </w:rPr>
        <w:t>2.2.3分包意向协议（如果有）；</w:t>
      </w:r>
    </w:p>
    <w:p>
      <w:pPr>
        <w:snapToGrid w:val="0"/>
        <w:spacing w:line="360" w:lineRule="auto"/>
        <w:ind w:left="210" w:leftChars="100" w:firstLine="720" w:firstLineChars="300"/>
        <w:rPr>
          <w:rFonts w:ascii="仿宋_GB2312" w:hAnsi="仿宋" w:eastAsia="仿宋_GB2312" w:cs="仿宋_GB2312"/>
          <w:sz w:val="24"/>
        </w:rPr>
      </w:pPr>
      <w:r>
        <w:rPr>
          <w:rFonts w:hint="eastAsia" w:ascii="仿宋_GB2312" w:hAnsi="仿宋" w:eastAsia="仿宋_GB2312" w:cs="仿宋_GB2312"/>
          <w:sz w:val="24"/>
        </w:rPr>
        <w:t>2.2.4符合性审查资料；</w:t>
      </w:r>
    </w:p>
    <w:p>
      <w:pPr>
        <w:snapToGrid w:val="0"/>
        <w:spacing w:line="360" w:lineRule="auto"/>
        <w:ind w:left="210" w:leftChars="100" w:firstLine="720" w:firstLineChars="300"/>
        <w:rPr>
          <w:rFonts w:ascii="仿宋_GB2312" w:hAnsi="仿宋" w:eastAsia="仿宋_GB2312" w:cs="仿宋_GB2312"/>
          <w:color w:val="FF0000"/>
          <w:sz w:val="24"/>
        </w:rPr>
      </w:pPr>
      <w:r>
        <w:rPr>
          <w:rFonts w:hint="eastAsia" w:ascii="仿宋_GB2312" w:hAnsi="仿宋" w:eastAsia="仿宋_GB2312" w:cs="仿宋_GB2312"/>
          <w:color w:val="FF0000"/>
          <w:sz w:val="24"/>
        </w:rPr>
        <w:t>2.2.5评标标准相应的商务技术资料；</w:t>
      </w:r>
    </w:p>
    <w:p>
      <w:pPr>
        <w:snapToGrid w:val="0"/>
        <w:spacing w:line="360" w:lineRule="auto"/>
        <w:ind w:left="210" w:leftChars="100" w:firstLine="720" w:firstLineChars="300"/>
        <w:rPr>
          <w:rFonts w:ascii="仿宋_GB2312" w:hAnsi="仿宋" w:eastAsia="仿宋_GB2312" w:cs="仿宋_GB2312"/>
          <w:color w:val="FF0000"/>
          <w:sz w:val="24"/>
        </w:rPr>
      </w:pPr>
      <w:r>
        <w:rPr>
          <w:rFonts w:hint="eastAsia" w:ascii="仿宋_GB2312" w:hAnsi="仿宋" w:eastAsia="仿宋_GB2312" w:cs="仿宋_GB2312"/>
          <w:color w:val="FF0000"/>
          <w:sz w:val="24"/>
        </w:rPr>
        <w:t>2.2.6投标标的清单；</w:t>
      </w:r>
    </w:p>
    <w:p>
      <w:pPr>
        <w:snapToGrid w:val="0"/>
        <w:spacing w:line="360" w:lineRule="auto"/>
        <w:ind w:left="210" w:leftChars="100" w:firstLine="720" w:firstLineChars="300"/>
        <w:rPr>
          <w:rFonts w:ascii="仿宋_GB2312" w:hAnsi="仿宋" w:eastAsia="仿宋_GB2312" w:cs="仿宋_GB2312"/>
          <w:sz w:val="24"/>
        </w:rPr>
      </w:pPr>
      <w:r>
        <w:rPr>
          <w:rFonts w:hint="eastAsia" w:ascii="仿宋_GB2312" w:hAnsi="仿宋" w:eastAsia="仿宋_GB2312" w:cs="仿宋_GB2312"/>
          <w:sz w:val="24"/>
        </w:rPr>
        <w:t>2.2.7商务技术偏离表；</w:t>
      </w:r>
    </w:p>
    <w:p>
      <w:pPr>
        <w:snapToGrid w:val="0"/>
        <w:spacing w:line="360" w:lineRule="auto"/>
        <w:ind w:left="210" w:leftChars="100" w:firstLine="720" w:firstLineChars="300"/>
        <w:rPr>
          <w:rFonts w:ascii="仿宋_GB2312" w:hAnsi="仿宋" w:eastAsia="仿宋_GB2312" w:cs="仿宋_GB2312"/>
          <w:sz w:val="24"/>
        </w:rPr>
      </w:pPr>
      <w:r>
        <w:rPr>
          <w:rFonts w:hint="eastAsia" w:ascii="仿宋_GB2312" w:hAnsi="仿宋" w:eastAsia="仿宋_GB2312" w:cs="仿宋_GB2312"/>
          <w:sz w:val="24"/>
        </w:rPr>
        <w:t>2.2.8政府采购供应商廉洁自律承诺书；</w:t>
      </w:r>
    </w:p>
    <w:p>
      <w:pPr>
        <w:snapToGrid w:val="0"/>
        <w:spacing w:line="360" w:lineRule="auto"/>
        <w:ind w:firstLine="720" w:firstLineChars="300"/>
        <w:rPr>
          <w:rFonts w:ascii="仿宋_GB2312" w:hAnsi="仿宋" w:eastAsia="仿宋_GB2312" w:cs="仿宋_GB2312"/>
          <w:sz w:val="24"/>
        </w:rPr>
      </w:pPr>
      <w:r>
        <w:rPr>
          <w:rFonts w:hint="eastAsia" w:ascii="仿宋_GB2312" w:hAnsi="仿宋" w:eastAsia="仿宋_GB2312" w:cs="仿宋_GB2312"/>
          <w:sz w:val="24"/>
        </w:rPr>
        <w:t>2.3报价文件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2.3.1开标一览表（报价表）；</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2.3.2中小企业声明函（如果有）。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210" w:leftChars="100" w:firstLine="480" w:firstLineChars="200"/>
        <w:rPr>
          <w:rFonts w:ascii="仿宋_GB2312" w:hAnsi="仿宋" w:eastAsia="仿宋_GB2312" w:cs="仿宋_GB2312"/>
          <w:sz w:val="24"/>
        </w:rPr>
      </w:pPr>
    </w:p>
    <w:p>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注：按本格式和要求提供。</w:t>
      </w:r>
    </w:p>
    <w:p>
      <w:pPr>
        <w:snapToGrid w:val="0"/>
        <w:spacing w:line="360" w:lineRule="auto"/>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b/>
          <w:sz w:val="24"/>
          <w:highlight w:val="yellow"/>
        </w:rPr>
        <w:t>杭州市拱墅区机关事务中心文晖综合楼物业管理服务采购项目</w:t>
      </w:r>
      <w:r>
        <w:rPr>
          <w:rFonts w:hint="eastAsia" w:ascii="仿宋_GB2312" w:hAnsi="仿宋" w:eastAsia="仿宋_GB2312" w:cs="仿宋_GB2312"/>
          <w:sz w:val="24"/>
          <w:highlight w:val="yellow"/>
        </w:rPr>
        <w:t>【招标编号：</w:t>
      </w:r>
      <w:r>
        <w:rPr>
          <w:rFonts w:hint="eastAsia" w:ascii="仿宋_GB2312" w:hAnsi="仿宋" w:eastAsia="仿宋_GB2312"/>
          <w:b/>
          <w:sz w:val="24"/>
          <w:highlight w:val="yellow"/>
        </w:rPr>
        <w:t>GSZFCG-2022-013</w:t>
      </w:r>
      <w:r>
        <w:rPr>
          <w:rFonts w:hint="eastAsia" w:ascii="仿宋_GB2312" w:hAnsi="仿宋" w:eastAsia="仿宋_GB2312" w:cs="仿宋_GB2312"/>
          <w:sz w:val="24"/>
          <w:highlight w:val="yellow"/>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sz w:val="24"/>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b/>
          <w:sz w:val="24"/>
          <w:highlight w:val="yellow"/>
        </w:rPr>
        <w:t>杭州市拱墅区机关事务中心文晖综合楼物业管理服务采购项目</w:t>
      </w:r>
      <w:r>
        <w:rPr>
          <w:rFonts w:hint="eastAsia" w:ascii="仿宋_GB2312" w:hAnsi="仿宋" w:eastAsia="仿宋_GB2312" w:cs="仿宋_GB2312"/>
          <w:sz w:val="24"/>
          <w:highlight w:val="yellow"/>
        </w:rPr>
        <w:t>【招标编号：</w:t>
      </w:r>
      <w:r>
        <w:rPr>
          <w:rFonts w:hint="eastAsia" w:ascii="仿宋_GB2312" w:hAnsi="仿宋" w:eastAsia="仿宋_GB2312"/>
          <w:b/>
          <w:sz w:val="24"/>
          <w:highlight w:val="yellow"/>
        </w:rPr>
        <w:t>GSZFCG-2022-013</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b/>
          <w:kern w:val="0"/>
          <w:sz w:val="32"/>
          <w:szCs w:val="32"/>
        </w:rPr>
      </w:pPr>
      <w:r>
        <w:rPr>
          <w:rFonts w:hint="eastAsia" w:ascii="仿宋_GB2312" w:hAnsi="仿宋" w:eastAsia="仿宋_GB2312" w:cs="仿宋_GB2312"/>
          <w:kern w:val="0"/>
          <w:sz w:val="24"/>
          <w:lang w:val="zh-CN"/>
        </w:rPr>
        <w:t>特此告知。</w:t>
      </w:r>
    </w:p>
    <w:p>
      <w:pP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6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6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bookmarkStart w:id="49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98"/>
    <w:p>
      <w:pPr>
        <w:snapToGrid w:val="0"/>
        <w:spacing w:line="360" w:lineRule="auto"/>
        <w:rPr>
          <w:rFonts w:ascii="宋体" w:hAnsi="宋体" w:cs="宋体"/>
          <w:kern w:val="0"/>
          <w:sz w:val="24"/>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numPr>
                <w:ilvl w:val="0"/>
                <w:numId w:val="0"/>
              </w:numPr>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pStyle w:val="4"/>
        <w:numPr>
          <w:ilvl w:val="0"/>
          <w:numId w:val="0"/>
        </w:numPr>
        <w:rPr>
          <w:rFonts w:ascii="宋体" w:hAnsi="宋体" w:cs="宋体"/>
          <w:sz w:val="24"/>
          <w:lang w:val="en-US"/>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adjustRightInd w:val="0"/>
        <w:spacing w:line="360" w:lineRule="auto"/>
        <w:jc w:val="center"/>
        <w:outlineLvl w:val="1"/>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b/>
          <w:kern w:val="0"/>
          <w:sz w:val="32"/>
          <w:szCs w:val="32"/>
        </w:rPr>
      </w:pPr>
    </w:p>
    <w:p>
      <w:pPr>
        <w:adjustRightInd w:val="0"/>
        <w:snapToGrid w:val="0"/>
        <w:spacing w:line="360" w:lineRule="auto"/>
        <w:jc w:val="center"/>
        <w:rPr>
          <w:rFonts w:ascii="仿宋_GB2312" w:hAnsi="仿宋" w:eastAsia="仿宋_GB2312" w:cs="仿宋_GB2312"/>
          <w:b/>
          <w:kern w:val="0"/>
          <w:sz w:val="32"/>
          <w:szCs w:val="32"/>
        </w:rPr>
      </w:pPr>
    </w:p>
    <w:p>
      <w:pPr>
        <w:adjustRightInd w:val="0"/>
        <w:snapToGrid w:val="0"/>
        <w:spacing w:line="360" w:lineRule="auto"/>
        <w:jc w:val="center"/>
        <w:rPr>
          <w:rFonts w:ascii="仿宋_GB2312" w:hAnsi="仿宋" w:eastAsia="仿宋_GB2312" w:cs="仿宋_GB2312"/>
          <w:b/>
          <w:kern w:val="0"/>
          <w:sz w:val="32"/>
          <w:szCs w:val="32"/>
        </w:rPr>
      </w:pPr>
    </w:p>
    <w:p>
      <w:pPr>
        <w:adjustRightInd w:val="0"/>
        <w:snapToGrid w:val="0"/>
        <w:spacing w:line="360" w:lineRule="auto"/>
        <w:jc w:val="center"/>
        <w:rPr>
          <w:rFonts w:ascii="仿宋_GB2312" w:hAnsi="仿宋" w:eastAsia="仿宋_GB2312" w:cs="仿宋_GB2312"/>
          <w:b/>
          <w:kern w:val="0"/>
          <w:sz w:val="32"/>
          <w:szCs w:val="32"/>
        </w:rPr>
      </w:pPr>
    </w:p>
    <w:p>
      <w:pPr>
        <w:adjustRightInd w:val="0"/>
        <w:snapToGrid w:val="0"/>
        <w:spacing w:line="360" w:lineRule="auto"/>
        <w:jc w:val="center"/>
        <w:rPr>
          <w:rFonts w:ascii="仿宋_GB2312" w:hAnsi="仿宋" w:eastAsia="仿宋_GB2312" w:cs="仿宋_GB2312"/>
          <w:b/>
          <w:kern w:val="0"/>
          <w:sz w:val="32"/>
          <w:szCs w:val="32"/>
        </w:rPr>
      </w:pPr>
    </w:p>
    <w:p>
      <w:pPr>
        <w:adjustRightInd w:val="0"/>
        <w:snapToGrid w:val="0"/>
        <w:spacing w:line="360" w:lineRule="auto"/>
        <w:jc w:val="center"/>
        <w:rPr>
          <w:rFonts w:ascii="仿宋_GB2312" w:hAnsi="仿宋" w:eastAsia="仿宋_GB2312" w:cs="仿宋_GB2312"/>
          <w:b/>
          <w:kern w:val="0"/>
          <w:sz w:val="32"/>
          <w:szCs w:val="32"/>
        </w:rPr>
      </w:pPr>
    </w:p>
    <w:p>
      <w:pPr>
        <w:adjustRightInd w:val="0"/>
        <w:snapToGrid w:val="0"/>
        <w:spacing w:line="360" w:lineRule="auto"/>
        <w:rPr>
          <w:rFonts w:ascii="仿宋_GB2312" w:hAnsi="仿宋" w:eastAsia="仿宋_GB2312" w:cs="仿宋_GB2312"/>
          <w:b/>
          <w:kern w:val="0"/>
          <w:sz w:val="32"/>
          <w:szCs w:val="32"/>
        </w:rPr>
      </w:pPr>
    </w:p>
    <w:p>
      <w:pPr>
        <w:adjustRightInd w:val="0"/>
        <w:snapToGrid w:val="0"/>
        <w:spacing w:line="360" w:lineRule="auto"/>
        <w:jc w:val="center"/>
        <w:rPr>
          <w:rFonts w:ascii="仿宋_GB2312" w:hAnsi="仿宋" w:eastAsia="仿宋_GB2312" w:cs="仿宋_GB2312"/>
          <w:b/>
          <w:kern w:val="0"/>
          <w:sz w:val="32"/>
          <w:szCs w:val="32"/>
        </w:rPr>
      </w:pPr>
    </w:p>
    <w:p>
      <w:pPr>
        <w:adjustRightInd w:val="0"/>
        <w:snapToGrid w:val="0"/>
        <w:spacing w:line="360" w:lineRule="auto"/>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sectPr>
          <w:headerReference r:id="rId11" w:type="first"/>
          <w:footerReference r:id="rId13" w:type="first"/>
          <w:headerReference r:id="rId10" w:type="default"/>
          <w:footerReference r:id="rId12" w:type="default"/>
          <w:pgSz w:w="11906" w:h="16838"/>
          <w:pgMar w:top="1247" w:right="1418" w:bottom="1276" w:left="1418" w:header="851" w:footer="992" w:gutter="0"/>
          <w:cols w:space="720" w:num="1"/>
          <w:titlePg/>
          <w:docGrid w:linePitch="312" w:charSpace="0"/>
        </w:sectPr>
      </w:pPr>
    </w:p>
    <w:p>
      <w:pPr>
        <w:pStyle w:val="625"/>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bookmarkStart w:id="499" w:name="_Toc86217005"/>
    </w:p>
    <w:p>
      <w:pPr>
        <w:pStyle w:val="62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b/>
          <w:sz w:val="24"/>
          <w:highlight w:val="yellow"/>
        </w:rPr>
        <w:t>杭州市拱墅区机关事务中心文晖综合楼物业管理服务采购项目</w:t>
      </w:r>
      <w:r>
        <w:rPr>
          <w:rFonts w:hint="eastAsia" w:ascii="仿宋_GB2312" w:hAnsi="仿宋" w:eastAsia="仿宋_GB2312" w:cs="仿宋_GB2312"/>
          <w:kern w:val="0"/>
          <w:sz w:val="24"/>
          <w:highlight w:val="yellow"/>
          <w:lang w:val="zh-CN"/>
        </w:rPr>
        <w:t>【招标编号：</w:t>
      </w:r>
      <w:r>
        <w:rPr>
          <w:rFonts w:hint="eastAsia" w:ascii="仿宋_GB2312" w:hAnsi="仿宋" w:eastAsia="仿宋_GB2312"/>
          <w:b/>
          <w:sz w:val="24"/>
          <w:highlight w:val="yellow"/>
        </w:rPr>
        <w:t>GSZFCG-2022-013</w:t>
      </w:r>
      <w:r>
        <w:rPr>
          <w:rFonts w:hint="eastAsia" w:ascii="仿宋_GB2312" w:hAnsi="仿宋" w:eastAsia="仿宋_GB2312" w:cs="仿宋_GB2312"/>
          <w:sz w:val="24"/>
          <w:highlight w:val="yellow"/>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spacing w:line="360" w:lineRule="auto"/>
        <w:ind w:firstLine="482" w:firstLineChars="200"/>
        <w:rPr>
          <w:rFonts w:ascii="仿宋_GB2312" w:hAnsi="仿宋" w:eastAsia="仿宋_GB2312"/>
          <w:b/>
          <w:kern w:val="0"/>
          <w:sz w:val="24"/>
        </w:rPr>
      </w:pPr>
    </w:p>
    <w:bookmarkEnd w:id="499"/>
    <w:p>
      <w:pPr>
        <w:adjustRightInd w:val="0"/>
        <w:spacing w:line="360" w:lineRule="auto"/>
        <w:outlineLvl w:val="0"/>
        <w:rPr>
          <w:rFonts w:ascii="仿宋_GB2312" w:hAnsi="仿宋" w:eastAsia="仿宋_GB2312" w:cs="仿宋_GB2312"/>
          <w:sz w:val="36"/>
          <w:szCs w:val="36"/>
          <w:lang w:val="zh-CN"/>
        </w:rPr>
        <w:sectPr>
          <w:headerReference r:id="rId15" w:type="first"/>
          <w:footerReference r:id="rId17" w:type="first"/>
          <w:headerReference r:id="rId14" w:type="default"/>
          <w:footerReference r:id="rId16" w:type="default"/>
          <w:pgSz w:w="16838" w:h="11906" w:orient="landscape"/>
          <w:pgMar w:top="1418" w:right="1276" w:bottom="1418" w:left="1247" w:header="851" w:footer="992" w:gutter="0"/>
          <w:cols w:space="720" w:num="1"/>
          <w:titlePg/>
          <w:docGrid w:linePitch="312" w:charSpace="0"/>
        </w:sectPr>
      </w:pPr>
    </w:p>
    <w:p>
      <w:pPr>
        <w:pStyle w:val="625"/>
        <w:keepNext w:val="0"/>
        <w:pageBreakBefore w:val="0"/>
        <w:tabs>
          <w:tab w:val="clear" w:pos="720"/>
        </w:tabs>
        <w:snapToGrid w:val="0"/>
        <w:spacing w:before="120" w:after="120"/>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bookmarkStart w:id="500" w:name="_Hlk101259491"/>
      <w:r>
        <w:rPr>
          <w:rFonts w:hint="eastAsia" w:ascii="宋体" w:hAnsi="宋体" w:eastAsia="宋体" w:cs="宋体"/>
          <w:sz w:val="32"/>
          <w:szCs w:val="32"/>
        </w:rPr>
        <w:t>（如果有）</w:t>
      </w:r>
      <w:bookmarkEnd w:id="500"/>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sz w:val="24"/>
        </w:rPr>
        <w:t>。</w:t>
      </w:r>
      <w:r>
        <w:rPr>
          <w:rFonts w:hint="eastAsia" w:ascii="仿宋_GB2312" w:hAnsi="仿宋" w:eastAsia="仿宋_GB2312" w:cs="仿宋_GB2312"/>
          <w:b/>
          <w:sz w:val="24"/>
        </w:rPr>
        <w:t>]</w:t>
      </w:r>
    </w:p>
    <w:p>
      <w:pPr>
        <w:pStyle w:val="62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4"/>
        <w:numPr>
          <w:ilvl w:val="0"/>
          <w:numId w:val="0"/>
        </w:numPr>
        <w:rPr>
          <w:rFonts w:cs="仿宋_GB2312"/>
          <w:kern w:val="0"/>
          <w:sz w:val="36"/>
          <w:szCs w:val="36"/>
        </w:rPr>
      </w:pPr>
    </w:p>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adjustRightInd w:val="0"/>
        <w:spacing w:line="360" w:lineRule="auto"/>
        <w:ind w:right="420"/>
        <w:rPr>
          <w:rFonts w:ascii="仿宋_GB2312" w:hAnsi="仿宋" w:eastAsia="仿宋_GB2312" w:cs="仿宋_GB2312"/>
          <w:sz w:val="24"/>
          <w:szCs w:val="24"/>
        </w:rPr>
      </w:pPr>
    </w:p>
    <w:p>
      <w:pPr>
        <w:adjustRightInd w:val="0"/>
        <w:spacing w:line="360" w:lineRule="auto"/>
        <w:jc w:val="center"/>
        <w:outlineLvl w:val="0"/>
        <w:rPr>
          <w:rFonts w:ascii="仿宋_GB2312" w:hAnsi="仿宋" w:eastAsia="仿宋_GB2312" w:cs="仿宋_GB2312"/>
          <w:sz w:val="36"/>
          <w:szCs w:val="36"/>
        </w:rPr>
        <w:sectPr>
          <w:pgSz w:w="11906" w:h="16838"/>
          <w:pgMar w:top="1247" w:right="1418" w:bottom="1276" w:left="1418" w:header="851" w:footer="992" w:gutter="0"/>
          <w:cols w:space="720" w:num="1"/>
          <w:titlePg/>
          <w:docGrid w:linePitch="312" w:charSpace="0"/>
        </w:sectPr>
      </w:pPr>
    </w:p>
    <w:p>
      <w:pPr>
        <w:pStyle w:val="3"/>
        <w:keepNext w:val="0"/>
        <w:keepLines w:val="0"/>
        <w:pageBreakBefore/>
        <w:widowControl/>
        <w:numPr>
          <w:ilvl w:val="0"/>
          <w:numId w:val="0"/>
        </w:numPr>
        <w:spacing w:before="100" w:beforeAutospacing="1" w:after="100" w:afterAutospacing="1" w:line="360" w:lineRule="auto"/>
        <w:ind w:left="1470" w:leftChars="700"/>
        <w:jc w:val="center"/>
        <w:rPr>
          <w:rFonts w:ascii="仿宋_GB2312" w:hAnsi="仿宋" w:eastAsia="仿宋_GB2312"/>
        </w:rPr>
      </w:pPr>
      <w:r>
        <w:rPr>
          <w:rFonts w:hint="eastAsia" w:ascii="仿宋_GB2312" w:hAnsi="仿宋" w:eastAsia="仿宋_GB2312"/>
        </w:rPr>
        <w:t>附件</w:t>
      </w:r>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残疾人福利性单位声明函</w:t>
      </w:r>
    </w:p>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4"/>
        <w:numPr>
          <w:ilvl w:val="0"/>
          <w:numId w:val="0"/>
        </w:numPr>
        <w:rPr>
          <w:spacing w:val="6"/>
        </w:rPr>
      </w:pPr>
    </w:p>
    <w:p>
      <w:pPr>
        <w:pStyle w:val="4"/>
        <w:numPr>
          <w:ilvl w:val="0"/>
          <w:numId w:val="0"/>
        </w:num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 w:hAnsi="仿宋" w:eastAsia="仿宋"/>
          <w:b/>
          <w:spacing w:val="6"/>
          <w:sz w:val="32"/>
          <w:szCs w:val="32"/>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b/>
          <w:sz w:val="24"/>
          <w:highlight w:val="yellow"/>
        </w:rPr>
        <w:t>杭州市拱墅区机关事务中心文晖综合楼物业管理服务采购项目</w:t>
      </w:r>
      <w:r>
        <w:rPr>
          <w:rFonts w:hint="eastAsia" w:ascii="仿宋_GB2312" w:hAnsi="仿宋" w:eastAsia="仿宋_GB2312" w:cs="仿宋_GB2312"/>
          <w:sz w:val="24"/>
        </w:rPr>
        <w:t>项目</w:t>
      </w:r>
      <w:r>
        <w:rPr>
          <w:rFonts w:hint="eastAsia" w:ascii="仿宋" w:hAnsi="仿宋" w:eastAsia="仿宋" w:cs="仿宋_GB2312"/>
          <w:sz w:val="24"/>
          <w:highlight w:val="yellow"/>
        </w:rPr>
        <w:t>【招标编号：</w:t>
      </w:r>
      <w:r>
        <w:rPr>
          <w:rFonts w:hint="eastAsia" w:ascii="仿宋_GB2312" w:hAnsi="仿宋" w:eastAsia="仿宋_GB2312"/>
          <w:b/>
          <w:sz w:val="24"/>
          <w:highlight w:val="yellow"/>
        </w:rPr>
        <w:t>GSZFCG-2022-013</w:t>
      </w:r>
      <w:r>
        <w:rPr>
          <w:rFonts w:ascii="仿宋" w:hAnsi="仿宋" w:eastAsia="仿宋" w:cs="仿宋_GB2312"/>
          <w:sz w:val="24"/>
          <w:highlight w:val="yellow"/>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仿宋_GB2312" w:hAnsi="仿宋" w:eastAsia="仿宋_GB2312"/>
          <w:b/>
          <w:sz w:val="24"/>
          <w:highlight w:val="yellow"/>
        </w:rPr>
        <w:t>杭州市拱墅区机关事务中心文晖综合楼物业管理服务采购项目</w:t>
      </w:r>
      <w:r>
        <w:rPr>
          <w:rFonts w:hint="eastAsia" w:ascii="宋体" w:hAnsi="宋体" w:cs="宋体"/>
          <w:sz w:val="24"/>
        </w:rPr>
        <w:t>【招标编号：</w:t>
      </w:r>
      <w:r>
        <w:rPr>
          <w:rFonts w:hint="eastAsia" w:ascii="仿宋_GB2312" w:hAnsi="仿宋" w:eastAsia="仿宋_GB2312"/>
          <w:b/>
          <w:sz w:val="24"/>
          <w:highlight w:val="yellow"/>
        </w:rPr>
        <w:t>GSZFCG-2022-013</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0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0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提供的服务由小微企业制造，其合同份额占到合同总金额%以上；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仿宋_GB2312" w:hAnsi="仿宋" w:eastAsia="仿宋_GB2312"/>
          <w:b/>
          <w:sz w:val="24"/>
          <w:highlight w:val="yellow"/>
        </w:rPr>
        <w:t>杭州市拱墅区机关事务中心文晖综合楼物业管理服务采购项目</w:t>
      </w:r>
      <w:r>
        <w:rPr>
          <w:rFonts w:hint="eastAsia" w:ascii="宋体" w:hAnsi="宋体" w:cs="宋体"/>
          <w:sz w:val="24"/>
        </w:rPr>
        <w:t>【招标编号：</w:t>
      </w:r>
      <w:r>
        <w:rPr>
          <w:rFonts w:hint="eastAsia" w:ascii="仿宋_GB2312" w:hAnsi="仿宋" w:eastAsia="仿宋_GB2312"/>
          <w:b/>
          <w:sz w:val="24"/>
          <w:highlight w:val="yellow"/>
        </w:rPr>
        <w:t>GSZFCG-2022-013</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2"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0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ind w:firstLine="2333" w:firstLineChars="700"/>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ind w:firstLine="480" w:firstLineChars="200"/>
        <w:jc w:val="left"/>
        <w:rPr>
          <w:rFonts w:ascii="仿宋_GB2312" w:hAnsi="宋体" w:eastAsia="仿宋_GB2312"/>
          <w:sz w:val="24"/>
        </w:rPr>
      </w:pPr>
    </w:p>
    <w:sectPr>
      <w:headerReference r:id="rId19" w:type="first"/>
      <w:footerReference r:id="rId22" w:type="first"/>
      <w:headerReference r:id="rId18" w:type="default"/>
      <w:footerReference r:id="rId20" w:type="default"/>
      <w:footerReference r:id="rId21"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Vrind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宋体-18030">
    <w:altName w:val="宋体"/>
    <w:panose1 w:val="00000000000000000000"/>
    <w:charset w:val="86"/>
    <w:family w:val="auto"/>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bookmarkStart w:id="503" w:name="_Toc131845147"/>
    <w:bookmarkStart w:id="504" w:name="_Toc164085800"/>
    <w:bookmarkStart w:id="505" w:name="_Toc36110187"/>
    <w:bookmarkStart w:id="506" w:name="_Toc91899912"/>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lang w:val="zh-CN"/>
      </w:rPr>
      <w:t>拱墅区</w:t>
    </w:r>
    <w:r>
      <w:rPr>
        <w:rFonts w:hint="eastAsia"/>
      </w:rPr>
      <w:t>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tab/>
    </w:r>
    <w:r>
      <w:tab/>
    </w:r>
    <w:r>
      <w:rPr>
        <w:rFonts w:hint="eastAsia"/>
        <w:lang w:val="zh-CN"/>
      </w:rPr>
      <w:t>拱墅区政府采购公开招标文件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eastAsia="仿宋_GB2312"/>
        <w:b w:val="0"/>
        <w:i/>
        <w:sz w:val="18"/>
        <w:u w:val="single"/>
      </w:rPr>
      <w:t>杭州市公共资源交易中心</w:t>
    </w:r>
    <w:r>
      <w:rPr>
        <w:rFonts w:hint="eastAsia" w:eastAsia="仿宋_GB2312"/>
        <w:b w:val="0"/>
        <w:i/>
        <w:sz w:val="18"/>
        <w:u w:val="single"/>
      </w:rPr>
      <w:t>拱墅</w:t>
    </w:r>
    <w:r>
      <w:rPr>
        <w:rFonts w:eastAsia="仿宋_GB2312"/>
        <w:b w:val="0"/>
        <w:i/>
        <w:sz w:val="18"/>
        <w:u w:val="single"/>
      </w:rPr>
      <w:t>分中心政府采购公开招标文件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拱墅区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p>
  <w:p>
    <w:pPr>
      <w:pStyle w:val="39"/>
    </w:pPr>
    <w:r>
      <w:rPr>
        <w:rFonts w:hint="eastAsia"/>
      </w:rPr>
      <w:t>gongshuqu</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rPr>
        <w:rFonts w:hint="eastAsia"/>
        <w:lang w:val="zh-CN"/>
      </w:rPr>
      <w:t>拱墅区</w:t>
    </w:r>
    <w:r>
      <w:t>政府采购公开招标文件</w:t>
    </w:r>
  </w:p>
  <w:p>
    <w:pPr>
      <w:rPr>
        <w:rFonts w:ascii="仿宋_GB2312" w:eastAsia="仿宋_GB2312"/>
        <w:b/>
        <w:i/>
        <w:sz w:val="18"/>
        <w:u w:val="single"/>
      </w:rP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lang w:val="zh-CN"/>
      </w:rPr>
      <w:t>拱墅区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lang w:val="zh-CN"/>
      </w:rPr>
      <w:t>拱墅区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lang w:val="zh-CN"/>
      </w:rPr>
      <w:t>拱墅区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C93A1"/>
    <w:multiLevelType w:val="singleLevel"/>
    <w:tmpl w:val="9AFC93A1"/>
    <w:lvl w:ilvl="0" w:tentative="0">
      <w:start w:val="2"/>
      <w:numFmt w:val="upperLetter"/>
      <w:lvlText w:val="%1."/>
      <w:lvlJc w:val="left"/>
      <w:pPr>
        <w:tabs>
          <w:tab w:val="left" w:pos="312"/>
        </w:tabs>
      </w:pPr>
    </w:lvl>
  </w:abstractNum>
  <w:abstractNum w:abstractNumId="1">
    <w:nsid w:val="9F70EAEE"/>
    <w:multiLevelType w:val="singleLevel"/>
    <w:tmpl w:val="9F70EAEE"/>
    <w:lvl w:ilvl="0" w:tentative="0">
      <w:start w:val="9"/>
      <w:numFmt w:val="decimal"/>
      <w:suff w:val="nothing"/>
      <w:lvlText w:val="（%1）"/>
      <w:lvlJc w:val="left"/>
    </w:lvl>
  </w:abstractNum>
  <w:abstractNum w:abstractNumId="2">
    <w:nsid w:val="D56C57FA"/>
    <w:multiLevelType w:val="singleLevel"/>
    <w:tmpl w:val="D56C57FA"/>
    <w:lvl w:ilvl="0" w:tentative="0">
      <w:start w:val="2"/>
      <w:numFmt w:val="chineseCounting"/>
      <w:suff w:val="nothing"/>
      <w:lvlText w:val="%1、"/>
      <w:lvlJc w:val="left"/>
      <w:rPr>
        <w:rFonts w:hint="eastAsia"/>
      </w:rPr>
    </w:lvl>
  </w:abstractNum>
  <w:abstractNum w:abstractNumId="3">
    <w:nsid w:val="E6A6172F"/>
    <w:multiLevelType w:val="singleLevel"/>
    <w:tmpl w:val="E6A6172F"/>
    <w:lvl w:ilvl="0" w:tentative="0">
      <w:start w:val="1"/>
      <w:numFmt w:val="decimal"/>
      <w:lvlText w:val="%1."/>
      <w:lvlJc w:val="left"/>
      <w:pPr>
        <w:tabs>
          <w:tab w:val="left" w:pos="312"/>
        </w:tabs>
        <w:ind w:left="100" w:firstLine="0"/>
      </w:pPr>
    </w:lvl>
  </w:abstractNum>
  <w:abstractNum w:abstractNumId="4">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56"/>
      <w:lvlText w:val=""/>
      <w:lvlJc w:val="left"/>
      <w:pPr>
        <w:tabs>
          <w:tab w:val="left" w:pos="1260"/>
        </w:tabs>
        <w:ind w:left="1260" w:hanging="420"/>
      </w:pPr>
      <w:rPr>
        <w:rFonts w:hint="default" w:ascii="Wingdings" w:hAnsi="Wingdings"/>
      </w:rPr>
    </w:lvl>
    <w:lvl w:ilvl="2" w:tentative="0">
      <w:start w:val="1"/>
      <w:numFmt w:val="bullet"/>
      <w:pStyle w:val="337"/>
      <w:lvlText w:val=""/>
      <w:lvlJc w:val="left"/>
      <w:pPr>
        <w:tabs>
          <w:tab w:val="left" w:pos="1680"/>
        </w:tabs>
        <w:ind w:left="1680" w:hanging="420"/>
      </w:pPr>
      <w:rPr>
        <w:rFonts w:hint="default" w:ascii="Wingdings" w:hAnsi="Wingdings"/>
      </w:rPr>
    </w:lvl>
    <w:lvl w:ilvl="3" w:tentative="0">
      <w:start w:val="1"/>
      <w:numFmt w:val="bullet"/>
      <w:pStyle w:val="354"/>
      <w:lvlText w:val=""/>
      <w:lvlJc w:val="left"/>
      <w:pPr>
        <w:tabs>
          <w:tab w:val="left" w:pos="2100"/>
        </w:tabs>
        <w:ind w:left="2100" w:hanging="420"/>
      </w:pPr>
      <w:rPr>
        <w:rFonts w:hint="default" w:ascii="Wingdings" w:hAnsi="Wingdings"/>
      </w:rPr>
    </w:lvl>
    <w:lvl w:ilvl="4" w:tentative="0">
      <w:start w:val="1"/>
      <w:numFmt w:val="bullet"/>
      <w:pStyle w:val="421"/>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44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3AF1A39"/>
    <w:multiLevelType w:val="singleLevel"/>
    <w:tmpl w:val="73AF1A39"/>
    <w:lvl w:ilvl="0" w:tentative="0">
      <w:start w:val="6"/>
      <w:numFmt w:val="chineseCounting"/>
      <w:suff w:val="nothing"/>
      <w:lvlText w:val="%1、"/>
      <w:lvlJc w:val="left"/>
      <w:rPr>
        <w:rFonts w:hint="eastAsia"/>
      </w:rPr>
    </w:lvl>
  </w:abstractNum>
  <w:abstractNum w:abstractNumId="12">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6"/>
  </w:num>
  <w:num w:numId="3">
    <w:abstractNumId w:val="4"/>
  </w:num>
  <w:num w:numId="4">
    <w:abstractNumId w:val="12"/>
  </w:num>
  <w:num w:numId="5">
    <w:abstractNumId w:val="5"/>
  </w:num>
  <w:num w:numId="6">
    <w:abstractNumId w:val="9"/>
  </w:num>
  <w:num w:numId="7">
    <w:abstractNumId w:val="10"/>
  </w:num>
  <w:num w:numId="8">
    <w:abstractNumId w:val="7"/>
  </w:num>
  <w:num w:numId="9">
    <w:abstractNumId w:val="11"/>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kODJmNjE0ZjA3YjMwY2JiOTQ0MmMxYTVjNmQ3MjcifQ=="/>
  </w:docVars>
  <w:rsids>
    <w:rsidRoot w:val="00EB1EEF"/>
    <w:rsid w:val="000152EB"/>
    <w:rsid w:val="00020634"/>
    <w:rsid w:val="00020EC1"/>
    <w:rsid w:val="0003731D"/>
    <w:rsid w:val="00045876"/>
    <w:rsid w:val="00055CEE"/>
    <w:rsid w:val="00072C7E"/>
    <w:rsid w:val="000922E2"/>
    <w:rsid w:val="000B0316"/>
    <w:rsid w:val="000B1A2A"/>
    <w:rsid w:val="000B53B1"/>
    <w:rsid w:val="000E1692"/>
    <w:rsid w:val="000E3A61"/>
    <w:rsid w:val="00102220"/>
    <w:rsid w:val="0010623D"/>
    <w:rsid w:val="00113653"/>
    <w:rsid w:val="0011663C"/>
    <w:rsid w:val="00122354"/>
    <w:rsid w:val="001229B1"/>
    <w:rsid w:val="001231F0"/>
    <w:rsid w:val="00124347"/>
    <w:rsid w:val="00130213"/>
    <w:rsid w:val="00135756"/>
    <w:rsid w:val="00143FA2"/>
    <w:rsid w:val="00151699"/>
    <w:rsid w:val="00161E21"/>
    <w:rsid w:val="00162C0E"/>
    <w:rsid w:val="00162C48"/>
    <w:rsid w:val="00167F6C"/>
    <w:rsid w:val="001A43CF"/>
    <w:rsid w:val="001A44FB"/>
    <w:rsid w:val="001E0E40"/>
    <w:rsid w:val="00207095"/>
    <w:rsid w:val="00207314"/>
    <w:rsid w:val="00247F20"/>
    <w:rsid w:val="00272D02"/>
    <w:rsid w:val="002B2032"/>
    <w:rsid w:val="002B3FCC"/>
    <w:rsid w:val="002E250C"/>
    <w:rsid w:val="002F0A08"/>
    <w:rsid w:val="002F6EC9"/>
    <w:rsid w:val="003012C1"/>
    <w:rsid w:val="00310C13"/>
    <w:rsid w:val="0032472B"/>
    <w:rsid w:val="00325AA3"/>
    <w:rsid w:val="00325EBA"/>
    <w:rsid w:val="003279D7"/>
    <w:rsid w:val="003372DA"/>
    <w:rsid w:val="00337F84"/>
    <w:rsid w:val="00346EED"/>
    <w:rsid w:val="00352258"/>
    <w:rsid w:val="00357E09"/>
    <w:rsid w:val="003922BC"/>
    <w:rsid w:val="003936F4"/>
    <w:rsid w:val="003A03CE"/>
    <w:rsid w:val="003A0F73"/>
    <w:rsid w:val="003B0E14"/>
    <w:rsid w:val="003C1335"/>
    <w:rsid w:val="003C442B"/>
    <w:rsid w:val="003C51F5"/>
    <w:rsid w:val="003D034E"/>
    <w:rsid w:val="003E08B3"/>
    <w:rsid w:val="003E311E"/>
    <w:rsid w:val="003F2ACF"/>
    <w:rsid w:val="003F2B8F"/>
    <w:rsid w:val="003F557D"/>
    <w:rsid w:val="00406032"/>
    <w:rsid w:val="00414F37"/>
    <w:rsid w:val="0042228D"/>
    <w:rsid w:val="00423E13"/>
    <w:rsid w:val="0042469D"/>
    <w:rsid w:val="00490852"/>
    <w:rsid w:val="00490AEE"/>
    <w:rsid w:val="004C0766"/>
    <w:rsid w:val="004C3914"/>
    <w:rsid w:val="004D0481"/>
    <w:rsid w:val="004D3FF7"/>
    <w:rsid w:val="004D4C91"/>
    <w:rsid w:val="004D5CDE"/>
    <w:rsid w:val="004F5101"/>
    <w:rsid w:val="0052255A"/>
    <w:rsid w:val="00522E01"/>
    <w:rsid w:val="0056477B"/>
    <w:rsid w:val="00565456"/>
    <w:rsid w:val="005715E2"/>
    <w:rsid w:val="00573E3A"/>
    <w:rsid w:val="00580033"/>
    <w:rsid w:val="005B3C47"/>
    <w:rsid w:val="005B5F29"/>
    <w:rsid w:val="005D1E04"/>
    <w:rsid w:val="005D2871"/>
    <w:rsid w:val="005D5F90"/>
    <w:rsid w:val="005E1EC8"/>
    <w:rsid w:val="005E6794"/>
    <w:rsid w:val="005E6CE4"/>
    <w:rsid w:val="005F0E52"/>
    <w:rsid w:val="005F3F2C"/>
    <w:rsid w:val="00622F41"/>
    <w:rsid w:val="00624E24"/>
    <w:rsid w:val="00635C5C"/>
    <w:rsid w:val="0063681B"/>
    <w:rsid w:val="00647E1D"/>
    <w:rsid w:val="0065762E"/>
    <w:rsid w:val="00670298"/>
    <w:rsid w:val="00673173"/>
    <w:rsid w:val="00681015"/>
    <w:rsid w:val="00685852"/>
    <w:rsid w:val="0069640C"/>
    <w:rsid w:val="006B67CC"/>
    <w:rsid w:val="006C08B9"/>
    <w:rsid w:val="006C39B4"/>
    <w:rsid w:val="006E06D1"/>
    <w:rsid w:val="006F26D1"/>
    <w:rsid w:val="00702BCA"/>
    <w:rsid w:val="00710CCD"/>
    <w:rsid w:val="00744240"/>
    <w:rsid w:val="0076056D"/>
    <w:rsid w:val="0076144F"/>
    <w:rsid w:val="00775DCE"/>
    <w:rsid w:val="00783689"/>
    <w:rsid w:val="007869E9"/>
    <w:rsid w:val="0079321A"/>
    <w:rsid w:val="007A0F3C"/>
    <w:rsid w:val="007B0629"/>
    <w:rsid w:val="007D0D8F"/>
    <w:rsid w:val="007D1568"/>
    <w:rsid w:val="007E1BC7"/>
    <w:rsid w:val="007E411D"/>
    <w:rsid w:val="007E7AFB"/>
    <w:rsid w:val="007F0EC2"/>
    <w:rsid w:val="007F136B"/>
    <w:rsid w:val="00817E12"/>
    <w:rsid w:val="00857A81"/>
    <w:rsid w:val="00881948"/>
    <w:rsid w:val="00883D8C"/>
    <w:rsid w:val="00890318"/>
    <w:rsid w:val="008951BA"/>
    <w:rsid w:val="008A6A36"/>
    <w:rsid w:val="008B065D"/>
    <w:rsid w:val="008B5B2E"/>
    <w:rsid w:val="008C076D"/>
    <w:rsid w:val="008C2C27"/>
    <w:rsid w:val="008D62AA"/>
    <w:rsid w:val="008E3831"/>
    <w:rsid w:val="008E545F"/>
    <w:rsid w:val="008F5F00"/>
    <w:rsid w:val="008F6411"/>
    <w:rsid w:val="008F7746"/>
    <w:rsid w:val="00903598"/>
    <w:rsid w:val="009159E1"/>
    <w:rsid w:val="009330A8"/>
    <w:rsid w:val="00937F0F"/>
    <w:rsid w:val="0094085C"/>
    <w:rsid w:val="00944988"/>
    <w:rsid w:val="00950759"/>
    <w:rsid w:val="0098477C"/>
    <w:rsid w:val="00985A01"/>
    <w:rsid w:val="009871E3"/>
    <w:rsid w:val="00995F15"/>
    <w:rsid w:val="009A725E"/>
    <w:rsid w:val="009A75CA"/>
    <w:rsid w:val="009C6650"/>
    <w:rsid w:val="009E26BF"/>
    <w:rsid w:val="009F2781"/>
    <w:rsid w:val="009F2D0D"/>
    <w:rsid w:val="00A0547F"/>
    <w:rsid w:val="00A0686D"/>
    <w:rsid w:val="00A113B0"/>
    <w:rsid w:val="00A2509C"/>
    <w:rsid w:val="00A25AE6"/>
    <w:rsid w:val="00A30BFF"/>
    <w:rsid w:val="00A42626"/>
    <w:rsid w:val="00A526B5"/>
    <w:rsid w:val="00A733EC"/>
    <w:rsid w:val="00A80C6D"/>
    <w:rsid w:val="00A9660E"/>
    <w:rsid w:val="00A977E7"/>
    <w:rsid w:val="00AA16B3"/>
    <w:rsid w:val="00AA3F77"/>
    <w:rsid w:val="00AB5897"/>
    <w:rsid w:val="00AB5D3F"/>
    <w:rsid w:val="00AC14AF"/>
    <w:rsid w:val="00AC19C5"/>
    <w:rsid w:val="00AD65CB"/>
    <w:rsid w:val="00AE1891"/>
    <w:rsid w:val="00AE2D3F"/>
    <w:rsid w:val="00B22110"/>
    <w:rsid w:val="00B24C5C"/>
    <w:rsid w:val="00B25ECF"/>
    <w:rsid w:val="00B32D57"/>
    <w:rsid w:val="00B4085B"/>
    <w:rsid w:val="00B579D0"/>
    <w:rsid w:val="00B768F5"/>
    <w:rsid w:val="00B90203"/>
    <w:rsid w:val="00B91770"/>
    <w:rsid w:val="00BB3D01"/>
    <w:rsid w:val="00BD6EBF"/>
    <w:rsid w:val="00BE05FA"/>
    <w:rsid w:val="00BF2705"/>
    <w:rsid w:val="00BF5A06"/>
    <w:rsid w:val="00C02021"/>
    <w:rsid w:val="00C158B1"/>
    <w:rsid w:val="00C24A83"/>
    <w:rsid w:val="00C32BD3"/>
    <w:rsid w:val="00C35F8B"/>
    <w:rsid w:val="00C374CE"/>
    <w:rsid w:val="00C45F5B"/>
    <w:rsid w:val="00C63357"/>
    <w:rsid w:val="00C63746"/>
    <w:rsid w:val="00C65388"/>
    <w:rsid w:val="00C65CD9"/>
    <w:rsid w:val="00C7064A"/>
    <w:rsid w:val="00C838EB"/>
    <w:rsid w:val="00C90958"/>
    <w:rsid w:val="00C97395"/>
    <w:rsid w:val="00CA2CEE"/>
    <w:rsid w:val="00CA75A7"/>
    <w:rsid w:val="00CB343D"/>
    <w:rsid w:val="00CD114B"/>
    <w:rsid w:val="00CD7167"/>
    <w:rsid w:val="00CE0AAA"/>
    <w:rsid w:val="00D0563A"/>
    <w:rsid w:val="00D35AD6"/>
    <w:rsid w:val="00D40716"/>
    <w:rsid w:val="00D42DBC"/>
    <w:rsid w:val="00D66B84"/>
    <w:rsid w:val="00DC169B"/>
    <w:rsid w:val="00DC50CC"/>
    <w:rsid w:val="00DF4EDC"/>
    <w:rsid w:val="00E100FC"/>
    <w:rsid w:val="00E16B3F"/>
    <w:rsid w:val="00E35242"/>
    <w:rsid w:val="00E36E41"/>
    <w:rsid w:val="00E41F6D"/>
    <w:rsid w:val="00E45288"/>
    <w:rsid w:val="00E65483"/>
    <w:rsid w:val="00E721D2"/>
    <w:rsid w:val="00E76867"/>
    <w:rsid w:val="00E86DB6"/>
    <w:rsid w:val="00E873F5"/>
    <w:rsid w:val="00E92229"/>
    <w:rsid w:val="00E97B35"/>
    <w:rsid w:val="00EA40DA"/>
    <w:rsid w:val="00EB1EEF"/>
    <w:rsid w:val="00EC0CDF"/>
    <w:rsid w:val="00EC32EE"/>
    <w:rsid w:val="00EC793F"/>
    <w:rsid w:val="00ED0284"/>
    <w:rsid w:val="00ED4D92"/>
    <w:rsid w:val="00EF24DA"/>
    <w:rsid w:val="00EF3815"/>
    <w:rsid w:val="00F04523"/>
    <w:rsid w:val="00F113F3"/>
    <w:rsid w:val="00F12474"/>
    <w:rsid w:val="00F27B5A"/>
    <w:rsid w:val="00F30F6F"/>
    <w:rsid w:val="00F32EEE"/>
    <w:rsid w:val="00F705EA"/>
    <w:rsid w:val="00F8759F"/>
    <w:rsid w:val="00FA0965"/>
    <w:rsid w:val="00FA1174"/>
    <w:rsid w:val="00FA2C11"/>
    <w:rsid w:val="00FA3D06"/>
    <w:rsid w:val="00FB6C18"/>
    <w:rsid w:val="00FE7D9E"/>
    <w:rsid w:val="017165B7"/>
    <w:rsid w:val="01EE7C08"/>
    <w:rsid w:val="027F6AB2"/>
    <w:rsid w:val="02EB3C12"/>
    <w:rsid w:val="030612C1"/>
    <w:rsid w:val="03CA1FAF"/>
    <w:rsid w:val="03E365C7"/>
    <w:rsid w:val="0410030A"/>
    <w:rsid w:val="05AC1F49"/>
    <w:rsid w:val="05AF1608"/>
    <w:rsid w:val="068457C4"/>
    <w:rsid w:val="06A607CB"/>
    <w:rsid w:val="06A85FD1"/>
    <w:rsid w:val="06B07B82"/>
    <w:rsid w:val="075449B1"/>
    <w:rsid w:val="076F3599"/>
    <w:rsid w:val="08163A15"/>
    <w:rsid w:val="0843736D"/>
    <w:rsid w:val="08BE6B47"/>
    <w:rsid w:val="08D713B4"/>
    <w:rsid w:val="090605E3"/>
    <w:rsid w:val="0B26444F"/>
    <w:rsid w:val="0B607D2B"/>
    <w:rsid w:val="0BE65DF4"/>
    <w:rsid w:val="0DD17286"/>
    <w:rsid w:val="0E4E1D7B"/>
    <w:rsid w:val="0EB14166"/>
    <w:rsid w:val="0ED168E7"/>
    <w:rsid w:val="0FDA553B"/>
    <w:rsid w:val="11270A41"/>
    <w:rsid w:val="117A2C09"/>
    <w:rsid w:val="11B54A9B"/>
    <w:rsid w:val="12460BDA"/>
    <w:rsid w:val="124F2D43"/>
    <w:rsid w:val="12CF313E"/>
    <w:rsid w:val="13394A5B"/>
    <w:rsid w:val="137B3982"/>
    <w:rsid w:val="13B53B04"/>
    <w:rsid w:val="13D946A3"/>
    <w:rsid w:val="14861F22"/>
    <w:rsid w:val="14F926F4"/>
    <w:rsid w:val="17326069"/>
    <w:rsid w:val="1766787E"/>
    <w:rsid w:val="179242C7"/>
    <w:rsid w:val="17BD6CD8"/>
    <w:rsid w:val="19321B6B"/>
    <w:rsid w:val="19813A09"/>
    <w:rsid w:val="1A06523E"/>
    <w:rsid w:val="1A237F03"/>
    <w:rsid w:val="1A310B82"/>
    <w:rsid w:val="1B0B1676"/>
    <w:rsid w:val="1B340104"/>
    <w:rsid w:val="1B753202"/>
    <w:rsid w:val="1C8A12AC"/>
    <w:rsid w:val="1D1264F7"/>
    <w:rsid w:val="1D653E3E"/>
    <w:rsid w:val="1DAD49C3"/>
    <w:rsid w:val="1E27575F"/>
    <w:rsid w:val="1E5B61CE"/>
    <w:rsid w:val="1EE704E2"/>
    <w:rsid w:val="1F505C29"/>
    <w:rsid w:val="2031368A"/>
    <w:rsid w:val="206C1633"/>
    <w:rsid w:val="20B35E4D"/>
    <w:rsid w:val="20E658B7"/>
    <w:rsid w:val="23897111"/>
    <w:rsid w:val="24147063"/>
    <w:rsid w:val="242B2DAE"/>
    <w:rsid w:val="242D23BA"/>
    <w:rsid w:val="24A3442A"/>
    <w:rsid w:val="24DA7D36"/>
    <w:rsid w:val="25787587"/>
    <w:rsid w:val="2603652B"/>
    <w:rsid w:val="29FD5DD5"/>
    <w:rsid w:val="2AC1712F"/>
    <w:rsid w:val="2B2E72E7"/>
    <w:rsid w:val="2C7341CE"/>
    <w:rsid w:val="2F344115"/>
    <w:rsid w:val="2F8D3881"/>
    <w:rsid w:val="2FDD776D"/>
    <w:rsid w:val="30344E34"/>
    <w:rsid w:val="30D62A44"/>
    <w:rsid w:val="31A44643"/>
    <w:rsid w:val="31C40393"/>
    <w:rsid w:val="323D7C6C"/>
    <w:rsid w:val="32A45F3D"/>
    <w:rsid w:val="335F00B6"/>
    <w:rsid w:val="33D039D2"/>
    <w:rsid w:val="34115B8F"/>
    <w:rsid w:val="36140CE4"/>
    <w:rsid w:val="361C403D"/>
    <w:rsid w:val="3647730B"/>
    <w:rsid w:val="36B839DE"/>
    <w:rsid w:val="37495673"/>
    <w:rsid w:val="374E3A90"/>
    <w:rsid w:val="37C52BDE"/>
    <w:rsid w:val="38682064"/>
    <w:rsid w:val="38DB1C5D"/>
    <w:rsid w:val="39290F4A"/>
    <w:rsid w:val="394144E6"/>
    <w:rsid w:val="3B1172DB"/>
    <w:rsid w:val="3B564049"/>
    <w:rsid w:val="3CB44FCF"/>
    <w:rsid w:val="3DD03EB2"/>
    <w:rsid w:val="3E4660FB"/>
    <w:rsid w:val="3E6F5462"/>
    <w:rsid w:val="3ED951C1"/>
    <w:rsid w:val="3EDD78D5"/>
    <w:rsid w:val="3F2A0DBE"/>
    <w:rsid w:val="3FDA4D4C"/>
    <w:rsid w:val="3FFD0A3B"/>
    <w:rsid w:val="415C0605"/>
    <w:rsid w:val="41717932"/>
    <w:rsid w:val="42C03726"/>
    <w:rsid w:val="43C52FFD"/>
    <w:rsid w:val="43F268BD"/>
    <w:rsid w:val="448B4867"/>
    <w:rsid w:val="45C13AAF"/>
    <w:rsid w:val="460551AF"/>
    <w:rsid w:val="48152B76"/>
    <w:rsid w:val="481608EC"/>
    <w:rsid w:val="4858589E"/>
    <w:rsid w:val="49295A84"/>
    <w:rsid w:val="493001EF"/>
    <w:rsid w:val="4A227A1C"/>
    <w:rsid w:val="4A2C2648"/>
    <w:rsid w:val="4B39379E"/>
    <w:rsid w:val="4B5E56ED"/>
    <w:rsid w:val="4C04055B"/>
    <w:rsid w:val="4C5A3045"/>
    <w:rsid w:val="4C673E0C"/>
    <w:rsid w:val="4CFD651E"/>
    <w:rsid w:val="4CFE326D"/>
    <w:rsid w:val="4D185106"/>
    <w:rsid w:val="4DF31DBC"/>
    <w:rsid w:val="4E8755EB"/>
    <w:rsid w:val="4F2B0708"/>
    <w:rsid w:val="50377310"/>
    <w:rsid w:val="50B15C12"/>
    <w:rsid w:val="52020133"/>
    <w:rsid w:val="53A56FC8"/>
    <w:rsid w:val="53AE40CE"/>
    <w:rsid w:val="53FC15E1"/>
    <w:rsid w:val="55977992"/>
    <w:rsid w:val="55C0173B"/>
    <w:rsid w:val="55E801E7"/>
    <w:rsid w:val="579E08FE"/>
    <w:rsid w:val="58813029"/>
    <w:rsid w:val="58E86CE0"/>
    <w:rsid w:val="5A4A5760"/>
    <w:rsid w:val="5A5F6122"/>
    <w:rsid w:val="5AF462F9"/>
    <w:rsid w:val="5B3A4DE3"/>
    <w:rsid w:val="5BA04C44"/>
    <w:rsid w:val="5BDA20BB"/>
    <w:rsid w:val="5C1B42CB"/>
    <w:rsid w:val="5C2D58C3"/>
    <w:rsid w:val="5C4A4BB0"/>
    <w:rsid w:val="5C6C0A56"/>
    <w:rsid w:val="5C82259C"/>
    <w:rsid w:val="5CF834E9"/>
    <w:rsid w:val="5D79399F"/>
    <w:rsid w:val="5DB1206C"/>
    <w:rsid w:val="5DB456AF"/>
    <w:rsid w:val="5E1E4ADD"/>
    <w:rsid w:val="5EB57E5E"/>
    <w:rsid w:val="5EE94B54"/>
    <w:rsid w:val="5F13572D"/>
    <w:rsid w:val="5F441D8B"/>
    <w:rsid w:val="5FDC0215"/>
    <w:rsid w:val="603D5158"/>
    <w:rsid w:val="606721D5"/>
    <w:rsid w:val="61E23123"/>
    <w:rsid w:val="61ED495B"/>
    <w:rsid w:val="62BB6808"/>
    <w:rsid w:val="62CE793C"/>
    <w:rsid w:val="634265E1"/>
    <w:rsid w:val="63BA261B"/>
    <w:rsid w:val="64137F7D"/>
    <w:rsid w:val="64526CF8"/>
    <w:rsid w:val="645F54C0"/>
    <w:rsid w:val="64E67A77"/>
    <w:rsid w:val="656B6761"/>
    <w:rsid w:val="659B206D"/>
    <w:rsid w:val="65AA103E"/>
    <w:rsid w:val="677E0948"/>
    <w:rsid w:val="678E45EA"/>
    <w:rsid w:val="679A30DC"/>
    <w:rsid w:val="6AE508C6"/>
    <w:rsid w:val="6AFE0C1E"/>
    <w:rsid w:val="6BDB5632"/>
    <w:rsid w:val="6C4038DA"/>
    <w:rsid w:val="6C6E660A"/>
    <w:rsid w:val="6C951E77"/>
    <w:rsid w:val="6CDA3D2E"/>
    <w:rsid w:val="6E3E4C37"/>
    <w:rsid w:val="6EEA46FD"/>
    <w:rsid w:val="6FB470B7"/>
    <w:rsid w:val="70B7060E"/>
    <w:rsid w:val="715353C7"/>
    <w:rsid w:val="717835AD"/>
    <w:rsid w:val="71BE3A0E"/>
    <w:rsid w:val="722F7C72"/>
    <w:rsid w:val="724063E2"/>
    <w:rsid w:val="72BA43E6"/>
    <w:rsid w:val="730F7A57"/>
    <w:rsid w:val="735F4F8D"/>
    <w:rsid w:val="74D75972"/>
    <w:rsid w:val="75A847C7"/>
    <w:rsid w:val="76302A3A"/>
    <w:rsid w:val="767163C5"/>
    <w:rsid w:val="76B15459"/>
    <w:rsid w:val="773D01E0"/>
    <w:rsid w:val="774D3A7A"/>
    <w:rsid w:val="777803CC"/>
    <w:rsid w:val="77F34B21"/>
    <w:rsid w:val="79113F87"/>
    <w:rsid w:val="792C6235"/>
    <w:rsid w:val="79660E75"/>
    <w:rsid w:val="798E037A"/>
    <w:rsid w:val="79A656C4"/>
    <w:rsid w:val="79A80F11"/>
    <w:rsid w:val="7A6D1D3E"/>
    <w:rsid w:val="7AD87AFF"/>
    <w:rsid w:val="7BE47600"/>
    <w:rsid w:val="7BE75B20"/>
    <w:rsid w:val="7D840265"/>
    <w:rsid w:val="7EE2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0"/>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2"/>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3"/>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4"/>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5"/>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6"/>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7"/>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88"/>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2"/>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253"/>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3"/>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8"/>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1"/>
    <w:qFormat/>
    <w:uiPriority w:val="0"/>
    <w:pPr>
      <w:adjustRightInd w:val="0"/>
    </w:pPr>
    <w:rPr>
      <w:rFonts w:ascii="仿宋_GB2312" w:eastAsia="仿宋_GB2312"/>
      <w:sz w:val="28"/>
    </w:rPr>
  </w:style>
  <w:style w:type="paragraph" w:styleId="22">
    <w:name w:val="Body Text 3"/>
    <w:basedOn w:val="1"/>
    <w:link w:val="92"/>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Indent"/>
    <w:basedOn w:val="1"/>
    <w:link w:val="286"/>
    <w:unhideWhenUsed/>
    <w:qFormat/>
    <w:uiPriority w:val="0"/>
    <w:pPr>
      <w:adjustRightInd w:val="0"/>
      <w:spacing w:after="120"/>
      <w:ind w:left="420" w:leftChars="200"/>
    </w:pPr>
    <w:rPr>
      <w:rFonts w:ascii="Times New Roman" w:hAnsi="Times New Roman" w:eastAsia="宋体" w:cs="Times New Roman"/>
      <w:szCs w:val="24"/>
    </w:rPr>
  </w:style>
  <w:style w:type="paragraph" w:styleId="25">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6">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7">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8">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29">
    <w:name w:val="HTML Address"/>
    <w:basedOn w:val="1"/>
    <w:link w:val="95"/>
    <w:qFormat/>
    <w:uiPriority w:val="0"/>
    <w:pPr>
      <w:widowControl/>
      <w:ind w:firstLine="200" w:firstLineChars="200"/>
      <w:jc w:val="left"/>
    </w:pPr>
    <w:rPr>
      <w:rFonts w:ascii="宋体" w:hAnsi="宋体"/>
      <w:i/>
      <w:iCs/>
      <w:sz w:val="24"/>
      <w:szCs w:val="24"/>
    </w:rPr>
  </w:style>
  <w:style w:type="paragraph" w:styleId="30">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1">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2">
    <w:name w:val="Plain Text"/>
    <w:basedOn w:val="1"/>
    <w:link w:val="96"/>
    <w:qFormat/>
    <w:uiPriority w:val="0"/>
    <w:pPr>
      <w:adjustRightInd w:val="0"/>
    </w:pPr>
    <w:rPr>
      <w:rFonts w:ascii="宋体" w:hAnsi="Courier New" w:eastAsia="宋体" w:cs="Arial"/>
      <w:snapToGrid w:val="0"/>
      <w:szCs w:val="21"/>
    </w:rPr>
  </w:style>
  <w:style w:type="paragraph" w:styleId="33">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4">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5">
    <w:name w:val="Date"/>
    <w:basedOn w:val="1"/>
    <w:next w:val="1"/>
    <w:link w:val="97"/>
    <w:qFormat/>
    <w:uiPriority w:val="0"/>
    <w:pPr>
      <w:adjustRightInd w:val="0"/>
      <w:ind w:left="100" w:leftChars="2500"/>
    </w:pPr>
    <w:rPr>
      <w:rFonts w:ascii="宋体"/>
      <w:sz w:val="24"/>
      <w:szCs w:val="21"/>
      <w:lang w:val="zh-CN"/>
    </w:rPr>
  </w:style>
  <w:style w:type="paragraph" w:styleId="36">
    <w:name w:val="Body Text Indent 2"/>
    <w:basedOn w:val="1"/>
    <w:link w:val="98"/>
    <w:qFormat/>
    <w:uiPriority w:val="0"/>
    <w:pPr>
      <w:adjustRightInd w:val="0"/>
      <w:spacing w:line="360" w:lineRule="auto"/>
      <w:ind w:firstLine="601"/>
      <w:textAlignment w:val="baseline"/>
    </w:pPr>
    <w:rPr>
      <w:rFonts w:ascii="宋体"/>
      <w:sz w:val="28"/>
    </w:rPr>
  </w:style>
  <w:style w:type="paragraph" w:styleId="37">
    <w:name w:val="Balloon Text"/>
    <w:basedOn w:val="1"/>
    <w:link w:val="99"/>
    <w:qFormat/>
    <w:uiPriority w:val="0"/>
    <w:pPr>
      <w:adjustRightInd w:val="0"/>
    </w:pPr>
    <w:rPr>
      <w:sz w:val="18"/>
      <w:szCs w:val="18"/>
    </w:rPr>
  </w:style>
  <w:style w:type="paragraph" w:styleId="38">
    <w:name w:val="footer"/>
    <w:basedOn w:val="1"/>
    <w:link w:val="79"/>
    <w:unhideWhenUsed/>
    <w:qFormat/>
    <w:uiPriority w:val="0"/>
    <w:pPr>
      <w:tabs>
        <w:tab w:val="center" w:pos="4153"/>
        <w:tab w:val="right" w:pos="8306"/>
      </w:tabs>
      <w:snapToGrid w:val="0"/>
      <w:jc w:val="left"/>
    </w:pPr>
    <w:rPr>
      <w:sz w:val="18"/>
      <w:szCs w:val="18"/>
    </w:rPr>
  </w:style>
  <w:style w:type="paragraph" w:styleId="39">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0"/>
    <w:qFormat/>
    <w:uiPriority w:val="0"/>
    <w:pPr>
      <w:adjustRightInd w:val="0"/>
      <w:spacing w:after="600" w:line="312" w:lineRule="atLeast"/>
      <w:jc w:val="center"/>
      <w:textAlignment w:val="baseline"/>
    </w:pPr>
    <w:rPr>
      <w:rFonts w:eastAsia="仿宋_GB2312"/>
      <w:sz w:val="24"/>
    </w:rPr>
  </w:style>
  <w:style w:type="paragraph" w:styleId="41">
    <w:name w:val="toc 1"/>
    <w:basedOn w:val="1"/>
    <w:next w:val="1"/>
    <w:qFormat/>
    <w:uiPriority w:val="0"/>
    <w:pPr>
      <w:adjustRightInd w:val="0"/>
    </w:pPr>
    <w:rPr>
      <w:rFonts w:ascii="Times New Roman" w:hAnsi="Times New Roman" w:eastAsia="宋体" w:cs="Times New Roman"/>
      <w:szCs w:val="24"/>
    </w:rPr>
  </w:style>
  <w:style w:type="paragraph" w:styleId="42">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3">
    <w:name w:val="index heading"/>
    <w:basedOn w:val="1"/>
    <w:next w:val="44"/>
    <w:qFormat/>
    <w:uiPriority w:val="0"/>
    <w:pPr>
      <w:ind w:firstLine="200" w:firstLineChars="200"/>
    </w:pPr>
    <w:rPr>
      <w:rFonts w:ascii="Times New Roman" w:hAnsi="Times New Roman" w:eastAsia="宋体" w:cs="Times New Roman"/>
      <w:szCs w:val="24"/>
    </w:rPr>
  </w:style>
  <w:style w:type="paragraph" w:styleId="44">
    <w:name w:val="index 1"/>
    <w:basedOn w:val="1"/>
    <w:next w:val="1"/>
    <w:unhideWhenUsed/>
    <w:qFormat/>
    <w:uiPriority w:val="0"/>
  </w:style>
  <w:style w:type="paragraph" w:styleId="45">
    <w:name w:val="Subtitle"/>
    <w:link w:val="101"/>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7">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8">
    <w:name w:val="footnote text"/>
    <w:basedOn w:val="16"/>
    <w:link w:val="1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0">
    <w:name w:val="List 5"/>
    <w:basedOn w:val="1"/>
    <w:qFormat/>
    <w:uiPriority w:val="0"/>
    <w:pPr>
      <w:ind w:left="100" w:leftChars="800" w:hanging="200" w:hangingChars="200"/>
    </w:pPr>
    <w:rPr>
      <w:rFonts w:ascii="Times New Roman" w:hAnsi="Times New Roman" w:eastAsia="宋体" w:cs="Times New Roman"/>
      <w:szCs w:val="24"/>
    </w:rPr>
  </w:style>
  <w:style w:type="paragraph" w:styleId="51">
    <w:name w:val="Body Text Indent 3"/>
    <w:basedOn w:val="1"/>
    <w:link w:val="103"/>
    <w:qFormat/>
    <w:uiPriority w:val="0"/>
    <w:pPr>
      <w:adjustRightInd w:val="0"/>
      <w:spacing w:line="360" w:lineRule="auto"/>
      <w:ind w:firstLine="420"/>
    </w:pPr>
    <w:rPr>
      <w:sz w:val="24"/>
    </w:rPr>
  </w:style>
  <w:style w:type="paragraph" w:styleId="52">
    <w:name w:val="toc 2"/>
    <w:basedOn w:val="1"/>
    <w:next w:val="1"/>
    <w:qFormat/>
    <w:uiPriority w:val="0"/>
    <w:pPr>
      <w:adjustRightInd w:val="0"/>
      <w:ind w:left="420" w:leftChars="200"/>
    </w:pPr>
    <w:rPr>
      <w:rFonts w:ascii="Times New Roman" w:hAnsi="Times New Roman" w:eastAsia="宋体" w:cs="Times New Roman"/>
      <w:szCs w:val="24"/>
    </w:rPr>
  </w:style>
  <w:style w:type="paragraph" w:styleId="53">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4">
    <w:name w:val="Body Text 2"/>
    <w:basedOn w:val="1"/>
    <w:link w:val="278"/>
    <w:qFormat/>
    <w:uiPriority w:val="0"/>
    <w:pPr>
      <w:adjustRightInd w:val="0"/>
      <w:spacing w:after="120" w:line="480" w:lineRule="auto"/>
    </w:pPr>
    <w:rPr>
      <w:rFonts w:ascii="Times New Roman" w:hAnsi="Times New Roman" w:eastAsia="宋体" w:cs="Times New Roman"/>
      <w:szCs w:val="24"/>
      <w:lang w:val="zh-CN"/>
    </w:rPr>
  </w:style>
  <w:style w:type="paragraph" w:styleId="55">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7">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8">
    <w:name w:val="Title"/>
    <w:basedOn w:val="1"/>
    <w:link w:val="294"/>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59">
    <w:name w:val="annotation subject"/>
    <w:basedOn w:val="20"/>
    <w:next w:val="20"/>
    <w:link w:val="289"/>
    <w:qFormat/>
    <w:uiPriority w:val="0"/>
    <w:rPr>
      <w:b/>
      <w:bCs/>
      <w:lang w:val="zh-CN"/>
    </w:rPr>
  </w:style>
  <w:style w:type="paragraph" w:styleId="60">
    <w:name w:val="Body Text First Indent"/>
    <w:basedOn w:val="2"/>
    <w:link w:val="108"/>
    <w:qFormat/>
    <w:uiPriority w:val="0"/>
    <w:pPr>
      <w:ind w:firstLine="420"/>
    </w:pPr>
    <w:rPr>
      <w:rFonts w:hAnsiTheme="minorHAnsi" w:eastAsiaTheme="minorEastAsia" w:cstheme="minorBidi"/>
      <w:snapToGrid/>
      <w:szCs w:val="22"/>
    </w:rPr>
  </w:style>
  <w:style w:type="paragraph" w:styleId="61">
    <w:name w:val="Body Text First Indent 2"/>
    <w:basedOn w:val="24"/>
    <w:link w:val="109"/>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character" w:customStyle="1" w:styleId="78">
    <w:name w:val="页眉 Char"/>
    <w:basedOn w:val="69"/>
    <w:link w:val="39"/>
    <w:qFormat/>
    <w:uiPriority w:val="0"/>
    <w:rPr>
      <w:sz w:val="18"/>
      <w:szCs w:val="18"/>
    </w:rPr>
  </w:style>
  <w:style w:type="character" w:customStyle="1" w:styleId="79">
    <w:name w:val="页脚 Char"/>
    <w:basedOn w:val="69"/>
    <w:link w:val="38"/>
    <w:qFormat/>
    <w:uiPriority w:val="0"/>
    <w:rPr>
      <w:sz w:val="18"/>
      <w:szCs w:val="18"/>
    </w:rPr>
  </w:style>
  <w:style w:type="character" w:customStyle="1" w:styleId="80">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1">
    <w:name w:val="标题 2 Char"/>
    <w:basedOn w:val="69"/>
    <w:link w:val="4"/>
    <w:qFormat/>
    <w:uiPriority w:val="0"/>
    <w:rPr>
      <w:rFonts w:ascii="仿宋_GB2312" w:hAnsi="仿宋" w:eastAsia="仿宋_GB2312" w:cs="Times New Roman"/>
      <w:b/>
      <w:bCs/>
      <w:sz w:val="32"/>
      <w:szCs w:val="32"/>
      <w:lang w:val="zh-CN"/>
    </w:rPr>
  </w:style>
  <w:style w:type="character" w:customStyle="1" w:styleId="82">
    <w:name w:val="标题 3 Char"/>
    <w:basedOn w:val="69"/>
    <w:link w:val="5"/>
    <w:qFormat/>
    <w:uiPriority w:val="0"/>
    <w:rPr>
      <w:rFonts w:ascii="Times New Roman" w:hAnsi="Times New Roman" w:eastAsia="宋体" w:cs="Times New Roman"/>
      <w:b/>
      <w:bCs/>
      <w:sz w:val="32"/>
      <w:szCs w:val="32"/>
    </w:rPr>
  </w:style>
  <w:style w:type="character" w:customStyle="1" w:styleId="83">
    <w:name w:val="标题 4 Char"/>
    <w:basedOn w:val="69"/>
    <w:link w:val="6"/>
    <w:qFormat/>
    <w:uiPriority w:val="0"/>
    <w:rPr>
      <w:rFonts w:ascii="Arial" w:hAnsi="Arial" w:eastAsia="黑体" w:cs="Times New Roman"/>
      <w:b/>
      <w:bCs/>
      <w:sz w:val="28"/>
      <w:szCs w:val="28"/>
      <w:lang w:val="zh-CN"/>
    </w:rPr>
  </w:style>
  <w:style w:type="character" w:customStyle="1" w:styleId="84">
    <w:name w:val="标题 5 Char"/>
    <w:basedOn w:val="69"/>
    <w:link w:val="7"/>
    <w:qFormat/>
    <w:uiPriority w:val="0"/>
    <w:rPr>
      <w:rFonts w:ascii="Times New Roman" w:hAnsi="Times New Roman" w:eastAsia="宋体" w:cs="Times New Roman"/>
      <w:b/>
      <w:bCs/>
      <w:sz w:val="28"/>
      <w:szCs w:val="28"/>
      <w:lang w:val="zh-CN"/>
    </w:rPr>
  </w:style>
  <w:style w:type="character" w:customStyle="1" w:styleId="85">
    <w:name w:val="标题 6 Char"/>
    <w:basedOn w:val="69"/>
    <w:link w:val="8"/>
    <w:qFormat/>
    <w:uiPriority w:val="0"/>
    <w:rPr>
      <w:rFonts w:ascii="Arial" w:hAnsi="Arial" w:eastAsia="黑体" w:cs="Times New Roman"/>
      <w:b/>
      <w:bCs/>
      <w:sz w:val="24"/>
      <w:szCs w:val="24"/>
      <w:lang w:val="zh-CN"/>
    </w:rPr>
  </w:style>
  <w:style w:type="character" w:customStyle="1" w:styleId="86">
    <w:name w:val="标题 7 Char"/>
    <w:basedOn w:val="69"/>
    <w:link w:val="9"/>
    <w:qFormat/>
    <w:uiPriority w:val="0"/>
    <w:rPr>
      <w:rFonts w:ascii="Times New Roman" w:hAnsi="Times New Roman" w:eastAsia="宋体" w:cs="Times New Roman"/>
      <w:b/>
      <w:bCs/>
      <w:sz w:val="24"/>
      <w:szCs w:val="24"/>
      <w:lang w:val="zh-CN"/>
    </w:rPr>
  </w:style>
  <w:style w:type="character" w:customStyle="1" w:styleId="87">
    <w:name w:val="标题 8 Char"/>
    <w:basedOn w:val="69"/>
    <w:link w:val="10"/>
    <w:qFormat/>
    <w:uiPriority w:val="0"/>
    <w:rPr>
      <w:rFonts w:ascii="Arial" w:hAnsi="Arial" w:eastAsia="黑体" w:cs="Times New Roman"/>
      <w:sz w:val="24"/>
      <w:szCs w:val="24"/>
      <w:lang w:val="zh-CN"/>
    </w:rPr>
  </w:style>
  <w:style w:type="character" w:customStyle="1" w:styleId="88">
    <w:name w:val="标题 9 Char"/>
    <w:basedOn w:val="69"/>
    <w:link w:val="11"/>
    <w:qFormat/>
    <w:uiPriority w:val="0"/>
    <w:rPr>
      <w:rFonts w:ascii="Arial" w:hAnsi="Arial" w:eastAsia="黑体" w:cs="Times New Roman"/>
      <w:szCs w:val="21"/>
      <w:lang w:val="zh-CN"/>
    </w:rPr>
  </w:style>
  <w:style w:type="character" w:customStyle="1" w:styleId="89">
    <w:name w:val="文档结构图 Char"/>
    <w:basedOn w:val="69"/>
    <w:qFormat/>
    <w:uiPriority w:val="0"/>
    <w:rPr>
      <w:rFonts w:ascii="宋体" w:eastAsia="宋体"/>
      <w:sz w:val="18"/>
      <w:szCs w:val="18"/>
    </w:rPr>
  </w:style>
  <w:style w:type="character" w:customStyle="1" w:styleId="90">
    <w:name w:val="批注文字 Char"/>
    <w:basedOn w:val="69"/>
    <w:qFormat/>
    <w:uiPriority w:val="99"/>
  </w:style>
  <w:style w:type="character" w:customStyle="1" w:styleId="91">
    <w:name w:val="称呼 Char"/>
    <w:basedOn w:val="69"/>
    <w:link w:val="21"/>
    <w:qFormat/>
    <w:uiPriority w:val="0"/>
    <w:rPr>
      <w:rFonts w:ascii="仿宋_GB2312" w:eastAsia="仿宋_GB2312"/>
      <w:sz w:val="28"/>
    </w:rPr>
  </w:style>
  <w:style w:type="character" w:customStyle="1" w:styleId="92">
    <w:name w:val="正文文本 3 Char"/>
    <w:basedOn w:val="69"/>
    <w:link w:val="22"/>
    <w:qFormat/>
    <w:uiPriority w:val="0"/>
  </w:style>
  <w:style w:type="character" w:customStyle="1" w:styleId="93">
    <w:name w:val="正文文本 Char"/>
    <w:basedOn w:val="69"/>
    <w:qFormat/>
    <w:uiPriority w:val="0"/>
  </w:style>
  <w:style w:type="character" w:customStyle="1" w:styleId="94">
    <w:name w:val="正文文本缩进 Char"/>
    <w:basedOn w:val="69"/>
    <w:qFormat/>
    <w:uiPriority w:val="0"/>
  </w:style>
  <w:style w:type="character" w:customStyle="1" w:styleId="95">
    <w:name w:val="HTML 地址 Char"/>
    <w:basedOn w:val="69"/>
    <w:link w:val="29"/>
    <w:qFormat/>
    <w:uiPriority w:val="0"/>
    <w:rPr>
      <w:rFonts w:ascii="宋体" w:hAnsi="宋体"/>
      <w:i/>
      <w:iCs/>
      <w:sz w:val="24"/>
      <w:szCs w:val="24"/>
    </w:rPr>
  </w:style>
  <w:style w:type="character" w:customStyle="1" w:styleId="96">
    <w:name w:val="纯文本 Char"/>
    <w:basedOn w:val="69"/>
    <w:link w:val="32"/>
    <w:qFormat/>
    <w:uiPriority w:val="0"/>
    <w:rPr>
      <w:rFonts w:ascii="宋体" w:hAnsi="Courier New" w:eastAsia="宋体" w:cs="Arial"/>
      <w:snapToGrid w:val="0"/>
      <w:szCs w:val="21"/>
    </w:rPr>
  </w:style>
  <w:style w:type="character" w:customStyle="1" w:styleId="97">
    <w:name w:val="日期 Char"/>
    <w:basedOn w:val="69"/>
    <w:link w:val="35"/>
    <w:qFormat/>
    <w:uiPriority w:val="0"/>
    <w:rPr>
      <w:rFonts w:ascii="宋体"/>
      <w:sz w:val="24"/>
      <w:szCs w:val="21"/>
      <w:lang w:val="zh-CN"/>
    </w:rPr>
  </w:style>
  <w:style w:type="character" w:customStyle="1" w:styleId="98">
    <w:name w:val="正文文本缩进 2 Char"/>
    <w:basedOn w:val="69"/>
    <w:link w:val="36"/>
    <w:qFormat/>
    <w:uiPriority w:val="0"/>
    <w:rPr>
      <w:rFonts w:ascii="宋体"/>
      <w:sz w:val="28"/>
    </w:rPr>
  </w:style>
  <w:style w:type="character" w:customStyle="1" w:styleId="99">
    <w:name w:val="批注框文本 Char"/>
    <w:basedOn w:val="69"/>
    <w:link w:val="37"/>
    <w:qFormat/>
    <w:uiPriority w:val="0"/>
    <w:rPr>
      <w:sz w:val="18"/>
      <w:szCs w:val="18"/>
    </w:rPr>
  </w:style>
  <w:style w:type="character" w:customStyle="1" w:styleId="100">
    <w:name w:val="签名 Char"/>
    <w:basedOn w:val="69"/>
    <w:link w:val="40"/>
    <w:qFormat/>
    <w:uiPriority w:val="0"/>
    <w:rPr>
      <w:rFonts w:eastAsia="仿宋_GB2312"/>
      <w:sz w:val="24"/>
    </w:rPr>
  </w:style>
  <w:style w:type="character" w:customStyle="1" w:styleId="101">
    <w:name w:val="副标题 Char"/>
    <w:basedOn w:val="69"/>
    <w:link w:val="45"/>
    <w:qFormat/>
    <w:uiPriority w:val="0"/>
    <w:rPr>
      <w:rFonts w:ascii="Arial" w:hAnsi="Arial" w:eastAsia="隶书"/>
      <w:b/>
      <w:bCs/>
      <w:kern w:val="28"/>
      <w:sz w:val="44"/>
      <w:szCs w:val="32"/>
    </w:rPr>
  </w:style>
  <w:style w:type="character" w:customStyle="1" w:styleId="102">
    <w:name w:val="脚注文本 Char"/>
    <w:basedOn w:val="69"/>
    <w:link w:val="48"/>
    <w:qFormat/>
    <w:uiPriority w:val="0"/>
    <w:rPr>
      <w:color w:val="0000FF"/>
    </w:rPr>
  </w:style>
  <w:style w:type="character" w:customStyle="1" w:styleId="103">
    <w:name w:val="正文文本缩进 3 Char"/>
    <w:basedOn w:val="69"/>
    <w:link w:val="51"/>
    <w:qFormat/>
    <w:uiPriority w:val="0"/>
    <w:rPr>
      <w:sz w:val="24"/>
    </w:rPr>
  </w:style>
  <w:style w:type="character" w:customStyle="1" w:styleId="104">
    <w:name w:val="正文文本 2 Char"/>
    <w:basedOn w:val="69"/>
    <w:qFormat/>
    <w:uiPriority w:val="0"/>
  </w:style>
  <w:style w:type="character" w:customStyle="1" w:styleId="105">
    <w:name w:val="HTML 预设格式 Char"/>
    <w:basedOn w:val="69"/>
    <w:link w:val="56"/>
    <w:qFormat/>
    <w:uiPriority w:val="0"/>
    <w:rPr>
      <w:rFonts w:ascii="黑体" w:hAnsi="Courier New" w:eastAsia="黑体"/>
    </w:rPr>
  </w:style>
  <w:style w:type="character" w:customStyle="1" w:styleId="106">
    <w:name w:val="标题 Char"/>
    <w:basedOn w:val="69"/>
    <w:qFormat/>
    <w:uiPriority w:val="0"/>
    <w:rPr>
      <w:rFonts w:eastAsia="宋体" w:asciiTheme="majorHAnsi" w:hAnsiTheme="majorHAnsi" w:cstheme="majorBidi"/>
      <w:b/>
      <w:bCs/>
      <w:sz w:val="32"/>
      <w:szCs w:val="32"/>
    </w:rPr>
  </w:style>
  <w:style w:type="character" w:customStyle="1" w:styleId="107">
    <w:name w:val="批注主题 Char"/>
    <w:basedOn w:val="90"/>
    <w:qFormat/>
    <w:uiPriority w:val="0"/>
    <w:rPr>
      <w:b/>
      <w:bCs/>
    </w:rPr>
  </w:style>
  <w:style w:type="character" w:customStyle="1" w:styleId="108">
    <w:name w:val="正文首行缩进 Char"/>
    <w:basedOn w:val="93"/>
    <w:link w:val="60"/>
    <w:qFormat/>
    <w:uiPriority w:val="0"/>
    <w:rPr>
      <w:rFonts w:ascii="宋体"/>
      <w:sz w:val="24"/>
      <w:lang w:val="zh-CN"/>
    </w:rPr>
  </w:style>
  <w:style w:type="character" w:customStyle="1" w:styleId="109">
    <w:name w:val="正文首行缩进 2 Char"/>
    <w:basedOn w:val="94"/>
    <w:link w:val="61"/>
    <w:qFormat/>
    <w:uiPriority w:val="0"/>
    <w:rPr>
      <w:rFonts w:ascii="宋体" w:hAnsi="宋体"/>
      <w:szCs w:val="24"/>
    </w:rPr>
  </w:style>
  <w:style w:type="character" w:customStyle="1" w:styleId="110">
    <w:name w:val="solutionfonts"/>
    <w:qFormat/>
    <w:uiPriority w:val="0"/>
  </w:style>
  <w:style w:type="character" w:customStyle="1" w:styleId="111">
    <w:name w:val="Font Style82"/>
    <w:qFormat/>
    <w:uiPriority w:val="99"/>
    <w:rPr>
      <w:rFonts w:ascii="宋体" w:eastAsia="宋体" w:cs="宋体"/>
      <w:color w:val="000000"/>
      <w:sz w:val="14"/>
      <w:szCs w:val="14"/>
    </w:rPr>
  </w:style>
  <w:style w:type="character" w:customStyle="1" w:styleId="112">
    <w:name w:val="此正文 Char"/>
    <w:link w:val="113"/>
    <w:qFormat/>
    <w:uiPriority w:val="0"/>
    <w:rPr>
      <w:sz w:val="24"/>
      <w:szCs w:val="24"/>
    </w:rPr>
  </w:style>
  <w:style w:type="paragraph" w:customStyle="1" w:styleId="113">
    <w:name w:val="此正文"/>
    <w:basedOn w:val="1"/>
    <w:link w:val="112"/>
    <w:qFormat/>
    <w:uiPriority w:val="0"/>
    <w:pPr>
      <w:spacing w:line="360" w:lineRule="auto"/>
      <w:ind w:firstLine="200" w:firstLineChars="200"/>
    </w:pPr>
    <w:rPr>
      <w:sz w:val="24"/>
      <w:szCs w:val="24"/>
    </w:rPr>
  </w:style>
  <w:style w:type="character" w:customStyle="1" w:styleId="114">
    <w:name w:val="Char Char10"/>
    <w:semiHidden/>
    <w:qFormat/>
    <w:uiPriority w:val="0"/>
    <w:rPr>
      <w:rFonts w:ascii="宋体" w:hAnsi="宋体"/>
      <w:kern w:val="2"/>
      <w:sz w:val="21"/>
      <w:szCs w:val="24"/>
      <w:lang w:val="en-US" w:eastAsia="zh-CN"/>
    </w:rPr>
  </w:style>
  <w:style w:type="character" w:customStyle="1" w:styleId="115">
    <w:name w:val="h Char Char"/>
    <w:qFormat/>
    <w:uiPriority w:val="0"/>
    <w:rPr>
      <w:rFonts w:eastAsia="宋体"/>
      <w:kern w:val="2"/>
      <w:sz w:val="18"/>
      <w:lang w:val="en-US" w:eastAsia="zh-CN" w:bidi="ar-SA"/>
    </w:rPr>
  </w:style>
  <w:style w:type="character" w:customStyle="1" w:styleId="116">
    <w:name w:val="Bold"/>
    <w:qFormat/>
    <w:uiPriority w:val="0"/>
    <w:rPr>
      <w:rFonts w:ascii="Arial" w:hAnsi="Arial" w:eastAsia="黑体" w:cs="Times New Roman"/>
      <w:b/>
      <w:kern w:val="2"/>
      <w:sz w:val="32"/>
      <w:szCs w:val="32"/>
      <w:lang w:val="en-US" w:eastAsia="zh-CN" w:bidi="ar-SA"/>
    </w:rPr>
  </w:style>
  <w:style w:type="character" w:customStyle="1" w:styleId="117">
    <w:name w:val="Ò³Ã¼ Char Char"/>
    <w:qFormat/>
    <w:uiPriority w:val="0"/>
    <w:rPr>
      <w:rFonts w:eastAsia="宋体"/>
      <w:kern w:val="2"/>
      <w:sz w:val="18"/>
      <w:lang w:val="en-US" w:eastAsia="zh-CN" w:bidi="ar-SA"/>
    </w:rPr>
  </w:style>
  <w:style w:type="character" w:customStyle="1" w:styleId="118">
    <w:name w:val="标准正文格式 Char"/>
    <w:qFormat/>
    <w:uiPriority w:val="0"/>
    <w:rPr>
      <w:rFonts w:ascii="宋体" w:eastAsia="仿宋_GB2312" w:cs="宋体"/>
      <w:color w:val="000000"/>
      <w:sz w:val="24"/>
      <w:lang w:val="en-US" w:eastAsia="zh-CN" w:bidi="ar-SA"/>
    </w:rPr>
  </w:style>
  <w:style w:type="character" w:customStyle="1" w:styleId="119">
    <w:name w:val="Char Char8"/>
    <w:qFormat/>
    <w:uiPriority w:val="0"/>
    <w:rPr>
      <w:rFonts w:eastAsia="宋体"/>
      <w:b/>
      <w:sz w:val="24"/>
      <w:lang w:val="en-GB" w:eastAsia="zh-CN"/>
    </w:rPr>
  </w:style>
  <w:style w:type="character" w:customStyle="1" w:styleId="120">
    <w:name w:val="No Spacing Char"/>
    <w:link w:val="121"/>
    <w:qFormat/>
    <w:uiPriority w:val="1"/>
    <w:rPr>
      <w:rFonts w:ascii="Calibri" w:hAnsi="Calibri"/>
      <w:sz w:val="22"/>
    </w:rPr>
  </w:style>
  <w:style w:type="paragraph" w:customStyle="1" w:styleId="121">
    <w:name w:val="无间隔1"/>
    <w:link w:val="120"/>
    <w:qFormat/>
    <w:uiPriority w:val="1"/>
    <w:rPr>
      <w:rFonts w:ascii="Calibri" w:hAnsi="Calibri" w:eastAsiaTheme="minorEastAsia" w:cstheme="minorBidi"/>
      <w:kern w:val="2"/>
      <w:sz w:val="22"/>
      <w:szCs w:val="22"/>
      <w:lang w:val="en-US" w:eastAsia="zh-CN" w:bidi="ar-SA"/>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highlight1"/>
    <w:qFormat/>
    <w:uiPriority w:val="0"/>
    <w:rPr>
      <w:rFonts w:ascii="仿宋_GB2312" w:eastAsia="微软雅黑"/>
      <w:b/>
      <w:kern w:val="2"/>
      <w:sz w:val="23"/>
      <w:szCs w:val="23"/>
      <w:lang w:val="en-US" w:eastAsia="zh-CN" w:bidi="ar-SA"/>
    </w:rPr>
  </w:style>
  <w:style w:type="character" w:customStyle="1" w:styleId="124">
    <w:name w:val="ca-131"/>
    <w:qFormat/>
    <w:uiPriority w:val="0"/>
    <w:rPr>
      <w:rFonts w:hint="eastAsia" w:ascii="仿宋_GB2312" w:eastAsia="仿宋_GB2312"/>
      <w:b/>
      <w:bCs/>
      <w:color w:val="000000"/>
      <w:spacing w:val="-20"/>
      <w:sz w:val="24"/>
      <w:szCs w:val="24"/>
    </w:rPr>
  </w:style>
  <w:style w:type="character" w:customStyle="1" w:styleId="125">
    <w:name w:val="h3 Char"/>
    <w:qFormat/>
    <w:uiPriority w:val="0"/>
    <w:rPr>
      <w:rFonts w:eastAsia="宋体"/>
      <w:b/>
      <w:kern w:val="2"/>
      <w:sz w:val="32"/>
      <w:lang w:val="en-US" w:eastAsia="zh-CN" w:bidi="ar-SA"/>
    </w:rPr>
  </w:style>
  <w:style w:type="character" w:customStyle="1" w:styleId="126">
    <w:name w:val="Char Char12"/>
    <w:qFormat/>
    <w:uiPriority w:val="0"/>
    <w:rPr>
      <w:rFonts w:ascii="仿宋_GB2312" w:eastAsia="仿宋_GB2312"/>
      <w:b/>
      <w:bCs/>
      <w:kern w:val="2"/>
      <w:sz w:val="24"/>
      <w:szCs w:val="24"/>
      <w:lang w:val="zh-CN" w:eastAsia="zh-CN" w:bidi="ar-SA"/>
    </w:rPr>
  </w:style>
  <w:style w:type="character" w:customStyle="1" w:styleId="127">
    <w:name w:val="Comment Text Char"/>
    <w:qFormat/>
    <w:locked/>
    <w:uiPriority w:val="0"/>
    <w:rPr>
      <w:rFonts w:ascii="宋体" w:hAnsi="宋体" w:eastAsia="宋体"/>
      <w:kern w:val="2"/>
      <w:sz w:val="24"/>
      <w:lang w:val="en-US" w:eastAsia="zh-CN" w:bidi="ar-SA"/>
    </w:rPr>
  </w:style>
  <w:style w:type="character" w:customStyle="1" w:styleId="128">
    <w:name w:val="仿宋正文 Char"/>
    <w:link w:val="129"/>
    <w:qFormat/>
    <w:uiPriority w:val="0"/>
    <w:rPr>
      <w:rFonts w:ascii="仿宋_GB2312" w:eastAsia="仿宋_GB2312"/>
      <w:sz w:val="24"/>
    </w:rPr>
  </w:style>
  <w:style w:type="paragraph" w:customStyle="1" w:styleId="129">
    <w:name w:val="仿宋正文"/>
    <w:basedOn w:val="1"/>
    <w:link w:val="128"/>
    <w:qFormat/>
    <w:uiPriority w:val="0"/>
    <w:pPr>
      <w:spacing w:line="360" w:lineRule="auto"/>
      <w:ind w:firstLine="480" w:firstLineChars="200"/>
    </w:pPr>
    <w:rPr>
      <w:rFonts w:ascii="仿宋_GB2312" w:eastAsia="仿宋_GB2312"/>
      <w:sz w:val="24"/>
    </w:rPr>
  </w:style>
  <w:style w:type="character" w:customStyle="1" w:styleId="130">
    <w:name w:val="style91"/>
    <w:qFormat/>
    <w:uiPriority w:val="0"/>
    <w:rPr>
      <w:color w:val="333333"/>
    </w:rPr>
  </w:style>
  <w:style w:type="character" w:customStyle="1" w:styleId="131">
    <w:name w:val="Char Char4"/>
    <w:qFormat/>
    <w:uiPriority w:val="0"/>
    <w:rPr>
      <w:rFonts w:eastAsia="宋体"/>
      <w:b/>
      <w:sz w:val="24"/>
      <w:lang w:val="en-GB" w:eastAsia="zh-CN" w:bidi="ar-SA"/>
    </w:rPr>
  </w:style>
  <w:style w:type="character" w:customStyle="1" w:styleId="132">
    <w:name w:val="Char Char2"/>
    <w:qFormat/>
    <w:uiPriority w:val="0"/>
    <w:rPr>
      <w:rFonts w:eastAsia="宋体"/>
      <w:b/>
      <w:bCs/>
      <w:kern w:val="2"/>
      <w:sz w:val="21"/>
      <w:szCs w:val="24"/>
      <w:lang w:val="en-US" w:eastAsia="zh-CN" w:bidi="ar-SA"/>
    </w:rPr>
  </w:style>
  <w:style w:type="character" w:customStyle="1" w:styleId="133">
    <w:name w:val="正文 项目2 Char"/>
    <w:basedOn w:val="134"/>
    <w:qFormat/>
    <w:uiPriority w:val="0"/>
    <w:rPr>
      <w:rFonts w:ascii="仿宋_GB2312" w:hAnsi="仿宋_GB2312" w:eastAsia="仿宋_GB2312"/>
      <w:kern w:val="2"/>
      <w:sz w:val="24"/>
      <w:lang w:bidi="ar-SA"/>
    </w:rPr>
  </w:style>
  <w:style w:type="character" w:customStyle="1" w:styleId="134">
    <w:name w:val="正文 项目 Char"/>
    <w:qFormat/>
    <w:uiPriority w:val="0"/>
    <w:rPr>
      <w:rFonts w:ascii="仿宋_GB2312" w:hAnsi="仿宋_GB2312" w:eastAsia="仿宋_GB2312"/>
      <w:kern w:val="2"/>
      <w:sz w:val="24"/>
      <w:lang w:bidi="ar-SA"/>
    </w:rPr>
  </w:style>
  <w:style w:type="character" w:customStyle="1" w:styleId="135">
    <w:name w:val="页眉 Char1"/>
    <w:qFormat/>
    <w:uiPriority w:val="0"/>
    <w:rPr>
      <w:rFonts w:eastAsia="宋体"/>
      <w:kern w:val="2"/>
      <w:sz w:val="18"/>
      <w:szCs w:val="18"/>
      <w:lang w:val="en-US" w:eastAsia="zh-CN" w:bidi="ar-SA"/>
    </w:rPr>
  </w:style>
  <w:style w:type="character" w:customStyle="1" w:styleId="136">
    <w:name w:val="正文文本缩进 Char1"/>
    <w:qFormat/>
    <w:uiPriority w:val="0"/>
    <w:rPr>
      <w:rFonts w:ascii="宋体" w:hAnsi="宋体"/>
      <w:kern w:val="2"/>
      <w:sz w:val="24"/>
      <w:szCs w:val="24"/>
    </w:rPr>
  </w:style>
  <w:style w:type="character" w:customStyle="1" w:styleId="137">
    <w:name w:val="big1"/>
    <w:qFormat/>
    <w:uiPriority w:val="0"/>
    <w:rPr>
      <w:rFonts w:hint="eastAsia" w:ascii="宋体" w:hAnsi="宋体" w:eastAsia="宋体"/>
      <w:color w:val="333333"/>
      <w:sz w:val="22"/>
      <w:szCs w:val="22"/>
    </w:rPr>
  </w:style>
  <w:style w:type="character" w:customStyle="1" w:styleId="138">
    <w:name w:val="h Char Char1"/>
    <w:qFormat/>
    <w:uiPriority w:val="0"/>
    <w:rPr>
      <w:rFonts w:eastAsia="宋体"/>
      <w:kern w:val="2"/>
      <w:sz w:val="18"/>
      <w:szCs w:val="18"/>
      <w:lang w:val="en-US" w:eastAsia="zh-CN" w:bidi="ar-SA"/>
    </w:rPr>
  </w:style>
  <w:style w:type="character" w:customStyle="1" w:styleId="139">
    <w:name w:val="样式8 Char"/>
    <w:qFormat/>
    <w:uiPriority w:val="0"/>
    <w:rPr>
      <w:rFonts w:ascii="仿宋_GB2312" w:hAnsi="宋体" w:eastAsia="仿宋_GB2312"/>
      <w:b/>
      <w:bCs/>
      <w:kern w:val="2"/>
      <w:sz w:val="24"/>
      <w:szCs w:val="24"/>
    </w:rPr>
  </w:style>
  <w:style w:type="character" w:customStyle="1" w:styleId="140">
    <w:name w:val="页脚 Char1"/>
    <w:qFormat/>
    <w:uiPriority w:val="0"/>
    <w:rPr>
      <w:rFonts w:eastAsia="宋体"/>
      <w:kern w:val="2"/>
      <w:sz w:val="18"/>
      <w:szCs w:val="18"/>
      <w:lang w:val="en-US" w:eastAsia="zh-CN" w:bidi="ar-SA"/>
    </w:rPr>
  </w:style>
  <w:style w:type="character" w:customStyle="1" w:styleId="141">
    <w:name w:val="myp11"/>
    <w:qFormat/>
    <w:uiPriority w:val="0"/>
    <w:rPr>
      <w:rFonts w:ascii="仿宋_GB2312" w:eastAsia="微软雅黑"/>
      <w:b/>
      <w:kern w:val="2"/>
      <w:sz w:val="32"/>
      <w:szCs w:val="32"/>
      <w:lang w:val="en-US" w:eastAsia="zh-CN" w:bidi="ar-SA"/>
    </w:rPr>
  </w:style>
  <w:style w:type="character" w:customStyle="1" w:styleId="142">
    <w:name w:val="tw4winTerm"/>
    <w:qFormat/>
    <w:uiPriority w:val="0"/>
    <w:rPr>
      <w:color w:val="0000FF"/>
    </w:rPr>
  </w:style>
  <w:style w:type="character" w:customStyle="1" w:styleId="143">
    <w:name w:val="标题 2 Char Char"/>
    <w:qFormat/>
    <w:uiPriority w:val="0"/>
    <w:rPr>
      <w:rFonts w:ascii="楷体_GB2312" w:hAnsi="Arial" w:eastAsia="楷体_GB2312"/>
      <w:b/>
      <w:bCs/>
      <w:kern w:val="2"/>
      <w:sz w:val="24"/>
      <w:szCs w:val="32"/>
      <w:lang w:val="en-US" w:eastAsia="zh-CN" w:bidi="ar-SA"/>
    </w:rPr>
  </w:style>
  <w:style w:type="character" w:customStyle="1" w:styleId="144">
    <w:name w:val="hei16b1"/>
    <w:qFormat/>
    <w:uiPriority w:val="0"/>
    <w:rPr>
      <w:rFonts w:hint="default" w:ascii="Arial" w:hAnsi="Arial" w:cs="Arial"/>
      <w:b/>
      <w:bCs/>
      <w:color w:val="000000"/>
      <w:sz w:val="24"/>
      <w:szCs w:val="24"/>
    </w:rPr>
  </w:style>
  <w:style w:type="character" w:customStyle="1" w:styleId="145">
    <w:name w:val="Heading 7 Char"/>
    <w:qFormat/>
    <w:locked/>
    <w:uiPriority w:val="0"/>
    <w:rPr>
      <w:rFonts w:ascii="宋体" w:hAnsi="宋体" w:eastAsia="宋体"/>
      <w:b/>
      <w:bCs/>
      <w:kern w:val="2"/>
      <w:sz w:val="24"/>
      <w:szCs w:val="24"/>
      <w:lang w:val="en-US" w:eastAsia="zh-CN" w:bidi="ar-SA"/>
    </w:rPr>
  </w:style>
  <w:style w:type="character" w:customStyle="1" w:styleId="146">
    <w:name w:val="Char Char6"/>
    <w:qFormat/>
    <w:uiPriority w:val="0"/>
    <w:rPr>
      <w:rFonts w:eastAsia="宋体"/>
      <w:kern w:val="2"/>
      <w:sz w:val="21"/>
      <w:szCs w:val="24"/>
      <w:lang w:val="en-US" w:eastAsia="zh-CN" w:bidi="ar-SA"/>
    </w:rPr>
  </w:style>
  <w:style w:type="character" w:customStyle="1" w:styleId="147">
    <w:name w:val="哈哈正文 Char"/>
    <w:link w:val="148"/>
    <w:qFormat/>
    <w:uiPriority w:val="0"/>
    <w:rPr>
      <w:rFonts w:ascii="宋体" w:hAnsi="宋体" w:eastAsia="宋体"/>
      <w:sz w:val="24"/>
    </w:rPr>
  </w:style>
  <w:style w:type="paragraph" w:customStyle="1" w:styleId="148">
    <w:name w:val="哈哈正文"/>
    <w:basedOn w:val="1"/>
    <w:link w:val="147"/>
    <w:qFormat/>
    <w:uiPriority w:val="0"/>
    <w:pPr>
      <w:spacing w:line="360" w:lineRule="auto"/>
      <w:ind w:firstLine="200" w:firstLineChars="200"/>
    </w:pPr>
    <w:rPr>
      <w:rFonts w:ascii="宋体" w:hAnsi="宋体" w:eastAsia="宋体"/>
      <w:sz w:val="24"/>
    </w:rPr>
  </w:style>
  <w:style w:type="character" w:customStyle="1" w:styleId="149">
    <w:name w:val="pt141"/>
    <w:qFormat/>
    <w:uiPriority w:val="0"/>
    <w:rPr>
      <w:color w:val="330066"/>
      <w:sz w:val="22"/>
      <w:szCs w:val="22"/>
    </w:rPr>
  </w:style>
  <w:style w:type="character" w:customStyle="1" w:styleId="150">
    <w:name w:val="普通文字 Char3"/>
    <w:qFormat/>
    <w:uiPriority w:val="0"/>
    <w:rPr>
      <w:rFonts w:ascii="宋体" w:hAnsi="Courier New" w:eastAsia="宋体"/>
      <w:kern w:val="2"/>
      <w:sz w:val="21"/>
      <w:lang w:val="en-US" w:eastAsia="zh-CN" w:bidi="ar-SA"/>
    </w:rPr>
  </w:style>
  <w:style w:type="character" w:customStyle="1" w:styleId="15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2">
    <w:name w:val="正文文本 Char1"/>
    <w:link w:val="2"/>
    <w:qFormat/>
    <w:uiPriority w:val="0"/>
    <w:rPr>
      <w:rFonts w:ascii="宋体" w:hAnsi="Arial" w:eastAsia="宋体" w:cs="Arial"/>
      <w:snapToGrid w:val="0"/>
      <w:sz w:val="24"/>
      <w:szCs w:val="21"/>
      <w:lang w:val="zh-CN"/>
    </w:rPr>
  </w:style>
  <w:style w:type="character" w:customStyle="1" w:styleId="153">
    <w:name w:val="正文2 Char"/>
    <w:qFormat/>
    <w:uiPriority w:val="0"/>
    <w:rPr>
      <w:rFonts w:eastAsia="宋体"/>
      <w:kern w:val="2"/>
      <w:sz w:val="24"/>
      <w:lang w:val="en-US" w:eastAsia="zh-CN" w:bidi="ar-SA"/>
    </w:rPr>
  </w:style>
  <w:style w:type="character" w:customStyle="1" w:styleId="154">
    <w:name w:val="普通文字 Char1"/>
    <w:qFormat/>
    <w:uiPriority w:val="0"/>
    <w:rPr>
      <w:rFonts w:ascii="宋体" w:hAnsi="Courier New" w:eastAsia="宋体"/>
      <w:kern w:val="2"/>
      <w:sz w:val="21"/>
      <w:lang w:val="en-US" w:eastAsia="zh-CN"/>
    </w:rPr>
  </w:style>
  <w:style w:type="character" w:customStyle="1" w:styleId="155">
    <w:name w:val="Header Char"/>
    <w:qFormat/>
    <w:locked/>
    <w:uiPriority w:val="0"/>
    <w:rPr>
      <w:rFonts w:eastAsia="宋体"/>
      <w:kern w:val="2"/>
      <w:sz w:val="18"/>
      <w:szCs w:val="18"/>
      <w:lang w:val="en-US" w:eastAsia="zh-CN" w:bidi="ar-SA"/>
    </w:rPr>
  </w:style>
  <w:style w:type="character" w:customStyle="1" w:styleId="156">
    <w:name w:val="Footer-Even Char1"/>
    <w:qFormat/>
    <w:uiPriority w:val="0"/>
    <w:rPr>
      <w:rFonts w:eastAsia="宋体"/>
      <w:kern w:val="2"/>
      <w:sz w:val="18"/>
      <w:szCs w:val="18"/>
      <w:lang w:val="en-US" w:eastAsia="zh-CN" w:bidi="ar-SA"/>
    </w:rPr>
  </w:style>
  <w:style w:type="character" w:customStyle="1" w:styleId="157">
    <w:name w:val="unnamed31"/>
    <w:qFormat/>
    <w:uiPriority w:val="0"/>
    <w:rPr>
      <w:rFonts w:ascii="Tahoma" w:hAnsi="Tahoma" w:eastAsia="宋体"/>
      <w:b/>
      <w:kern w:val="2"/>
      <w:sz w:val="24"/>
      <w:szCs w:val="32"/>
      <w:u w:val="none"/>
      <w:lang w:val="en-US" w:eastAsia="zh-CN" w:bidi="ar-SA"/>
    </w:rPr>
  </w:style>
  <w:style w:type="character" w:customStyle="1" w:styleId="158">
    <w:name w:val="纯文本 Char Char Char"/>
    <w:qFormat/>
    <w:uiPriority w:val="0"/>
    <w:rPr>
      <w:rFonts w:ascii="宋体" w:hAnsi="Courier New" w:eastAsia="宋体"/>
      <w:kern w:val="2"/>
      <w:sz w:val="21"/>
      <w:lang w:val="en-US" w:eastAsia="zh-CN" w:bidi="ar-SA"/>
    </w:rPr>
  </w:style>
  <w:style w:type="character" w:customStyle="1" w:styleId="159">
    <w:name w:val="Body Text(ch) Char Char"/>
    <w:qFormat/>
    <w:uiPriority w:val="0"/>
    <w:rPr>
      <w:rFonts w:ascii="宋体"/>
      <w:kern w:val="2"/>
      <w:sz w:val="24"/>
      <w:szCs w:val="21"/>
      <w:lang w:val="zh-CN"/>
    </w:rPr>
  </w:style>
  <w:style w:type="character" w:customStyle="1" w:styleId="160">
    <w:name w:val="插图说明 Char"/>
    <w:qFormat/>
    <w:uiPriority w:val="0"/>
    <w:rPr>
      <w:rFonts w:eastAsia="黑体"/>
      <w:sz w:val="24"/>
      <w:lang w:val="en-US" w:eastAsia="zh-CN"/>
    </w:rPr>
  </w:style>
  <w:style w:type="character" w:customStyle="1" w:styleId="161">
    <w:name w:val="tw4winExternal"/>
    <w:qFormat/>
    <w:uiPriority w:val="0"/>
    <w:rPr>
      <w:rFonts w:ascii="Courier New" w:hAnsi="Courier New" w:cs="Courier New"/>
      <w:color w:val="808080"/>
      <w:lang w:val="en-US" w:eastAsia="zh-CN"/>
    </w:rPr>
  </w:style>
  <w:style w:type="character" w:customStyle="1" w:styleId="162">
    <w:name w:val="font21"/>
    <w:qFormat/>
    <w:uiPriority w:val="0"/>
    <w:rPr>
      <w:rFonts w:hint="eastAsia" w:ascii="宋体" w:hAnsi="宋体" w:eastAsia="宋体"/>
      <w:kern w:val="2"/>
      <w:sz w:val="28"/>
      <w:szCs w:val="28"/>
      <w:lang w:val="en-US" w:eastAsia="zh-CN" w:bidi="ar-SA"/>
    </w:rPr>
  </w:style>
  <w:style w:type="character" w:customStyle="1" w:styleId="163">
    <w:name w:val="标书正文格式 Char"/>
    <w:qFormat/>
    <w:uiPriority w:val="0"/>
    <w:rPr>
      <w:rFonts w:eastAsia="楷体_GB2312"/>
      <w:kern w:val="2"/>
      <w:sz w:val="24"/>
      <w:szCs w:val="24"/>
      <w:lang w:bidi="ar-SA"/>
    </w:rPr>
  </w:style>
  <w:style w:type="character" w:customStyle="1" w:styleId="164">
    <w:name w:val="javascript"/>
    <w:qFormat/>
    <w:uiPriority w:val="0"/>
  </w:style>
  <w:style w:type="character" w:customStyle="1" w:styleId="165">
    <w:name w:val="Balloon Text Char"/>
    <w:qFormat/>
    <w:locked/>
    <w:uiPriority w:val="0"/>
    <w:rPr>
      <w:rFonts w:eastAsia="宋体"/>
      <w:kern w:val="2"/>
      <w:sz w:val="18"/>
      <w:szCs w:val="18"/>
      <w:lang w:val="en-US" w:eastAsia="zh-CN" w:bidi="ar-SA"/>
    </w:rPr>
  </w:style>
  <w:style w:type="character" w:customStyle="1" w:styleId="166">
    <w:name w:val="Char Char5"/>
    <w:qFormat/>
    <w:uiPriority w:val="0"/>
    <w:rPr>
      <w:rFonts w:ascii="宋体" w:hAnsi="Courier New" w:eastAsia="宋体"/>
      <w:kern w:val="2"/>
      <w:sz w:val="21"/>
      <w:lang w:val="en-US" w:eastAsia="zh-CN"/>
    </w:rPr>
  </w:style>
  <w:style w:type="character" w:customStyle="1" w:styleId="167">
    <w:name w:val="Char Char"/>
    <w:qFormat/>
    <w:uiPriority w:val="0"/>
    <w:rPr>
      <w:rFonts w:ascii="宋体" w:hAnsi="Courier New" w:eastAsia="宋体"/>
      <w:kern w:val="2"/>
      <w:sz w:val="21"/>
      <w:lang w:val="en-US" w:eastAsia="zh-CN" w:bidi="ar-SA"/>
    </w:rPr>
  </w:style>
  <w:style w:type="character" w:customStyle="1" w:styleId="168">
    <w:name w:val="mdeck"/>
    <w:qFormat/>
    <w:uiPriority w:val="0"/>
    <w:rPr>
      <w:rFonts w:ascii="仿宋_GB2312" w:eastAsia="微软雅黑"/>
      <w:b/>
      <w:kern w:val="2"/>
      <w:sz w:val="32"/>
      <w:szCs w:val="32"/>
      <w:lang w:val="en-US" w:eastAsia="zh-CN" w:bidi="ar-SA"/>
    </w:rPr>
  </w:style>
  <w:style w:type="character" w:customStyle="1" w:styleId="169">
    <w:name w:val="content"/>
    <w:qFormat/>
    <w:uiPriority w:val="0"/>
  </w:style>
  <w:style w:type="character" w:customStyle="1" w:styleId="170">
    <w:name w:val="Char Char3"/>
    <w:qFormat/>
    <w:uiPriority w:val="0"/>
    <w:rPr>
      <w:rFonts w:eastAsia="宋体"/>
      <w:kern w:val="2"/>
      <w:sz w:val="21"/>
      <w:szCs w:val="24"/>
      <w:lang w:val="en-US" w:eastAsia="zh-CN" w:bidi="ar-SA"/>
    </w:rPr>
  </w:style>
  <w:style w:type="character" w:customStyle="1" w:styleId="171">
    <w:name w:val="Char Char811"/>
    <w:qFormat/>
    <w:uiPriority w:val="0"/>
    <w:rPr>
      <w:rFonts w:eastAsia="宋体"/>
      <w:b/>
      <w:sz w:val="24"/>
      <w:lang w:val="en-GB" w:eastAsia="zh-CN"/>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标题4-dyf Char"/>
    <w:link w:val="175"/>
    <w:qFormat/>
    <w:uiPriority w:val="0"/>
    <w:rPr>
      <w:rFonts w:ascii="Cambria" w:hAnsi="Cambria"/>
      <w:b/>
      <w:bCs/>
      <w:color w:val="000000"/>
      <w:szCs w:val="21"/>
    </w:rPr>
  </w:style>
  <w:style w:type="paragraph" w:customStyle="1" w:styleId="175">
    <w:name w:val="标题4-dyf"/>
    <w:basedOn w:val="6"/>
    <w:link w:val="174"/>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6">
    <w:name w:val="标题 3 Char2"/>
    <w:qFormat/>
    <w:uiPriority w:val="0"/>
    <w:rPr>
      <w:rFonts w:eastAsia="宋体"/>
      <w:b/>
      <w:bCs/>
      <w:kern w:val="2"/>
      <w:sz w:val="32"/>
      <w:szCs w:val="32"/>
      <w:lang w:val="en-US" w:eastAsia="zh-CN" w:bidi="ar-SA"/>
    </w:rPr>
  </w:style>
  <w:style w:type="character" w:customStyle="1" w:styleId="177">
    <w:name w:val="gray6"/>
    <w:basedOn w:val="69"/>
    <w:qFormat/>
    <w:uiPriority w:val="0"/>
    <w:rPr>
      <w:rFonts w:ascii="Arial" w:hAnsi="Arial" w:eastAsia="黑体" w:cs="Arial"/>
      <w:snapToGrid w:val="0"/>
      <w:kern w:val="0"/>
      <w:szCs w:val="21"/>
    </w:rPr>
  </w:style>
  <w:style w:type="character" w:customStyle="1" w:styleId="178">
    <w:name w:val="正文首行缩进两字 Char"/>
    <w:qFormat/>
    <w:uiPriority w:val="0"/>
    <w:rPr>
      <w:sz w:val="24"/>
      <w:szCs w:val="24"/>
      <w:lang w:val="en-US" w:eastAsia="zh-CN" w:bidi="ar-SA"/>
    </w:rPr>
  </w:style>
  <w:style w:type="character" w:customStyle="1" w:styleId="179">
    <w:name w:val="Char Char511"/>
    <w:qFormat/>
    <w:uiPriority w:val="0"/>
    <w:rPr>
      <w:rFonts w:ascii="宋体" w:hAnsi="Courier New" w:eastAsia="宋体"/>
      <w:kern w:val="2"/>
      <w:sz w:val="21"/>
      <w:lang w:val="en-US" w:eastAsia="zh-CN"/>
    </w:rPr>
  </w:style>
  <w:style w:type="character" w:customStyle="1" w:styleId="180">
    <w:name w:val="带编号样式 Char"/>
    <w:qFormat/>
    <w:uiPriority w:val="0"/>
    <w:rPr>
      <w:rFonts w:ascii="仿宋_GB2312" w:eastAsia="仿宋_GB2312"/>
      <w:color w:val="000000"/>
      <w:sz w:val="24"/>
      <w:lang w:bidi="ar-SA"/>
    </w:rPr>
  </w:style>
  <w:style w:type="character" w:customStyle="1" w:styleId="181">
    <w:name w:val="Footer-Even Char"/>
    <w:qFormat/>
    <w:uiPriority w:val="0"/>
    <w:rPr>
      <w:rFonts w:eastAsia="宋体"/>
      <w:kern w:val="2"/>
      <w:sz w:val="18"/>
      <w:lang w:val="en-US" w:eastAsia="zh-CN" w:bidi="ar-SA"/>
    </w:rPr>
  </w:style>
  <w:style w:type="character" w:customStyle="1" w:styleId="182">
    <w:name w:val="样式4 Char"/>
    <w:qFormat/>
    <w:uiPriority w:val="0"/>
    <w:rPr>
      <w:rFonts w:ascii="仿宋_GB2312" w:hAnsi="仿宋" w:eastAsia="仿宋_GB2312"/>
      <w:b/>
      <w:kern w:val="2"/>
      <w:sz w:val="32"/>
      <w:szCs w:val="32"/>
      <w:lang w:bidi="ar-SA"/>
    </w:rPr>
  </w:style>
  <w:style w:type="character" w:customStyle="1" w:styleId="183">
    <w:name w:val="样式 标题 4h4H4Fab-4T5Ref Heading 1rh1Heading sqlsect 1.2.3.... Char"/>
    <w:link w:val="184"/>
    <w:qFormat/>
    <w:uiPriority w:val="0"/>
    <w:rPr>
      <w:rFonts w:ascii="微软雅黑" w:hAnsi="微软雅黑" w:eastAsia="微软雅黑"/>
      <w:b/>
      <w:bCs/>
      <w:sz w:val="24"/>
      <w:szCs w:val="28"/>
    </w:rPr>
  </w:style>
  <w:style w:type="paragraph" w:customStyle="1" w:styleId="184">
    <w:name w:val="样式 标题 4h4H4Fab-4T5Ref Heading 1rh1Heading sqlsect 1.2.3...."/>
    <w:basedOn w:val="6"/>
    <w:link w:val="183"/>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5">
    <w:name w:val="dandyren_title1"/>
    <w:qFormat/>
    <w:uiPriority w:val="0"/>
    <w:rPr>
      <w:b/>
      <w:bCs/>
      <w:color w:val="FF6633"/>
      <w:sz w:val="18"/>
      <w:szCs w:val="18"/>
    </w:rPr>
  </w:style>
  <w:style w:type="character" w:customStyle="1" w:styleId="186">
    <w:name w:val="普通文字 Char Char1"/>
    <w:qFormat/>
    <w:uiPriority w:val="0"/>
    <w:rPr>
      <w:rFonts w:ascii="宋体" w:hAnsi="Courier New"/>
      <w:kern w:val="2"/>
      <w:sz w:val="21"/>
    </w:rPr>
  </w:style>
  <w:style w:type="character" w:customStyle="1" w:styleId="187">
    <w:name w:val="PI Char"/>
    <w:qFormat/>
    <w:uiPriority w:val="0"/>
    <w:rPr>
      <w:rFonts w:ascii="宋体" w:hAnsi="宋体" w:eastAsia="宋体"/>
      <w:kern w:val="2"/>
      <w:sz w:val="24"/>
      <w:szCs w:val="24"/>
      <w:lang w:val="en-US" w:eastAsia="zh-CN" w:bidi="ar-SA"/>
    </w:rPr>
  </w:style>
  <w:style w:type="character" w:customStyle="1" w:styleId="188">
    <w:name w:val="Char Char11"/>
    <w:qFormat/>
    <w:locked/>
    <w:uiPriority w:val="0"/>
    <w:rPr>
      <w:rFonts w:ascii="宋体" w:hAnsi="宋体" w:eastAsia="宋体"/>
      <w:b/>
      <w:kern w:val="2"/>
      <w:sz w:val="24"/>
      <w:szCs w:val="24"/>
      <w:lang w:val="en-US" w:eastAsia="zh-CN" w:bidi="ar-SA"/>
    </w:rPr>
  </w:style>
  <w:style w:type="character" w:customStyle="1" w:styleId="18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0">
    <w:name w:val="Document Map Char"/>
    <w:qFormat/>
    <w:locked/>
    <w:uiPriority w:val="0"/>
    <w:rPr>
      <w:rFonts w:eastAsia="宋体"/>
      <w:kern w:val="2"/>
      <w:sz w:val="21"/>
      <w:szCs w:val="24"/>
      <w:lang w:val="en-US" w:eastAsia="zh-CN" w:bidi="ar-SA"/>
    </w:rPr>
  </w:style>
  <w:style w:type="character" w:customStyle="1" w:styleId="191">
    <w:name w:val="文本正文 Char Char"/>
    <w:qFormat/>
    <w:locked/>
    <w:uiPriority w:val="0"/>
    <w:rPr>
      <w:sz w:val="24"/>
      <w:lang w:bidi="ar-SA"/>
    </w:rPr>
  </w:style>
  <w:style w:type="character" w:customStyle="1" w:styleId="192">
    <w:name w:val="样式7 Char"/>
    <w:qFormat/>
    <w:uiPriority w:val="0"/>
    <w:rPr>
      <w:rFonts w:ascii="仿宋_GB2312" w:hAnsi="仿宋" w:eastAsia="仿宋_GB2312"/>
      <w:b/>
      <w:kern w:val="2"/>
      <w:sz w:val="24"/>
      <w:szCs w:val="24"/>
    </w:rPr>
  </w:style>
  <w:style w:type="character" w:customStyle="1" w:styleId="193">
    <w:name w:val="样式3 Char"/>
    <w:basedOn w:val="194"/>
    <w:qFormat/>
    <w:uiPriority w:val="0"/>
    <w:rPr>
      <w:rFonts w:ascii="仿宋_GB2312" w:hAnsi="仿宋" w:eastAsia="仿宋_GB2312" w:cs="仿宋_GB2312"/>
      <w:sz w:val="32"/>
      <w:szCs w:val="30"/>
      <w:lang w:val="zh-CN"/>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二级标题 Char Char"/>
    <w:qFormat/>
    <w:uiPriority w:val="0"/>
    <w:rPr>
      <w:rFonts w:ascii="宋体" w:hAnsi="宋体" w:eastAsia="宋体"/>
      <w:b/>
      <w:snapToGrid w:val="0"/>
      <w:kern w:val="2"/>
      <w:sz w:val="24"/>
      <w:szCs w:val="24"/>
      <w:lang w:val="en-US" w:eastAsia="zh-CN" w:bidi="ar-SA"/>
    </w:rPr>
  </w:style>
  <w:style w:type="character" w:customStyle="1" w:styleId="196">
    <w:name w:val="Table Text Char1"/>
    <w:qFormat/>
    <w:uiPriority w:val="0"/>
    <w:rPr>
      <w:rFonts w:eastAsia="宋体"/>
      <w:sz w:val="24"/>
      <w:szCs w:val="24"/>
      <w:lang w:val="en-US" w:eastAsia="zh-CN" w:bidi="ar-SA"/>
    </w:rPr>
  </w:style>
  <w:style w:type="character" w:customStyle="1" w:styleId="197">
    <w:name w:val="shadow11"/>
    <w:qFormat/>
    <w:uiPriority w:val="0"/>
    <w:rPr>
      <w:color w:val="000000"/>
      <w:sz w:val="21"/>
    </w:rPr>
  </w:style>
  <w:style w:type="character" w:customStyle="1" w:styleId="198">
    <w:name w:val="Char Char212"/>
    <w:qFormat/>
    <w:uiPriority w:val="0"/>
    <w:rPr>
      <w:rFonts w:eastAsia="宋体"/>
      <w:b/>
      <w:bCs/>
      <w:kern w:val="2"/>
      <w:sz w:val="21"/>
      <w:szCs w:val="24"/>
      <w:lang w:val="en-US" w:eastAsia="zh-CN" w:bidi="ar-SA"/>
    </w:rPr>
  </w:style>
  <w:style w:type="character" w:customStyle="1" w:styleId="199">
    <w:name w:val="h3 Char1"/>
    <w:qFormat/>
    <w:uiPriority w:val="0"/>
    <w:rPr>
      <w:rFonts w:eastAsia="宋体"/>
      <w:b/>
      <w:bCs/>
      <w:kern w:val="2"/>
      <w:sz w:val="32"/>
      <w:szCs w:val="32"/>
      <w:lang w:bidi="ar-SA"/>
    </w:rPr>
  </w:style>
  <w:style w:type="character" w:customStyle="1" w:styleId="200">
    <w:name w:val="FA正文 Char Char"/>
    <w:qFormat/>
    <w:uiPriority w:val="0"/>
    <w:rPr>
      <w:rFonts w:hAnsi="宋体"/>
      <w:kern w:val="2"/>
      <w:sz w:val="24"/>
      <w:lang w:bidi="ar-SA"/>
    </w:rPr>
  </w:style>
  <w:style w:type="character" w:customStyle="1" w:styleId="201">
    <w:name w:val="首行缩进 Char"/>
    <w:qFormat/>
    <w:uiPriority w:val="0"/>
    <w:rPr>
      <w:rFonts w:ascii="宋体" w:eastAsia="宋体"/>
      <w:kern w:val="2"/>
      <w:sz w:val="24"/>
      <w:lang w:val="en-US" w:eastAsia="zh-CN" w:bidi="ar-SA"/>
    </w:rPr>
  </w:style>
  <w:style w:type="character" w:customStyle="1" w:styleId="202">
    <w:name w:val="Char Char7"/>
    <w:semiHidden/>
    <w:qFormat/>
    <w:uiPriority w:val="0"/>
    <w:rPr>
      <w:rFonts w:eastAsia="宋体"/>
      <w:kern w:val="2"/>
      <w:sz w:val="21"/>
      <w:szCs w:val="24"/>
      <w:lang w:val="en-US" w:eastAsia="zh-CN" w:bidi="ar-SA"/>
    </w:rPr>
  </w:style>
  <w:style w:type="character" w:customStyle="1" w:styleId="203">
    <w:name w:val="hui"/>
    <w:basedOn w:val="69"/>
    <w:qFormat/>
    <w:uiPriority w:val="0"/>
    <w:rPr>
      <w:rFonts w:ascii="Arial" w:hAnsi="Arial" w:eastAsia="黑体" w:cs="Arial"/>
      <w:snapToGrid w:val="0"/>
      <w:kern w:val="0"/>
      <w:szCs w:val="21"/>
    </w:rPr>
  </w:style>
  <w:style w:type="character" w:customStyle="1" w:styleId="204">
    <w:name w:val="正文缩进 Char"/>
    <w:qFormat/>
    <w:uiPriority w:val="0"/>
    <w:rPr>
      <w:rFonts w:eastAsia="宋体"/>
      <w:kern w:val="2"/>
      <w:sz w:val="21"/>
      <w:lang w:val="en-US" w:eastAsia="zh-CN"/>
    </w:rPr>
  </w:style>
  <w:style w:type="character" w:customStyle="1" w:styleId="205">
    <w:name w:val="正文1 Char"/>
    <w:qFormat/>
    <w:uiPriority w:val="0"/>
    <w:rPr>
      <w:rFonts w:ascii="宋体" w:eastAsia="宋体"/>
      <w:snapToGrid w:val="0"/>
      <w:color w:val="000000"/>
      <w:kern w:val="28"/>
      <w:sz w:val="28"/>
      <w:lang w:val="en-US" w:eastAsia="zh-CN" w:bidi="ar-SA"/>
    </w:rPr>
  </w:style>
  <w:style w:type="character" w:customStyle="1" w:styleId="206">
    <w:name w:val="Char Char611"/>
    <w:qFormat/>
    <w:uiPriority w:val="0"/>
    <w:rPr>
      <w:rFonts w:eastAsia="宋体"/>
      <w:kern w:val="2"/>
      <w:sz w:val="21"/>
      <w:szCs w:val="24"/>
      <w:lang w:val="en-US" w:eastAsia="zh-CN" w:bidi="ar-SA"/>
    </w:rPr>
  </w:style>
  <w:style w:type="character" w:customStyle="1" w:styleId="207">
    <w:name w:val="message1"/>
    <w:qFormat/>
    <w:uiPriority w:val="0"/>
    <w:rPr>
      <w:rFonts w:hint="default" w:ascii="Tahoma" w:hAnsi="Tahoma" w:cs="Tahoma"/>
      <w:sz w:val="18"/>
      <w:szCs w:val="18"/>
    </w:rPr>
  </w:style>
  <w:style w:type="character" w:customStyle="1" w:styleId="208">
    <w:name w:val="Heading 2 Hidden Char"/>
    <w:qFormat/>
    <w:uiPriority w:val="0"/>
    <w:rPr>
      <w:rFonts w:ascii="仿宋_GB2312" w:eastAsia="仿宋_GB2312"/>
      <w:b/>
      <w:bCs/>
      <w:kern w:val="2"/>
      <w:sz w:val="24"/>
      <w:szCs w:val="24"/>
      <w:lang w:val="zh-CN" w:eastAsia="zh-CN" w:bidi="ar-SA"/>
    </w:rPr>
  </w:style>
  <w:style w:type="character" w:customStyle="1" w:styleId="209">
    <w:name w:val="DO_NOT_TRANSLATE"/>
    <w:qFormat/>
    <w:uiPriority w:val="0"/>
    <w:rPr>
      <w:rFonts w:ascii="Courier New" w:hAnsi="Courier New" w:cs="Courier New"/>
      <w:color w:val="800000"/>
      <w:lang w:val="en-US" w:eastAsia="zh-CN"/>
    </w:rPr>
  </w:style>
  <w:style w:type="character" w:customStyle="1" w:styleId="210">
    <w:name w:val="unnamed11"/>
    <w:qFormat/>
    <w:uiPriority w:val="0"/>
    <w:rPr>
      <w:sz w:val="20"/>
      <w:szCs w:val="20"/>
    </w:rPr>
  </w:style>
  <w:style w:type="character" w:customStyle="1" w:styleId="211">
    <w:name w:val="tw4winInternal"/>
    <w:qFormat/>
    <w:uiPriority w:val="0"/>
    <w:rPr>
      <w:rFonts w:ascii="Courier New" w:hAnsi="Courier New" w:cs="Courier New"/>
      <w:color w:val="FF0000"/>
      <w:lang w:val="en-US" w:eastAsia="zh-CN"/>
    </w:rPr>
  </w:style>
  <w:style w:type="character" w:customStyle="1" w:styleId="212">
    <w:name w:val="正文（缩进2汉字） Char"/>
    <w:link w:val="213"/>
    <w:qFormat/>
    <w:uiPriority w:val="0"/>
    <w:rPr>
      <w:rFonts w:ascii="宋体"/>
    </w:rPr>
  </w:style>
  <w:style w:type="paragraph" w:customStyle="1" w:styleId="213">
    <w:name w:val="正文（缩进2汉字）"/>
    <w:basedOn w:val="1"/>
    <w:link w:val="21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4">
    <w:name w:val="正文缩进 Char1"/>
    <w:qFormat/>
    <w:uiPriority w:val="0"/>
    <w:rPr>
      <w:rFonts w:ascii="宋体" w:eastAsia="宋体"/>
      <w:snapToGrid w:val="0"/>
      <w:color w:val="000000"/>
      <w:kern w:val="28"/>
      <w:sz w:val="28"/>
      <w:lang w:val="en-US" w:eastAsia="zh-CN" w:bidi="ar-SA"/>
    </w:rPr>
  </w:style>
  <w:style w:type="character" w:customStyle="1" w:styleId="215">
    <w:name w:val="style36"/>
    <w:basedOn w:val="69"/>
    <w:qFormat/>
    <w:uiPriority w:val="0"/>
    <w:rPr>
      <w:rFonts w:ascii="Arial" w:hAnsi="Arial" w:eastAsia="黑体" w:cs="Arial"/>
      <w:snapToGrid w:val="0"/>
      <w:kern w:val="0"/>
      <w:szCs w:val="21"/>
    </w:rPr>
  </w:style>
  <w:style w:type="character" w:customStyle="1" w:styleId="216">
    <w:name w:val="hui3"/>
    <w:qFormat/>
    <w:uiPriority w:val="0"/>
    <w:rPr>
      <w:color w:val="333333"/>
    </w:rPr>
  </w:style>
  <w:style w:type="character" w:customStyle="1" w:styleId="217">
    <w:name w:val="方案正文 Char"/>
    <w:qFormat/>
    <w:uiPriority w:val="0"/>
    <w:rPr>
      <w:rFonts w:ascii="仿宋_GB2312" w:eastAsia="仿宋_GB2312"/>
      <w:b/>
      <w:color w:val="000000"/>
      <w:kern w:val="2"/>
      <w:sz w:val="24"/>
      <w:lang w:val="en-US" w:eastAsia="zh-CN" w:bidi="ar-SA"/>
    </w:rPr>
  </w:style>
  <w:style w:type="character" w:customStyle="1" w:styleId="218">
    <w:name w:val="apple-converted-space"/>
    <w:qFormat/>
    <w:uiPriority w:val="0"/>
  </w:style>
  <w:style w:type="character" w:customStyle="1" w:styleId="219">
    <w:name w:val="正文非缩进 Char3"/>
    <w:qFormat/>
    <w:uiPriority w:val="0"/>
    <w:rPr>
      <w:rFonts w:ascii="宋体" w:eastAsia="宋体"/>
      <w:snapToGrid w:val="0"/>
      <w:color w:val="000000"/>
      <w:kern w:val="28"/>
      <w:sz w:val="28"/>
      <w:lang w:val="en-US" w:eastAsia="zh-CN" w:bidi="ar-SA"/>
    </w:rPr>
  </w:style>
  <w:style w:type="character" w:customStyle="1" w:styleId="220">
    <w:name w:val="dectext1"/>
    <w:qFormat/>
    <w:uiPriority w:val="0"/>
    <w:rPr>
      <w:rFonts w:ascii="宋体" w:hAnsi="宋体" w:eastAsia="宋体"/>
      <w:color w:val="333333"/>
      <w:sz w:val="21"/>
      <w:szCs w:val="21"/>
      <w:u w:val="none"/>
    </w:rPr>
  </w:style>
  <w:style w:type="character" w:customStyle="1" w:styleId="221">
    <w:name w:val="t21"/>
    <w:qFormat/>
    <w:uiPriority w:val="0"/>
    <w:rPr>
      <w:rFonts w:ascii="仿宋_GB2312" w:eastAsia="微软雅黑"/>
      <w:b/>
      <w:kern w:val="2"/>
      <w:sz w:val="23"/>
      <w:szCs w:val="23"/>
      <w:lang w:val="en-US" w:eastAsia="zh-CN" w:bidi="ar-SA"/>
    </w:rPr>
  </w:style>
  <w:style w:type="character" w:customStyle="1" w:styleId="222">
    <w:name w:val="副标题 Char1"/>
    <w:qFormat/>
    <w:uiPriority w:val="11"/>
    <w:rPr>
      <w:rFonts w:ascii="Cambria" w:hAnsi="Cambria" w:eastAsia="宋体" w:cs="Times New Roman"/>
      <w:b/>
      <w:bCs/>
      <w:snapToGrid w:val="0"/>
      <w:kern w:val="28"/>
      <w:sz w:val="32"/>
      <w:szCs w:val="32"/>
    </w:rPr>
  </w:style>
  <w:style w:type="character" w:customStyle="1" w:styleId="223">
    <w:name w:val="px14"/>
    <w:qFormat/>
    <w:uiPriority w:val="0"/>
    <w:rPr>
      <w:rFonts w:ascii="仿宋_GB2312" w:eastAsia="微软雅黑" w:cs="Times New Roman"/>
      <w:b/>
      <w:kern w:val="2"/>
      <w:sz w:val="32"/>
      <w:szCs w:val="32"/>
      <w:lang w:val="en-US" w:eastAsia="zh-CN" w:bidi="ar-SA"/>
    </w:rPr>
  </w:style>
  <w:style w:type="character" w:customStyle="1" w:styleId="224">
    <w:name w:val="Normal Indent Char Char"/>
    <w:qFormat/>
    <w:uiPriority w:val="0"/>
    <w:rPr>
      <w:rFonts w:eastAsia="宋体"/>
      <w:kern w:val="2"/>
      <w:sz w:val="21"/>
      <w:lang w:val="en-US" w:eastAsia="zh-CN" w:bidi="ar-SA"/>
    </w:rPr>
  </w:style>
  <w:style w:type="character" w:customStyle="1" w:styleId="225">
    <w:name w:val="f141"/>
    <w:qFormat/>
    <w:uiPriority w:val="0"/>
    <w:rPr>
      <w:rFonts w:ascii="Tahoma" w:hAnsi="Tahoma" w:eastAsia="宋体"/>
      <w:b/>
      <w:kern w:val="2"/>
      <w:sz w:val="21"/>
      <w:szCs w:val="21"/>
      <w:lang w:val="en-US" w:eastAsia="zh-CN" w:bidi="ar-SA"/>
    </w:rPr>
  </w:style>
  <w:style w:type="character" w:customStyle="1" w:styleId="226">
    <w:name w:val="myp1111"/>
    <w:qFormat/>
    <w:uiPriority w:val="0"/>
    <w:rPr>
      <w:rFonts w:hint="default" w:ascii="ˎ̥" w:hAnsi="ˎ̥"/>
      <w:color w:val="000000"/>
      <w:sz w:val="20"/>
      <w:szCs w:val="20"/>
      <w:u w:val="none"/>
    </w:rPr>
  </w:style>
  <w:style w:type="character" w:customStyle="1" w:styleId="227">
    <w:name w:val="标书1 Char"/>
    <w:qFormat/>
    <w:uiPriority w:val="0"/>
    <w:rPr>
      <w:rFonts w:eastAsia="宋体"/>
      <w:b/>
      <w:bCs/>
      <w:kern w:val="44"/>
      <w:sz w:val="44"/>
      <w:szCs w:val="44"/>
      <w:lang w:val="en-US" w:eastAsia="zh-CN" w:bidi="ar-SA"/>
    </w:rPr>
  </w:style>
  <w:style w:type="character" w:customStyle="1" w:styleId="228">
    <w:name w:val="链接"/>
    <w:qFormat/>
    <w:uiPriority w:val="0"/>
    <w:rPr>
      <w:color w:val="0000FF"/>
      <w:sz w:val="21"/>
      <w:szCs w:val="21"/>
      <w:u w:val="single"/>
    </w:rPr>
  </w:style>
  <w:style w:type="character" w:customStyle="1" w:styleId="229">
    <w:name w:val="正文首行缩进 Char Char Char Char Char Char"/>
    <w:qFormat/>
    <w:uiPriority w:val="0"/>
    <w:rPr>
      <w:rFonts w:ascii="宋体" w:eastAsia="宋体"/>
      <w:kern w:val="2"/>
      <w:sz w:val="24"/>
      <w:lang w:val="zh-CN" w:bidi="ar-SA"/>
    </w:rPr>
  </w:style>
  <w:style w:type="character" w:customStyle="1" w:styleId="230">
    <w:name w:val="正文2 Char Char"/>
    <w:link w:val="231"/>
    <w:qFormat/>
    <w:uiPriority w:val="0"/>
    <w:rPr>
      <w:rFonts w:eastAsia="宋体"/>
      <w:sz w:val="24"/>
    </w:rPr>
  </w:style>
  <w:style w:type="paragraph" w:customStyle="1" w:styleId="231">
    <w:name w:val="正文2"/>
    <w:basedOn w:val="1"/>
    <w:link w:val="230"/>
    <w:qFormat/>
    <w:uiPriority w:val="0"/>
    <w:pPr>
      <w:adjustRightInd w:val="0"/>
      <w:spacing w:before="156" w:line="360" w:lineRule="auto"/>
      <w:ind w:firstLine="510" w:firstLineChars="200"/>
    </w:pPr>
    <w:rPr>
      <w:rFonts w:eastAsia="宋体"/>
      <w:sz w:val="24"/>
    </w:rPr>
  </w:style>
  <w:style w:type="character" w:customStyle="1" w:styleId="232">
    <w:name w:val="tw4winError"/>
    <w:qFormat/>
    <w:uiPriority w:val="0"/>
    <w:rPr>
      <w:rFonts w:ascii="Courier New" w:hAnsi="Courier New" w:cs="Courier New"/>
      <w:color w:val="00FF00"/>
      <w:sz w:val="40"/>
      <w:szCs w:val="40"/>
    </w:rPr>
  </w:style>
  <w:style w:type="character" w:customStyle="1" w:styleId="233">
    <w:name w:val="正文1 Char1"/>
    <w:qFormat/>
    <w:uiPriority w:val="0"/>
    <w:rPr>
      <w:rFonts w:ascii="仿宋_GB2312" w:hAnsi="Courier New" w:eastAsia="仿宋_GB2312"/>
      <w:kern w:val="28"/>
      <w:sz w:val="24"/>
      <w:szCs w:val="24"/>
      <w:lang w:val="en-US" w:eastAsia="zh-CN"/>
    </w:rPr>
  </w:style>
  <w:style w:type="character" w:customStyle="1" w:styleId="234">
    <w:name w:val="Used by Word for text of Help footnotes Char Char"/>
    <w:qFormat/>
    <w:uiPriority w:val="0"/>
    <w:rPr>
      <w:rFonts w:ascii="Times New Roman" w:hAnsi="Times New Roman" w:eastAsia="宋体" w:cs="Times New Roman"/>
      <w:sz w:val="20"/>
      <w:szCs w:val="20"/>
    </w:rPr>
  </w:style>
  <w:style w:type="character" w:customStyle="1" w:styleId="235">
    <w:name w:val="c7 style3"/>
    <w:qFormat/>
    <w:uiPriority w:val="0"/>
  </w:style>
  <w:style w:type="character" w:customStyle="1" w:styleId="236">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7">
    <w:name w:val="表正文 Char"/>
    <w:qFormat/>
    <w:uiPriority w:val="0"/>
    <w:rPr>
      <w:rFonts w:ascii="宋体" w:eastAsia="宋体"/>
      <w:snapToGrid w:val="0"/>
      <w:color w:val="000000"/>
      <w:kern w:val="28"/>
      <w:sz w:val="28"/>
      <w:lang w:val="en-US" w:eastAsia="zh-CN" w:bidi="ar-SA"/>
    </w:rPr>
  </w:style>
  <w:style w:type="character" w:customStyle="1" w:styleId="238">
    <w:name w:val="普通文字 Char1 Char"/>
    <w:qFormat/>
    <w:uiPriority w:val="0"/>
    <w:rPr>
      <w:rFonts w:ascii="宋体" w:hAnsi="Courier New" w:eastAsia="宋体"/>
      <w:kern w:val="2"/>
      <w:sz w:val="21"/>
      <w:szCs w:val="24"/>
      <w:lang w:val="en-US" w:eastAsia="zh-CN" w:bidi="ar-SA"/>
    </w:rPr>
  </w:style>
  <w:style w:type="character" w:customStyle="1" w:styleId="239">
    <w:name w:val="pt9"/>
    <w:qFormat/>
    <w:uiPriority w:val="0"/>
    <w:rPr>
      <w:rFonts w:ascii="仿宋_GB2312" w:eastAsia="微软雅黑"/>
      <w:b/>
      <w:kern w:val="2"/>
      <w:sz w:val="32"/>
      <w:szCs w:val="32"/>
      <w:lang w:val="en-US" w:eastAsia="zh-CN" w:bidi="ar-SA"/>
    </w:rPr>
  </w:style>
  <w:style w:type="character" w:customStyle="1" w:styleId="240">
    <w:name w:val="表正文 Char1"/>
    <w:qFormat/>
    <w:uiPriority w:val="0"/>
    <w:rPr>
      <w:rFonts w:ascii="宋体" w:eastAsia="宋体"/>
      <w:snapToGrid w:val="0"/>
      <w:color w:val="000000"/>
      <w:kern w:val="28"/>
      <w:sz w:val="28"/>
    </w:rPr>
  </w:style>
  <w:style w:type="character" w:customStyle="1" w:styleId="241">
    <w:name w:val="正文非缩进 Char"/>
    <w:qFormat/>
    <w:uiPriority w:val="0"/>
    <w:rPr>
      <w:rFonts w:ascii="宋体" w:eastAsia="宋体"/>
      <w:snapToGrid w:val="0"/>
      <w:color w:val="000000"/>
      <w:kern w:val="28"/>
      <w:sz w:val="28"/>
      <w:lang w:val="en-US" w:eastAsia="zh-CN" w:bidi="ar-SA"/>
    </w:rPr>
  </w:style>
  <w:style w:type="character" w:customStyle="1" w:styleId="242">
    <w:name w:val="冯广丽 Char"/>
    <w:link w:val="243"/>
    <w:qFormat/>
    <w:uiPriority w:val="0"/>
    <w:rPr>
      <w:rFonts w:ascii="宋体" w:hAnsi="宋体"/>
      <w:sz w:val="24"/>
    </w:rPr>
  </w:style>
  <w:style w:type="paragraph" w:customStyle="1" w:styleId="243">
    <w:name w:val="冯广丽"/>
    <w:basedOn w:val="1"/>
    <w:link w:val="242"/>
    <w:qFormat/>
    <w:uiPriority w:val="0"/>
    <w:pPr>
      <w:spacing w:line="360" w:lineRule="auto"/>
      <w:ind w:firstLine="480" w:firstLineChars="200"/>
    </w:pPr>
    <w:rPr>
      <w:rFonts w:ascii="宋体" w:hAnsi="宋体"/>
      <w:sz w:val="24"/>
    </w:rPr>
  </w:style>
  <w:style w:type="character" w:customStyle="1" w:styleId="244">
    <w:name w:val="large1"/>
    <w:qFormat/>
    <w:uiPriority w:val="0"/>
    <w:rPr>
      <w:rFonts w:hint="eastAsia" w:ascii="宋体" w:hAnsi="宋体" w:eastAsia="宋体"/>
      <w:sz w:val="21"/>
      <w:szCs w:val="21"/>
    </w:rPr>
  </w:style>
  <w:style w:type="character" w:customStyle="1" w:styleId="245">
    <w:name w:val="样式 样式 标题 4h4H4Fab-4T5Ref Heading 1rh1Heading sqlsect 1.2.3.... +... Char"/>
    <w:link w:val="246"/>
    <w:qFormat/>
    <w:uiPriority w:val="0"/>
    <w:rPr>
      <w:rFonts w:ascii="微软雅黑" w:hAnsi="微软雅黑" w:eastAsia="微软雅黑"/>
      <w:b/>
      <w:bCs/>
      <w:sz w:val="24"/>
      <w:szCs w:val="28"/>
    </w:rPr>
  </w:style>
  <w:style w:type="paragraph" w:customStyle="1" w:styleId="246">
    <w:name w:val="样式 样式 标题 4h4H4Fab-4T5Ref Heading 1rh1Heading sqlsect 1.2.3.... +..."/>
    <w:basedOn w:val="184"/>
    <w:link w:val="245"/>
    <w:qFormat/>
    <w:uiPriority w:val="0"/>
  </w:style>
  <w:style w:type="character" w:customStyle="1" w:styleId="247">
    <w:name w:val="标题 1 Char Char"/>
    <w:qFormat/>
    <w:uiPriority w:val="0"/>
    <w:rPr>
      <w:rFonts w:hint="eastAsia" w:ascii="宋体" w:hAnsi="宋体" w:eastAsia="宋体"/>
      <w:b/>
      <w:spacing w:val="-2"/>
      <w:sz w:val="24"/>
      <w:lang w:val="en-US" w:eastAsia="zh-CN" w:bidi="ar-SA"/>
    </w:rPr>
  </w:style>
  <w:style w:type="character" w:customStyle="1" w:styleId="248">
    <w:name w:val="标题 4 Char1"/>
    <w:qFormat/>
    <w:uiPriority w:val="0"/>
    <w:rPr>
      <w:rFonts w:ascii="Cambria" w:hAnsi="Cambria" w:eastAsia="宋体" w:cs="Times New Roman"/>
      <w:b/>
      <w:bCs/>
      <w:kern w:val="2"/>
      <w:sz w:val="28"/>
      <w:szCs w:val="28"/>
    </w:rPr>
  </w:style>
  <w:style w:type="character" w:customStyle="1" w:styleId="249">
    <w:name w:val="zbggmain style9"/>
    <w:qFormat/>
    <w:uiPriority w:val="0"/>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tw4winPopup"/>
    <w:qFormat/>
    <w:uiPriority w:val="0"/>
    <w:rPr>
      <w:rFonts w:ascii="Courier New" w:hAnsi="Courier New" w:cs="Courier New"/>
      <w:color w:val="008000"/>
      <w:lang w:val="en-US" w:eastAsia="zh-CN"/>
    </w:rPr>
  </w:style>
  <w:style w:type="character" w:customStyle="1" w:styleId="252">
    <w:name w:val="样式 宋体"/>
    <w:qFormat/>
    <w:uiPriority w:val="0"/>
    <w:rPr>
      <w:rFonts w:ascii="宋体" w:hAnsi="宋体"/>
      <w:sz w:val="24"/>
    </w:rPr>
  </w:style>
  <w:style w:type="character" w:customStyle="1" w:styleId="253">
    <w:name w:val="正文缩进 Char2"/>
    <w:link w:val="16"/>
    <w:qFormat/>
    <w:uiPriority w:val="0"/>
    <w:rPr>
      <w:rFonts w:ascii="宋体" w:eastAsia="宋体"/>
      <w:snapToGrid w:val="0"/>
      <w:color w:val="000000"/>
      <w:kern w:val="28"/>
      <w:sz w:val="28"/>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批注文字 Char1"/>
    <w:qFormat/>
    <w:uiPriority w:val="99"/>
    <w:rPr>
      <w:kern w:val="2"/>
      <w:sz w:val="21"/>
      <w:szCs w:val="24"/>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Footer Char"/>
    <w:qFormat/>
    <w:locked/>
    <w:uiPriority w:val="0"/>
    <w:rPr>
      <w:rFonts w:eastAsia="宋体"/>
      <w:kern w:val="2"/>
      <w:sz w:val="18"/>
      <w:lang w:val="en-US" w:eastAsia="zh-CN" w:bidi="ar-SA"/>
    </w:rPr>
  </w:style>
  <w:style w:type="character" w:customStyle="1" w:styleId="258">
    <w:name w:val="Char Char411"/>
    <w:qFormat/>
    <w:uiPriority w:val="0"/>
    <w:rPr>
      <w:rFonts w:eastAsia="宋体"/>
      <w:b/>
      <w:sz w:val="24"/>
      <w:lang w:val="en-GB" w:eastAsia="zh-CN" w:bidi="ar-SA"/>
    </w:rPr>
  </w:style>
  <w:style w:type="character" w:customStyle="1" w:styleId="259">
    <w:name w:val="Char Char911"/>
    <w:qFormat/>
    <w:uiPriority w:val="0"/>
    <w:rPr>
      <w:rFonts w:eastAsia="宋体"/>
      <w:kern w:val="2"/>
      <w:sz w:val="18"/>
      <w:szCs w:val="18"/>
      <w:lang w:val="en-US" w:eastAsia="zh-CN" w:bidi="ar-SA"/>
    </w:rPr>
  </w:style>
  <w:style w:type="character" w:customStyle="1" w:styleId="260">
    <w:name w:val="列出段落 Char"/>
    <w:qFormat/>
    <w:uiPriority w:val="0"/>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spacing w:line="360" w:lineRule="auto"/>
      <w:ind w:firstLine="480" w:firstLineChars="200"/>
    </w:pPr>
    <w:rPr>
      <w:rFonts w:ascii="宋体" w:hAnsi="宋体"/>
      <w:color w:val="000000"/>
      <w:sz w:val="24"/>
      <w:szCs w:val="24"/>
    </w:rPr>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md"/>
    <w:basedOn w:val="69"/>
    <w:qFormat/>
    <w:uiPriority w:val="0"/>
    <w:rPr>
      <w:rFonts w:ascii="Arial" w:hAnsi="Arial" w:eastAsia="黑体" w:cs="Arial"/>
      <w:snapToGrid w:val="0"/>
      <w:kern w:val="0"/>
      <w:szCs w:val="21"/>
    </w:rPr>
  </w:style>
  <w:style w:type="character" w:customStyle="1" w:styleId="268">
    <w:name w:val="样式5 Char"/>
    <w:qFormat/>
    <w:uiPriority w:val="0"/>
    <w:rPr>
      <w:rFonts w:ascii="仿宋_GB2312" w:hAnsi="仿宋" w:eastAsia="仿宋_GB2312"/>
      <w:kern w:val="2"/>
      <w:sz w:val="24"/>
      <w:szCs w:val="24"/>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lang w:val="en-US" w:eastAsia="zh-CN"/>
    </w:rPr>
  </w:style>
  <w:style w:type="character" w:customStyle="1" w:styleId="273">
    <w:name w:val="Item List Char"/>
    <w:link w:val="274"/>
    <w:qFormat/>
    <w:uiPriority w:val="0"/>
    <w:rPr>
      <w:rFonts w:ascii="Arial"/>
      <w:bCs/>
      <w:szCs w:val="21"/>
    </w:rPr>
  </w:style>
  <w:style w:type="paragraph" w:customStyle="1" w:styleId="274">
    <w:name w:val="Item List"/>
    <w:link w:val="273"/>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5">
    <w:name w:val="Char Char1211"/>
    <w:qFormat/>
    <w:uiPriority w:val="0"/>
    <w:rPr>
      <w:rFonts w:ascii="仿宋_GB2312" w:eastAsia="仿宋_GB2312"/>
      <w:b/>
      <w:bCs/>
      <w:kern w:val="2"/>
      <w:sz w:val="24"/>
      <w:szCs w:val="24"/>
      <w:lang w:val="zh-CN" w:eastAsia="zh-CN" w:bidi="ar-SA"/>
    </w:rPr>
  </w:style>
  <w:style w:type="character" w:customStyle="1" w:styleId="276">
    <w:name w:val="签名 Char1"/>
    <w:basedOn w:val="69"/>
    <w:qFormat/>
    <w:uiPriority w:val="99"/>
    <w:rPr>
      <w:rFonts w:ascii="Times New Roman" w:hAnsi="Times New Roman" w:eastAsia="宋体" w:cs="Times New Roman"/>
      <w:szCs w:val="24"/>
    </w:rPr>
  </w:style>
  <w:style w:type="character" w:customStyle="1" w:styleId="277">
    <w:name w:val="HTML 预设格式 Char1"/>
    <w:basedOn w:val="69"/>
    <w:qFormat/>
    <w:uiPriority w:val="99"/>
    <w:rPr>
      <w:rFonts w:ascii="Courier New" w:hAnsi="Courier New" w:eastAsia="宋体" w:cs="Courier New"/>
      <w:sz w:val="20"/>
      <w:szCs w:val="20"/>
    </w:rPr>
  </w:style>
  <w:style w:type="character" w:customStyle="1" w:styleId="278">
    <w:name w:val="正文文本 2 Char1"/>
    <w:basedOn w:val="69"/>
    <w:link w:val="54"/>
    <w:qFormat/>
    <w:uiPriority w:val="0"/>
    <w:rPr>
      <w:rFonts w:ascii="Times New Roman" w:hAnsi="Times New Roman" w:eastAsia="宋体" w:cs="Times New Roman"/>
      <w:szCs w:val="24"/>
      <w:lang w:val="zh-CN"/>
    </w:rPr>
  </w:style>
  <w:style w:type="character" w:customStyle="1" w:styleId="279">
    <w:name w:val="副标题 Char2"/>
    <w:basedOn w:val="69"/>
    <w:qFormat/>
    <w:uiPriority w:val="0"/>
    <w:rPr>
      <w:rFonts w:eastAsia="宋体" w:asciiTheme="majorHAnsi" w:hAnsiTheme="majorHAnsi" w:cstheme="majorBidi"/>
      <w:b/>
      <w:bCs/>
      <w:kern w:val="28"/>
      <w:sz w:val="32"/>
      <w:szCs w:val="32"/>
    </w:rPr>
  </w:style>
  <w:style w:type="character" w:customStyle="1" w:styleId="280">
    <w:name w:val="纯文本 Char1"/>
    <w:basedOn w:val="69"/>
    <w:link w:val="281"/>
    <w:qFormat/>
    <w:uiPriority w:val="0"/>
    <w:rPr>
      <w:rFonts w:ascii="宋体" w:hAnsi="Courier New" w:eastAsia="宋体" w:cs="Courier New"/>
      <w:szCs w:val="21"/>
    </w:rPr>
  </w:style>
  <w:style w:type="paragraph" w:customStyle="1" w:styleId="281">
    <w:name w:val="纯文本1"/>
    <w:basedOn w:val="1"/>
    <w:link w:val="280"/>
    <w:qFormat/>
    <w:uiPriority w:val="0"/>
    <w:rPr>
      <w:rFonts w:ascii="宋体" w:hAnsi="Courier New" w:eastAsia="宋体" w:cs="Courier New"/>
      <w:szCs w:val="21"/>
    </w:rPr>
  </w:style>
  <w:style w:type="character" w:customStyle="1" w:styleId="282">
    <w:name w:val="HTML 地址 Char1"/>
    <w:basedOn w:val="69"/>
    <w:qFormat/>
    <w:uiPriority w:val="99"/>
    <w:rPr>
      <w:rFonts w:ascii="Times New Roman" w:hAnsi="Times New Roman" w:eastAsia="宋体" w:cs="Times New Roman"/>
      <w:i/>
      <w:iCs/>
      <w:szCs w:val="24"/>
    </w:rPr>
  </w:style>
  <w:style w:type="character" w:customStyle="1" w:styleId="283">
    <w:name w:val="正文文本缩进 3 Char1"/>
    <w:basedOn w:val="69"/>
    <w:semiHidden/>
    <w:qFormat/>
    <w:uiPriority w:val="99"/>
    <w:rPr>
      <w:rFonts w:ascii="Times New Roman" w:hAnsi="Times New Roman" w:eastAsia="宋体" w:cs="Times New Roman"/>
      <w:sz w:val="16"/>
      <w:szCs w:val="16"/>
    </w:rPr>
  </w:style>
  <w:style w:type="character" w:customStyle="1" w:styleId="284">
    <w:name w:val="正文文本 3 Char1"/>
    <w:basedOn w:val="69"/>
    <w:semiHidden/>
    <w:qFormat/>
    <w:uiPriority w:val="99"/>
    <w:rPr>
      <w:rFonts w:ascii="Times New Roman" w:hAnsi="Times New Roman" w:eastAsia="宋体" w:cs="Times New Roman"/>
      <w:sz w:val="16"/>
      <w:szCs w:val="16"/>
    </w:rPr>
  </w:style>
  <w:style w:type="character" w:customStyle="1" w:styleId="285">
    <w:name w:val="脚注文本 Char1"/>
    <w:basedOn w:val="69"/>
    <w:qFormat/>
    <w:uiPriority w:val="99"/>
    <w:rPr>
      <w:rFonts w:ascii="Times New Roman" w:hAnsi="Times New Roman" w:eastAsia="宋体" w:cs="Times New Roman"/>
      <w:sz w:val="18"/>
      <w:szCs w:val="18"/>
    </w:rPr>
  </w:style>
  <w:style w:type="character" w:customStyle="1" w:styleId="286">
    <w:name w:val="正文文本缩进 Char2"/>
    <w:basedOn w:val="69"/>
    <w:link w:val="24"/>
    <w:qFormat/>
    <w:uiPriority w:val="0"/>
    <w:rPr>
      <w:rFonts w:ascii="Times New Roman" w:hAnsi="Times New Roman" w:eastAsia="宋体" w:cs="Times New Roman"/>
      <w:szCs w:val="24"/>
    </w:rPr>
  </w:style>
  <w:style w:type="character" w:customStyle="1" w:styleId="287">
    <w:name w:val="正文首行缩进 2 Char1"/>
    <w:basedOn w:val="286"/>
    <w:qFormat/>
    <w:uiPriority w:val="99"/>
    <w:rPr>
      <w:rFonts w:ascii="Times New Roman" w:hAnsi="Times New Roman" w:eastAsia="宋体" w:cs="Times New Roman"/>
      <w:szCs w:val="24"/>
    </w:rPr>
  </w:style>
  <w:style w:type="character" w:customStyle="1" w:styleId="288">
    <w:name w:val="批注文字 Char2"/>
    <w:basedOn w:val="69"/>
    <w:link w:val="20"/>
    <w:qFormat/>
    <w:uiPriority w:val="99"/>
    <w:rPr>
      <w:rFonts w:ascii="Times New Roman" w:hAnsi="Times New Roman" w:eastAsia="宋体" w:cs="Times New Roman"/>
      <w:szCs w:val="24"/>
    </w:rPr>
  </w:style>
  <w:style w:type="character" w:customStyle="1" w:styleId="289">
    <w:name w:val="批注主题 Char1"/>
    <w:basedOn w:val="288"/>
    <w:link w:val="59"/>
    <w:qFormat/>
    <w:uiPriority w:val="0"/>
    <w:rPr>
      <w:rFonts w:ascii="Times New Roman" w:hAnsi="Times New Roman" w:eastAsia="宋体" w:cs="Times New Roman"/>
      <w:b/>
      <w:bCs/>
      <w:szCs w:val="24"/>
      <w:lang w:val="zh-CN"/>
    </w:rPr>
  </w:style>
  <w:style w:type="character" w:customStyle="1" w:styleId="290">
    <w:name w:val="日期 Char1"/>
    <w:basedOn w:val="69"/>
    <w:semiHidden/>
    <w:qFormat/>
    <w:uiPriority w:val="99"/>
    <w:rPr>
      <w:rFonts w:ascii="Times New Roman" w:hAnsi="Times New Roman" w:eastAsia="宋体" w:cs="Times New Roman"/>
      <w:szCs w:val="24"/>
    </w:rPr>
  </w:style>
  <w:style w:type="character" w:customStyle="1" w:styleId="291">
    <w:name w:val="称呼 Char1"/>
    <w:basedOn w:val="69"/>
    <w:qFormat/>
    <w:uiPriority w:val="99"/>
    <w:rPr>
      <w:rFonts w:ascii="Times New Roman" w:hAnsi="Times New Roman" w:eastAsia="宋体" w:cs="Times New Roman"/>
      <w:szCs w:val="24"/>
    </w:rPr>
  </w:style>
  <w:style w:type="character" w:customStyle="1" w:styleId="292">
    <w:name w:val="正文文本 Char2"/>
    <w:basedOn w:val="69"/>
    <w:semiHidden/>
    <w:qFormat/>
    <w:uiPriority w:val="99"/>
    <w:rPr>
      <w:rFonts w:ascii="Times New Roman" w:hAnsi="Times New Roman" w:eastAsia="宋体" w:cs="Times New Roman"/>
      <w:szCs w:val="24"/>
    </w:rPr>
  </w:style>
  <w:style w:type="character" w:customStyle="1" w:styleId="293">
    <w:name w:val="文档结构图 Char1"/>
    <w:basedOn w:val="69"/>
    <w:link w:val="19"/>
    <w:qFormat/>
    <w:uiPriority w:val="0"/>
    <w:rPr>
      <w:rFonts w:ascii="Times New Roman" w:hAnsi="Times New Roman" w:eastAsia="宋体" w:cs="Times New Roman"/>
      <w:szCs w:val="24"/>
      <w:shd w:val="clear" w:color="auto" w:fill="000080"/>
      <w:lang w:val="zh-CN"/>
    </w:rPr>
  </w:style>
  <w:style w:type="character" w:customStyle="1" w:styleId="294">
    <w:name w:val="标题 Char1"/>
    <w:basedOn w:val="69"/>
    <w:link w:val="58"/>
    <w:qFormat/>
    <w:uiPriority w:val="0"/>
    <w:rPr>
      <w:rFonts w:ascii="Times New Roman" w:hAnsi="Times New Roman" w:eastAsia="宋体" w:cs="Times New Roman"/>
      <w:b/>
      <w:kern w:val="0"/>
      <w:sz w:val="24"/>
      <w:szCs w:val="20"/>
      <w:lang w:val="en-GB"/>
    </w:rPr>
  </w:style>
  <w:style w:type="character" w:customStyle="1" w:styleId="295">
    <w:name w:val="正文首行缩进 Char1"/>
    <w:basedOn w:val="292"/>
    <w:semiHidden/>
    <w:qFormat/>
    <w:uiPriority w:val="99"/>
    <w:rPr>
      <w:rFonts w:ascii="Times New Roman" w:hAnsi="Times New Roman" w:eastAsia="宋体" w:cs="Times New Roman"/>
      <w:szCs w:val="24"/>
    </w:rPr>
  </w:style>
  <w:style w:type="character" w:customStyle="1" w:styleId="296">
    <w:name w:val="批注框文本 Char1"/>
    <w:basedOn w:val="69"/>
    <w:semiHidden/>
    <w:qFormat/>
    <w:uiPriority w:val="99"/>
    <w:rPr>
      <w:rFonts w:ascii="Times New Roman" w:hAnsi="Times New Roman" w:eastAsia="宋体" w:cs="Times New Roman"/>
      <w:sz w:val="18"/>
      <w:szCs w:val="18"/>
    </w:rPr>
  </w:style>
  <w:style w:type="character" w:customStyle="1" w:styleId="297">
    <w:name w:val="正文文本缩进 2 Char1"/>
    <w:basedOn w:val="69"/>
    <w:semiHidden/>
    <w:qFormat/>
    <w:uiPriority w:val="99"/>
    <w:rPr>
      <w:rFonts w:ascii="Times New Roman" w:hAnsi="Times New Roman" w:eastAsia="宋体" w:cs="Times New Roman"/>
      <w:szCs w:val="24"/>
    </w:rPr>
  </w:style>
  <w:style w:type="paragraph" w:customStyle="1" w:styleId="298">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29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300">
    <w:name w:val="4"/>
    <w:basedOn w:val="1"/>
    <w:next w:val="36"/>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1">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2">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4">
    <w:name w:val="默认段落样式"/>
    <w:basedOn w:val="231"/>
    <w:qFormat/>
    <w:uiPriority w:val="0"/>
    <w:pPr>
      <w:spacing w:before="0"/>
      <w:ind w:firstLine="480"/>
      <w:outlineLvl w:val="2"/>
    </w:pPr>
    <w:rPr>
      <w:rFonts w:ascii="仿宋_GB2312" w:hAnsi="宋体" w:eastAsia="仿宋_GB2312"/>
      <w:color w:val="000000"/>
      <w:szCs w:val="24"/>
    </w:rPr>
  </w:style>
  <w:style w:type="paragraph" w:customStyle="1" w:styleId="305">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6">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8">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09">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1">
    <w:name w:val="文章标题"/>
    <w:next w:val="31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12">
    <w:name w:val="封面公司名"/>
    <w:qFormat/>
    <w:uiPriority w:val="0"/>
    <w:pPr>
      <w:jc w:val="center"/>
    </w:pPr>
    <w:rPr>
      <w:rFonts w:ascii="Arial" w:hAnsi="Arial" w:eastAsia="楷体_GB2312" w:cs="宋体"/>
      <w:bCs/>
      <w:kern w:val="2"/>
      <w:sz w:val="28"/>
      <w:lang w:val="en-US" w:eastAsia="zh-CN" w:bidi="ar-SA"/>
    </w:rPr>
  </w:style>
  <w:style w:type="paragraph" w:customStyle="1" w:styleId="31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4">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6">
    <w:name w:val="模板普通正文"/>
    <w:basedOn w:val="24"/>
    <w:qFormat/>
    <w:uiPriority w:val="0"/>
    <w:pPr>
      <w:adjustRightInd/>
      <w:spacing w:beforeLines="50" w:after="10" w:line="360" w:lineRule="auto"/>
      <w:ind w:left="0" w:leftChars="0" w:firstLine="175" w:firstLineChars="175"/>
      <w:jc w:val="left"/>
    </w:pPr>
    <w:rPr>
      <w:sz w:val="24"/>
      <w:lang w:val="zh-CN"/>
    </w:rPr>
  </w:style>
  <w:style w:type="paragraph" w:customStyle="1" w:styleId="317">
    <w:name w:val="trademark"/>
    <w:qFormat/>
    <w:uiPriority w:val="0"/>
    <w:pPr>
      <w:spacing w:after="60"/>
    </w:pPr>
    <w:rPr>
      <w:rFonts w:ascii="Futura Bk" w:hAnsi="Futura Bk" w:eastAsia="宋体" w:cs="Times New Roman"/>
      <w:sz w:val="15"/>
      <w:lang w:val="en-US" w:eastAsia="en-US" w:bidi="ar-SA"/>
    </w:rPr>
  </w:style>
  <w:style w:type="paragraph" w:customStyle="1" w:styleId="31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9">
    <w:name w:val="Char3"/>
    <w:basedOn w:val="1"/>
    <w:qFormat/>
    <w:uiPriority w:val="0"/>
    <w:rPr>
      <w:rFonts w:ascii="仿宋_GB2312" w:hAnsi="Times New Roman" w:eastAsia="仿宋_GB2312" w:cs="Times New Roman"/>
      <w:b/>
      <w:sz w:val="32"/>
      <w:szCs w:val="32"/>
    </w:rPr>
  </w:style>
  <w:style w:type="paragraph" w:customStyle="1" w:styleId="320">
    <w:name w:val="默认段落字体 Para Char"/>
    <w:basedOn w:val="1"/>
    <w:qFormat/>
    <w:uiPriority w:val="0"/>
    <w:pPr>
      <w:adjustRightInd w:val="0"/>
    </w:pPr>
    <w:rPr>
      <w:rFonts w:ascii="Tahoma" w:hAnsi="Tahoma" w:eastAsia="宋体" w:cs="Times New Roman"/>
      <w:sz w:val="24"/>
      <w:szCs w:val="20"/>
    </w:rPr>
  </w:style>
  <w:style w:type="paragraph" w:customStyle="1" w:styleId="321">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2">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4">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5">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6">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7">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8">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9">
    <w:name w:val="正文缩进1"/>
    <w:basedOn w:val="1"/>
    <w:next w:val="24"/>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0">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1">
    <w:name w:val="Char311"/>
    <w:basedOn w:val="1"/>
    <w:qFormat/>
    <w:uiPriority w:val="0"/>
    <w:pPr>
      <w:ind w:firstLine="200" w:firstLineChars="200"/>
    </w:pPr>
    <w:rPr>
      <w:rFonts w:ascii="Tahoma" w:hAnsi="Tahoma" w:eastAsia="宋体" w:cs="Times New Roman"/>
      <w:sz w:val="24"/>
      <w:szCs w:val="20"/>
    </w:rPr>
  </w:style>
  <w:style w:type="paragraph" w:customStyle="1" w:styleId="3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3">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5">
    <w:name w:val="彩色列表 - 强调文字颜色 11"/>
    <w:basedOn w:val="1"/>
    <w:qFormat/>
    <w:uiPriority w:val="0"/>
    <w:pPr>
      <w:ind w:firstLine="420" w:firstLineChars="200"/>
    </w:pPr>
    <w:rPr>
      <w:rFonts w:ascii="Calibri" w:hAnsi="Calibri" w:eastAsia="宋体" w:cs="Times New Roman"/>
    </w:rPr>
  </w:style>
  <w:style w:type="paragraph" w:customStyle="1" w:styleId="336">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7">
    <w:name w:val="MM Topic 3"/>
    <w:basedOn w:val="5"/>
    <w:qFormat/>
    <w:uiPriority w:val="0"/>
    <w:pPr>
      <w:numPr>
        <w:numId w:val="5"/>
      </w:numPr>
      <w:tabs>
        <w:tab w:val="left" w:pos="840"/>
        <w:tab w:val="left" w:pos="1680"/>
      </w:tabs>
      <w:adjustRightInd/>
    </w:pPr>
  </w:style>
  <w:style w:type="paragraph" w:customStyle="1" w:styleId="338">
    <w:name w:val="Normal0"/>
    <w:qFormat/>
    <w:uiPriority w:val="0"/>
    <w:rPr>
      <w:rFonts w:ascii="Times New Roman" w:hAnsi="Times New Roman" w:eastAsia="宋体" w:cs="Times New Roman"/>
      <w:lang w:val="en-US" w:eastAsia="en-US" w:bidi="ar-SA"/>
    </w:rPr>
  </w:style>
  <w:style w:type="paragraph" w:customStyle="1" w:styleId="33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0">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2">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5">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6">
    <w:name w:val="Char2"/>
    <w:basedOn w:val="1"/>
    <w:qFormat/>
    <w:uiPriority w:val="0"/>
    <w:pPr>
      <w:adjustRightInd w:val="0"/>
    </w:pPr>
    <w:rPr>
      <w:rFonts w:ascii="仿宋_GB2312" w:hAnsi="Times New Roman" w:eastAsia="仿宋_GB2312" w:cs="Times New Roman"/>
      <w:b/>
      <w:sz w:val="32"/>
      <w:szCs w:val="32"/>
    </w:rPr>
  </w:style>
  <w:style w:type="paragraph" w:customStyle="1" w:styleId="347">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8">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49">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350">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1">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2">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3">
    <w:name w:val="Char Char Char"/>
    <w:basedOn w:val="1"/>
    <w:qFormat/>
    <w:uiPriority w:val="0"/>
    <w:pPr>
      <w:adjustRightInd w:val="0"/>
    </w:pPr>
    <w:rPr>
      <w:rFonts w:ascii="Tahoma" w:hAnsi="Tahoma" w:eastAsia="宋体" w:cs="Times New Roman"/>
      <w:sz w:val="24"/>
      <w:szCs w:val="20"/>
    </w:rPr>
  </w:style>
  <w:style w:type="paragraph" w:customStyle="1" w:styleId="354">
    <w:name w:val="MM Topic 4"/>
    <w:basedOn w:val="6"/>
    <w:qFormat/>
    <w:uiPriority w:val="0"/>
    <w:pPr>
      <w:numPr>
        <w:numId w:val="5"/>
      </w:numPr>
      <w:tabs>
        <w:tab w:val="left" w:pos="840"/>
        <w:tab w:val="left" w:pos="2100"/>
        <w:tab w:val="clear" w:pos="864"/>
      </w:tabs>
      <w:adjustRightInd/>
    </w:pPr>
    <w:rPr>
      <w:lang w:val="en-US"/>
    </w:rPr>
  </w:style>
  <w:style w:type="paragraph" w:customStyle="1" w:styleId="355">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6">
    <w:name w:val="MM Topic 2"/>
    <w:basedOn w:val="4"/>
    <w:qFormat/>
    <w:uiPriority w:val="0"/>
    <w:pPr>
      <w:numPr>
        <w:ilvl w:val="1"/>
        <w:numId w:val="5"/>
      </w:numPr>
    </w:pPr>
    <w:rPr>
      <w:rFonts w:ascii="Arial" w:hAnsi="Arial" w:eastAsia="黑体"/>
      <w:lang w:val="en-US"/>
    </w:rPr>
  </w:style>
  <w:style w:type="paragraph" w:customStyle="1" w:styleId="357">
    <w:name w:val="表格标题2"/>
    <w:basedOn w:val="358"/>
    <w:qFormat/>
    <w:uiPriority w:val="0"/>
    <w:rPr>
      <w:b/>
    </w:rPr>
  </w:style>
  <w:style w:type="paragraph" w:customStyle="1" w:styleId="358">
    <w:name w:val="表格内文"/>
    <w:basedOn w:val="1"/>
    <w:qFormat/>
    <w:uiPriority w:val="0"/>
    <w:pPr>
      <w:spacing w:line="360" w:lineRule="auto"/>
    </w:pPr>
    <w:rPr>
      <w:rFonts w:ascii="宋体" w:hAnsi="宋体" w:eastAsia="宋体" w:cs="宋体"/>
      <w:color w:val="000000"/>
      <w:szCs w:val="20"/>
    </w:rPr>
  </w:style>
  <w:style w:type="paragraph" w:customStyle="1" w:styleId="359">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0">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1">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2">
    <w:name w:val="Char Char Char Char Char Char Char Char Char Char Char1 Char"/>
    <w:basedOn w:val="1"/>
    <w:qFormat/>
    <w:uiPriority w:val="0"/>
    <w:rPr>
      <w:rFonts w:ascii="Tahoma" w:hAnsi="Tahoma" w:eastAsia="宋体" w:cs="Times New Roman"/>
      <w:sz w:val="24"/>
      <w:szCs w:val="24"/>
    </w:rPr>
  </w:style>
  <w:style w:type="paragraph" w:customStyle="1" w:styleId="363">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4">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5">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6">
    <w:name w:val="Char"/>
    <w:basedOn w:val="1"/>
    <w:qFormat/>
    <w:uiPriority w:val="0"/>
    <w:pPr>
      <w:adjustRightInd w:val="0"/>
    </w:pPr>
    <w:rPr>
      <w:rFonts w:ascii="仿宋_GB2312" w:hAnsi="Times New Roman" w:eastAsia="仿宋_GB2312" w:cs="Times New Roman"/>
      <w:b/>
      <w:sz w:val="32"/>
      <w:szCs w:val="32"/>
    </w:rPr>
  </w:style>
  <w:style w:type="paragraph" w:customStyle="1" w:styleId="367">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68">
    <w:name w:val="正文（首行缩进）"/>
    <w:basedOn w:val="24"/>
    <w:qFormat/>
    <w:uiPriority w:val="0"/>
    <w:pPr>
      <w:widowControl/>
      <w:tabs>
        <w:tab w:val="left" w:pos="840"/>
      </w:tabs>
      <w:overflowPunct w:val="0"/>
      <w:autoSpaceDE w:val="0"/>
      <w:autoSpaceDN w:val="0"/>
      <w:spacing w:beforeLines="50" w:line="400" w:lineRule="exact"/>
      <w:ind w:left="200" w:firstLine="200" w:firstLineChars="200"/>
      <w:jc w:val="left"/>
      <w:textAlignment w:val="baseline"/>
    </w:pPr>
    <w:rPr>
      <w:spacing w:val="10"/>
      <w:kern w:val="0"/>
      <w:sz w:val="24"/>
      <w:szCs w:val="20"/>
      <w:lang w:val="zh-CN"/>
    </w:rPr>
  </w:style>
  <w:style w:type="paragraph" w:customStyle="1" w:styleId="36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0">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1">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3">
    <w:name w:val="正文1"/>
    <w:basedOn w:val="31"/>
    <w:link w:val="878"/>
    <w:qFormat/>
    <w:uiPriority w:val="0"/>
    <w:pPr>
      <w:ind w:left="0" w:leftChars="0" w:firstLine="480" w:firstLineChars="200"/>
    </w:pPr>
    <w:rPr>
      <w:rFonts w:ascii="仿宋_GB2312" w:hAnsi="Courier New" w:eastAsia="仿宋_GB2312"/>
      <w:kern w:val="28"/>
      <w:sz w:val="24"/>
    </w:rPr>
  </w:style>
  <w:style w:type="paragraph" w:customStyle="1" w:styleId="3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5">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7">
    <w:name w:val="样式 正文文本缩进 + 左侧:  2 字符 首行缩进:  2 字符"/>
    <w:basedOn w:val="24"/>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8">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79">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0">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1">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3">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4">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7">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8">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89">
    <w:name w:val="列出段落2"/>
    <w:basedOn w:val="1"/>
    <w:qFormat/>
    <w:uiPriority w:val="0"/>
    <w:pPr>
      <w:ind w:firstLine="420" w:firstLineChars="200"/>
    </w:pPr>
    <w:rPr>
      <w:rFonts w:ascii="宋体" w:hAnsi="宋体" w:eastAsia="宋体" w:cs="Times New Roman"/>
      <w:sz w:val="24"/>
      <w:szCs w:val="24"/>
    </w:rPr>
  </w:style>
  <w:style w:type="paragraph" w:customStyle="1" w:styleId="390">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1">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2">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4">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6">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7">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8">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9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表文字"/>
    <w:qFormat/>
    <w:uiPriority w:val="0"/>
    <w:rPr>
      <w:rFonts w:ascii="宋体" w:hAnsi="Times New Roman" w:eastAsia="宋体" w:cs="Times New Roman"/>
      <w:kern w:val="2"/>
      <w:lang w:val="en-US" w:eastAsia="zh-CN" w:bidi="ar-SA"/>
    </w:rPr>
  </w:style>
  <w:style w:type="paragraph" w:customStyle="1" w:styleId="401">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2">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3">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4">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5">
    <w:name w:val="数字标题5"/>
    <w:basedOn w:val="7"/>
    <w:next w:val="1"/>
    <w:qFormat/>
    <w:uiPriority w:val="0"/>
    <w:pPr>
      <w:numPr>
        <w:numId w:val="6"/>
      </w:numPr>
      <w:tabs>
        <w:tab w:val="left" w:pos="480"/>
        <w:tab w:val="left" w:pos="1080"/>
      </w:tabs>
    </w:pPr>
  </w:style>
  <w:style w:type="paragraph" w:customStyle="1" w:styleId="406">
    <w:name w:val="Char1111"/>
    <w:basedOn w:val="1"/>
    <w:qFormat/>
    <w:uiPriority w:val="0"/>
    <w:pPr>
      <w:adjustRightInd w:val="0"/>
    </w:pPr>
    <w:rPr>
      <w:rFonts w:ascii="仿宋_GB2312" w:hAnsi="Times New Roman" w:eastAsia="仿宋_GB2312" w:cs="Times New Roman"/>
      <w:b/>
      <w:sz w:val="32"/>
      <w:szCs w:val="32"/>
    </w:rPr>
  </w:style>
  <w:style w:type="paragraph" w:customStyle="1" w:styleId="407">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40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09">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410">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1">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2">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3">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4">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5">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6">
    <w:name w:val="Char1 Char Char Char3"/>
    <w:basedOn w:val="1"/>
    <w:qFormat/>
    <w:uiPriority w:val="0"/>
    <w:pPr>
      <w:ind w:firstLine="200" w:firstLineChars="200"/>
    </w:pPr>
    <w:rPr>
      <w:rFonts w:ascii="Tahoma" w:hAnsi="Tahoma" w:eastAsia="宋体" w:cs="Times New Roman"/>
      <w:sz w:val="24"/>
      <w:szCs w:val="20"/>
    </w:rPr>
  </w:style>
  <w:style w:type="paragraph" w:customStyle="1" w:styleId="4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8">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19">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0">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1">
    <w:name w:val="MM Topic 5"/>
    <w:basedOn w:val="7"/>
    <w:qFormat/>
    <w:uiPriority w:val="0"/>
    <w:pPr>
      <w:numPr>
        <w:numId w:val="5"/>
      </w:numPr>
      <w:tabs>
        <w:tab w:val="left" w:pos="840"/>
        <w:tab w:val="left" w:pos="2520"/>
      </w:tabs>
      <w:adjustRightInd/>
    </w:pPr>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4">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5">
    <w:name w:val="Char1 Char Char Char2"/>
    <w:basedOn w:val="1"/>
    <w:qFormat/>
    <w:uiPriority w:val="0"/>
    <w:pPr>
      <w:ind w:firstLine="200" w:firstLineChars="200"/>
    </w:pPr>
    <w:rPr>
      <w:rFonts w:ascii="Tahoma" w:hAnsi="Tahoma" w:eastAsia="宋体" w:cs="Times New Roman"/>
      <w:sz w:val="24"/>
      <w:szCs w:val="20"/>
    </w:rPr>
  </w:style>
  <w:style w:type="paragraph" w:customStyle="1" w:styleId="426">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7">
    <w:name w:val="Char1 Char Char Char"/>
    <w:basedOn w:val="1"/>
    <w:qFormat/>
    <w:uiPriority w:val="0"/>
    <w:pPr>
      <w:adjustRightInd w:val="0"/>
    </w:pPr>
    <w:rPr>
      <w:rFonts w:ascii="Tahoma" w:hAnsi="Tahoma" w:eastAsia="宋体" w:cs="Times New Roman"/>
      <w:sz w:val="24"/>
      <w:szCs w:val="20"/>
    </w:rPr>
  </w:style>
  <w:style w:type="paragraph" w:customStyle="1" w:styleId="428">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9">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430">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1">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3">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5">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6">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7">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8">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39">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0">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3">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4">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5">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6">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7">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8">
    <w:name w:val="正文文字 2"/>
    <w:basedOn w:val="449"/>
    <w:next w:val="449"/>
    <w:qFormat/>
    <w:uiPriority w:val="0"/>
    <w:rPr>
      <w:rFonts w:ascii="宋体" w:eastAsia="宋体"/>
      <w:color w:val="auto"/>
    </w:rPr>
  </w:style>
  <w:style w:type="paragraph" w:customStyle="1" w:styleId="449">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5"/>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4"/>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4"/>
    <w:next w:val="1"/>
    <w:qFormat/>
    <w:uiPriority w:val="0"/>
    <w:pPr>
      <w:numPr>
        <w:ilvl w:val="1"/>
        <w:numId w:val="6"/>
      </w:numPr>
    </w:pPr>
    <w:rPr>
      <w:rFonts w:ascii="Times New Roman" w:eastAsia="宋体"/>
      <w:i/>
      <w:sz w:val="36"/>
      <w:szCs w:val="36"/>
      <w:lang w:val="en-US"/>
    </w:rPr>
  </w:style>
  <w:style w:type="paragraph" w:customStyle="1" w:styleId="47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4"/>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5"/>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5"/>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5"/>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5"/>
    <w:qFormat/>
    <w:uiPriority w:val="0"/>
    <w:pPr>
      <w:tabs>
        <w:tab w:val="left" w:pos="1260"/>
        <w:tab w:val="left" w:pos="1680"/>
        <w:tab w:val="left" w:pos="2100"/>
      </w:tabs>
      <w:ind w:left="0"/>
      <w:outlineLvl w:val="3"/>
    </w:pPr>
  </w:style>
  <w:style w:type="paragraph" w:customStyle="1" w:styleId="493">
    <w:name w:val="一级条标题"/>
    <w:basedOn w:val="494"/>
    <w:next w:val="375"/>
    <w:qFormat/>
    <w:uiPriority w:val="0"/>
    <w:pPr>
      <w:tabs>
        <w:tab w:val="left" w:pos="1260"/>
        <w:tab w:val="left" w:pos="1680"/>
      </w:tabs>
      <w:spacing w:beforeLines="0" w:afterLines="0"/>
      <w:ind w:left="1680"/>
      <w:outlineLvl w:val="2"/>
    </w:pPr>
  </w:style>
  <w:style w:type="paragraph" w:customStyle="1" w:styleId="494">
    <w:name w:val="章标题"/>
    <w:next w:val="37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1"/>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7"/>
    <w:next w:val="1"/>
    <w:qFormat/>
    <w:uiPriority w:val="0"/>
    <w:pPr>
      <w:spacing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4"/>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6"/>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6"/>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449"/>
    <w:next w:val="449"/>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8"/>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4"/>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4"/>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5"/>
    <w:next w:val="51"/>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449"/>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4"/>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Lines="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Lines="50"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878">
    <w:name w:val="正文1 Char Char"/>
    <w:link w:val="373"/>
    <w:qFormat/>
    <w:locked/>
    <w:uiPriority w:val="0"/>
    <w:rPr>
      <w:rFonts w:ascii="仿宋_GB2312" w:hAnsi="Courier New" w:eastAsia="仿宋_GB2312" w:cs="Times New Roman"/>
      <w:kern w:val="28"/>
      <w:sz w:val="24"/>
      <w:szCs w:val="24"/>
    </w:rPr>
  </w:style>
  <w:style w:type="character" w:customStyle="1" w:styleId="879">
    <w:name w:val="段 Char"/>
    <w:link w:val="375"/>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2"/>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4"/>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2"/>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6"/>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933">
    <w:name w:val="纯文本2"/>
    <w:basedOn w:val="1"/>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3A33A-42C0-4BA5-9D12-BE4B82099CB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94</Pages>
  <Words>49698</Words>
  <Characters>51832</Characters>
  <Lines>394</Lines>
  <Paragraphs>111</Paragraphs>
  <TotalTime>0</TotalTime>
  <ScaleCrop>false</ScaleCrop>
  <LinksUpToDate>false</LinksUpToDate>
  <CharactersWithSpaces>53674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2022-12-20T09:03:00Z</dcterms:created>
  <dc:creator>mb</dc:creator>
  <cp:lastModifiedBy>WPS_1598666146</cp:lastModifiedBy>
  <cp:lastPrinted>2022-12-14T07:35:00Z</cp:lastPrinted>
  <dcterms:modified xsi:type="dcterms:W3CDTF">2022-12-22T03:04:24Z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28C3A61AB84444339E64D2FA847AEEFF</vt:lpwstr>
  </property>
</Properties>
</file>