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绍兴市中医院西门子32排CT维保项目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TYJZ2024020</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绍兴市中医院西门子32排CT维保项目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TYJZ2024020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绍兴市中医院西门子32排CT维保项目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2250000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2250000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标项名称：西门子32排CT维保项目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预算金额（元）：2250000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bookmarkStart w:id="167" w:name="_GoBack"/>
      <w:bookmarkEnd w:id="167"/>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傅利萍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072998"/>
      <w:bookmarkEnd w:id="21"/>
      <w:bookmarkStart w:id="22" w:name="_Hlt68072990"/>
      <w:bookmarkEnd w:id="22"/>
      <w:bookmarkStart w:id="23" w:name="_Hlt75236101"/>
      <w:bookmarkEnd w:id="23"/>
      <w:bookmarkStart w:id="24" w:name="_Hlt74714665"/>
      <w:bookmarkEnd w:id="24"/>
      <w:bookmarkStart w:id="25" w:name="_Hlt68057669"/>
      <w:bookmarkEnd w:id="25"/>
      <w:bookmarkStart w:id="26" w:name="_Hlt68403820"/>
      <w:bookmarkEnd w:id="26"/>
      <w:bookmarkStart w:id="27" w:name="_Hlt68073093"/>
      <w:bookmarkEnd w:id="27"/>
      <w:bookmarkStart w:id="28" w:name="_Hlt74707468"/>
      <w:bookmarkEnd w:id="28"/>
      <w:bookmarkStart w:id="29" w:name="_Hlt74729768"/>
      <w:bookmarkEnd w:id="29"/>
      <w:bookmarkStart w:id="30" w:name="_Hlt75236011"/>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highlight w:val="none"/>
          <w:lang w:eastAsia="zh-CN"/>
        </w:rPr>
        <w:t>西门子32排CT维保项目，预算</w:t>
      </w:r>
      <w:r>
        <w:rPr>
          <w:rFonts w:hint="eastAsia" w:ascii="仿宋" w:hAnsi="仿宋" w:eastAsia="仿宋" w:cs="仿宋"/>
          <w:b/>
          <w:color w:val="auto"/>
          <w:sz w:val="24"/>
          <w:highlight w:val="none"/>
          <w:lang w:val="en-US" w:eastAsia="zh-CN"/>
        </w:rPr>
        <w:t>225</w:t>
      </w:r>
      <w:r>
        <w:rPr>
          <w:rFonts w:hint="eastAsia" w:ascii="仿宋" w:hAnsi="仿宋" w:eastAsia="仿宋" w:cs="仿宋"/>
          <w:b/>
          <w:color w:val="auto"/>
          <w:sz w:val="24"/>
          <w:highlight w:val="none"/>
          <w:lang w:eastAsia="zh-CN"/>
        </w:rPr>
        <w:t>万元</w:t>
      </w:r>
      <w:r>
        <w:rPr>
          <w:rFonts w:hint="eastAsia" w:ascii="仿宋" w:hAnsi="仿宋" w:eastAsia="仿宋" w:cs="仿宋"/>
          <w:b/>
          <w:color w:val="auto"/>
          <w:sz w:val="24"/>
          <w:highlight w:val="none"/>
          <w:lang w:val="en-US" w:eastAsia="zh-CN"/>
        </w:rPr>
        <w:t>/3年</w:t>
      </w:r>
      <w:r>
        <w:rPr>
          <w:rFonts w:hint="eastAsia" w:ascii="仿宋" w:hAnsi="仿宋" w:eastAsia="仿宋" w:cs="仿宋"/>
          <w:b/>
          <w:color w:val="auto"/>
          <w:sz w:val="24"/>
          <w:highlight w:val="none"/>
          <w:lang w:eastAsia="zh-CN"/>
        </w:rPr>
        <w:t>，合同期限：自合同签订之日起三年。</w:t>
      </w:r>
    </w:p>
    <w:p>
      <w:pPr>
        <w:ind w:firstLine="482" w:firstLineChars="200"/>
        <w:jc w:val="left"/>
        <w:outlineLvl w:val="0"/>
        <w:rPr>
          <w:rFonts w:hint="eastAsia" w:ascii="仿宋" w:hAnsi="仿宋" w:eastAsia="仿宋" w:cs="仿宋"/>
          <w:b/>
          <w:color w:val="auto"/>
          <w:sz w:val="24"/>
          <w:highlight w:val="none"/>
          <w:lang w:eastAsia="zh-CN"/>
        </w:rPr>
      </w:pPr>
    </w:p>
    <w:tbl>
      <w:tblPr>
        <w:tblStyle w:val="62"/>
        <w:tblW w:w="0" w:type="auto"/>
        <w:tblInd w:w="93" w:type="dxa"/>
        <w:tblLayout w:type="fixed"/>
        <w:tblCellMar>
          <w:top w:w="0" w:type="dxa"/>
          <w:left w:w="108" w:type="dxa"/>
          <w:bottom w:w="0" w:type="dxa"/>
          <w:right w:w="108" w:type="dxa"/>
        </w:tblCellMar>
      </w:tblPr>
      <w:tblGrid>
        <w:gridCol w:w="1735"/>
        <w:gridCol w:w="7090"/>
      </w:tblGrid>
      <w:tr>
        <w:tblPrEx>
          <w:tblCellMar>
            <w:top w:w="0" w:type="dxa"/>
            <w:left w:w="108" w:type="dxa"/>
            <w:bottom w:w="0" w:type="dxa"/>
            <w:right w:w="108" w:type="dxa"/>
          </w:tblCellMar>
        </w:tblPrEx>
        <w:trPr>
          <w:trHeight w:val="539" w:hRule="atLeast"/>
        </w:trPr>
        <w:tc>
          <w:tcPr>
            <w:tcW w:w="173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设备名称</w:t>
            </w:r>
          </w:p>
        </w:tc>
        <w:tc>
          <w:tcPr>
            <w:tcW w:w="709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lang w:val="en-US" w:eastAsia="zh-CN"/>
              </w:rPr>
              <w:t>西门子32排CT（西门子go All)</w:t>
            </w:r>
          </w:p>
        </w:tc>
      </w:tr>
      <w:tr>
        <w:tblPrEx>
          <w:tblCellMar>
            <w:top w:w="0" w:type="dxa"/>
            <w:left w:w="108" w:type="dxa"/>
            <w:bottom w:w="0" w:type="dxa"/>
            <w:right w:w="108" w:type="dxa"/>
          </w:tblCellMar>
        </w:tblPrEx>
        <w:trPr>
          <w:trHeight w:val="614" w:hRule="atLeast"/>
        </w:trPr>
        <w:tc>
          <w:tcPr>
            <w:tcW w:w="173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预算金额</w:t>
            </w:r>
          </w:p>
        </w:tc>
        <w:tc>
          <w:tcPr>
            <w:tcW w:w="709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225万</w:t>
            </w:r>
          </w:p>
        </w:tc>
      </w:tr>
      <w:tr>
        <w:tblPrEx>
          <w:tblCellMar>
            <w:top w:w="0" w:type="dxa"/>
            <w:left w:w="108" w:type="dxa"/>
            <w:bottom w:w="0" w:type="dxa"/>
            <w:right w:w="108" w:type="dxa"/>
          </w:tblCellMar>
        </w:tblPrEx>
        <w:trPr>
          <w:trHeight w:val="614" w:hRule="atLeast"/>
        </w:trPr>
        <w:tc>
          <w:tcPr>
            <w:tcW w:w="173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合同期限</w:t>
            </w:r>
          </w:p>
        </w:tc>
        <w:tc>
          <w:tcPr>
            <w:tcW w:w="7090"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三年</w:t>
            </w:r>
          </w:p>
        </w:tc>
      </w:tr>
      <w:tr>
        <w:tblPrEx>
          <w:tblCellMar>
            <w:top w:w="0" w:type="dxa"/>
            <w:left w:w="108" w:type="dxa"/>
            <w:bottom w:w="0" w:type="dxa"/>
            <w:right w:w="108" w:type="dxa"/>
          </w:tblCellMar>
        </w:tblPrEx>
        <w:trPr>
          <w:trHeight w:val="977" w:hRule="atLeast"/>
        </w:trPr>
        <w:tc>
          <w:tcPr>
            <w:tcW w:w="1735" w:type="dxa"/>
            <w:tcBorders>
              <w:top w:val="single" w:color="auto" w:sz="4" w:space="0"/>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主要技术参数要求及理由</w:t>
            </w:r>
          </w:p>
        </w:tc>
        <w:tc>
          <w:tcPr>
            <w:tcW w:w="7090" w:type="dxa"/>
            <w:tcBorders>
              <w:top w:val="nil"/>
              <w:left w:val="nil"/>
              <w:bottom w:val="single" w:color="000000" w:sz="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eastAsia="zh-CN"/>
              </w:rPr>
              <w:t>提供系统安全升级，提供系统相关病毒防护软件，</w:t>
            </w:r>
            <w:r>
              <w:rPr>
                <w:rFonts w:hint="eastAsia" w:ascii="仿宋" w:hAnsi="仿宋" w:eastAsia="仿宋" w:cs="仿宋"/>
                <w:color w:val="auto"/>
                <w:sz w:val="24"/>
                <w:highlight w:val="none"/>
                <w:lang w:eastAsia="zh-CN"/>
              </w:rPr>
              <w:t>费用包含在总价中</w:t>
            </w:r>
            <w:r>
              <w:rPr>
                <w:rFonts w:hint="eastAsia" w:ascii="仿宋" w:hAnsi="仿宋" w:eastAsia="仿宋" w:cs="仿宋"/>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提供系统软件补丁，</w:t>
            </w:r>
            <w:r>
              <w:rPr>
                <w:rFonts w:hint="eastAsia" w:ascii="仿宋" w:hAnsi="仿宋" w:eastAsia="仿宋" w:cs="仿宋"/>
                <w:color w:val="auto"/>
                <w:sz w:val="24"/>
                <w:highlight w:val="none"/>
                <w:lang w:eastAsia="zh-CN"/>
              </w:rPr>
              <w:t>费用包含在总价中</w:t>
            </w:r>
            <w:r>
              <w:rPr>
                <w:rFonts w:hint="eastAsia" w:ascii="仿宋" w:hAnsi="仿宋" w:eastAsia="仿宋" w:cs="仿宋"/>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eastAsia="zh-CN"/>
              </w:rPr>
              <w:t>具备智能远程系统监测全系统状态，提供管球故障预警能力证明。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eastAsia="zh-CN"/>
              </w:rPr>
              <w:t>具备智能远程系统诊断故障的能力，提供在国内已经建立的远程网络维修诊断系统的地址及认证证书。</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lang w:eastAsia="zh-CN"/>
              </w:rPr>
              <w:t>具备智能远程系统软件升级，通过智能远程系统能快速同步原厂最新的软件升级包。</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具备系统预防性保养技术，提供全系统Q&amp;A检测报告。</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lang w:eastAsia="zh-CN"/>
              </w:rPr>
              <w:t>提供至少2处备件仓库地址及联系人信息。</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lang w:eastAsia="zh-CN"/>
              </w:rPr>
              <w:t>能提供专业的临床应用培训及技术培训，需提供培训课程名称及培训地点。</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lang w:eastAsia="zh-CN"/>
              </w:rPr>
              <w:t>提供具备CT维修资质工程师人员数量、培训证书和社保证明。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lang w:eastAsia="zh-CN"/>
              </w:rPr>
              <w:t>具备使用专用剂量检测工具检测CT输出剂量及调试能力，提供相应证明。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lang w:eastAsia="zh-CN"/>
              </w:rPr>
              <w:t>具备使用图像质控模体进行检测和校准能力，提供相应证明。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lang w:eastAsia="zh-CN"/>
              </w:rPr>
              <w:t>提供国产球管须提供</w:t>
            </w:r>
            <w:r>
              <w:rPr>
                <w:rFonts w:hint="eastAsia" w:ascii="仿宋" w:hAnsi="仿宋" w:eastAsia="仿宋" w:cs="仿宋"/>
                <w:b w:val="0"/>
                <w:bCs w:val="0"/>
                <w:color w:val="auto"/>
                <w:sz w:val="24"/>
                <w:szCs w:val="24"/>
                <w:highlight w:val="none"/>
                <w:lang w:val="en-US" w:eastAsia="zh-CN"/>
              </w:rPr>
              <w:t>NMPA</w:t>
            </w:r>
            <w:r>
              <w:rPr>
                <w:rFonts w:hint="eastAsia" w:ascii="仿宋" w:hAnsi="仿宋" w:eastAsia="仿宋" w:cs="仿宋"/>
                <w:color w:val="auto"/>
                <w:kern w:val="0"/>
                <w:sz w:val="24"/>
                <w:highlight w:val="none"/>
                <w:lang w:eastAsia="zh-CN"/>
              </w:rPr>
              <w:t>注册证，出厂检验清单和球管合格证。</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lang w:eastAsia="zh-CN"/>
              </w:rPr>
              <w:t>提供进口球管须提供整机</w:t>
            </w:r>
            <w:r>
              <w:rPr>
                <w:rFonts w:hint="eastAsia" w:ascii="仿宋" w:hAnsi="仿宋" w:eastAsia="仿宋" w:cs="仿宋"/>
                <w:b w:val="0"/>
                <w:bCs w:val="0"/>
                <w:color w:val="auto"/>
                <w:sz w:val="24"/>
                <w:szCs w:val="24"/>
                <w:highlight w:val="none"/>
                <w:lang w:val="en-US" w:eastAsia="zh-CN"/>
              </w:rPr>
              <w:t>NMPA</w:t>
            </w:r>
            <w:r>
              <w:rPr>
                <w:rFonts w:hint="eastAsia" w:ascii="仿宋" w:hAnsi="仿宋" w:eastAsia="仿宋" w:cs="仿宋"/>
                <w:color w:val="auto"/>
                <w:kern w:val="0"/>
                <w:sz w:val="24"/>
                <w:highlight w:val="none"/>
                <w:lang w:eastAsia="zh-CN"/>
              </w:rPr>
              <w:t>注册证及出厂证明。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lang w:eastAsia="zh-CN"/>
              </w:rPr>
              <w:t>进口备件须提供报关单。</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lang w:eastAsia="zh-CN"/>
              </w:rPr>
              <w:t>保养所需耗材须为原厂提供并提供证明。</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lang w:eastAsia="zh-CN"/>
              </w:rPr>
              <w:t>每年二次常规保养。（每次保养后出具医院认可的保养报告）。</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2小时内报修响应，12小时内到达现场。</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lang w:eastAsia="zh-CN"/>
              </w:rPr>
              <w:t>保障开机率95%以上。（按照365天进行计算）。</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lang w:eastAsia="zh-CN"/>
              </w:rPr>
              <w:t>整机保修，</w:t>
            </w:r>
            <w:r>
              <w:rPr>
                <w:rFonts w:hint="eastAsia" w:ascii="仿宋" w:hAnsi="仿宋" w:eastAsia="仿宋" w:cs="仿宋"/>
                <w:color w:val="auto"/>
                <w:sz w:val="24"/>
                <w:highlight w:val="none"/>
                <w:lang w:eastAsia="zh-CN"/>
              </w:rPr>
              <w:t>包含但不仅限于高压发生器、探测器、球管</w:t>
            </w:r>
            <w:r>
              <w:rPr>
                <w:rFonts w:hint="eastAsia" w:ascii="仿宋" w:hAnsi="仿宋" w:eastAsia="仿宋" w:cs="仿宋"/>
                <w:color w:val="auto"/>
                <w:sz w:val="24"/>
                <w:highlight w:val="none"/>
                <w:lang w:val="en-US" w:eastAsia="zh-CN"/>
              </w:rPr>
              <w:t>（热容量≥出厂机型）</w:t>
            </w:r>
            <w:r>
              <w:rPr>
                <w:rFonts w:hint="eastAsia" w:ascii="仿宋" w:hAnsi="仿宋" w:eastAsia="仿宋" w:cs="仿宋"/>
                <w:color w:val="auto"/>
                <w:sz w:val="24"/>
                <w:highlight w:val="none"/>
                <w:lang w:eastAsia="zh-CN"/>
              </w:rPr>
              <w:t>等配件及相关耗材</w:t>
            </w:r>
            <w:r>
              <w:rPr>
                <w:rFonts w:hint="eastAsia" w:ascii="仿宋" w:hAnsi="仿宋" w:eastAsia="仿宋" w:cs="仿宋"/>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lang w:eastAsia="zh-CN"/>
              </w:rPr>
              <w:t>提供备件必须为西门子原装备件。</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20.设备基本情况：32排CT于2023年3月启用，目前设备32排CT球管故障，投标前接受咨询或现场踏勘。</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21.</w:t>
            </w:r>
            <w:r>
              <w:rPr>
                <w:rFonts w:hint="eastAsia" w:ascii="仿宋" w:hAnsi="仿宋" w:eastAsia="仿宋" w:cs="仿宋"/>
                <w:color w:val="auto"/>
                <w:kern w:val="0"/>
                <w:sz w:val="24"/>
                <w:highlight w:val="none"/>
                <w:lang w:eastAsia="zh-CN"/>
              </w:rPr>
              <w:t>根据医院需求，至少为医院培训1名维修工程师。</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lang w:val="en-US" w:eastAsia="zh-CN"/>
              </w:rPr>
              <w:t>22.</w:t>
            </w:r>
            <w:r>
              <w:rPr>
                <w:rFonts w:hint="eastAsia" w:ascii="仿宋" w:hAnsi="仿宋" w:eastAsia="仿宋" w:cs="仿宋"/>
                <w:color w:val="auto"/>
                <w:kern w:val="0"/>
                <w:sz w:val="24"/>
                <w:highlight w:val="none"/>
                <w:lang w:eastAsia="zh-CN"/>
              </w:rPr>
              <w:t>根据医院需求，至少为医院培训2名放射科工作人员。</w:t>
            </w:r>
          </w:p>
        </w:tc>
      </w:tr>
      <w:tr>
        <w:tblPrEx>
          <w:tblCellMar>
            <w:top w:w="0" w:type="dxa"/>
            <w:left w:w="108" w:type="dxa"/>
            <w:bottom w:w="0" w:type="dxa"/>
            <w:right w:w="108" w:type="dxa"/>
          </w:tblCellMar>
        </w:tblPrEx>
        <w:trPr>
          <w:trHeight w:val="624" w:hRule="atLeast"/>
        </w:trPr>
        <w:tc>
          <w:tcPr>
            <w:tcW w:w="1735"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售后服务要求</w:t>
            </w:r>
          </w:p>
        </w:tc>
        <w:tc>
          <w:tcPr>
            <w:tcW w:w="709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highlight w:val="none"/>
                <w:lang w:eastAsia="zh-CN"/>
              </w:rPr>
              <w:t>严格按照技术参数要求，快速、高效提供保养、维修服务。</w:t>
            </w:r>
          </w:p>
        </w:tc>
      </w:tr>
      <w:tr>
        <w:tblPrEx>
          <w:tblCellMar>
            <w:top w:w="0" w:type="dxa"/>
            <w:left w:w="108" w:type="dxa"/>
            <w:bottom w:w="0" w:type="dxa"/>
            <w:right w:w="108" w:type="dxa"/>
          </w:tblCellMar>
        </w:tblPrEx>
        <w:trPr>
          <w:trHeight w:val="432" w:hRule="atLeast"/>
        </w:trPr>
        <w:tc>
          <w:tcPr>
            <w:tcW w:w="1735"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w:t>
            </w:r>
          </w:p>
        </w:tc>
        <w:tc>
          <w:tcPr>
            <w:tcW w:w="709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lang w:eastAsia="zh-CN"/>
              </w:rPr>
              <w:t>合同</w:t>
            </w:r>
            <w:r>
              <w:rPr>
                <w:rFonts w:hint="eastAsia" w:ascii="仿宋" w:hAnsi="仿宋" w:eastAsia="仿宋" w:cs="仿宋"/>
                <w:color w:val="auto"/>
                <w:kern w:val="0"/>
                <w:sz w:val="24"/>
                <w:highlight w:val="none"/>
                <w:lang w:val="en-US" w:eastAsia="zh-CN"/>
              </w:rPr>
              <w:t>签订后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60天</w:t>
            </w:r>
            <w:r>
              <w:rPr>
                <w:rFonts w:hint="eastAsia" w:ascii="仿宋" w:hAnsi="仿宋" w:eastAsia="仿宋" w:cs="仿宋"/>
                <w:color w:val="auto"/>
                <w:kern w:val="0"/>
                <w:sz w:val="24"/>
                <w:highlight w:val="none"/>
                <w:lang w:eastAsia="zh-CN"/>
              </w:rPr>
              <w:t>支付本年度保修费用的</w:t>
            </w:r>
            <w:r>
              <w:rPr>
                <w:rFonts w:hint="eastAsia" w:ascii="仿宋" w:hAnsi="仿宋" w:eastAsia="仿宋" w:cs="仿宋"/>
                <w:color w:val="auto"/>
                <w:kern w:val="0"/>
                <w:sz w:val="24"/>
                <w:highlight w:val="none"/>
                <w:lang w:val="en-US" w:eastAsia="zh-CN"/>
              </w:rPr>
              <w:t>50%，本年度保修服务结束后，根据医院的考核结果支付剩余</w:t>
            </w:r>
            <w:r>
              <w:rPr>
                <w:rFonts w:hint="eastAsia" w:ascii="仿宋" w:hAnsi="仿宋" w:eastAsia="仿宋" w:cs="仿宋"/>
                <w:color w:val="auto"/>
                <w:kern w:val="0"/>
                <w:sz w:val="24"/>
                <w:highlight w:val="none"/>
                <w:lang w:eastAsia="zh-CN"/>
              </w:rPr>
              <w:t>保修费用的</w:t>
            </w:r>
            <w:r>
              <w:rPr>
                <w:rFonts w:hint="eastAsia" w:ascii="仿宋" w:hAnsi="仿宋" w:eastAsia="仿宋" w:cs="仿宋"/>
                <w:color w:val="auto"/>
                <w:kern w:val="0"/>
                <w:sz w:val="24"/>
                <w:highlight w:val="none"/>
                <w:lang w:val="en-US" w:eastAsia="zh-CN"/>
              </w:rPr>
              <w:t>50%</w:t>
            </w:r>
            <w:r>
              <w:rPr>
                <w:rFonts w:hint="eastAsia" w:ascii="仿宋" w:hAnsi="仿宋" w:eastAsia="仿宋" w:cs="仿宋"/>
                <w:color w:val="auto"/>
                <w:kern w:val="0"/>
                <w:sz w:val="24"/>
                <w:highlight w:val="none"/>
                <w:lang w:eastAsia="zh-CN"/>
              </w:rPr>
              <w:t>。</w:t>
            </w:r>
          </w:p>
        </w:tc>
      </w:tr>
      <w:tr>
        <w:tblPrEx>
          <w:tblCellMar>
            <w:top w:w="0" w:type="dxa"/>
            <w:left w:w="108" w:type="dxa"/>
            <w:bottom w:w="0" w:type="dxa"/>
            <w:right w:w="108" w:type="dxa"/>
          </w:tblCellMar>
        </w:tblPrEx>
        <w:trPr>
          <w:trHeight w:val="432" w:hRule="atLeast"/>
        </w:trPr>
        <w:tc>
          <w:tcPr>
            <w:tcW w:w="1735"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val="en-US"/>
              </w:rPr>
              <w:t>考核</w:t>
            </w:r>
          </w:p>
        </w:tc>
        <w:tc>
          <w:tcPr>
            <w:tcW w:w="7090"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采购人应对中标方提供的</w:t>
            </w:r>
            <w:r>
              <w:rPr>
                <w:rFonts w:hint="eastAsia" w:ascii="仿宋" w:hAnsi="仿宋" w:eastAsia="仿宋" w:cs="仿宋"/>
                <w:color w:val="auto"/>
                <w:sz w:val="24"/>
                <w:highlight w:val="none"/>
                <w:lang w:val="en-US"/>
              </w:rPr>
              <w:t>维保</w:t>
            </w:r>
            <w:r>
              <w:rPr>
                <w:rFonts w:hint="eastAsia" w:ascii="仿宋" w:hAnsi="仿宋" w:eastAsia="仿宋" w:cs="仿宋"/>
                <w:color w:val="auto"/>
                <w:sz w:val="24"/>
                <w:highlight w:val="none"/>
              </w:rPr>
              <w:t>服务质量，服度态度进行全面考核，考核合格方可支付服务费用，考核标准参照附件：《绍兴市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en-US"/>
              </w:rPr>
              <w:t>医疗设备维保</w:t>
            </w:r>
            <w:r>
              <w:rPr>
                <w:rFonts w:hint="eastAsia" w:ascii="仿宋" w:hAnsi="仿宋" w:eastAsia="仿宋" w:cs="仿宋"/>
                <w:color w:val="auto"/>
                <w:sz w:val="24"/>
                <w:highlight w:val="none"/>
              </w:rPr>
              <w:t>服务考核管理办法》。</w:t>
            </w:r>
          </w:p>
        </w:tc>
      </w:tr>
    </w:tbl>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r>
        <w:rPr>
          <w:rFonts w:hint="eastAsia" w:ascii="仿宋" w:hAnsi="仿宋" w:eastAsia="仿宋" w:cs="仿宋"/>
          <w:b/>
          <w:bCs/>
          <w:color w:val="auto"/>
          <w:kern w:val="2"/>
          <w:sz w:val="36"/>
          <w:szCs w:val="36"/>
          <w:highlight w:val="none"/>
        </w:rPr>
        <w:t>绍兴市</w:t>
      </w:r>
      <w:r>
        <w:rPr>
          <w:rFonts w:hint="eastAsia" w:ascii="仿宋" w:hAnsi="仿宋" w:eastAsia="仿宋" w:cs="仿宋"/>
          <w:b/>
          <w:bCs/>
          <w:color w:val="auto"/>
          <w:kern w:val="2"/>
          <w:sz w:val="36"/>
          <w:szCs w:val="36"/>
          <w:highlight w:val="none"/>
          <w:lang w:eastAsia="zh-CN"/>
        </w:rPr>
        <w:t>中</w:t>
      </w:r>
      <w:r>
        <w:rPr>
          <w:rFonts w:hint="eastAsia" w:ascii="仿宋" w:hAnsi="仿宋" w:eastAsia="仿宋" w:cs="仿宋"/>
          <w:b/>
          <w:bCs/>
          <w:color w:val="auto"/>
          <w:kern w:val="2"/>
          <w:sz w:val="36"/>
          <w:szCs w:val="36"/>
          <w:highlight w:val="none"/>
        </w:rPr>
        <w:t>医院</w:t>
      </w:r>
      <w:r>
        <w:rPr>
          <w:rFonts w:hint="eastAsia" w:ascii="仿宋" w:hAnsi="仿宋" w:eastAsia="仿宋" w:cs="仿宋"/>
          <w:b/>
          <w:bCs/>
          <w:color w:val="auto"/>
          <w:kern w:val="2"/>
          <w:sz w:val="36"/>
          <w:szCs w:val="36"/>
          <w:highlight w:val="none"/>
          <w:u w:val="single"/>
          <w:lang w:val="en-US" w:eastAsia="zh-CN"/>
        </w:rPr>
        <w:t xml:space="preserve">   </w:t>
      </w:r>
      <w:r>
        <w:rPr>
          <w:rFonts w:hint="eastAsia" w:ascii="仿宋" w:hAnsi="仿宋" w:eastAsia="仿宋" w:cs="仿宋"/>
          <w:b/>
          <w:bCs/>
          <w:color w:val="auto"/>
          <w:kern w:val="2"/>
          <w:sz w:val="36"/>
          <w:szCs w:val="36"/>
          <w:highlight w:val="none"/>
        </w:rPr>
        <w:t>医疗设备维保服务考核管理办法</w:t>
      </w:r>
    </w:p>
    <w:p>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color w:val="auto"/>
          <w:sz w:val="24"/>
          <w:highlight w:val="none"/>
        </w:rPr>
      </w:pP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为加强管理，提升维保服务质量，确保维保服务规范化运作，保障临床工作的顺利开展，特制定如下考核细则： </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医疗设备维保服务工作，由绍兴市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负责监管，考核小组负责日常管理，各涉及科室配合、协助监管。</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考核小组：设备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成立维保服务考核小组，设备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长任组长，小组成员由全体工程师担任，考核小组负责日常监管和年度考核。</w:t>
      </w:r>
    </w:p>
    <w:p>
      <w:pPr>
        <w:pStyle w:val="33"/>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考核采用百分制，对服务质量和满意度进行年度考核，设备处考核小组打分，详见附表。</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考核的最终结果作为医院向维保服务公司支付费用依据，具体如下：综合考核结果9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分以上（含9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分）的按合同全额支付；综合考核结果低于9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分，每下降1分，扣款</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000元，直至80分；综合考核结果低于80分，下降1分，扣款</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000元，直至60分，并予以书面警告；综合考核评价低于60分，终止合同，并承担相应违约责任。</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考核内容详见《绍兴市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zh-CN"/>
        </w:rPr>
        <w:t>医疗设备</w:t>
      </w:r>
      <w:r>
        <w:rPr>
          <w:rFonts w:hint="eastAsia" w:ascii="仿宋" w:hAnsi="仿宋" w:eastAsia="仿宋" w:cs="仿宋"/>
          <w:color w:val="auto"/>
          <w:sz w:val="24"/>
          <w:highlight w:val="none"/>
        </w:rPr>
        <w:t>维保服务考核表》，本考核事宜解释权为设备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其他分项考核（除考核表规定内容外）：</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1)维保服务公司在服务过程中未按标准执行而引起临床科室或病人投诉的，经调查情况属实的，每发生1起扣除1000元；</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2)维保服务公司在服务过程未按标准执行而引起医疗纠纷及事故的，每发生1起扣除</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000元，并承担相应赔偿责任；</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3)在上级部门检查中，因维保服务公司原因受到书面通报批评或被新闻媒体曝光批评的，每发生1起扣除</w:t>
      </w:r>
      <w:r>
        <w:rPr>
          <w:rFonts w:hint="eastAsia" w:ascii="仿宋" w:hAnsi="仿宋" w:eastAsia="仿宋" w:cs="仿宋"/>
          <w:color w:val="auto"/>
          <w:sz w:val="24"/>
          <w:highlight w:val="none"/>
          <w:lang w:val="en-US" w:eastAsia="zh-CN"/>
        </w:rPr>
        <w:t>5000</w:t>
      </w:r>
      <w:r>
        <w:rPr>
          <w:rFonts w:hint="eastAsia" w:ascii="仿宋" w:hAnsi="仿宋" w:eastAsia="仿宋" w:cs="仿宋"/>
          <w:color w:val="auto"/>
          <w:sz w:val="24"/>
          <w:highlight w:val="none"/>
        </w:rPr>
        <w:t>元，医院可单方面终止合同；</w:t>
      </w:r>
    </w:p>
    <w:p>
      <w:pPr>
        <w:widowControl w:val="0"/>
        <w:spacing w:after="0" w:line="240" w:lineRule="auto"/>
        <w:jc w:val="center"/>
        <w:rPr>
          <w:rFonts w:hint="eastAsia" w:ascii="仿宋" w:hAnsi="仿宋" w:eastAsia="仿宋" w:cs="仿宋"/>
          <w:b/>
          <w:bCs/>
          <w:color w:val="auto"/>
          <w:kern w:val="2"/>
          <w:sz w:val="36"/>
          <w:szCs w:val="36"/>
          <w:highlight w:val="none"/>
        </w:rPr>
      </w:pPr>
    </w:p>
    <w:p>
      <w:pPr>
        <w:widowControl w:val="0"/>
        <w:spacing w:after="0" w:line="240" w:lineRule="auto"/>
        <w:jc w:val="center"/>
        <w:rPr>
          <w:rFonts w:hint="eastAsia" w:ascii="仿宋" w:hAnsi="仿宋" w:eastAsia="仿宋" w:cs="仿宋"/>
          <w:b/>
          <w:bCs/>
          <w:color w:val="auto"/>
          <w:kern w:val="2"/>
          <w:sz w:val="36"/>
          <w:szCs w:val="36"/>
          <w:highlight w:val="none"/>
        </w:rPr>
      </w:pPr>
      <w:r>
        <w:rPr>
          <w:rFonts w:hint="eastAsia" w:ascii="仿宋" w:hAnsi="仿宋" w:eastAsia="仿宋" w:cs="仿宋"/>
          <w:b/>
          <w:bCs/>
          <w:color w:val="auto"/>
          <w:kern w:val="2"/>
          <w:sz w:val="36"/>
          <w:szCs w:val="36"/>
          <w:highlight w:val="none"/>
        </w:rPr>
        <w:t>绍兴市</w:t>
      </w:r>
      <w:r>
        <w:rPr>
          <w:rFonts w:hint="eastAsia" w:ascii="仿宋" w:hAnsi="仿宋" w:eastAsia="仿宋" w:cs="仿宋"/>
          <w:b/>
          <w:bCs/>
          <w:color w:val="auto"/>
          <w:kern w:val="2"/>
          <w:sz w:val="36"/>
          <w:szCs w:val="36"/>
          <w:highlight w:val="none"/>
          <w:lang w:eastAsia="zh-CN"/>
        </w:rPr>
        <w:t>中</w:t>
      </w:r>
      <w:r>
        <w:rPr>
          <w:rFonts w:hint="eastAsia" w:ascii="仿宋" w:hAnsi="仿宋" w:eastAsia="仿宋" w:cs="仿宋"/>
          <w:b/>
          <w:bCs/>
          <w:color w:val="auto"/>
          <w:kern w:val="2"/>
          <w:sz w:val="36"/>
          <w:szCs w:val="36"/>
          <w:highlight w:val="none"/>
        </w:rPr>
        <w:t>医院</w:t>
      </w:r>
      <w:r>
        <w:rPr>
          <w:rFonts w:hint="eastAsia" w:ascii="仿宋" w:hAnsi="仿宋" w:eastAsia="仿宋" w:cs="仿宋"/>
          <w:b/>
          <w:bCs/>
          <w:color w:val="auto"/>
          <w:kern w:val="2"/>
          <w:sz w:val="36"/>
          <w:szCs w:val="36"/>
          <w:highlight w:val="none"/>
          <w:lang w:val="en-US" w:eastAsia="zh-CN"/>
        </w:rPr>
        <w:t xml:space="preserve">  </w:t>
      </w:r>
      <w:r>
        <w:rPr>
          <w:rFonts w:hint="eastAsia" w:ascii="仿宋" w:hAnsi="仿宋" w:eastAsia="仿宋" w:cs="仿宋"/>
          <w:b/>
          <w:bCs/>
          <w:color w:val="auto"/>
          <w:kern w:val="2"/>
          <w:sz w:val="36"/>
          <w:szCs w:val="36"/>
          <w:highlight w:val="none"/>
          <w:lang w:val="zh-CN"/>
        </w:rPr>
        <w:t>医疗设备</w:t>
      </w:r>
      <w:r>
        <w:rPr>
          <w:rFonts w:hint="eastAsia" w:ascii="仿宋" w:hAnsi="仿宋" w:eastAsia="仿宋" w:cs="仿宋"/>
          <w:b/>
          <w:bCs/>
          <w:color w:val="auto"/>
          <w:kern w:val="2"/>
          <w:sz w:val="36"/>
          <w:szCs w:val="36"/>
          <w:highlight w:val="none"/>
        </w:rPr>
        <w:t>维保服务考核表</w:t>
      </w:r>
    </w:p>
    <w:p>
      <w:pPr>
        <w:widowControl w:val="0"/>
        <w:spacing w:after="0" w:line="240" w:lineRule="auto"/>
        <w:jc w:val="both"/>
        <w:rPr>
          <w:rFonts w:hint="eastAsia" w:ascii="仿宋" w:hAnsi="仿宋" w:eastAsia="仿宋" w:cs="仿宋"/>
          <w:color w:val="auto"/>
          <w:kern w:val="2"/>
          <w:sz w:val="24"/>
          <w:szCs w:val="24"/>
          <w:highlight w:val="none"/>
        </w:rPr>
      </w:pPr>
    </w:p>
    <w:p>
      <w:pPr>
        <w:widowControl w:val="0"/>
        <w:spacing w:after="0" w:line="240" w:lineRule="auto"/>
        <w:jc w:val="both"/>
        <w:rPr>
          <w:rFonts w:hint="eastAsia" w:ascii="仿宋" w:hAnsi="仿宋" w:eastAsia="仿宋" w:cs="仿宋"/>
          <w:color w:val="auto"/>
          <w:kern w:val="2"/>
          <w:sz w:val="24"/>
          <w:szCs w:val="24"/>
          <w:highlight w:val="none"/>
        </w:rPr>
      </w:pPr>
    </w:p>
    <w:tbl>
      <w:tblPr>
        <w:tblStyle w:val="6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p>
    <w:p>
      <w:pPr>
        <w:widowControl w:val="0"/>
        <w:spacing w:after="0" w:line="24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pPr>
        <w:widowControl w:val="0"/>
        <w:spacing w:after="0" w:line="240" w:lineRule="auto"/>
        <w:jc w:val="left"/>
        <w:rPr>
          <w:rFonts w:hint="eastAsia" w:ascii="仿宋" w:hAnsi="仿宋" w:eastAsia="仿宋" w:cs="仿宋"/>
          <w:color w:val="auto"/>
          <w:kern w:val="2"/>
          <w:sz w:val="24"/>
          <w:szCs w:val="24"/>
          <w:highlight w:val="none"/>
        </w:rPr>
      </w:pPr>
    </w:p>
    <w:p>
      <w:pPr>
        <w:widowControl w:val="0"/>
        <w:spacing w:after="0" w:line="240" w:lineRule="auto"/>
        <w:jc w:val="lef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2967"/>
      <w:bookmarkStart w:id="40" w:name="_Toc20421"/>
      <w:bookmarkStart w:id="41" w:name="_Toc28855"/>
      <w:bookmarkStart w:id="42" w:name="_Toc15367"/>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773"/>
      <w:bookmarkStart w:id="45" w:name="_Toc6311"/>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4929"/>
      <w:bookmarkStart w:id="50" w:name="_Toc1386"/>
      <w:bookmarkStart w:id="51" w:name="_Toc21124"/>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3654"/>
      <w:bookmarkStart w:id="55" w:name="_Toc14993"/>
      <w:bookmarkStart w:id="56" w:name="_Toc30158"/>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31421"/>
      <w:bookmarkStart w:id="62" w:name="_Toc3625"/>
      <w:bookmarkStart w:id="63" w:name="_Toc8772"/>
      <w:bookmarkStart w:id="64" w:name="_Toc11108"/>
      <w:bookmarkStart w:id="65" w:name="_Toc4760"/>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8586"/>
      <w:bookmarkStart w:id="68" w:name="_Toc3079"/>
      <w:bookmarkStart w:id="69" w:name="_Toc2375"/>
      <w:bookmarkStart w:id="70"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9497"/>
      <w:bookmarkStart w:id="73" w:name="_Toc26807"/>
      <w:bookmarkStart w:id="74" w:name="_Toc32454"/>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14021"/>
      <w:bookmarkStart w:id="83" w:name="_Toc31297"/>
      <w:bookmarkStart w:id="84" w:name="_Toc25079"/>
      <w:bookmarkStart w:id="85" w:name="_Toc19680"/>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769"/>
      <w:bookmarkStart w:id="89" w:name="_Toc1953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4133"/>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2011"/>
      <w:bookmarkStart w:id="99" w:name="_Toc26555"/>
      <w:bookmarkStart w:id="100" w:name="_Toc15447"/>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30507"/>
      <w:bookmarkStart w:id="104" w:name="_Toc16163"/>
      <w:bookmarkStart w:id="105" w:name="_Toc1346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10663"/>
      <w:bookmarkStart w:id="112" w:name="_Toc42"/>
      <w:bookmarkStart w:id="113" w:name="_Toc21830"/>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6633"/>
      <w:bookmarkStart w:id="117" w:name="_Toc25571"/>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3854"/>
      <w:bookmarkStart w:id="122" w:name="_Toc14115"/>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14814"/>
      <w:bookmarkStart w:id="128" w:name="_Toc26883"/>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12666"/>
      <w:bookmarkStart w:id="138" w:name="_Toc2308"/>
      <w:bookmarkStart w:id="139" w:name="_Toc98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7644"/>
      <w:bookmarkStart w:id="145" w:name="_Toc20808"/>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10330"/>
      <w:bookmarkStart w:id="154" w:name="_Toc12773"/>
      <w:bookmarkStart w:id="155" w:name="_Toc279701263"/>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315"/>
        <w:gridCol w:w="6752"/>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36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700" w:type="pct"/>
            <w:noWrap w:val="0"/>
            <w:vAlign w:val="center"/>
          </w:tcPr>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3593" w:type="pct"/>
            <w:noWrap w:val="0"/>
            <w:vAlign w:val="top"/>
          </w:tcPr>
          <w:p>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297" w:type="pct"/>
            <w:noWrap w:val="0"/>
            <w:vAlign w:val="center"/>
          </w:tcPr>
          <w:p>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00" w:type="pct"/>
            <w:noWrap w:val="0"/>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主要技术参数响应性</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满足招标文件要求的得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分，打“▲”号的指标为主要功能、配置，如出现负偏离每项扣4分；其他一般性指标每有一项负偏离的扣2分，扣完为止。</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700" w:type="pct"/>
            <w:noWrap w:val="0"/>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授权</w:t>
            </w:r>
            <w:r>
              <w:rPr>
                <w:rFonts w:hint="eastAsia" w:ascii="仿宋" w:hAnsi="仿宋" w:eastAsia="仿宋" w:cs="仿宋"/>
                <w:color w:val="auto"/>
                <w:sz w:val="21"/>
                <w:szCs w:val="21"/>
                <w:highlight w:val="none"/>
                <w:lang w:eastAsia="zh-CN"/>
              </w:rPr>
              <w:t>承诺</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投标人承诺中标后</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分，提供</w:t>
            </w:r>
            <w:r>
              <w:rPr>
                <w:rFonts w:hint="eastAsia" w:ascii="仿宋" w:hAnsi="仿宋" w:eastAsia="仿宋" w:cs="仿宋"/>
                <w:color w:val="auto"/>
                <w:sz w:val="21"/>
                <w:szCs w:val="21"/>
                <w:highlight w:val="none"/>
                <w:lang w:eastAsia="zh-CN"/>
              </w:rPr>
              <w:t>厂家</w:t>
            </w:r>
            <w:r>
              <w:rPr>
                <w:rFonts w:hint="eastAsia" w:ascii="仿宋" w:hAnsi="仿宋" w:eastAsia="仿宋" w:cs="仿宋"/>
                <w:color w:val="auto"/>
                <w:sz w:val="21"/>
                <w:szCs w:val="21"/>
                <w:highlight w:val="none"/>
              </w:rPr>
              <w:t>授权资质经销商</w:t>
            </w:r>
            <w:r>
              <w:rPr>
                <w:rFonts w:hint="eastAsia" w:ascii="仿宋" w:hAnsi="仿宋" w:eastAsia="仿宋" w:cs="仿宋"/>
                <w:color w:val="auto"/>
                <w:sz w:val="21"/>
                <w:szCs w:val="21"/>
                <w:highlight w:val="none"/>
                <w:lang w:eastAsia="zh-CN"/>
              </w:rPr>
              <w:t>授权的得</w:t>
            </w:r>
            <w:r>
              <w:rPr>
                <w:rFonts w:hint="eastAsia" w:ascii="仿宋" w:hAnsi="仿宋" w:eastAsia="仿宋" w:cs="仿宋"/>
                <w:color w:val="auto"/>
                <w:sz w:val="21"/>
                <w:szCs w:val="21"/>
                <w:highlight w:val="none"/>
                <w:lang w:val="en-US" w:eastAsia="zh-CN"/>
              </w:rPr>
              <w:t>1分，未承诺或未提供不</w:t>
            </w:r>
            <w:r>
              <w:rPr>
                <w:rFonts w:hint="eastAsia" w:ascii="仿宋" w:hAnsi="仿宋" w:eastAsia="仿宋" w:cs="仿宋"/>
                <w:color w:val="auto"/>
                <w:sz w:val="21"/>
                <w:szCs w:val="21"/>
                <w:highlight w:val="none"/>
              </w:rPr>
              <w:t>得分。</w:t>
            </w:r>
          </w:p>
        </w:tc>
        <w:tc>
          <w:tcPr>
            <w:tcW w:w="297" w:type="pct"/>
            <w:noWrap w:val="0"/>
            <w:vAlign w:val="center"/>
          </w:tcPr>
          <w:p>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700" w:type="pct"/>
            <w:noWrap w:val="0"/>
            <w:vAlign w:val="center"/>
          </w:tcPr>
          <w:p>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企业实力</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根据投标单位供货能力、信誉度、服务</w:t>
            </w:r>
            <w:r>
              <w:rPr>
                <w:rFonts w:hint="eastAsia" w:ascii="仿宋" w:hAnsi="仿宋" w:eastAsia="仿宋" w:cs="仿宋"/>
                <w:color w:val="auto"/>
                <w:sz w:val="21"/>
                <w:szCs w:val="21"/>
                <w:highlight w:val="none"/>
                <w:lang w:eastAsia="zh-CN"/>
              </w:rPr>
              <w:t>能力</w:t>
            </w: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eastAsia="zh-CN"/>
              </w:rPr>
              <w:t>时间</w:t>
            </w:r>
            <w:r>
              <w:rPr>
                <w:rFonts w:hint="eastAsia" w:ascii="仿宋" w:hAnsi="仿宋" w:eastAsia="仿宋" w:cs="仿宋"/>
                <w:color w:val="auto"/>
                <w:sz w:val="21"/>
                <w:szCs w:val="21"/>
                <w:highlight w:val="none"/>
              </w:rPr>
              <w:t>等情况，由专家酌情打分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0-8分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440" w:lineRule="exact"/>
              <w:ind w:left="-13" w:leftChars="-6" w:right="42" w:rightChars="20" w:firstLine="12" w:firstLineChars="6"/>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700" w:type="pct"/>
            <w:noWrap w:val="0"/>
            <w:vAlign w:val="center"/>
          </w:tcPr>
          <w:p>
            <w:pPr>
              <w:spacing w:line="440" w:lineRule="exact"/>
              <w:ind w:left="-13" w:leftChars="-6" w:right="42" w:rightChars="20" w:firstLine="12" w:firstLineChars="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保修、保养服务方案</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提供的保修服务内容、保养服务方案；提供远程服务和远程监控方案，客户服务专线电话服务内容和方案；是否具有较强的专业技术队伍，能提供快速的售后服务响应等综合</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pPr>
              <w:spacing w:line="440" w:lineRule="exact"/>
              <w:ind w:left="-13" w:leftChars="-6" w:right="42" w:rightChars="20" w:firstLine="12" w:firstLineChars="6"/>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700" w:type="pct"/>
            <w:noWrap w:val="0"/>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投标人提供</w:t>
            </w: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年1月至今</w:t>
            </w:r>
            <w:r>
              <w:rPr>
                <w:rFonts w:hint="eastAsia" w:ascii="仿宋" w:hAnsi="仿宋" w:eastAsia="仿宋" w:cs="仿宋"/>
                <w:color w:val="auto"/>
                <w:sz w:val="21"/>
                <w:szCs w:val="21"/>
                <w:highlight w:val="none"/>
                <w:lang w:eastAsia="zh-CN"/>
              </w:rPr>
              <w:t>（以合同签订时间为准）完成过同类</w:t>
            </w:r>
            <w:r>
              <w:rPr>
                <w:rFonts w:hint="eastAsia" w:ascii="仿宋" w:hAnsi="仿宋" w:eastAsia="仿宋" w:cs="仿宋"/>
                <w:color w:val="auto"/>
                <w:sz w:val="21"/>
                <w:szCs w:val="21"/>
                <w:highlight w:val="none"/>
              </w:rPr>
              <w:t>案例合同。每</w:t>
            </w:r>
            <w:r>
              <w:rPr>
                <w:rFonts w:hint="eastAsia" w:ascii="仿宋" w:hAnsi="仿宋" w:eastAsia="仿宋" w:cs="仿宋"/>
                <w:color w:val="auto"/>
                <w:sz w:val="21"/>
                <w:szCs w:val="21"/>
                <w:highlight w:val="none"/>
                <w:lang w:eastAsia="zh-CN"/>
              </w:rPr>
              <w:t>提供</w:t>
            </w:r>
            <w:r>
              <w:rPr>
                <w:rFonts w:hint="eastAsia" w:ascii="仿宋" w:hAnsi="仿宋" w:eastAsia="仿宋" w:cs="仿宋"/>
                <w:color w:val="auto"/>
                <w:sz w:val="21"/>
                <w:szCs w:val="21"/>
                <w:highlight w:val="none"/>
              </w:rPr>
              <w:t>一份得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，需提供合同复印件加盖投标人公章，未提供不得分</w:t>
            </w:r>
            <w:r>
              <w:rPr>
                <w:rFonts w:hint="eastAsia" w:ascii="仿宋" w:hAnsi="仿宋" w:eastAsia="仿宋" w:cs="仿宋"/>
                <w:color w:val="auto"/>
                <w:sz w:val="21"/>
                <w:szCs w:val="21"/>
                <w:highlight w:val="none"/>
              </w:rPr>
              <w:t>。</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vMerge w:val="restart"/>
            <w:noWrap w:val="0"/>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700" w:type="pct"/>
            <w:vMerge w:val="restart"/>
            <w:noWrap w:val="0"/>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维修技术力量：技术支持工程师≥1人,每增加1人得1分，最多得4分；专职维修工程师≥1人,每增加1人得1分，最多得6分。上述人员须提供社保缴纳证明资料加盖投标人公章。</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vMerge w:val="continue"/>
            <w:noWrap w:val="0"/>
            <w:vAlign w:val="center"/>
          </w:tcPr>
          <w:p>
            <w:pPr>
              <w:spacing w:line="360" w:lineRule="auto"/>
              <w:jc w:val="center"/>
              <w:rPr>
                <w:rFonts w:hint="eastAsia" w:ascii="仿宋" w:hAnsi="仿宋" w:eastAsia="仿宋" w:cs="仿宋"/>
                <w:color w:val="auto"/>
                <w:sz w:val="21"/>
                <w:szCs w:val="21"/>
                <w:highlight w:val="none"/>
              </w:rPr>
            </w:pPr>
          </w:p>
        </w:tc>
        <w:tc>
          <w:tcPr>
            <w:tcW w:w="700" w:type="pct"/>
            <w:vMerge w:val="continue"/>
            <w:noWrap w:val="0"/>
            <w:vAlign w:val="center"/>
          </w:tcPr>
          <w:p>
            <w:pPr>
              <w:spacing w:line="360" w:lineRule="auto"/>
              <w:jc w:val="center"/>
              <w:rPr>
                <w:rFonts w:hint="eastAsia" w:ascii="仿宋" w:hAnsi="仿宋" w:eastAsia="仿宋" w:cs="仿宋"/>
                <w:color w:val="auto"/>
                <w:sz w:val="21"/>
                <w:szCs w:val="21"/>
                <w:highlight w:val="none"/>
              </w:rPr>
            </w:pP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售后服务保修期限及内容（详细完整的“三包” ）、售后服务响应</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rPr>
              <w:t>、措施和方案。根据服务响应、质保期限、维修成本、质保过期后售后服务收费标准等</w:t>
            </w:r>
            <w:r>
              <w:rPr>
                <w:rFonts w:hint="eastAsia" w:ascii="仿宋" w:hAnsi="仿宋" w:eastAsia="仿宋" w:cs="仿宋"/>
                <w:color w:val="auto"/>
                <w:sz w:val="21"/>
                <w:szCs w:val="21"/>
                <w:highlight w:val="none"/>
                <w:lang w:eastAsia="zh-CN"/>
              </w:rPr>
              <w:t>方面进行评审（</w:t>
            </w:r>
            <w:r>
              <w:rPr>
                <w:rFonts w:hint="eastAsia" w:ascii="仿宋" w:hAnsi="仿宋" w:eastAsia="仿宋" w:cs="仿宋"/>
                <w:color w:val="auto"/>
                <w:sz w:val="21"/>
                <w:szCs w:val="21"/>
                <w:highlight w:val="none"/>
                <w:lang w:val="en-US" w:eastAsia="zh-CN"/>
              </w:rPr>
              <w:t>0-6分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vMerge w:val="continue"/>
            <w:noWrap w:val="0"/>
            <w:vAlign w:val="center"/>
          </w:tcPr>
          <w:p>
            <w:pPr>
              <w:spacing w:line="360" w:lineRule="auto"/>
              <w:jc w:val="center"/>
              <w:rPr>
                <w:rFonts w:hint="eastAsia" w:ascii="仿宋" w:hAnsi="仿宋" w:eastAsia="仿宋" w:cs="仿宋"/>
                <w:color w:val="auto"/>
                <w:sz w:val="21"/>
                <w:szCs w:val="21"/>
                <w:highlight w:val="none"/>
              </w:rPr>
            </w:pPr>
          </w:p>
        </w:tc>
        <w:tc>
          <w:tcPr>
            <w:tcW w:w="700" w:type="pct"/>
            <w:vMerge w:val="continue"/>
            <w:noWrap w:val="0"/>
            <w:vAlign w:val="center"/>
          </w:tcPr>
          <w:p>
            <w:pPr>
              <w:spacing w:line="360" w:lineRule="auto"/>
              <w:jc w:val="center"/>
              <w:rPr>
                <w:rFonts w:hint="eastAsia" w:ascii="仿宋" w:hAnsi="仿宋" w:eastAsia="仿宋" w:cs="仿宋"/>
                <w:color w:val="auto"/>
                <w:sz w:val="21"/>
                <w:szCs w:val="21"/>
                <w:highlight w:val="none"/>
              </w:rPr>
            </w:pP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在</w:t>
            </w:r>
            <w:r>
              <w:rPr>
                <w:rFonts w:hint="eastAsia" w:ascii="仿宋" w:hAnsi="仿宋" w:eastAsia="仿宋" w:cs="仿宋"/>
                <w:color w:val="auto"/>
                <w:sz w:val="21"/>
                <w:szCs w:val="21"/>
                <w:highlight w:val="none"/>
                <w:lang w:eastAsia="zh-CN"/>
              </w:rPr>
              <w:t>本</w:t>
            </w:r>
            <w:r>
              <w:rPr>
                <w:rFonts w:hint="eastAsia" w:ascii="仿宋" w:hAnsi="仿宋" w:eastAsia="仿宋" w:cs="仿宋"/>
                <w:color w:val="auto"/>
                <w:sz w:val="21"/>
                <w:szCs w:val="21"/>
                <w:highlight w:val="none"/>
              </w:rPr>
              <w:t>地区有备货仓库（</w:t>
            </w:r>
            <w:r>
              <w:rPr>
                <w:rFonts w:hint="eastAsia" w:ascii="仿宋" w:hAnsi="仿宋" w:eastAsia="仿宋" w:cs="仿宋"/>
                <w:color w:val="auto"/>
                <w:sz w:val="21"/>
                <w:szCs w:val="21"/>
                <w:highlight w:val="none"/>
                <w:lang w:eastAsia="zh-CN"/>
              </w:rPr>
              <w:t>须</w:t>
            </w:r>
            <w:r>
              <w:rPr>
                <w:rFonts w:hint="eastAsia" w:ascii="仿宋" w:hAnsi="仿宋" w:eastAsia="仿宋" w:cs="仿宋"/>
                <w:color w:val="auto"/>
                <w:sz w:val="21"/>
                <w:szCs w:val="21"/>
                <w:highlight w:val="none"/>
              </w:rPr>
              <w:t>提供相关证明材料）</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投标人承诺在中标后设立备货仓库得</w:t>
            </w:r>
            <w:r>
              <w:rPr>
                <w:rFonts w:hint="eastAsia" w:ascii="仿宋" w:hAnsi="仿宋" w:eastAsia="仿宋" w:cs="仿宋"/>
                <w:color w:val="auto"/>
                <w:sz w:val="21"/>
                <w:szCs w:val="21"/>
                <w:highlight w:val="none"/>
                <w:lang w:val="en-US" w:eastAsia="zh-CN"/>
              </w:rPr>
              <w:t>2分，</w:t>
            </w:r>
            <w:r>
              <w:rPr>
                <w:rFonts w:hint="eastAsia" w:ascii="仿宋" w:hAnsi="仿宋" w:eastAsia="仿宋" w:cs="仿宋"/>
                <w:color w:val="auto"/>
                <w:sz w:val="21"/>
                <w:szCs w:val="21"/>
                <w:highlight w:val="none"/>
                <w:lang w:eastAsia="zh-CN"/>
              </w:rPr>
              <w:t>没有或未提供相关证明材料不得</w:t>
            </w:r>
            <w:r>
              <w:rPr>
                <w:rFonts w:hint="eastAsia" w:ascii="仿宋" w:hAnsi="仿宋" w:eastAsia="仿宋" w:cs="仿宋"/>
                <w:color w:val="auto"/>
                <w:sz w:val="21"/>
                <w:szCs w:val="21"/>
                <w:highlight w:val="none"/>
              </w:rPr>
              <w:t>分。</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8" w:type="pct"/>
            <w:noWrap w:val="0"/>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00" w:type="pct"/>
            <w:noWrap w:val="0"/>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其他优惠承诺</w:t>
            </w:r>
          </w:p>
        </w:tc>
        <w:tc>
          <w:tcPr>
            <w:tcW w:w="3593" w:type="pct"/>
            <w:noWrap w:val="0"/>
            <w:vAlign w:val="center"/>
          </w:tcPr>
          <w:p>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根据自身的能力，提供各种服务</w:t>
            </w:r>
            <w:r>
              <w:rPr>
                <w:rFonts w:hint="eastAsia" w:ascii="仿宋" w:hAnsi="仿宋" w:eastAsia="仿宋" w:cs="仿宋"/>
                <w:color w:val="auto"/>
                <w:sz w:val="21"/>
                <w:szCs w:val="21"/>
                <w:highlight w:val="none"/>
                <w:lang w:eastAsia="zh-CN"/>
              </w:rPr>
              <w:t>承诺及全新原厂备品配件（</w:t>
            </w:r>
            <w:r>
              <w:rPr>
                <w:rFonts w:hint="eastAsia" w:ascii="仿宋" w:hAnsi="仿宋" w:eastAsia="仿宋" w:cs="仿宋"/>
                <w:color w:val="auto"/>
                <w:sz w:val="21"/>
                <w:szCs w:val="21"/>
                <w:highlight w:val="none"/>
                <w:lang w:val="en-US" w:eastAsia="zh-CN"/>
              </w:rPr>
              <w:t>0-7分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pPr>
              <w:spacing w:line="360" w:lineRule="auto"/>
              <w:ind w:left="-115" w:leftChars="-55" w:right="-115" w:rightChars="-55"/>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0"/>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59A6CF2"/>
    <w:rsid w:val="0EC75C6E"/>
    <w:rsid w:val="0F096B8F"/>
    <w:rsid w:val="0F63063F"/>
    <w:rsid w:val="17E6386F"/>
    <w:rsid w:val="18E60774"/>
    <w:rsid w:val="19EF674B"/>
    <w:rsid w:val="1D2F1C3B"/>
    <w:rsid w:val="26D112CD"/>
    <w:rsid w:val="2CE61358"/>
    <w:rsid w:val="30CD01D9"/>
    <w:rsid w:val="38872063"/>
    <w:rsid w:val="40037E78"/>
    <w:rsid w:val="427E60E8"/>
    <w:rsid w:val="490735E2"/>
    <w:rsid w:val="4CB0248B"/>
    <w:rsid w:val="4F4B3D85"/>
    <w:rsid w:val="505F7017"/>
    <w:rsid w:val="5F561B6F"/>
    <w:rsid w:val="5F57E5CA"/>
    <w:rsid w:val="620B296D"/>
    <w:rsid w:val="65AA6490"/>
    <w:rsid w:val="669C35D3"/>
    <w:rsid w:val="6BD4147B"/>
    <w:rsid w:val="6FC37AD4"/>
    <w:rsid w:val="70CC50B4"/>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42037</Words>
  <Characters>44935</Characters>
  <Paragraphs>1943</Paragraphs>
  <TotalTime>37</TotalTime>
  <ScaleCrop>false</ScaleCrop>
  <LinksUpToDate>false</LinksUpToDate>
  <CharactersWithSpaces>52310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2024-05-17T07:39:23Z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ies>
</file>