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bCs/>
          <w:color w:val="auto"/>
          <w:sz w:val="52"/>
          <w:szCs w:val="52"/>
          <w:highlight w:val="none"/>
          <w:lang w:eastAsia="zh-CN"/>
        </w:rPr>
      </w:pPr>
      <w:r>
        <w:rPr>
          <w:rFonts w:hint="eastAsia" w:ascii="仿宋" w:hAnsi="仿宋" w:eastAsia="仿宋" w:cs="仿宋"/>
          <w:b/>
          <w:bCs/>
          <w:color w:val="auto"/>
          <w:sz w:val="52"/>
          <w:szCs w:val="52"/>
          <w:highlight w:val="none"/>
          <w:lang w:eastAsia="zh-CN"/>
        </w:rPr>
        <w:t>绍兴文理学院元培学院</w:t>
      </w:r>
    </w:p>
    <w:p>
      <w:pPr>
        <w:jc w:val="center"/>
        <w:outlineLvl w:val="0"/>
        <w:rPr>
          <w:rFonts w:hint="eastAsia" w:ascii="仿宋" w:hAnsi="仿宋" w:eastAsia="仿宋" w:cs="仿宋"/>
          <w:b/>
          <w:color w:val="auto"/>
          <w:sz w:val="72"/>
          <w:szCs w:val="72"/>
          <w:highlight w:val="none"/>
          <w:lang w:eastAsia="zh-CN"/>
        </w:rPr>
      </w:pPr>
      <w:r>
        <w:rPr>
          <w:rFonts w:hint="eastAsia" w:ascii="仿宋" w:hAnsi="仿宋" w:eastAsia="仿宋" w:cs="仿宋"/>
          <w:b/>
          <w:bCs/>
          <w:color w:val="auto"/>
          <w:sz w:val="52"/>
          <w:szCs w:val="52"/>
          <w:highlight w:val="none"/>
          <w:lang w:eastAsia="zh-CN"/>
        </w:rPr>
        <w:t>2024年度中文纸质图书采购项目</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color w:val="auto"/>
          <w:sz w:val="28"/>
          <w:szCs w:val="28"/>
          <w:highlight w:val="none"/>
          <w:lang w:eastAsia="zh-CN"/>
        </w:rPr>
        <w:t>TYJZ2024015</w:t>
      </w:r>
    </w:p>
    <w:tbl>
      <w:tblPr>
        <w:tblStyle w:val="18"/>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绍兴文理学院元培学院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88396441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月</w:t>
            </w:r>
          </w:p>
        </w:tc>
      </w:tr>
    </w:tbl>
    <w:p>
      <w:pPr>
        <w:pStyle w:val="23"/>
        <w:rPr>
          <w:rFonts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color w:val="auto"/>
          <w:sz w:val="24"/>
          <w:highlight w:val="none"/>
        </w:rPr>
      </w:pPr>
    </w:p>
    <w:p>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spacing w:line="360" w:lineRule="auto"/>
        <w:jc w:val="center"/>
        <w:rPr>
          <w:rFonts w:ascii="仿宋" w:hAnsi="仿宋" w:eastAsia="仿宋" w:cs="仿宋"/>
          <w:b/>
          <w:color w:val="auto"/>
          <w:sz w:val="44"/>
          <w:szCs w:val="44"/>
          <w:highlight w:val="none"/>
        </w:rPr>
      </w:pPr>
    </w:p>
    <w:p>
      <w:pPr>
        <w:spacing w:line="360" w:lineRule="auto"/>
        <w:jc w:val="center"/>
        <w:rPr>
          <w:rFonts w:ascii="仿宋" w:hAnsi="仿宋" w:eastAsia="仿宋" w:cs="仿宋"/>
          <w:color w:val="auto"/>
          <w:highlight w:val="none"/>
        </w:rPr>
      </w:pP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rPr>
          <w:rFonts w:ascii="仿宋" w:hAnsi="仿宋" w:eastAsia="仿宋" w:cs="仿宋"/>
          <w:color w:val="auto"/>
          <w:sz w:val="24"/>
          <w:highlight w:val="none"/>
        </w:rPr>
      </w:pPr>
    </w:p>
    <w:bookmarkEnd w:id="1"/>
    <w:p>
      <w:pPr>
        <w:adjustRightInd/>
        <w:spacing w:line="360" w:lineRule="auto"/>
        <w:jc w:val="center"/>
        <w:outlineLvl w:val="0"/>
        <w:rPr>
          <w:rFonts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2" w:name="_Hlt74729822"/>
      <w:bookmarkEnd w:id="2"/>
      <w:bookmarkStart w:id="3" w:name="_Hlt74649545"/>
      <w:bookmarkEnd w:id="3"/>
      <w:bookmarkStart w:id="4" w:name="_Hlt74728647"/>
      <w:bookmarkEnd w:id="4"/>
      <w:bookmarkStart w:id="5" w:name="_Hlt74707423"/>
      <w:bookmarkEnd w:id="5"/>
      <w:bookmarkStart w:id="6" w:name="第二部分"/>
      <w:bookmarkStart w:id="7" w:name="_Toc91899870"/>
      <w:bookmarkStart w:id="8" w:name="_Toc91899871"/>
    </w:p>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绍兴文理学院元培学院2024年度中文纸质图书采购项目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22"/>
          <w:rFonts w:hint="eastAsia" w:ascii="仿宋" w:hAnsi="仿宋" w:eastAsia="仿宋" w:cs="仿宋"/>
          <w:snapToGrid/>
          <w:color w:val="auto"/>
          <w:kern w:val="2"/>
          <w:sz w:val="24"/>
          <w:szCs w:val="24"/>
          <w:highlight w:val="none"/>
        </w:rPr>
        <w:t>https://www.zcygov.cn/）获取（下载）招标文件，并于202</w:t>
      </w:r>
      <w:r>
        <w:rPr>
          <w:rStyle w:val="22"/>
          <w:rFonts w:hint="eastAsia" w:ascii="仿宋" w:hAnsi="仿宋" w:eastAsia="仿宋" w:cs="仿宋"/>
          <w:snapToGrid/>
          <w:color w:val="auto"/>
          <w:kern w:val="2"/>
          <w:sz w:val="24"/>
          <w:szCs w:val="24"/>
          <w:highlight w:val="none"/>
          <w:lang w:val="en-US" w:eastAsia="zh-CN"/>
        </w:rPr>
        <w:t>4</w:t>
      </w:r>
      <w:r>
        <w:rPr>
          <w:rStyle w:val="22"/>
          <w:rFonts w:hint="eastAsia" w:ascii="仿宋" w:hAnsi="仿宋" w:eastAsia="仿宋" w:cs="仿宋"/>
          <w:snapToGrid/>
          <w:color w:val="auto"/>
          <w:kern w:val="2"/>
          <w:sz w:val="24"/>
          <w:szCs w:val="24"/>
          <w:highlight w:val="none"/>
        </w:rPr>
        <w:t>年</w:t>
      </w:r>
      <w:r>
        <w:rPr>
          <w:rStyle w:val="22"/>
          <w:rFonts w:hint="eastAsia" w:ascii="仿宋" w:hAnsi="仿宋" w:eastAsia="仿宋" w:cs="仿宋"/>
          <w:snapToGrid/>
          <w:color w:val="auto"/>
          <w:kern w:val="2"/>
          <w:sz w:val="24"/>
          <w:szCs w:val="24"/>
          <w:highlight w:val="none"/>
          <w:lang w:val="en-US" w:eastAsia="zh-CN"/>
        </w:rPr>
        <w:t>05</w:t>
      </w:r>
      <w:r>
        <w:rPr>
          <w:rStyle w:val="22"/>
          <w:rFonts w:hint="eastAsia" w:ascii="仿宋" w:hAnsi="仿宋" w:eastAsia="仿宋" w:cs="仿宋"/>
          <w:snapToGrid/>
          <w:color w:val="auto"/>
          <w:kern w:val="2"/>
          <w:sz w:val="24"/>
          <w:szCs w:val="24"/>
          <w:highlight w:val="none"/>
        </w:rPr>
        <w:t>月</w:t>
      </w:r>
      <w:r>
        <w:rPr>
          <w:rStyle w:val="22"/>
          <w:rFonts w:hint="eastAsia" w:ascii="仿宋" w:hAnsi="仿宋" w:eastAsia="仿宋" w:cs="仿宋"/>
          <w:snapToGrid/>
          <w:color w:val="auto"/>
          <w:kern w:val="2"/>
          <w:sz w:val="24"/>
          <w:szCs w:val="24"/>
          <w:highlight w:val="none"/>
          <w:lang w:val="en-US" w:eastAsia="zh-CN"/>
        </w:rPr>
        <w:t>08</w:t>
      </w:r>
      <w:r>
        <w:rPr>
          <w:rStyle w:val="22"/>
          <w:rFonts w:hint="eastAsia" w:ascii="仿宋" w:hAnsi="仿宋" w:eastAsia="仿宋" w:cs="仿宋"/>
          <w:snapToGrid/>
          <w:color w:val="auto"/>
          <w:kern w:val="2"/>
          <w:sz w:val="24"/>
          <w:szCs w:val="24"/>
          <w:highlight w:val="none"/>
        </w:rPr>
        <w:t>日09点00分</w:t>
      </w:r>
      <w:r>
        <w:rPr>
          <w:rStyle w:val="22"/>
          <w:rFonts w:hint="eastAsia" w:ascii="仿宋" w:hAnsi="仿宋" w:eastAsia="仿宋" w:cs="仿宋"/>
          <w:bCs/>
          <w:snapToGrid/>
          <w:color w:val="auto"/>
          <w:kern w:val="2"/>
          <w:sz w:val="24"/>
          <w:szCs w:val="24"/>
          <w:highlight w:val="none"/>
        </w:rPr>
        <w:t>00秒</w:t>
      </w:r>
      <w:r>
        <w:rPr>
          <w:rStyle w:val="22"/>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TYJZ2024015</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绍兴文理学院元培学院2024年度中文纸质图书采购项目</w:t>
      </w:r>
      <w:r>
        <w:rPr>
          <w:rFonts w:hint="eastAsia" w:ascii="仿宋" w:hAnsi="仿宋" w:eastAsia="仿宋" w:cs="仿宋"/>
          <w:color w:val="auto"/>
          <w:sz w:val="24"/>
          <w:highlight w:val="none"/>
        </w:rPr>
        <w:t xml:space="preserve"> </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160</w:t>
      </w:r>
      <w:r>
        <w:rPr>
          <w:rFonts w:hint="eastAsia" w:ascii="仿宋" w:hAnsi="仿宋" w:eastAsia="仿宋" w:cs="仿宋"/>
          <w:b w:val="0"/>
          <w:bCs/>
          <w:color w:val="auto"/>
          <w:sz w:val="24"/>
          <w:highlight w:val="none"/>
        </w:rPr>
        <w:t>0000.00</w:t>
      </w:r>
      <w:r>
        <w:rPr>
          <w:rFonts w:hint="eastAsia" w:ascii="仿宋" w:hAnsi="仿宋" w:eastAsia="仿宋" w:cs="仿宋"/>
          <w:b/>
          <w:color w:val="auto"/>
          <w:sz w:val="24"/>
          <w:highlight w:val="none"/>
        </w:rPr>
        <w:t xml:space="preserve"> </w:t>
      </w:r>
    </w:p>
    <w:p>
      <w:pPr>
        <w:spacing w:line="440" w:lineRule="exact"/>
        <w:ind w:firstLine="482" w:firstLineChars="200"/>
        <w:rPr>
          <w:rFonts w:hint="default"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color w:val="auto"/>
          <w:kern w:val="0"/>
          <w:sz w:val="24"/>
          <w:highlight w:val="none"/>
        </w:rPr>
        <w:t>600000</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550000</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450000</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标项一:</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标项名称:图书馆2024年度中文纸质图书采购项目（一） </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数量:不限</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预算金额（元）：600000</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简要规格描述或项目基本概况介绍、用途：详见采购文件。 </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备注：无。</w:t>
      </w:r>
    </w:p>
    <w:p>
      <w:pPr>
        <w:widowControl/>
        <w:snapToGrid w:val="0"/>
        <w:spacing w:line="288" w:lineRule="auto"/>
        <w:ind w:firstLine="480" w:firstLineChars="200"/>
        <w:rPr>
          <w:rFonts w:hint="eastAsia" w:ascii="仿宋" w:hAnsi="仿宋" w:eastAsia="仿宋" w:cs="仿宋"/>
          <w:color w:val="auto"/>
          <w:kern w:val="0"/>
          <w:sz w:val="24"/>
          <w:highlight w:val="none"/>
        </w:rPr>
      </w:pP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标项二:</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标项名称:图书馆2024年度中文纸质图书采购项目（二） </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数量:不限</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预算金额（元）：550000</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简要规格描述或项目基本概况介绍、用途：详见采购文件。 </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备注：无。</w:t>
      </w:r>
    </w:p>
    <w:p>
      <w:pPr>
        <w:widowControl/>
        <w:snapToGrid w:val="0"/>
        <w:spacing w:line="288" w:lineRule="auto"/>
        <w:ind w:firstLine="480" w:firstLineChars="200"/>
        <w:rPr>
          <w:rFonts w:hint="eastAsia" w:ascii="仿宋" w:hAnsi="仿宋" w:eastAsia="仿宋" w:cs="仿宋"/>
          <w:color w:val="auto"/>
          <w:kern w:val="0"/>
          <w:sz w:val="24"/>
          <w:highlight w:val="none"/>
        </w:rPr>
      </w:pP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标项三:</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标项名称:图书馆2024年度中文纸质图书采购项目（三） </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数量:不限</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预算金额（元）：450000</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简要规格描述或项目基本概况介绍、用途：详见采购文件。 </w:t>
      </w:r>
    </w:p>
    <w:p>
      <w:pPr>
        <w:pStyle w:val="36"/>
        <w:spacing w:afterLines="0" w:line="288" w:lineRule="auto"/>
        <w:ind w:firstLine="480"/>
        <w:rPr>
          <w:rFonts w:hint="eastAsia" w:ascii="仿宋" w:hAnsi="仿宋" w:eastAsia="仿宋" w:cs="仿宋"/>
          <w:bCs/>
          <w:color w:val="auto"/>
          <w:sz w:val="24"/>
          <w:highlight w:val="none"/>
        </w:rPr>
      </w:pPr>
      <w:r>
        <w:rPr>
          <w:rFonts w:hint="eastAsia" w:ascii="仿宋" w:hAnsi="仿宋" w:eastAsia="仿宋" w:cs="仿宋"/>
          <w:color w:val="auto"/>
          <w:kern w:val="2"/>
          <w:highlight w:val="none"/>
          <w:lang w:val="en-US" w:eastAsia="zh-CN"/>
        </w:rPr>
        <w:t>备注：无。</w:t>
      </w:r>
    </w:p>
    <w:p>
      <w:pPr>
        <w:spacing w:line="440" w:lineRule="exact"/>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：1、2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按双方合同约定条款执行</w:t>
      </w:r>
    </w:p>
    <w:p>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Cs w:val="21"/>
            <w:highlight w:val="none"/>
          </w:rPr>
          <w:id w:val="725337177"/>
        </w:sdtPr>
        <w:sdtEndPr>
          <w:rPr>
            <w:rFonts w:hint="eastAsia" w:ascii="仿宋" w:hAnsi="仿宋" w:eastAsia="仿宋" w:cs="仿宋"/>
            <w:color w:val="auto"/>
            <w:szCs w:val="21"/>
            <w:highlight w:val="none"/>
          </w:rPr>
        </w:sdtEndPr>
        <w:sdtContent>
          <w:r>
            <w:rPr>
              <w:rFonts w:hint="eastAsia" w:ascii="仿宋" w:hAnsi="仿宋" w:eastAsia="仿宋" w:cs="仿宋"/>
              <w:b/>
              <w:color w:val="auto"/>
              <w:sz w:val="24"/>
              <w:highlight w:val="none"/>
            </w:rPr>
            <w:t>☐</w:t>
          </w:r>
        </w:sdtContent>
      </w:sdt>
      <w:r>
        <w:rPr>
          <w:rFonts w:hint="eastAsia" w:ascii="仿宋" w:hAnsi="仿宋" w:eastAsia="仿宋" w:cs="仿宋"/>
          <w:b/>
          <w:color w:val="auto"/>
          <w:sz w:val="24"/>
          <w:highlight w:val="none"/>
        </w:rPr>
        <w:t>是，</w:t>
      </w:r>
      <w:r>
        <w:rPr>
          <w:rFonts w:hint="eastAsia" w:ascii="仿宋" w:hAnsi="仿宋" w:eastAsia="仿宋" w:cs="仿宋"/>
          <w:color w:val="auto"/>
          <w:highlight w:val="none"/>
        </w:rPr>
        <w:sym w:font="Wingdings" w:char="00FE"/>
      </w:r>
      <w:r>
        <w:rPr>
          <w:rFonts w:hint="eastAsia" w:ascii="仿宋" w:hAnsi="仿宋" w:eastAsia="仿宋" w:cs="仿宋"/>
          <w:b/>
          <w:color w:val="auto"/>
          <w:sz w:val="24"/>
          <w:highlight w:val="none"/>
        </w:rPr>
        <w:t>否。</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spacing w:line="440" w:lineRule="exact"/>
        <w:ind w:firstLine="420" w:firstLineChars="200"/>
        <w:rPr>
          <w:rFonts w:ascii="仿宋" w:hAnsi="仿宋" w:eastAsia="仿宋" w:cs="仿宋"/>
          <w:color w:val="auto"/>
          <w:sz w:val="24"/>
          <w:highlight w:val="none"/>
        </w:rPr>
      </w:pPr>
      <w:sdt>
        <w:sdtPr>
          <w:rPr>
            <w:rFonts w:hint="eastAsia" w:ascii="仿宋" w:hAnsi="仿宋" w:eastAsia="仿宋" w:cs="仿宋"/>
            <w:color w:val="auto"/>
            <w:szCs w:val="21"/>
            <w:highlight w:val="none"/>
          </w:rPr>
          <w:id w:val="-983850770"/>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无；</w:t>
      </w:r>
    </w:p>
    <w:p>
      <w:pPr>
        <w:spacing w:line="440" w:lineRule="exact"/>
        <w:ind w:firstLine="420" w:firstLineChars="200"/>
        <w:rPr>
          <w:rFonts w:ascii="仿宋" w:hAnsi="仿宋" w:eastAsia="仿宋" w:cs="仿宋"/>
          <w:color w:val="auto"/>
          <w:sz w:val="24"/>
          <w:highlight w:val="none"/>
        </w:rPr>
      </w:pPr>
      <w:sdt>
        <w:sdtPr>
          <w:rPr>
            <w:rFonts w:hint="eastAsia" w:ascii="仿宋" w:hAnsi="仿宋" w:eastAsia="仿宋" w:cs="仿宋"/>
            <w:color w:val="auto"/>
            <w:szCs w:val="21"/>
            <w:highlight w:val="none"/>
          </w:rPr>
          <w:id w:val="568858083"/>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440" w:lineRule="exact"/>
        <w:ind w:firstLine="785" w:firstLineChars="374"/>
        <w:rPr>
          <w:rFonts w:ascii="仿宋" w:hAnsi="仿宋" w:eastAsia="仿宋" w:cs="仿宋"/>
          <w:color w:val="auto"/>
          <w:sz w:val="24"/>
          <w:highlight w:val="none"/>
          <w:u w:val="single"/>
        </w:rPr>
      </w:pPr>
      <w:sdt>
        <w:sdtPr>
          <w:rPr>
            <w:rFonts w:hint="eastAsia" w:ascii="仿宋" w:hAnsi="仿宋" w:eastAsia="仿宋" w:cs="仿宋"/>
            <w:color w:val="auto"/>
            <w:szCs w:val="21"/>
            <w:highlight w:val="none"/>
          </w:rPr>
          <w:id w:val="-44569580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货物全部由符合政策要求的中小企业制造，提供中小企业声明函；</w:t>
      </w:r>
    </w:p>
    <w:p>
      <w:pPr>
        <w:spacing w:line="44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9"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9"/>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4.本项目的特定资格要求：具有有效的《出版物经营许可证》；</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08</w:t>
      </w:r>
      <w:r>
        <w:rPr>
          <w:rFonts w:hint="eastAsia" w:ascii="仿宋" w:hAnsi="仿宋" w:eastAsia="仿宋" w:cs="仿宋"/>
          <w:color w:val="auto"/>
          <w:sz w:val="24"/>
          <w:highlight w:val="none"/>
          <w:u w:val="single"/>
        </w:rPr>
        <w:t>日09点00分00秒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08</w:t>
      </w:r>
      <w:r>
        <w:rPr>
          <w:rFonts w:hint="eastAsia" w:ascii="仿宋" w:hAnsi="仿宋" w:eastAsia="仿宋" w:cs="仿宋"/>
          <w:color w:val="auto"/>
          <w:sz w:val="24"/>
          <w:highlight w:val="none"/>
          <w:u w:val="single"/>
        </w:rPr>
        <w:t>日09点00分00秒</w:t>
      </w:r>
      <w:r>
        <w:rPr>
          <w:rFonts w:hint="eastAsia" w:ascii="仿宋" w:hAnsi="仿宋" w:eastAsia="仿宋" w:cs="仿宋"/>
          <w:bCs/>
          <w:color w:val="auto"/>
          <w:sz w:val="24"/>
          <w:highlight w:val="none"/>
          <w:u w:val="single"/>
        </w:rPr>
        <w:t xml:space="preserve">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lang w:eastAsia="zh-CN"/>
        </w:rPr>
        <w:t>本项目投标人可参与多个标项，但最多只能中一个标项，</w:t>
      </w:r>
      <w:r>
        <w:rPr>
          <w:rFonts w:hint="eastAsia" w:ascii="仿宋" w:hAnsi="仿宋" w:eastAsia="仿宋" w:cs="仿宋"/>
          <w:b/>
          <w:color w:val="auto"/>
          <w:sz w:val="24"/>
          <w:highlight w:val="none"/>
          <w:lang w:val="en-US" w:eastAsia="zh-CN"/>
        </w:rPr>
        <w:t>已中01标的投标人不能再成为</w:t>
      </w:r>
      <w:r>
        <w:rPr>
          <w:rFonts w:hint="eastAsia" w:ascii="仿宋" w:hAnsi="仿宋" w:eastAsia="仿宋" w:cs="仿宋"/>
          <w:b/>
          <w:color w:val="auto"/>
          <w:sz w:val="24"/>
          <w:highlight w:val="none"/>
          <w:lang w:eastAsia="zh-CN"/>
        </w:rPr>
        <w:t>02标，03标</w:t>
      </w:r>
      <w:r>
        <w:rPr>
          <w:rFonts w:hint="eastAsia" w:ascii="仿宋" w:hAnsi="仿宋" w:eastAsia="仿宋" w:cs="仿宋"/>
          <w:b/>
          <w:color w:val="auto"/>
          <w:sz w:val="24"/>
          <w:highlight w:val="none"/>
          <w:lang w:val="en-US" w:eastAsia="zh-CN"/>
        </w:rPr>
        <w:t>的中标候选人，以此类推，</w:t>
      </w:r>
      <w:r>
        <w:rPr>
          <w:rFonts w:hint="eastAsia" w:ascii="仿宋" w:hAnsi="仿宋" w:eastAsia="仿宋" w:cs="仿宋"/>
          <w:b/>
          <w:color w:val="auto"/>
          <w:sz w:val="24"/>
          <w:highlight w:val="none"/>
          <w:lang w:eastAsia="zh-CN"/>
        </w:rPr>
        <w:t>开标顺序为01标， 02标，03标依次开启。</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5"/>
        <w:spacing w:line="440" w:lineRule="exact"/>
        <w:ind w:left="0" w:firstLine="482" w:firstLineChars="200"/>
        <w:rPr>
          <w:rFonts w:ascii="仿宋" w:eastAsia="仿宋" w:cs="仿宋"/>
          <w:color w:val="auto"/>
          <w:sz w:val="24"/>
          <w:szCs w:val="24"/>
          <w:highlight w:val="none"/>
        </w:rPr>
      </w:pPr>
      <w:bookmarkStart w:id="10" w:name="_Toc28359096"/>
      <w:bookmarkStart w:id="11" w:name="_Toc28359019"/>
      <w:bookmarkStart w:id="12" w:name="_Toc35393806"/>
      <w:bookmarkStart w:id="13" w:name="_Toc35393637"/>
      <w:r>
        <w:rPr>
          <w:rFonts w:hint="eastAsia" w:ascii="仿宋" w:eastAsia="仿宋" w:cs="仿宋"/>
          <w:color w:val="auto"/>
          <w:sz w:val="24"/>
          <w:szCs w:val="24"/>
          <w:highlight w:val="none"/>
        </w:rPr>
        <w:t>1.采购人信息</w:t>
      </w:r>
      <w:bookmarkEnd w:id="10"/>
      <w:bookmarkEnd w:id="11"/>
      <w:bookmarkEnd w:id="12"/>
      <w:bookmarkEnd w:id="13"/>
      <w:r>
        <w:rPr>
          <w:rFonts w:hint="eastAsia" w:ascii="仿宋" w:eastAsia="仿宋" w:cs="仿宋"/>
          <w:color w:val="auto"/>
          <w:sz w:val="24"/>
          <w:szCs w:val="24"/>
          <w:highlight w:val="none"/>
        </w:rPr>
        <w:t>：</w:t>
      </w:r>
    </w:p>
    <w:p>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绍兴文理学院元培学院</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kern w:val="0"/>
          <w:sz w:val="24"/>
          <w:highlight w:val="none"/>
        </w:rPr>
        <w:t>绍兴市越城区群贤中路2799号</w:t>
      </w:r>
    </w:p>
    <w:p>
      <w:pPr>
        <w:spacing w:line="440" w:lineRule="exact"/>
        <w:ind w:firstLine="480" w:firstLineChars="200"/>
        <w:rPr>
          <w:rFonts w:hint="eastAsia" w:ascii="仿宋" w:hAnsi="仿宋" w:eastAsia="仿宋" w:cs="仿宋"/>
          <w:color w:val="auto"/>
          <w:kern w:val="0"/>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kern w:val="0"/>
          <w:sz w:val="24"/>
          <w:highlight w:val="none"/>
          <w:lang w:val="en-US" w:eastAsia="zh-CN"/>
        </w:rPr>
        <w:t>/</w:t>
      </w:r>
    </w:p>
    <w:p>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kern w:val="0"/>
          <w:sz w:val="24"/>
          <w:highlight w:val="none"/>
        </w:rPr>
        <w:t>严立飞</w:t>
      </w:r>
    </w:p>
    <w:p>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项目联系方式（询问）：0575-85396263</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 </w:t>
      </w:r>
      <w:r>
        <w:rPr>
          <w:rFonts w:hint="eastAsia" w:ascii="仿宋" w:hAnsi="仿宋" w:eastAsia="仿宋" w:cs="仿宋"/>
          <w:color w:val="auto"/>
          <w:kern w:val="0"/>
          <w:sz w:val="24"/>
          <w:highlight w:val="none"/>
        </w:rPr>
        <w:t>徐姗红</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质疑联系方式：0575-88341208</w:t>
      </w:r>
    </w:p>
    <w:p>
      <w:pPr>
        <w:pStyle w:val="5"/>
        <w:spacing w:line="440" w:lineRule="exact"/>
        <w:ind w:left="0" w:firstLine="482" w:firstLineChars="200"/>
        <w:rPr>
          <w:rFonts w:ascii="仿宋" w:eastAsia="仿宋" w:cs="仿宋"/>
          <w:color w:val="auto"/>
          <w:sz w:val="24"/>
          <w:highlight w:val="none"/>
        </w:rPr>
      </w:pPr>
      <w:bookmarkStart w:id="14" w:name="_Toc35393807"/>
      <w:bookmarkStart w:id="15" w:name="_Toc35393638"/>
      <w:bookmarkStart w:id="16" w:name="_Toc28359097"/>
      <w:bookmarkStart w:id="17" w:name="_Toc28359020"/>
      <w:r>
        <w:rPr>
          <w:rFonts w:hint="eastAsia" w:ascii="仿宋" w:eastAsia="仿宋" w:cs="仿宋"/>
          <w:color w:val="auto"/>
          <w:sz w:val="24"/>
          <w:szCs w:val="24"/>
          <w:highlight w:val="none"/>
        </w:rPr>
        <w:t>2.采购代理机构信息</w:t>
      </w:r>
      <w:bookmarkEnd w:id="14"/>
      <w:bookmarkEnd w:id="15"/>
      <w:bookmarkEnd w:id="16"/>
      <w:bookmarkEnd w:id="17"/>
      <w:r>
        <w:rPr>
          <w:rFonts w:hint="eastAsia" w:ascii="仿宋" w:eastAsia="仿宋" w:cs="仿宋"/>
          <w:color w:val="auto"/>
          <w:sz w:val="24"/>
          <w:szCs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金锦英</w:t>
      </w:r>
      <w:r>
        <w:rPr>
          <w:rFonts w:hint="eastAsia" w:ascii="仿宋" w:hAnsi="仿宋" w:eastAsia="仿宋" w:cs="仿宋"/>
          <w:color w:val="auto"/>
          <w:sz w:val="24"/>
          <w:highlight w:val="none"/>
        </w:rPr>
        <w:t xml:space="preserve">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eastAsia="zh-CN"/>
        </w:rPr>
        <w:t>13656752180</w:t>
      </w:r>
      <w:r>
        <w:rPr>
          <w:rFonts w:hint="eastAsia" w:ascii="仿宋" w:hAnsi="仿宋" w:eastAsia="仿宋" w:cs="仿宋"/>
          <w:color w:val="auto"/>
          <w:sz w:val="24"/>
          <w:highlight w:val="none"/>
        </w:rPr>
        <w:t xml:space="preserve">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pPr>
        <w:spacing w:line="440" w:lineRule="exact"/>
        <w:ind w:firstLine="482" w:firstLineChars="200"/>
        <w:rPr>
          <w:rFonts w:ascii="仿宋" w:hAnsi="仿宋" w:eastAsia="仿宋" w:cs="仿宋"/>
          <w:b/>
          <w:color w:val="auto"/>
          <w:sz w:val="24"/>
          <w:highlight w:val="none"/>
        </w:rPr>
      </w:pPr>
      <w:bookmarkStart w:id="18" w:name="_Toc28359098"/>
      <w:bookmarkStart w:id="19" w:name="_Toc28359021"/>
      <w:bookmarkStart w:id="20" w:name="_Toc35393639"/>
      <w:bookmarkStart w:id="21"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8"/>
    <w:bookmarkEnd w:id="19"/>
    <w:bookmarkEnd w:id="20"/>
    <w:bookmarkEnd w:id="21"/>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名称：绍兴市财政局</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监督投诉电话：0575-85209806</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6"/>
    <w:bookmarkEnd w:id="7"/>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18"/>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详见招标文件第三部分   </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详见招标文件第三部分   </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投标截止前一天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sym w:font="Wingdings 2" w:char="00A3"/>
            </w:r>
            <w:r>
              <w:rPr>
                <w:rFonts w:hint="eastAsia" w:ascii="仿宋" w:hAnsi="仿宋" w:eastAsia="仿宋" w:cs="仿宋"/>
                <w:color w:val="auto"/>
                <w:sz w:val="24"/>
                <w:highlight w:val="none"/>
              </w:rPr>
              <w:t>B有方案讲解演示：</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 30 </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sym w:font="Wingdings 2" w:char="00A3"/>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本项目不允许采购进口产品。</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snapToGrid w:val="0"/>
              <w:spacing w:line="440" w:lineRule="exact"/>
              <w:ind w:hanging="1"/>
              <w:jc w:val="left"/>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numPr>
                <w:ilvl w:val="0"/>
                <w:numId w:val="3"/>
              </w:num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p>
            <w:pPr>
              <w:numPr>
                <w:ilvl w:val="0"/>
                <w:numId w:val="3"/>
              </w:num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0</w:t>
            </w:r>
            <w:r>
              <w:rPr>
                <w:rFonts w:hint="eastAsia" w:ascii="仿宋" w:hAnsi="仿宋" w:eastAsia="仿宋" w:cs="仿宋"/>
                <w:color w:val="auto"/>
                <w:kern w:val="0"/>
                <w:sz w:val="24"/>
                <w:highlight w:val="none"/>
                <w:u w:val="single"/>
                <w:lang w:val="en-US" w:eastAsia="zh-CN"/>
              </w:rPr>
              <w:t>2</w:t>
            </w:r>
            <w:r>
              <w:rPr>
                <w:rFonts w:hint="eastAsia" w:ascii="仿宋" w:hAnsi="仿宋" w:eastAsia="仿宋" w:cs="仿宋"/>
                <w:color w:val="auto"/>
                <w:kern w:val="0"/>
                <w:sz w:val="24"/>
                <w:highlight w:val="none"/>
                <w:u w:val="single"/>
              </w:rPr>
              <w:t xml:space="preserve">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p>
            <w:pPr>
              <w:numPr>
                <w:ilvl w:val="0"/>
                <w:numId w:val="3"/>
              </w:num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0</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u w:val="single"/>
              </w:rPr>
              <w:t xml:space="preserve">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51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515" w:type="dxa"/>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color w:val="auto"/>
                <w:sz w:val="24"/>
                <w:highlight w:val="none"/>
              </w:rPr>
            </w:pPr>
          </w:p>
        </w:tc>
        <w:tc>
          <w:tcPr>
            <w:tcW w:w="8370" w:type="dxa"/>
            <w:gridSpan w:val="2"/>
            <w:vAlign w:val="center"/>
          </w:tcPr>
          <w:p>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各标段</w:t>
            </w:r>
            <w:r>
              <w:rPr>
                <w:rFonts w:hint="eastAsia" w:ascii="仿宋" w:hAnsi="仿宋" w:eastAsia="仿宋" w:cs="仿宋"/>
                <w:color w:val="auto"/>
                <w:sz w:val="24"/>
                <w:highlight w:val="none"/>
              </w:rPr>
              <w:t>以中标通知中确定的中标总金额作为代理服务费的计算基数，具体比例参照《国家计委关于印发&lt;招标代理服务收费管理暂行办法&gt;的通知》（计价格[2002]1980号）规定的标准下浮</w:t>
            </w:r>
            <w:r>
              <w:rPr>
                <w:rFonts w:hint="eastAsia" w:ascii="仿宋" w:hAnsi="仿宋" w:eastAsia="仿宋" w:cs="仿宋"/>
                <w:color w:val="auto"/>
                <w:sz w:val="24"/>
                <w:highlight w:val="none"/>
                <w:lang w:val="en-US" w:eastAsia="zh-CN"/>
              </w:rPr>
              <w:t>100</w:t>
            </w:r>
            <w:r>
              <w:rPr>
                <w:rFonts w:hint="eastAsia" w:ascii="仿宋" w:hAnsi="仿宋" w:eastAsia="仿宋" w:cs="仿宋"/>
                <w:color w:val="auto"/>
                <w:sz w:val="24"/>
                <w:highlight w:val="none"/>
              </w:rPr>
              <w:t>%进行收费。服务费</w:t>
            </w:r>
            <w:r>
              <w:rPr>
                <w:rFonts w:hint="eastAsia" w:ascii="仿宋" w:hAnsi="仿宋" w:eastAsia="仿宋" w:cs="仿宋"/>
                <w:color w:val="auto"/>
                <w:sz w:val="24"/>
                <w:highlight w:val="none"/>
                <w:lang w:eastAsia="zh-CN"/>
              </w:rPr>
              <w:t>低于</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000元按照</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000元收取</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超过50000元按50000元计</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另加《绍兴文理学院元培学院委托代理服务合同》中约定的其他费用，由中标单位支付，此费用仅提供收款收据。</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spacing w:line="440" w:lineRule="exact"/>
              <w:rPr>
                <w:rFonts w:ascii="仿宋" w:hAnsi="仿宋" w:eastAsia="仿宋" w:cs="仿宋"/>
                <w:color w:val="auto"/>
                <w:kern w:val="0"/>
                <w:sz w:val="24"/>
                <w:szCs w:val="21"/>
                <w:highlight w:val="none"/>
              </w:rPr>
            </w:pPr>
            <w:r>
              <w:rPr>
                <w:rFonts w:hint="eastAsia" w:ascii="仿宋" w:hAnsi="仿宋" w:eastAsia="仿宋" w:cs="仿宋"/>
                <w:color w:val="auto"/>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lang w:eastAsia="zh-CN"/>
              </w:rPr>
              <w:t>本项目投标人可参与多个标项，但最多只能中一个标项，</w:t>
            </w:r>
            <w:r>
              <w:rPr>
                <w:rFonts w:hint="eastAsia" w:ascii="仿宋" w:hAnsi="仿宋" w:eastAsia="仿宋" w:cs="仿宋"/>
                <w:b/>
                <w:color w:val="auto"/>
                <w:sz w:val="24"/>
                <w:highlight w:val="none"/>
                <w:lang w:val="en-US" w:eastAsia="zh-CN"/>
              </w:rPr>
              <w:t>已中01标的投标人不能再成为</w:t>
            </w:r>
            <w:r>
              <w:rPr>
                <w:rFonts w:hint="eastAsia" w:ascii="仿宋" w:hAnsi="仿宋" w:eastAsia="仿宋" w:cs="仿宋"/>
                <w:b/>
                <w:color w:val="auto"/>
                <w:sz w:val="24"/>
                <w:highlight w:val="none"/>
                <w:lang w:eastAsia="zh-CN"/>
              </w:rPr>
              <w:t>02标，03标</w:t>
            </w:r>
            <w:r>
              <w:rPr>
                <w:rFonts w:hint="eastAsia" w:ascii="仿宋" w:hAnsi="仿宋" w:eastAsia="仿宋" w:cs="仿宋"/>
                <w:b/>
                <w:color w:val="auto"/>
                <w:sz w:val="24"/>
                <w:highlight w:val="none"/>
                <w:lang w:val="en-US" w:eastAsia="zh-CN"/>
              </w:rPr>
              <w:t>的中标候选人，以此类推，</w:t>
            </w:r>
            <w:r>
              <w:rPr>
                <w:rFonts w:hint="eastAsia" w:ascii="仿宋" w:hAnsi="仿宋" w:eastAsia="仿宋" w:cs="仿宋"/>
                <w:b/>
                <w:color w:val="auto"/>
                <w:sz w:val="24"/>
                <w:highlight w:val="none"/>
                <w:lang w:eastAsia="zh-CN"/>
              </w:rPr>
              <w:t>开标顺序为01标， 02标，03标依次开启。</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color w:val="auto"/>
          <w:sz w:val="32"/>
          <w:szCs w:val="20"/>
          <w:highlight w:val="none"/>
        </w:rPr>
      </w:pPr>
    </w:p>
    <w:bookmarkEnd w:id="8"/>
    <w:p>
      <w:pPr>
        <w:adjustRightInd/>
        <w:spacing w:line="360" w:lineRule="auto"/>
        <w:jc w:val="center"/>
        <w:outlineLvl w:val="0"/>
        <w:rPr>
          <w:rFonts w:ascii="仿宋" w:hAnsi="仿宋" w:eastAsia="仿宋" w:cs="仿宋"/>
          <w:b/>
          <w:color w:val="auto"/>
          <w:sz w:val="32"/>
          <w:szCs w:val="32"/>
          <w:highlight w:val="none"/>
        </w:rPr>
      </w:pPr>
      <w:bookmarkStart w:id="22" w:name="_Hlt74714665"/>
      <w:bookmarkEnd w:id="22"/>
      <w:bookmarkStart w:id="23" w:name="_Hlt68073093"/>
      <w:bookmarkEnd w:id="23"/>
      <w:bookmarkStart w:id="24" w:name="_Hlt68403820"/>
      <w:bookmarkEnd w:id="24"/>
      <w:bookmarkStart w:id="25" w:name="_Hlt75236290"/>
      <w:bookmarkEnd w:id="25"/>
      <w:bookmarkStart w:id="26" w:name="_Hlt74729768"/>
      <w:bookmarkEnd w:id="26"/>
      <w:bookmarkStart w:id="27" w:name="_Hlt74730295"/>
      <w:bookmarkEnd w:id="27"/>
      <w:bookmarkStart w:id="28" w:name="_Hlt75236011"/>
      <w:bookmarkEnd w:id="28"/>
      <w:bookmarkStart w:id="29" w:name="_Hlt75236101"/>
      <w:bookmarkEnd w:id="29"/>
      <w:bookmarkStart w:id="30" w:name="_Hlt68057669"/>
      <w:bookmarkEnd w:id="30"/>
      <w:bookmarkStart w:id="31" w:name="_Hlt68072990"/>
      <w:bookmarkEnd w:id="31"/>
      <w:bookmarkStart w:id="32" w:name="_Hlt74707468"/>
      <w:bookmarkEnd w:id="32"/>
      <w:bookmarkStart w:id="33" w:name="_Hlt68072998"/>
      <w:bookmarkEnd w:id="33"/>
      <w:bookmarkStart w:id="34" w:name="_Toc164416483"/>
      <w:bookmarkStart w:id="35" w:name="第三部分"/>
      <w:r>
        <w:rPr>
          <w:rFonts w:hint="eastAsia" w:ascii="仿宋" w:hAnsi="仿宋" w:eastAsia="仿宋" w:cs="仿宋"/>
          <w:b/>
          <w:color w:val="auto"/>
          <w:sz w:val="32"/>
          <w:szCs w:val="32"/>
          <w:highlight w:val="none"/>
        </w:rPr>
        <w:t>一、总则</w:t>
      </w:r>
    </w:p>
    <w:p>
      <w:pPr>
        <w:snapToGrid w:val="0"/>
        <w:spacing w:line="440" w:lineRule="exact"/>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sz w:val="24"/>
          <w:highlight w:val="none"/>
          <w:lang w:val="en"/>
        </w:rPr>
        <w:t>☑</w:t>
      </w:r>
      <w:r>
        <w:rPr>
          <w:rFonts w:hint="eastAsia" w:ascii="仿宋" w:hAnsi="仿宋" w:eastAsia="仿宋" w:cs="仿宋"/>
          <w:color w:val="auto"/>
          <w:sz w:val="24"/>
          <w:highlight w:val="none"/>
        </w:rPr>
        <w:t>” 系指适用本项目的要求，“☐” 系指不适用本项目的要求。</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pacing w:line="440" w:lineRule="exact"/>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3.4支持科技创新创新发展</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24"/>
        <w:rPr>
          <w:rFonts w:ascii="仿宋" w:hAnsi="仿宋" w:eastAsia="仿宋" w:cs="仿宋"/>
          <w:color w:val="auto"/>
          <w:highlight w:val="none"/>
        </w:rPr>
      </w:pPr>
    </w:p>
    <w:p>
      <w:pPr>
        <w:pStyle w:val="26"/>
        <w:snapToGrid w:val="0"/>
        <w:spacing w:before="0" w:line="440" w:lineRule="exact"/>
        <w:ind w:firstLine="640"/>
        <w:rPr>
          <w:rFonts w:ascii="仿宋" w:hAnsi="仿宋" w:eastAsia="仿宋" w:cs="仿宋"/>
          <w:color w:val="auto"/>
          <w:sz w:val="32"/>
          <w:szCs w:val="32"/>
          <w:highlight w:val="none"/>
        </w:rPr>
      </w:pP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9"/>
        <w:snapToGrid w:val="0"/>
        <w:spacing w:line="440" w:lineRule="exact"/>
        <w:ind w:firstLine="0" w:firstLineChars="0"/>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3"/>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pPr>
        <w:snapToGrid w:val="0"/>
        <w:spacing w:line="44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ind w:firstLine="723" w:firstLineChars="3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11"/>
        <w:spacing w:line="440" w:lineRule="exac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2.2.6廉政承诺书（格式见第六部分附件）；</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2.2.8供应商应提供针对项目的完整技术解决方案：</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2.2.15培训计划（如有）；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2.2.16验收方案；</w:t>
      </w:r>
    </w:p>
    <w:p>
      <w:pPr>
        <w:snapToGrid w:val="0"/>
        <w:spacing w:line="336" w:lineRule="auto"/>
        <w:ind w:firstLine="720" w:firstLineChars="300"/>
        <w:rPr>
          <w:rFonts w:ascii="仿宋" w:hAnsi="仿宋" w:eastAsia="仿宋" w:cs="仿宋"/>
          <w:color w:val="auto"/>
          <w:sz w:val="24"/>
          <w:highlight w:val="none"/>
          <w:u w:val="wav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 w:hAnsi="仿宋" w:eastAsia="仿宋" w:cs="仿宋"/>
          <w:color w:val="auto"/>
          <w:highlight w:val="none"/>
          <w:lang w:val="zh-CN"/>
        </w:rPr>
      </w:pPr>
      <w:r>
        <w:rPr>
          <w:rFonts w:hint="eastAsia" w:ascii="仿宋" w:hAnsi="仿宋" w:eastAsia="仿宋" w:cs="仿宋"/>
          <w:color w:val="auto"/>
          <w:sz w:val="24"/>
          <w:highlight w:val="none"/>
        </w:rPr>
        <w:t>2.2.18投标人需要说明的其他文件和说明（格式自拟）。</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snapToGrid w:val="0"/>
          <w:color w:val="auto"/>
          <w:sz w:val="24"/>
          <w:highlight w:val="none"/>
        </w:rPr>
        <w:t>2.3.3 残疾人福利性单位声明函（如果有）</w:t>
      </w:r>
    </w:p>
    <w:p>
      <w:pPr>
        <w:snapToGrid w:val="0"/>
        <w:spacing w:line="440" w:lineRule="exact"/>
        <w:rPr>
          <w:rFonts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pPr>
        <w:snapToGrid w:val="0"/>
        <w:spacing w:line="440" w:lineRule="exact"/>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3.2招标文件未列明，而投标人认为必需的费用也需列入报价。</w:t>
      </w:r>
    </w:p>
    <w:p>
      <w:pPr>
        <w:snapToGrid w:val="0"/>
        <w:spacing w:line="440" w:lineRule="exact"/>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3.3投标报价只允许有一个报价，有选择的报价将不予接受（除指定外）。</w:t>
      </w:r>
    </w:p>
    <w:p>
      <w:pPr>
        <w:snapToGrid w:val="0"/>
        <w:spacing w:line="440" w:lineRule="exact"/>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3.4投标人提供虚假材料投标的，投标无效。</w:t>
      </w:r>
    </w:p>
    <w:p>
      <w:pPr>
        <w:pStyle w:val="26"/>
        <w:snapToGrid w:val="0"/>
        <w:spacing w:before="0" w:line="440" w:lineRule="exact"/>
        <w:ind w:firstLine="0" w:firstLineChars="0"/>
        <w:outlineLvl w:val="0"/>
        <w:rPr>
          <w:rFonts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pPr>
        <w:pStyle w:val="26"/>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6.2投标文件合格投递后，自投标截止日期起，在投标有效期内有效。</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color w:val="auto"/>
          <w:sz w:val="32"/>
          <w:szCs w:val="32"/>
          <w:highlight w:val="none"/>
        </w:rPr>
      </w:pPr>
      <w:bookmarkStart w:id="36" w:name="_Toc91899903"/>
      <w:r>
        <w:rPr>
          <w:rFonts w:hint="eastAsia" w:ascii="仿宋" w:hAnsi="仿宋" w:eastAsia="仿宋" w:cs="仿宋"/>
          <w:b/>
          <w:color w:val="auto"/>
          <w:sz w:val="32"/>
          <w:szCs w:val="32"/>
          <w:highlight w:val="none"/>
        </w:rPr>
        <w:t>四、开标和评标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7"/>
        <w:spacing w:line="440" w:lineRule="exact"/>
        <w:ind w:left="0" w:firstLine="0"/>
        <w:rPr>
          <w:rFonts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7"/>
        <w:spacing w:line="440" w:lineRule="exact"/>
        <w:ind w:left="0" w:firstLine="420" w:firstLineChars="200"/>
        <w:rPr>
          <w:rFonts w:ascii="仿宋" w:hAnsi="仿宋" w:eastAsia="仿宋" w:cs="仿宋"/>
          <w:color w:val="auto"/>
          <w:highlight w:val="none"/>
        </w:rPr>
      </w:pPr>
      <w:r>
        <w:rPr>
          <w:rFonts w:hint="eastAsia" w:ascii="仿宋" w:hAnsi="仿宋" w:eastAsia="仿宋" w:cs="仿宋"/>
          <w:color w:val="auto"/>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1"/>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snapToGrid w:val="0"/>
        <w:spacing w:line="360" w:lineRule="auto"/>
        <w:ind w:firstLine="482" w:firstLineChars="150"/>
        <w:jc w:val="center"/>
        <w:rPr>
          <w:rFonts w:ascii="仿宋" w:hAnsi="仿宋" w:eastAsia="仿宋" w:cs="仿宋"/>
          <w:b/>
          <w:color w:val="auto"/>
          <w:sz w:val="32"/>
          <w:highlight w:val="none"/>
        </w:rPr>
      </w:pPr>
    </w:p>
    <w:bookmarkEnd w:id="36"/>
    <w:p>
      <w:pPr>
        <w:pStyle w:val="11"/>
        <w:spacing w:line="360" w:lineRule="auto"/>
        <w:ind w:firstLine="726"/>
        <w:jc w:val="center"/>
        <w:rPr>
          <w:rFonts w:ascii="仿宋" w:hAnsi="仿宋" w:eastAsia="仿宋" w:cs="仿宋"/>
          <w:b/>
          <w:color w:val="auto"/>
          <w:sz w:val="32"/>
          <w:szCs w:val="32"/>
          <w:highlight w:val="none"/>
        </w:rPr>
      </w:pPr>
      <w:bookmarkStart w:id="37" w:name="_Toc84325929"/>
      <w:bookmarkStart w:id="38" w:name="_Toc81372953"/>
      <w:bookmarkStart w:id="39" w:name="_Toc81372776"/>
      <w:r>
        <w:rPr>
          <w:rFonts w:hint="eastAsia" w:ascii="仿宋" w:hAnsi="仿宋" w:eastAsia="仿宋" w:cs="仿宋"/>
          <w:b/>
          <w:color w:val="auto"/>
          <w:sz w:val="32"/>
          <w:szCs w:val="32"/>
          <w:highlight w:val="none"/>
        </w:rPr>
        <w:t>五、授予合同</w:t>
      </w:r>
    </w:p>
    <w:bookmarkEnd w:id="37"/>
    <w:bookmarkEnd w:id="38"/>
    <w:bookmarkEnd w:id="39"/>
    <w:p>
      <w:pPr>
        <w:pStyle w:val="7"/>
        <w:numPr>
          <w:ilvl w:val="0"/>
          <w:numId w:val="0"/>
        </w:num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1.中标条件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color w:val="auto"/>
          <w:kern w:val="0"/>
          <w:sz w:val="24"/>
          <w:highlight w:val="none"/>
        </w:rPr>
      </w:pPr>
    </w:p>
    <w:p>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pPr>
        <w:spacing w:line="336" w:lineRule="auto"/>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2. 供应商询问</w:t>
      </w:r>
    </w:p>
    <w:p>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3. 供应商质疑</w:t>
      </w:r>
    </w:p>
    <w:p>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pPr>
        <w:spacing w:line="336"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hint="eastAsia" w:ascii="仿宋" w:hAnsi="仿宋" w:eastAsia="仿宋" w:cs="仿宋"/>
          <w:b/>
          <w:bCs/>
          <w:color w:val="auto"/>
          <w:sz w:val="24"/>
          <w:szCs w:val="20"/>
          <w:highlight w:val="none"/>
        </w:rPr>
        <w:t>投诉书范本及制作说明详见附件2</w:t>
      </w:r>
    </w:p>
    <w:bookmarkEnd w:id="34"/>
    <w:bookmarkEnd w:id="35"/>
    <w:p>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pacing w:line="440" w:lineRule="exact"/>
        <w:ind w:right="420"/>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eastAsia="zh-CN"/>
        </w:rPr>
        <w:t>绍兴文理学院元培学院2024年度中文纸质图书采购项目</w:t>
      </w:r>
    </w:p>
    <w:p>
      <w:pPr>
        <w:numPr>
          <w:ilvl w:val="0"/>
          <w:numId w:val="4"/>
        </w:numPr>
        <w:snapToGrid w:val="0"/>
        <w:spacing w:line="288" w:lineRule="auto"/>
        <w:ind w:firstLine="482" w:firstLineChars="200"/>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rPr>
        <w:t>采购项目货物清单及技术要求</w:t>
      </w:r>
      <w:r>
        <w:rPr>
          <w:rFonts w:hint="eastAsia" w:ascii="仿宋" w:hAnsi="仿宋" w:eastAsia="仿宋" w:cs="仿宋"/>
          <w:b/>
          <w:bCs/>
          <w:color w:val="auto"/>
          <w:sz w:val="24"/>
          <w:highlight w:val="none"/>
        </w:rPr>
        <w:t>（01-03标）</w:t>
      </w:r>
      <w:r>
        <w:rPr>
          <w:rFonts w:hint="eastAsia" w:ascii="仿宋" w:hAnsi="仿宋" w:eastAsia="仿宋" w:cs="仿宋"/>
          <w:b/>
          <w:bCs/>
          <w:color w:val="auto"/>
          <w:kern w:val="2"/>
          <w:sz w:val="24"/>
          <w:szCs w:val="24"/>
          <w:highlight w:val="none"/>
        </w:rPr>
        <w:t>：</w:t>
      </w:r>
    </w:p>
    <w:p>
      <w:pPr>
        <w:numPr>
          <w:ilvl w:val="0"/>
          <w:numId w:val="0"/>
        </w:numPr>
        <w:snapToGrid w:val="0"/>
        <w:spacing w:line="288" w:lineRule="auto"/>
        <w:ind w:firstLine="482" w:firstLineChars="200"/>
        <w:rPr>
          <w:rFonts w:ascii="仿宋" w:hAnsi="仿宋" w:eastAsia="仿宋" w:cs="仿宋"/>
          <w:b/>
          <w:color w:val="auto"/>
          <w:highlight w:val="none"/>
        </w:rPr>
      </w:pPr>
      <w:r>
        <w:rPr>
          <w:rFonts w:hint="eastAsia" w:ascii="仿宋" w:hAnsi="仿宋" w:eastAsia="仿宋" w:cs="仿宋"/>
          <w:b/>
          <w:bCs/>
          <w:color w:val="auto"/>
          <w:sz w:val="24"/>
          <w:highlight w:val="none"/>
        </w:rPr>
        <w:t>1.采购标的物清单：</w:t>
      </w:r>
    </w:p>
    <w:tbl>
      <w:tblPr>
        <w:tblStyle w:val="18"/>
        <w:tblW w:w="901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4392"/>
        <w:gridCol w:w="864"/>
        <w:gridCol w:w="853"/>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995" w:type="dxa"/>
            <w:vAlign w:val="center"/>
          </w:tcPr>
          <w:p>
            <w:pPr>
              <w:spacing w:line="288" w:lineRule="auto"/>
              <w:jc w:val="center"/>
              <w:rPr>
                <w:rFonts w:hint="eastAsia"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标项</w:t>
            </w:r>
          </w:p>
        </w:tc>
        <w:tc>
          <w:tcPr>
            <w:tcW w:w="4392" w:type="dxa"/>
            <w:vAlign w:val="center"/>
          </w:tcPr>
          <w:p>
            <w:pPr>
              <w:spacing w:line="288" w:lineRule="auto"/>
              <w:jc w:val="center"/>
              <w:rPr>
                <w:rFonts w:hint="eastAsia"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名称</w:t>
            </w:r>
          </w:p>
        </w:tc>
        <w:tc>
          <w:tcPr>
            <w:tcW w:w="864" w:type="dxa"/>
            <w:vAlign w:val="center"/>
          </w:tcPr>
          <w:p>
            <w:pPr>
              <w:spacing w:line="288" w:lineRule="auto"/>
              <w:jc w:val="center"/>
              <w:rPr>
                <w:rFonts w:hint="eastAsia"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数量</w:t>
            </w:r>
          </w:p>
        </w:tc>
        <w:tc>
          <w:tcPr>
            <w:tcW w:w="853" w:type="dxa"/>
            <w:vAlign w:val="center"/>
          </w:tcPr>
          <w:p>
            <w:pPr>
              <w:spacing w:line="288" w:lineRule="auto"/>
              <w:jc w:val="center"/>
              <w:rPr>
                <w:rFonts w:hint="eastAsia"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单位</w:t>
            </w:r>
          </w:p>
        </w:tc>
        <w:tc>
          <w:tcPr>
            <w:tcW w:w="1913" w:type="dxa"/>
            <w:vAlign w:val="center"/>
          </w:tcPr>
          <w:p>
            <w:pPr>
              <w:spacing w:line="288" w:lineRule="auto"/>
              <w:jc w:val="center"/>
              <w:rPr>
                <w:rFonts w:hint="eastAsia"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最高限价</w:t>
            </w:r>
          </w:p>
          <w:p>
            <w:pPr>
              <w:spacing w:line="288" w:lineRule="auto"/>
              <w:jc w:val="center"/>
              <w:rPr>
                <w:rFonts w:hint="eastAsia"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（万元人民币）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95" w:type="dxa"/>
            <w:vAlign w:val="center"/>
          </w:tcPr>
          <w:p>
            <w:pPr>
              <w:autoSpaceDE w:val="0"/>
              <w:autoSpaceDN w:val="0"/>
              <w:spacing w:line="240" w:lineRule="auto"/>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01</w:t>
            </w:r>
          </w:p>
        </w:tc>
        <w:tc>
          <w:tcPr>
            <w:tcW w:w="4392" w:type="dxa"/>
            <w:vAlign w:val="center"/>
          </w:tcPr>
          <w:p>
            <w:pPr>
              <w:autoSpaceDE w:val="0"/>
              <w:autoSpaceDN w:val="0"/>
              <w:spacing w:line="240" w:lineRule="auto"/>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图书馆2024年度中文纸质图书（一）</w:t>
            </w:r>
          </w:p>
        </w:tc>
        <w:tc>
          <w:tcPr>
            <w:tcW w:w="864"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853"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w:t>
            </w:r>
          </w:p>
        </w:tc>
        <w:tc>
          <w:tcPr>
            <w:tcW w:w="1913" w:type="dxa"/>
            <w:vAlign w:val="center"/>
          </w:tcPr>
          <w:p>
            <w:pPr>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spacing w:val="-6"/>
                <w:sz w:val="24"/>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95" w:type="dxa"/>
            <w:vAlign w:val="center"/>
          </w:tcPr>
          <w:p>
            <w:pPr>
              <w:autoSpaceDE w:val="0"/>
              <w:autoSpaceDN w:val="0"/>
              <w:spacing w:line="240" w:lineRule="auto"/>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02</w:t>
            </w:r>
          </w:p>
        </w:tc>
        <w:tc>
          <w:tcPr>
            <w:tcW w:w="4392"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图书馆2024年度中文纸质图书（二）</w:t>
            </w:r>
          </w:p>
        </w:tc>
        <w:tc>
          <w:tcPr>
            <w:tcW w:w="864"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853"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w:t>
            </w:r>
          </w:p>
        </w:tc>
        <w:tc>
          <w:tcPr>
            <w:tcW w:w="1913" w:type="dxa"/>
            <w:vAlign w:val="center"/>
          </w:tcPr>
          <w:p>
            <w:pPr>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spacing w:val="-6"/>
                <w:sz w:val="24"/>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95" w:type="dxa"/>
            <w:vAlign w:val="center"/>
          </w:tcPr>
          <w:p>
            <w:pPr>
              <w:autoSpaceDE w:val="0"/>
              <w:autoSpaceDN w:val="0"/>
              <w:spacing w:line="240" w:lineRule="auto"/>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03</w:t>
            </w:r>
          </w:p>
        </w:tc>
        <w:tc>
          <w:tcPr>
            <w:tcW w:w="4392"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图书馆2024年度中文纸质图书（三）</w:t>
            </w:r>
          </w:p>
        </w:tc>
        <w:tc>
          <w:tcPr>
            <w:tcW w:w="864"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853"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w:t>
            </w:r>
          </w:p>
        </w:tc>
        <w:tc>
          <w:tcPr>
            <w:tcW w:w="1913" w:type="dxa"/>
            <w:vAlign w:val="center"/>
          </w:tcPr>
          <w:p>
            <w:pPr>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spacing w:val="-6"/>
                <w:sz w:val="24"/>
                <w:highlight w:val="none"/>
              </w:rPr>
              <w:t>45</w:t>
            </w:r>
          </w:p>
        </w:tc>
      </w:tr>
    </w:tbl>
    <w:p>
      <w:pPr>
        <w:snapToGrid w:val="0"/>
        <w:spacing w:line="288" w:lineRule="auto"/>
        <w:rPr>
          <w:rFonts w:ascii="仿宋" w:hAnsi="仿宋" w:eastAsia="仿宋" w:cs="仿宋"/>
          <w:b/>
          <w:bCs/>
          <w:color w:val="auto"/>
          <w:spacing w:val="-4"/>
          <w:sz w:val="24"/>
          <w:highlight w:val="none"/>
        </w:rPr>
      </w:pPr>
      <w:r>
        <w:rPr>
          <w:rFonts w:hint="eastAsia" w:ascii="仿宋" w:hAnsi="仿宋" w:eastAsia="仿宋" w:cs="仿宋"/>
          <w:b/>
          <w:bCs/>
          <w:color w:val="auto"/>
          <w:spacing w:val="-4"/>
          <w:sz w:val="24"/>
          <w:highlight w:val="none"/>
        </w:rPr>
        <w:t>注：本项目采用折扣报价，图书实洋=图书码洋*折扣系数。</w:t>
      </w:r>
    </w:p>
    <w:p>
      <w:pPr>
        <w:spacing w:line="288" w:lineRule="auto"/>
        <w:ind w:firstLine="466" w:firstLineChars="200"/>
        <w:rPr>
          <w:rFonts w:hint="eastAsia" w:ascii="仿宋" w:hAnsi="仿宋" w:eastAsia="仿宋" w:cs="仿宋"/>
          <w:b/>
          <w:color w:val="auto"/>
          <w:sz w:val="24"/>
          <w:highlight w:val="none"/>
        </w:rPr>
      </w:pPr>
      <w:r>
        <w:rPr>
          <w:rFonts w:hint="eastAsia" w:ascii="仿宋" w:hAnsi="仿宋" w:eastAsia="仿宋" w:cs="仿宋"/>
          <w:b/>
          <w:color w:val="auto"/>
          <w:spacing w:val="-4"/>
          <w:sz w:val="24"/>
          <w:highlight w:val="none"/>
        </w:rPr>
        <w:t>2.</w:t>
      </w:r>
      <w:r>
        <w:rPr>
          <w:rFonts w:hint="eastAsia" w:ascii="仿宋" w:hAnsi="仿宋" w:eastAsia="仿宋" w:cs="仿宋"/>
          <w:b/>
          <w:color w:val="auto"/>
          <w:sz w:val="24"/>
          <w:highlight w:val="none"/>
        </w:rPr>
        <w:t>招标项目具体要求：</w:t>
      </w:r>
    </w:p>
    <w:p>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中标人应熟悉高校中文图书采访工作；</w:t>
      </w:r>
    </w:p>
    <w:p>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中标人应同国内绝大多数出版社有供书合作关系并保证渠道畅通，确保国内中央级、大学级、绝大多数地方出版社出版的供书；</w:t>
      </w:r>
    </w:p>
    <w:p>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支撑能力</w:t>
      </w:r>
    </w:p>
    <w:p>
      <w:pPr>
        <w:spacing w:line="288" w:lineRule="auto"/>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（1）中标人应有从事图书经销和数据加工业务的专业人员；</w:t>
      </w:r>
    </w:p>
    <w:p>
      <w:pPr>
        <w:spacing w:line="288" w:lineRule="auto"/>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（2）中标人应建有功能较完善、性能稳定的专业图书电子商务网站；</w:t>
      </w:r>
    </w:p>
    <w:p>
      <w:pPr>
        <w:spacing w:line="288" w:lineRule="auto"/>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（3） 中标人应免费提供标准的新书采访书目数据和机读编目数据（数据要求参见《中国机读目录式使用手册》、《CALIS联机合作编目手册》），</w:t>
      </w:r>
      <w:r>
        <w:rPr>
          <w:rFonts w:hint="eastAsia" w:ascii="仿宋" w:hAnsi="仿宋" w:eastAsia="仿宋" w:cs="仿宋"/>
          <w:bCs/>
          <w:color w:val="auto"/>
          <w:sz w:val="24"/>
          <w:highlight w:val="none"/>
        </w:rPr>
        <w:t>所提供的采访数据和编目数据应能无缝导入采购人汇文图书管理系统平台（版本5.6及以上）</w:t>
      </w:r>
      <w:r>
        <w:rPr>
          <w:rFonts w:hint="eastAsia" w:ascii="仿宋" w:hAnsi="仿宋" w:eastAsia="仿宋" w:cs="仿宋"/>
          <w:color w:val="auto"/>
          <w:sz w:val="24"/>
          <w:highlight w:val="none"/>
        </w:rPr>
        <w:t>，提供的采访书目内容符合本科及以上层次读者的需求，编目数据比同批次送达的图书提前到馆且达到100%的覆盖率；</w:t>
      </w:r>
      <w:r>
        <w:rPr>
          <w:rFonts w:ascii="仿宋" w:hAnsi="仿宋" w:eastAsia="仿宋" w:cs="仿宋"/>
          <w:color w:val="auto"/>
          <w:sz w:val="24"/>
          <w:highlight w:val="none"/>
        </w:rPr>
        <w:t xml:space="preserve"> </w:t>
      </w:r>
    </w:p>
    <w:p>
      <w:pPr>
        <w:spacing w:line="288" w:lineRule="auto"/>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（4）中标人应对采购人预订的图书有查重能力，采购人可以退回由于采访数据不完整或中标人查重不力而造成错订、误订的图书；</w:t>
      </w:r>
    </w:p>
    <w:p>
      <w:pPr>
        <w:spacing w:line="288" w:lineRule="auto"/>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5）中标人应能按采购人订购书目提供未经使用的最新正版合格图书，图书来源渠道较广、与全国大多数出版单位有供货关系、经营图书品种丰富，采访书目高度覆盖30家重点出版社：高等教育出版社、电子工业出版社、化学工业出版社、机械工业出版社、人民邮电出版社、科学出版社、中国建筑工业出版社、中国环境出版社、北京大学出版社、清华大学出版社、广西师范大学出版社、东北财经大学出版社、中国人民大学出版社、复旦大学出版社、南京大学出版社、商务印书馆、三联书店、中华书局、人民出版社、人民文学出版社、社会科学文献出版社、中国社会科学出版社、国家图书馆出版社、上海古籍出版社、外语教学与研究出版社、上海译文出版社、中央编译出版社、上海人民出版社、岳麓书社、法律出版社；</w:t>
      </w:r>
    </w:p>
    <w:p>
      <w:pPr>
        <w:spacing w:line="288"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（6）中标人应有特色服务项目并在实践中已取得良好效果。</w:t>
      </w:r>
    </w:p>
    <w:p>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 服务能力</w:t>
      </w:r>
    </w:p>
    <w:p>
      <w:pPr>
        <w:spacing w:line="288" w:lineRule="auto"/>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1）中标人应随时了解招标人的学科、专业设置、教学科研概况和图书馆的需求及馆藏重点、结构体系，熟悉招标人图书采购的特色需求。提供的预订书目数据要符合招标人藏书建设的需求，能提供符合招标人藏书特点和读者层次的纲目订单，并及时提供符合招标人需求的图书信息。</w:t>
      </w:r>
    </w:p>
    <w:p>
      <w:pPr>
        <w:spacing w:line="288" w:lineRule="auto"/>
        <w:ind w:firstLine="240" w:firstLineChars="100"/>
        <w:rPr>
          <w:rFonts w:ascii="仿宋" w:hAnsi="仿宋" w:eastAsia="仿宋" w:cs="仿宋"/>
          <w:b/>
          <w:color w:val="auto"/>
          <w:sz w:val="24"/>
          <w:highlight w:val="none"/>
        </w:rPr>
      </w:pPr>
      <w:r>
        <w:rPr>
          <w:rFonts w:hint="eastAsia" w:ascii="仿宋" w:hAnsi="仿宋" w:eastAsia="仿宋" w:cs="仿宋"/>
          <w:color w:val="auto"/>
          <w:sz w:val="24"/>
          <w:highlight w:val="none"/>
        </w:rPr>
        <w:t>（2）中标人收到招标人订单后，应做查重处理，避免招标人重复订购，剔除由于采访数据不完整而造成错订的图书。高码洋（单册大于200元）和高复本（复本大于2本）订单需二次确认。</w:t>
      </w:r>
    </w:p>
    <w:p>
      <w:pPr>
        <w:spacing w:line="288" w:lineRule="auto"/>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（3）建立招标人独立的订单库，在订单库中及时反映采购状态，并允许招标人查询相关信息。</w:t>
      </w:r>
    </w:p>
    <w:p>
      <w:pPr>
        <w:spacing w:line="288" w:lineRule="auto"/>
        <w:ind w:firstLine="240" w:firstLineChars="100"/>
        <w:rPr>
          <w:rFonts w:ascii="仿宋" w:hAnsi="仿宋" w:eastAsia="仿宋" w:cs="仿宋"/>
          <w:b/>
          <w:color w:val="auto"/>
          <w:sz w:val="24"/>
          <w:highlight w:val="none"/>
        </w:rPr>
      </w:pPr>
      <w:r>
        <w:rPr>
          <w:rFonts w:hint="eastAsia" w:ascii="仿宋" w:hAnsi="仿宋" w:eastAsia="仿宋" w:cs="仿宋"/>
          <w:color w:val="auto"/>
          <w:sz w:val="24"/>
          <w:highlight w:val="none"/>
        </w:rPr>
        <w:t>（4）图书到货验收时，如有缺页、污损等情况，供应商应予无条件调换。图书必须保证正版，无盗版图书，如发现盗版图书招标人将有权拒绝中标人三年内参与招标方组织的中文纸质图书投标。图书与订购不符时，无论加工与否一律退回，费用由中标人负责，中标人的新书发货差错率应低于1‰。</w:t>
      </w:r>
    </w:p>
    <w:p>
      <w:pPr>
        <w:spacing w:line="288" w:lineRule="auto"/>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5）中标人收到招标人所确认的书目订单后，中标人应及时对招标人所报的图书订单汇总、查重，安排采购。现采图书一个月内到馆率不得低于98%；电子订单预订图书前3个月的平均到馆率不得低于90%；全年平均到馆率不得低于95%。</w:t>
      </w:r>
    </w:p>
    <w:p>
      <w:pPr>
        <w:spacing w:line="288" w:lineRule="auto"/>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（6）招标人提出的读者荐购订单，要求在三个工作日内做出回复，现货一周内到货，期货一个月内必须到货。</w:t>
      </w:r>
    </w:p>
    <w:p>
      <w:pPr>
        <w:spacing w:line="288" w:lineRule="auto"/>
        <w:ind w:firstLine="240" w:firstLineChars="100"/>
        <w:rPr>
          <w:rFonts w:ascii="仿宋" w:hAnsi="仿宋" w:eastAsia="仿宋" w:cs="仿宋"/>
          <w:b/>
          <w:color w:val="auto"/>
          <w:sz w:val="24"/>
          <w:highlight w:val="none"/>
        </w:rPr>
      </w:pPr>
      <w:r>
        <w:rPr>
          <w:rFonts w:hint="eastAsia" w:ascii="仿宋" w:hAnsi="仿宋" w:eastAsia="仿宋" w:cs="仿宋"/>
          <w:color w:val="auto"/>
          <w:sz w:val="24"/>
          <w:highlight w:val="none"/>
        </w:rPr>
        <w:t>（7）中标人负责所订图书免费按规定送达指定地点；中标人根据招标人的要求打包，一包一单，清单要求有：包号、书号、书名、出版社、品种、册数、单价、批次号、包数，每包应有种、册、价格的小计。并开具图书发票(注明册数)。</w:t>
      </w:r>
    </w:p>
    <w:p>
      <w:pPr>
        <w:spacing w:line="288" w:lineRule="auto"/>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（8）图书加工及交货</w:t>
      </w:r>
    </w:p>
    <w:p>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1）中标人对招标人选购的中文图书均免费提供CNMARC格式的编目数据，并为保证顺利导入招标人的图书管理系统提供技术支持。</w:t>
      </w:r>
    </w:p>
    <w:p>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磁条由图书供应商提供（磁条型号为国产科晶16cm钴基可充消复合磁条）。贴装的磁条应该隐蔽、平整。300页以下的图书贴一根磁条，300页以上的图书贴二根磁条（若甲方对加贴磁条有不同要求，以甲方的要求为准）。</w:t>
      </w:r>
    </w:p>
    <w:p>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到馆全加工指根据甲方要求在指定时间内到图书馆现场进行图书全加工，根据要求盖馆藏章以及其它相应章，馆藏章要求：书名页（出版社上方正中合适位置）、书内（第五十页左右右上角位置）；在指定位置贴条形码（条形码由乙方提供）；进行文献分类编目（分类编目须严格遵循《中国图书分类法》第五版及新版中国机读目录格式使用手册（2004年版）有关之规则，具体以甲方要求为准）；打印、粘贴图书书标，加透明保护膜（书标和保护膜由乙方提供）：随书光盘做入本馆的随书光盘电子资源管理系统内：图书典藏入库上架。</w:t>
      </w:r>
    </w:p>
    <w:p>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交货清单一式二份，内容一致，不得涂改。清单应包括：包号、书号、书名、出版社、品种、册数、单价、批次号、包数，每包应有种、册、码洋的小计。一份附于包装货件内，一包一单；另一份要求以包装号为序，统计该批次图书的总种数、总册数及总码洋、总实洋，并加盖公章。</w:t>
      </w:r>
    </w:p>
    <w:p>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5）中标人在图书发运的一天前（如发运地非本地，则应在发运手续办理的24小时内），用电话、信函或传真通知招标人，以使招标人准备接货。</w:t>
      </w:r>
    </w:p>
    <w:p>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6）特藏文献（含图片、地图、声像资料等）操作过程与图书加工类似。因分编与加工有特殊要求，具体工作规范视类型而定。</w:t>
      </w:r>
    </w:p>
    <w:p>
      <w:pPr>
        <w:spacing w:line="288" w:lineRule="auto"/>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9）招标人对中标人提供的物理加工、数据加工服务进行审核，并判断中标人所提供的服务是否达到招标人的要求。其中数据加工（图书种数）准确率抽检合格率需要达到99%以上，低于该标准，中标人须及时更换分编人员，并告之招标人。</w:t>
      </w:r>
    </w:p>
    <w:p>
      <w:pPr>
        <w:autoSpaceDE w:val="0"/>
        <w:autoSpaceDN w:val="0"/>
        <w:spacing w:line="288" w:lineRule="auto"/>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（10）出现以下情况中标人应无条件予以退换，并承担所退图书的运输费用：</w:t>
      </w:r>
    </w:p>
    <w:p>
      <w:pPr>
        <w:autoSpaceDE w:val="0"/>
        <w:autoSpaceDN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1）运输过程中出现图书破损、污损；</w:t>
      </w:r>
    </w:p>
    <w:p>
      <w:pPr>
        <w:autoSpaceDE w:val="0"/>
        <w:autoSpaceDN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2）出版社印刷、装订造成的图书质量问题；</w:t>
      </w:r>
    </w:p>
    <w:p>
      <w:pPr>
        <w:autoSpaceDE w:val="0"/>
        <w:autoSpaceDN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3）活页书、袋装书、线装书，小于64开本（包括64开）的图书以及明显不适合招标人收藏的图书；</w:t>
      </w:r>
    </w:p>
    <w:p>
      <w:pPr>
        <w:autoSpaceDE w:val="0"/>
        <w:autoSpaceDN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4）实际到书与采访订单不符（书名、ISBN、出版年、价格等）的图书；</w:t>
      </w:r>
    </w:p>
    <w:p>
      <w:pPr>
        <w:autoSpaceDE w:val="0"/>
        <w:autoSpaceDN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5）由于中标人原因造成的错发、重发的图书；</w:t>
      </w:r>
    </w:p>
    <w:p>
      <w:pPr>
        <w:autoSpaceDE w:val="0"/>
        <w:autoSpaceDN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6）因中标人提供书目信息错误或不明确（如读者对象、版次未注明等）而造成招标人订购错误的图书。</w:t>
      </w:r>
    </w:p>
    <w:p>
      <w:pPr>
        <w:spacing w:line="288" w:lineRule="auto"/>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（11）订购图书涨价超过30%，中标人未征求招标人意见，招标人可以退货，中标人不得拒绝。</w:t>
      </w:r>
    </w:p>
    <w:p>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注：如技术要求中未特别注明需执行的国家相关标准、行业标准、地方标准或者其他标准、规范，则统一执行最新标准、规范。</w:t>
      </w:r>
    </w:p>
    <w:p>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二、</w:t>
      </w:r>
      <w:r>
        <w:rPr>
          <w:rFonts w:hint="eastAsia" w:ascii="仿宋" w:hAnsi="仿宋" w:eastAsia="仿宋" w:cs="仿宋"/>
          <w:b/>
          <w:bCs/>
          <w:color w:val="auto"/>
          <w:sz w:val="24"/>
          <w:highlight w:val="none"/>
        </w:rPr>
        <w:t>（01-03标）</w:t>
      </w:r>
      <w:r>
        <w:rPr>
          <w:rFonts w:hint="eastAsia" w:ascii="仿宋" w:hAnsi="仿宋" w:eastAsia="仿宋" w:cs="仿宋"/>
          <w:b/>
          <w:color w:val="auto"/>
          <w:sz w:val="24"/>
          <w:highlight w:val="none"/>
        </w:rPr>
        <w:t>商务要求：</w:t>
      </w:r>
    </w:p>
    <w:tbl>
      <w:tblPr>
        <w:tblStyle w:val="18"/>
        <w:tblW w:w="9608" w:type="dxa"/>
        <w:tblInd w:w="-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37"/>
        <w:gridCol w:w="73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237"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仿宋" w:hAnsi="仿宋" w:eastAsia="仿宋" w:cs="仿宋"/>
                <w:color w:val="auto"/>
                <w:spacing w:val="-6"/>
                <w:sz w:val="24"/>
                <w:highlight w:val="none"/>
              </w:rPr>
            </w:pPr>
            <w:r>
              <w:rPr>
                <w:rFonts w:hint="eastAsia" w:ascii="仿宋" w:hAnsi="仿宋" w:eastAsia="仿宋" w:cs="仿宋"/>
                <w:color w:val="auto"/>
                <w:spacing w:val="-6"/>
                <w:sz w:val="24"/>
                <w:highlight w:val="none"/>
              </w:rPr>
              <w:t>★付款方式</w:t>
            </w:r>
          </w:p>
        </w:tc>
        <w:tc>
          <w:tcPr>
            <w:tcW w:w="7371" w:type="dxa"/>
            <w:tcBorders>
              <w:top w:val="single" w:color="auto" w:sz="4" w:space="0"/>
              <w:left w:val="single" w:color="auto" w:sz="4" w:space="0"/>
              <w:bottom w:val="single" w:color="auto" w:sz="4" w:space="0"/>
              <w:right w:val="single" w:color="auto" w:sz="4" w:space="0"/>
            </w:tcBorders>
            <w:noWrap w:val="0"/>
            <w:vAlign w:val="center"/>
          </w:tcPr>
          <w:p>
            <w:pPr>
              <w:spacing w:line="288" w:lineRule="auto"/>
              <w:rPr>
                <w:rFonts w:hint="eastAsia" w:ascii="仿宋" w:hAnsi="仿宋" w:eastAsia="仿宋" w:cs="仿宋"/>
                <w:color w:val="auto"/>
                <w:spacing w:val="-6"/>
                <w:sz w:val="24"/>
                <w:highlight w:val="none"/>
              </w:rPr>
            </w:pPr>
            <w:r>
              <w:rPr>
                <w:rFonts w:hint="eastAsia" w:ascii="仿宋" w:hAnsi="仿宋" w:eastAsia="仿宋" w:cs="仿宋"/>
                <w:color w:val="auto"/>
                <w:sz w:val="24"/>
                <w:szCs w:val="24"/>
                <w:highlight w:val="none"/>
              </w:rPr>
              <w:t>政府采购预付款：按《浙江省财政厅关于坚决打赢疫情防控阻击战进一步做好政府采购资金支持企业发展工作的通知》（浙财采监〔2020〕3号）和《浙江省财政厅关于进一步发挥政府采购政策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288" w:lineRule="auto"/>
              <w:rPr>
                <w:rFonts w:ascii="仿宋" w:hAnsi="仿宋" w:eastAsia="仿宋" w:cs="仿宋"/>
                <w:color w:val="auto"/>
                <w:spacing w:val="-6"/>
                <w:sz w:val="24"/>
                <w:highlight w:val="none"/>
              </w:rPr>
            </w:pPr>
            <w:r>
              <w:rPr>
                <w:rFonts w:hint="eastAsia" w:ascii="仿宋" w:hAnsi="仿宋" w:eastAsia="仿宋" w:cs="仿宋"/>
                <w:color w:val="auto"/>
                <w:spacing w:val="-6"/>
                <w:sz w:val="24"/>
                <w:highlight w:val="none"/>
              </w:rPr>
              <w:t>货物送达指定地点，经招标人分批次验收合格，招标人向中标人支付至该年度实际结算总价的100%。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2237"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仿宋" w:hAnsi="仿宋" w:eastAsia="仿宋" w:cs="仿宋"/>
                <w:color w:val="auto"/>
                <w:spacing w:val="-6"/>
                <w:sz w:val="24"/>
                <w:highlight w:val="none"/>
              </w:rPr>
            </w:pPr>
            <w:r>
              <w:rPr>
                <w:rFonts w:hint="eastAsia" w:ascii="仿宋" w:hAnsi="仿宋" w:eastAsia="仿宋" w:cs="仿宋"/>
                <w:color w:val="auto"/>
                <w:spacing w:val="-6"/>
                <w:sz w:val="24"/>
                <w:highlight w:val="none"/>
              </w:rPr>
              <w:t>质保期</w:t>
            </w:r>
          </w:p>
        </w:tc>
        <w:tc>
          <w:tcPr>
            <w:tcW w:w="7371" w:type="dxa"/>
            <w:tcBorders>
              <w:top w:val="single" w:color="auto" w:sz="4" w:space="0"/>
              <w:left w:val="single" w:color="auto" w:sz="4" w:space="0"/>
              <w:bottom w:val="single" w:color="auto" w:sz="4" w:space="0"/>
              <w:right w:val="single" w:color="auto" w:sz="4" w:space="0"/>
            </w:tcBorders>
            <w:noWrap w:val="0"/>
            <w:vAlign w:val="center"/>
          </w:tcPr>
          <w:p>
            <w:pPr>
              <w:spacing w:line="288" w:lineRule="auto"/>
              <w:rPr>
                <w:rFonts w:ascii="仿宋" w:hAnsi="仿宋" w:eastAsia="仿宋" w:cs="仿宋"/>
                <w:color w:val="auto"/>
                <w:spacing w:val="-6"/>
                <w:sz w:val="24"/>
                <w:highlight w:val="none"/>
              </w:rPr>
            </w:pPr>
            <w:r>
              <w:rPr>
                <w:rFonts w:hint="eastAsia" w:ascii="仿宋" w:hAnsi="仿宋" w:eastAsia="仿宋" w:cs="仿宋"/>
                <w:color w:val="auto"/>
                <w:spacing w:val="-6"/>
                <w:sz w:val="24"/>
                <w:highlight w:val="none"/>
              </w:rPr>
              <w:t>图书送达招标人指定地点，招标人验收合格止。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2237"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仿宋" w:hAnsi="仿宋" w:eastAsia="仿宋" w:cs="仿宋"/>
                <w:color w:val="auto"/>
                <w:spacing w:val="-6"/>
                <w:sz w:val="24"/>
                <w:highlight w:val="none"/>
              </w:rPr>
            </w:pPr>
            <w:r>
              <w:rPr>
                <w:rFonts w:hint="eastAsia" w:ascii="仿宋" w:hAnsi="仿宋" w:eastAsia="仿宋" w:cs="仿宋"/>
                <w:color w:val="auto"/>
                <w:spacing w:val="-6"/>
                <w:sz w:val="24"/>
                <w:highlight w:val="none"/>
              </w:rPr>
              <w:t>配送地点</w:t>
            </w:r>
          </w:p>
        </w:tc>
        <w:tc>
          <w:tcPr>
            <w:tcW w:w="7371" w:type="dxa"/>
            <w:tcBorders>
              <w:top w:val="single" w:color="auto" w:sz="4" w:space="0"/>
              <w:left w:val="single" w:color="auto" w:sz="4" w:space="0"/>
              <w:bottom w:val="single" w:color="auto" w:sz="4" w:space="0"/>
              <w:right w:val="single" w:color="auto" w:sz="4" w:space="0"/>
            </w:tcBorders>
            <w:noWrap w:val="0"/>
            <w:vAlign w:val="center"/>
          </w:tcPr>
          <w:p>
            <w:pPr>
              <w:spacing w:line="288" w:lineRule="auto"/>
              <w:rPr>
                <w:rFonts w:ascii="仿宋" w:hAnsi="仿宋" w:eastAsia="仿宋" w:cs="仿宋"/>
                <w:color w:val="auto"/>
                <w:spacing w:val="-6"/>
                <w:sz w:val="24"/>
                <w:highlight w:val="none"/>
              </w:rPr>
            </w:pPr>
            <w:r>
              <w:rPr>
                <w:rFonts w:hint="eastAsia" w:ascii="仿宋" w:hAnsi="仿宋" w:eastAsia="仿宋" w:cs="仿宋"/>
                <w:color w:val="auto"/>
                <w:spacing w:val="-6"/>
                <w:sz w:val="24"/>
                <w:highlight w:val="none"/>
              </w:rPr>
              <w:t>绍兴文理学院元培学院图书馆（位于浙江省绍兴市群贤中路2799号）。</w:t>
            </w:r>
          </w:p>
        </w:tc>
      </w:tr>
    </w:tbl>
    <w:p>
      <w:pPr>
        <w:spacing w:line="288" w:lineRule="auto"/>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★定标说明：</w:t>
      </w:r>
    </w:p>
    <w:p>
      <w:pPr>
        <w:spacing w:line="288" w:lineRule="auto"/>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w:t>
      </w:r>
      <w:r>
        <w:rPr>
          <w:rFonts w:hint="eastAsia" w:ascii="仿宋" w:hAnsi="仿宋" w:eastAsia="仿宋" w:cs="仿宋"/>
          <w:b/>
          <w:color w:val="auto"/>
          <w:sz w:val="28"/>
          <w:szCs w:val="28"/>
          <w:highlight w:val="none"/>
          <w:lang w:eastAsia="zh-CN"/>
        </w:rPr>
        <w:t>本项目投标人可参与多个标项，但最多只能中一个标项，</w:t>
      </w:r>
      <w:r>
        <w:rPr>
          <w:rFonts w:hint="eastAsia" w:ascii="仿宋" w:hAnsi="仿宋" w:eastAsia="仿宋" w:cs="仿宋"/>
          <w:b/>
          <w:color w:val="auto"/>
          <w:sz w:val="28"/>
          <w:szCs w:val="28"/>
          <w:highlight w:val="none"/>
          <w:lang w:val="en-US" w:eastAsia="zh-CN"/>
        </w:rPr>
        <w:t>已中01标的投标人不能再成为</w:t>
      </w:r>
      <w:r>
        <w:rPr>
          <w:rFonts w:hint="eastAsia" w:ascii="仿宋" w:hAnsi="仿宋" w:eastAsia="仿宋" w:cs="仿宋"/>
          <w:b/>
          <w:color w:val="auto"/>
          <w:sz w:val="28"/>
          <w:szCs w:val="28"/>
          <w:highlight w:val="none"/>
          <w:lang w:eastAsia="zh-CN"/>
        </w:rPr>
        <w:t>02标，03标</w:t>
      </w:r>
      <w:r>
        <w:rPr>
          <w:rFonts w:hint="eastAsia" w:ascii="仿宋" w:hAnsi="仿宋" w:eastAsia="仿宋" w:cs="仿宋"/>
          <w:b/>
          <w:color w:val="auto"/>
          <w:sz w:val="28"/>
          <w:szCs w:val="28"/>
          <w:highlight w:val="none"/>
          <w:lang w:val="en-US" w:eastAsia="zh-CN"/>
        </w:rPr>
        <w:t>的中标候选人，以此类推，</w:t>
      </w:r>
      <w:r>
        <w:rPr>
          <w:rFonts w:hint="eastAsia" w:ascii="仿宋" w:hAnsi="仿宋" w:eastAsia="仿宋" w:cs="仿宋"/>
          <w:b/>
          <w:color w:val="auto"/>
          <w:sz w:val="28"/>
          <w:szCs w:val="28"/>
          <w:highlight w:val="none"/>
          <w:lang w:eastAsia="zh-CN"/>
        </w:rPr>
        <w:t>开标顺序为01标， 02标，03标依次开启。</w:t>
      </w:r>
    </w:p>
    <w:p>
      <w:pPr>
        <w:autoSpaceDE w:val="0"/>
        <w:autoSpaceDN w:val="0"/>
        <w:spacing w:line="324" w:lineRule="auto"/>
        <w:jc w:val="left"/>
        <w:rPr>
          <w:rFonts w:ascii="仿宋" w:hAnsi="仿宋" w:eastAsia="仿宋" w:cs="仿宋"/>
          <w:color w:val="auto"/>
          <w:kern w:val="0"/>
          <w:sz w:val="24"/>
          <w:highlight w:val="none"/>
        </w:rPr>
      </w:pPr>
    </w:p>
    <w:p>
      <w:pPr>
        <w:autoSpaceDE w:val="0"/>
        <w:autoSpaceDN w:val="0"/>
        <w:spacing w:line="324" w:lineRule="auto"/>
        <w:jc w:val="left"/>
        <w:rPr>
          <w:rFonts w:ascii="仿宋" w:hAnsi="仿宋" w:eastAsia="仿宋" w:cs="仿宋"/>
          <w:color w:val="auto"/>
          <w:kern w:val="0"/>
          <w:sz w:val="24"/>
          <w:highlight w:val="none"/>
        </w:rPr>
      </w:pPr>
    </w:p>
    <w:p>
      <w:pPr>
        <w:autoSpaceDE w:val="0"/>
        <w:autoSpaceDN w:val="0"/>
        <w:spacing w:line="324" w:lineRule="auto"/>
        <w:jc w:val="left"/>
        <w:rPr>
          <w:rFonts w:ascii="仿宋" w:hAnsi="仿宋" w:eastAsia="仿宋" w:cs="仿宋"/>
          <w:color w:val="auto"/>
          <w:kern w:val="0"/>
          <w:sz w:val="24"/>
          <w:highlight w:val="none"/>
        </w:rPr>
      </w:pPr>
    </w:p>
    <w:p>
      <w:pPr>
        <w:spacing w:line="360" w:lineRule="auto"/>
        <w:ind w:left="720" w:leftChars="343" w:firstLine="1084" w:firstLineChars="300"/>
        <w:jc w:val="center"/>
        <w:outlineLvl w:val="0"/>
        <w:rPr>
          <w:rFonts w:ascii="仿宋" w:hAnsi="仿宋" w:eastAsia="仿宋" w:cs="仿宋"/>
          <w:b/>
          <w:color w:val="auto"/>
          <w:sz w:val="36"/>
          <w:szCs w:val="36"/>
          <w:highlight w:val="none"/>
        </w:rPr>
      </w:pPr>
    </w:p>
    <w:p>
      <w:pPr>
        <w:pStyle w:val="2"/>
        <w:rPr>
          <w:rFonts w:ascii="仿宋" w:hAnsi="仿宋" w:eastAsia="仿宋" w:cs="仿宋"/>
          <w:b/>
          <w:color w:val="auto"/>
          <w:sz w:val="36"/>
          <w:szCs w:val="36"/>
          <w:highlight w:val="none"/>
        </w:rPr>
      </w:pPr>
    </w:p>
    <w:p>
      <w:pPr>
        <w:pStyle w:val="3"/>
        <w:rPr>
          <w:rFonts w:ascii="仿宋" w:hAnsi="仿宋" w:eastAsia="仿宋" w:cs="仿宋"/>
          <w:b/>
          <w:color w:val="auto"/>
          <w:sz w:val="36"/>
          <w:szCs w:val="36"/>
          <w:highlight w:val="none"/>
        </w:rPr>
      </w:pPr>
    </w:p>
    <w:p>
      <w:pPr>
        <w:rPr>
          <w:rFonts w:ascii="仿宋" w:hAnsi="仿宋" w:eastAsia="仿宋" w:cs="仿宋"/>
          <w:b/>
          <w:color w:val="auto"/>
          <w:sz w:val="36"/>
          <w:szCs w:val="36"/>
          <w:highlight w:val="none"/>
        </w:rPr>
      </w:pPr>
    </w:p>
    <w:p>
      <w:pPr>
        <w:pStyle w:val="2"/>
        <w:rPr>
          <w:rFonts w:ascii="仿宋" w:hAnsi="仿宋" w:eastAsia="仿宋" w:cs="仿宋"/>
          <w:b/>
          <w:color w:val="auto"/>
          <w:sz w:val="36"/>
          <w:szCs w:val="36"/>
          <w:highlight w:val="none"/>
        </w:rPr>
      </w:pPr>
    </w:p>
    <w:p>
      <w:pPr>
        <w:pStyle w:val="3"/>
        <w:rPr>
          <w:rFonts w:ascii="仿宋" w:hAnsi="仿宋" w:eastAsia="仿宋" w:cs="仿宋"/>
          <w:b/>
          <w:color w:val="auto"/>
          <w:sz w:val="36"/>
          <w:szCs w:val="36"/>
          <w:highlight w:val="none"/>
        </w:rPr>
      </w:pPr>
    </w:p>
    <w:p>
      <w:pPr>
        <w:rPr>
          <w:rFonts w:ascii="仿宋" w:hAnsi="仿宋" w:eastAsia="仿宋" w:cs="仿宋"/>
          <w:b/>
          <w:color w:val="auto"/>
          <w:sz w:val="36"/>
          <w:szCs w:val="36"/>
          <w:highlight w:val="none"/>
        </w:rPr>
      </w:pPr>
    </w:p>
    <w:p>
      <w:pPr>
        <w:pStyle w:val="2"/>
        <w:rPr>
          <w:rFonts w:ascii="仿宋" w:hAnsi="仿宋" w:eastAsia="仿宋" w:cs="仿宋"/>
          <w:b/>
          <w:color w:val="auto"/>
          <w:sz w:val="36"/>
          <w:szCs w:val="36"/>
          <w:highlight w:val="none"/>
        </w:rPr>
      </w:pPr>
    </w:p>
    <w:p>
      <w:pPr>
        <w:pStyle w:val="3"/>
        <w:rPr>
          <w:rFonts w:ascii="仿宋" w:hAnsi="仿宋" w:eastAsia="仿宋" w:cs="仿宋"/>
          <w:b/>
          <w:color w:val="auto"/>
          <w:sz w:val="36"/>
          <w:szCs w:val="36"/>
          <w:highlight w:val="none"/>
        </w:rPr>
      </w:pPr>
    </w:p>
    <w:p>
      <w:pPr>
        <w:rPr>
          <w:rFonts w:ascii="仿宋" w:hAnsi="仿宋" w:eastAsia="仿宋" w:cs="仿宋"/>
          <w:b/>
          <w:color w:val="auto"/>
          <w:sz w:val="36"/>
          <w:szCs w:val="36"/>
          <w:highlight w:val="none"/>
        </w:rPr>
      </w:pPr>
    </w:p>
    <w:p>
      <w:pPr>
        <w:pStyle w:val="2"/>
        <w:rPr>
          <w:rFonts w:ascii="仿宋" w:hAnsi="仿宋" w:eastAsia="仿宋" w:cs="仿宋"/>
          <w:b/>
          <w:color w:val="auto"/>
          <w:sz w:val="36"/>
          <w:szCs w:val="36"/>
          <w:highlight w:val="none"/>
        </w:rPr>
      </w:pPr>
    </w:p>
    <w:p>
      <w:pPr>
        <w:pStyle w:val="3"/>
        <w:rPr>
          <w:rFonts w:ascii="仿宋" w:hAnsi="仿宋" w:eastAsia="仿宋" w:cs="仿宋"/>
          <w:b/>
          <w:color w:val="auto"/>
          <w:sz w:val="36"/>
          <w:szCs w:val="36"/>
          <w:highlight w:val="none"/>
        </w:rPr>
      </w:pPr>
    </w:p>
    <w:p>
      <w:pPr>
        <w:rPr>
          <w:rFonts w:ascii="仿宋" w:hAnsi="仿宋" w:eastAsia="仿宋" w:cs="仿宋"/>
          <w:b/>
          <w:color w:val="auto"/>
          <w:sz w:val="36"/>
          <w:szCs w:val="36"/>
          <w:highlight w:val="none"/>
        </w:rPr>
      </w:pPr>
    </w:p>
    <w:p>
      <w:pPr>
        <w:pStyle w:val="2"/>
        <w:rPr>
          <w:rFonts w:ascii="仿宋" w:hAnsi="仿宋" w:eastAsia="仿宋" w:cs="仿宋"/>
          <w:b/>
          <w:color w:val="auto"/>
          <w:sz w:val="36"/>
          <w:szCs w:val="36"/>
          <w:highlight w:val="none"/>
        </w:rPr>
      </w:pPr>
    </w:p>
    <w:p>
      <w:pPr>
        <w:pStyle w:val="3"/>
        <w:rPr>
          <w:color w:val="auto"/>
          <w:highlight w:val="none"/>
        </w:rPr>
      </w:pPr>
    </w:p>
    <w:p>
      <w:pPr>
        <w:spacing w:line="360" w:lineRule="auto"/>
        <w:ind w:left="720" w:leftChars="343" w:firstLine="1084" w:firstLineChars="300"/>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ascii="仿宋" w:hAnsi="仿宋" w:eastAsia="仿宋" w:cs="仿宋"/>
          <w:b/>
          <w:color w:val="auto"/>
          <w:sz w:val="28"/>
          <w:szCs w:val="28"/>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ascii="仿宋" w:hAnsi="仿宋" w:eastAsia="仿宋" w:cs="仿宋"/>
          <w:color w:val="auto"/>
          <w:highlight w:val="none"/>
        </w:rPr>
      </w:pPr>
      <w:r>
        <w:rPr>
          <w:rFonts w:hint="eastAsia" w:ascii="仿宋" w:hAnsi="仿宋" w:eastAsia="仿宋" w:cs="仿宋"/>
          <w:b/>
          <w:color w:val="auto"/>
          <w:sz w:val="36"/>
          <w:szCs w:val="36"/>
          <w:highlight w:val="none"/>
        </w:rPr>
        <w:t>（货物类）</w:t>
      </w:r>
    </w:p>
    <w:p>
      <w:pPr>
        <w:pStyle w:val="29"/>
        <w:jc w:val="center"/>
        <w:rPr>
          <w:rFonts w:ascii="仿宋" w:hAnsi="仿宋" w:eastAsia="仿宋" w:cs="仿宋"/>
          <w:color w:val="auto"/>
          <w:szCs w:val="24"/>
          <w:highlight w:val="none"/>
        </w:rPr>
      </w:pPr>
    </w:p>
    <w:p>
      <w:pPr>
        <w:pStyle w:val="29"/>
        <w:ind w:firstLine="2843" w:firstLineChars="1180"/>
        <w:rPr>
          <w:rFonts w:ascii="仿宋" w:hAnsi="仿宋" w:eastAsia="仿宋" w:cs="仿宋"/>
          <w:color w:val="auto"/>
          <w:szCs w:val="24"/>
          <w:highlight w:val="none"/>
        </w:rPr>
      </w:pPr>
      <w:r>
        <w:rPr>
          <w:rFonts w:hint="eastAsia" w:ascii="仿宋" w:hAnsi="仿宋" w:eastAsia="仿宋" w:cs="仿宋"/>
          <w:b/>
          <w:color w:val="auto"/>
          <w:szCs w:val="24"/>
          <w:highlight w:val="none"/>
        </w:rPr>
        <w:t>第一部分 合同书</w:t>
      </w:r>
    </w:p>
    <w:p>
      <w:pPr>
        <w:pStyle w:val="29"/>
        <w:rPr>
          <w:rFonts w:ascii="仿宋" w:hAnsi="仿宋" w:eastAsia="仿宋" w:cs="仿宋"/>
          <w:color w:val="auto"/>
          <w:szCs w:val="24"/>
          <w:highlight w:val="none"/>
        </w:rPr>
      </w:pPr>
    </w:p>
    <w:p>
      <w:pPr>
        <w:spacing w:before="120" w:line="22" w:lineRule="atLeast"/>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30"/>
        <w:spacing w:before="120" w:line="22" w:lineRule="atLeast"/>
        <w:rPr>
          <w:rFonts w:ascii="仿宋" w:hAnsi="仿宋" w:eastAsia="仿宋" w:cs="仿宋"/>
          <w:color w:val="auto"/>
          <w:szCs w:val="24"/>
          <w:highlight w:val="none"/>
        </w:rPr>
      </w:pPr>
    </w:p>
    <w:p>
      <w:pPr>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仿宋" w:hAnsi="仿宋" w:eastAsia="仿宋" w:cs="仿宋"/>
          <w:color w:val="auto"/>
          <w:kern w:val="0"/>
          <w:sz w:val="24"/>
          <w:highlight w:val="none"/>
        </w:rPr>
        <w:sectPr>
          <w:pgSz w:w="11907" w:h="16840"/>
          <w:pgMar w:top="1814" w:right="1474" w:bottom="1814" w:left="1474" w:header="851" w:footer="851" w:gutter="0"/>
          <w:cols w:space="720" w:num="1"/>
        </w:sectPr>
      </w:pP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ascii="仿宋" w:hAnsi="仿宋" w:eastAsia="仿宋" w:cs="仿宋"/>
          <w:b/>
          <w:color w:val="auto"/>
          <w:sz w:val="24"/>
          <w:highlight w:val="none"/>
        </w:rPr>
      </w:pPr>
      <w:bookmarkStart w:id="40" w:name="_Toc2232"/>
      <w:bookmarkStart w:id="41" w:name="_Toc3029"/>
      <w:bookmarkStart w:id="42" w:name="_Toc24059"/>
      <w:r>
        <w:rPr>
          <w:rFonts w:hint="eastAsia" w:ascii="仿宋" w:hAnsi="仿宋" w:eastAsia="仿宋" w:cs="仿宋"/>
          <w:b/>
          <w:color w:val="auto"/>
          <w:sz w:val="24"/>
          <w:highlight w:val="none"/>
        </w:rPr>
        <w:t>1.1 合同组成部分</w:t>
      </w:r>
      <w:bookmarkEnd w:id="40"/>
      <w:bookmarkEnd w:id="41"/>
      <w:bookmarkEnd w:id="4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ascii="仿宋" w:hAnsi="仿宋" w:eastAsia="仿宋" w:cs="仿宋"/>
          <w:b/>
          <w:color w:val="auto"/>
          <w:sz w:val="24"/>
          <w:highlight w:val="none"/>
        </w:rPr>
      </w:pPr>
      <w:bookmarkStart w:id="43" w:name="_Toc24300"/>
      <w:bookmarkStart w:id="44" w:name="_Toc21295"/>
      <w:bookmarkStart w:id="45" w:name="_Toc27126"/>
      <w:r>
        <w:rPr>
          <w:rFonts w:hint="eastAsia" w:ascii="仿宋" w:hAnsi="仿宋" w:eastAsia="仿宋" w:cs="仿宋"/>
          <w:b/>
          <w:color w:val="auto"/>
          <w:sz w:val="24"/>
          <w:highlight w:val="none"/>
        </w:rPr>
        <w:t>1.2 货物</w:t>
      </w:r>
      <w:bookmarkEnd w:id="43"/>
      <w:bookmarkEnd w:id="44"/>
      <w:bookmarkEnd w:id="45"/>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pPr>
        <w:spacing w:line="560" w:lineRule="exact"/>
        <w:ind w:firstLine="482" w:firstLineChars="200"/>
        <w:outlineLvl w:val="0"/>
        <w:rPr>
          <w:rFonts w:ascii="仿宋" w:hAnsi="仿宋" w:eastAsia="仿宋" w:cs="仿宋"/>
          <w:b/>
          <w:color w:val="auto"/>
          <w:sz w:val="24"/>
          <w:highlight w:val="none"/>
        </w:rPr>
      </w:pPr>
      <w:bookmarkStart w:id="46" w:name="_Toc21631"/>
      <w:bookmarkStart w:id="47" w:name="_Toc21551"/>
      <w:bookmarkStart w:id="48" w:name="_Toc23292"/>
      <w:r>
        <w:rPr>
          <w:rFonts w:hint="eastAsia" w:ascii="仿宋" w:hAnsi="仿宋" w:eastAsia="仿宋" w:cs="仿宋"/>
          <w:b/>
          <w:color w:val="auto"/>
          <w:sz w:val="24"/>
          <w:highlight w:val="none"/>
        </w:rPr>
        <w:t>1.3 价款</w:t>
      </w:r>
      <w:bookmarkEnd w:id="46"/>
      <w:bookmarkEnd w:id="47"/>
      <w:bookmarkEnd w:id="4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18"/>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
              <w:spacing w:line="56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
              <w:spacing w:line="56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
              <w:spacing w:line="56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
              <w:spacing w:line="56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
              <w:spacing w:line="560" w:lineRule="exact"/>
              <w:ind w:firstLine="200"/>
              <w:jc w:val="center"/>
              <w:rPr>
                <w:rFonts w:ascii="仿宋" w:hAnsi="仿宋" w:eastAsia="仿宋" w:cs="仿宋"/>
                <w:color w:val="auto"/>
                <w:sz w:val="24"/>
                <w:szCs w:val="24"/>
                <w:highlight w:val="none"/>
              </w:rPr>
            </w:pPr>
          </w:p>
        </w:tc>
      </w:tr>
    </w:tbl>
    <w:p>
      <w:pPr>
        <w:pStyle w:val="32"/>
        <w:spacing w:before="0" w:beforeAutospacing="0" w:after="0" w:afterAutospacing="0" w:line="360" w:lineRule="auto"/>
        <w:ind w:firstLine="480"/>
        <w:rPr>
          <w:rFonts w:ascii="仿宋" w:hAnsi="仿宋" w:eastAsia="仿宋" w:cs="仿宋"/>
          <w:b/>
          <w:color w:val="auto"/>
          <w:highlight w:val="none"/>
        </w:rPr>
      </w:pPr>
      <w:bookmarkStart w:id="49" w:name="_Toc10340"/>
      <w:bookmarkStart w:id="50" w:name="_Toc22618"/>
      <w:bookmarkStart w:id="51" w:name="_Toc1814"/>
      <w:r>
        <w:rPr>
          <w:rFonts w:hint="eastAsia" w:ascii="仿宋" w:hAnsi="仿宋" w:eastAsia="仿宋" w:cs="仿宋"/>
          <w:b/>
          <w:color w:val="auto"/>
          <w:highlight w:val="none"/>
        </w:rPr>
        <w:t>1.4履约保证金</w:t>
      </w:r>
    </w:p>
    <w:p>
      <w:pPr>
        <w:pStyle w:val="32"/>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spacing w:line="56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spacing w:line="56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5"/>
        <w:tabs>
          <w:tab w:val="clear" w:pos="432"/>
        </w:tabs>
        <w:spacing w:line="56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spacing w:line="56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49"/>
      <w:bookmarkEnd w:id="50"/>
      <w:bookmarkEnd w:id="51"/>
      <w:r>
        <w:rPr>
          <w:rFonts w:hint="eastAsia" w:ascii="仿宋" w:hAnsi="仿宋" w:eastAsia="仿宋" w:cs="仿宋"/>
          <w:b/>
          <w:color w:val="auto"/>
          <w:sz w:val="24"/>
          <w:highlight w:val="none"/>
        </w:rPr>
        <w:t>预付款</w:t>
      </w:r>
    </w:p>
    <w:p>
      <w:pPr>
        <w:pStyle w:val="32"/>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spacing w:line="56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32"/>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2"/>
        <w:spacing w:before="0" w:beforeAutospacing="0" w:after="0" w:afterAutospacing="0" w:line="360" w:lineRule="auto"/>
        <w:ind w:firstLine="48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2"/>
        <w:spacing w:before="0" w:beforeAutospacing="0" w:after="0" w:afterAutospacing="0" w:line="360" w:lineRule="auto"/>
        <w:ind w:firstLine="48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32"/>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52" w:name="_Toc19304"/>
      <w:bookmarkStart w:id="53" w:name="_Toc2846"/>
      <w:bookmarkStart w:id="54" w:name="_Toc32071"/>
      <w:r>
        <w:rPr>
          <w:rFonts w:hint="eastAsia" w:ascii="仿宋" w:hAnsi="仿宋" w:eastAsia="仿宋" w:cs="仿宋"/>
          <w:b/>
          <w:color w:val="auto"/>
          <w:sz w:val="24"/>
          <w:highlight w:val="none"/>
        </w:rPr>
        <w:t>1.7货物交付期限、地点和方式</w:t>
      </w:r>
      <w:bookmarkEnd w:id="52"/>
      <w:bookmarkEnd w:id="53"/>
      <w:bookmarkEnd w:id="54"/>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55" w:name="_Toc21423"/>
      <w:bookmarkStart w:id="56" w:name="_Toc19554"/>
      <w:bookmarkStart w:id="57" w:name="_Toc27250"/>
      <w:r>
        <w:rPr>
          <w:rFonts w:hint="eastAsia" w:ascii="仿宋" w:hAnsi="仿宋" w:eastAsia="仿宋" w:cs="仿宋"/>
          <w:b/>
          <w:color w:val="auto"/>
          <w:sz w:val="24"/>
          <w:highlight w:val="none"/>
        </w:rPr>
        <w:t>1.8违约责任</w:t>
      </w:r>
      <w:bookmarkEnd w:id="55"/>
      <w:bookmarkEnd w:id="56"/>
      <w:bookmarkEnd w:id="5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ascii="仿宋" w:hAnsi="仿宋" w:eastAsia="仿宋" w:cs="仿宋"/>
          <w:b/>
          <w:color w:val="auto"/>
          <w:sz w:val="24"/>
          <w:highlight w:val="none"/>
        </w:rPr>
      </w:pPr>
      <w:bookmarkStart w:id="58" w:name="_Toc16021"/>
      <w:bookmarkStart w:id="59" w:name="_Toc15583"/>
      <w:bookmarkStart w:id="60" w:name="_Toc28375"/>
      <w:r>
        <w:rPr>
          <w:rFonts w:hint="eastAsia" w:ascii="仿宋" w:hAnsi="仿宋" w:eastAsia="仿宋" w:cs="仿宋"/>
          <w:b/>
          <w:color w:val="auto"/>
          <w:sz w:val="24"/>
          <w:highlight w:val="none"/>
        </w:rPr>
        <w:t>1.9合同争议的解决</w:t>
      </w:r>
      <w:bookmarkEnd w:id="58"/>
      <w:bookmarkEnd w:id="59"/>
      <w:bookmarkEnd w:id="60"/>
    </w:p>
    <w:p>
      <w:pPr>
        <w:spacing w:line="560" w:lineRule="exact"/>
        <w:ind w:left="-61" w:leftChars="-29" w:right="-420" w:rightChars="-200"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840" w:firstLineChars="350"/>
        <w:rPr>
          <w:rFonts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840" w:firstLineChars="350"/>
        <w:rPr>
          <w:rFonts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ascii="仿宋" w:hAnsi="仿宋" w:eastAsia="仿宋" w:cs="仿宋"/>
          <w:b/>
          <w:color w:val="auto"/>
          <w:sz w:val="24"/>
          <w:highlight w:val="none"/>
        </w:rPr>
      </w:pPr>
      <w:bookmarkStart w:id="61" w:name="_Toc15322"/>
      <w:bookmarkStart w:id="62" w:name="_Toc11173"/>
      <w:bookmarkStart w:id="63" w:name="_Toc7245"/>
      <w:r>
        <w:rPr>
          <w:rFonts w:hint="eastAsia" w:ascii="仿宋" w:hAnsi="仿宋" w:eastAsia="仿宋" w:cs="仿宋"/>
          <w:b/>
          <w:color w:val="auto"/>
          <w:sz w:val="24"/>
          <w:highlight w:val="none"/>
        </w:rPr>
        <w:t>2.0 合同生效</w:t>
      </w:r>
      <w:bookmarkEnd w:id="61"/>
      <w:bookmarkEnd w:id="62"/>
      <w:bookmarkEnd w:id="63"/>
    </w:p>
    <w:p>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pPr>
        <w:autoSpaceDE w:val="0"/>
        <w:autoSpaceDN w:val="0"/>
        <w:spacing w:line="560" w:lineRule="exact"/>
        <w:rPr>
          <w:rFonts w:ascii="仿宋" w:hAnsi="仿宋" w:eastAsia="仿宋" w:cs="仿宋"/>
          <w:color w:val="auto"/>
          <w:sz w:val="24"/>
          <w:highlight w:val="none"/>
          <w:lang w:val="zh-CN"/>
        </w:rPr>
      </w:pP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560" w:lineRule="exact"/>
        <w:rPr>
          <w:rFonts w:ascii="仿宋" w:hAnsi="仿宋" w:eastAsia="仿宋" w:cs="仿宋"/>
          <w:color w:val="auto"/>
          <w:sz w:val="24"/>
          <w:highlight w:val="none"/>
          <w:lang w:val="zh-CN"/>
        </w:rPr>
      </w:pP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pStyle w:val="5"/>
        <w:rPr>
          <w:rFonts w:ascii="仿宋" w:eastAsia="仿宋" w:cs="仿宋"/>
          <w:color w:val="auto"/>
          <w:sz w:val="24"/>
          <w:highlight w:val="none"/>
        </w:rPr>
      </w:pPr>
    </w:p>
    <w:p>
      <w:pPr>
        <w:rPr>
          <w:rFonts w:ascii="仿宋" w:hAnsi="仿宋" w:eastAsia="仿宋" w:cs="仿宋"/>
          <w:color w:val="auto"/>
          <w:sz w:val="24"/>
          <w:highlight w:val="none"/>
        </w:rPr>
      </w:pPr>
    </w:p>
    <w:p>
      <w:pPr>
        <w:pStyle w:val="5"/>
        <w:rPr>
          <w:rFonts w:ascii="仿宋" w:eastAsia="仿宋" w:cs="仿宋"/>
          <w:color w:val="auto"/>
          <w:sz w:val="24"/>
          <w:highlight w:val="none"/>
        </w:rPr>
      </w:pPr>
    </w:p>
    <w:p>
      <w:pPr>
        <w:rPr>
          <w:rFonts w:ascii="仿宋" w:hAnsi="仿宋" w:eastAsia="仿宋" w:cs="仿宋"/>
          <w:color w:val="auto"/>
          <w:sz w:val="24"/>
          <w:highlight w:val="none"/>
        </w:rPr>
      </w:pPr>
    </w:p>
    <w:p>
      <w:pPr>
        <w:pStyle w:val="5"/>
        <w:rPr>
          <w:rFonts w:ascii="仿宋" w:eastAsia="仿宋" w:cs="仿宋"/>
          <w:color w:val="auto"/>
          <w:sz w:val="24"/>
          <w:highlight w:val="none"/>
        </w:rPr>
      </w:pPr>
    </w:p>
    <w:p>
      <w:pPr>
        <w:rPr>
          <w:rFonts w:ascii="仿宋" w:hAnsi="仿宋" w:eastAsia="仿宋" w:cs="仿宋"/>
          <w:color w:val="auto"/>
          <w:sz w:val="24"/>
          <w:highlight w:val="none"/>
        </w:rPr>
      </w:pPr>
    </w:p>
    <w:p>
      <w:pPr>
        <w:pStyle w:val="4"/>
        <w:rPr>
          <w:rFonts w:ascii="仿宋" w:hAnsi="仿宋" w:eastAsia="仿宋" w:cs="仿宋"/>
          <w:color w:val="auto"/>
          <w:sz w:val="24"/>
          <w:highlight w:val="none"/>
        </w:rPr>
      </w:pPr>
    </w:p>
    <w:p>
      <w:pPr>
        <w:rPr>
          <w:rFonts w:ascii="仿宋" w:hAnsi="仿宋" w:eastAsia="仿宋" w:cs="仿宋"/>
          <w:color w:val="auto"/>
          <w:sz w:val="24"/>
          <w:highlight w:val="none"/>
        </w:rPr>
      </w:pPr>
    </w:p>
    <w:p>
      <w:pPr>
        <w:pStyle w:val="4"/>
        <w:rPr>
          <w:rFonts w:ascii="仿宋" w:hAnsi="仿宋" w:eastAsia="仿宋" w:cs="仿宋"/>
          <w:color w:val="auto"/>
          <w:sz w:val="24"/>
          <w:highlight w:val="none"/>
        </w:rPr>
      </w:pPr>
    </w:p>
    <w:p>
      <w:pPr>
        <w:rPr>
          <w:rFonts w:ascii="仿宋" w:hAnsi="仿宋" w:eastAsia="仿宋" w:cs="仿宋"/>
          <w:color w:val="auto"/>
          <w:sz w:val="24"/>
          <w:highlight w:val="none"/>
        </w:rPr>
      </w:pPr>
    </w:p>
    <w:p>
      <w:pPr>
        <w:pStyle w:val="4"/>
        <w:rPr>
          <w:rFonts w:ascii="仿宋" w:hAnsi="仿宋" w:eastAsia="仿宋" w:cs="仿宋"/>
          <w:color w:val="auto"/>
          <w:sz w:val="24"/>
          <w:highlight w:val="none"/>
        </w:rPr>
      </w:pPr>
    </w:p>
    <w:p>
      <w:pPr>
        <w:rPr>
          <w:rFonts w:ascii="仿宋" w:hAnsi="仿宋" w:eastAsia="仿宋" w:cs="仿宋"/>
          <w:color w:val="auto"/>
          <w:sz w:val="24"/>
          <w:highlight w:val="none"/>
        </w:rPr>
      </w:pPr>
    </w:p>
    <w:p>
      <w:pPr>
        <w:pStyle w:val="29"/>
        <w:spacing w:line="560" w:lineRule="exact"/>
        <w:ind w:firstLine="482"/>
        <w:jc w:val="center"/>
        <w:rPr>
          <w:rFonts w:ascii="仿宋" w:hAnsi="仿宋" w:eastAsia="仿宋" w:cs="仿宋"/>
          <w:b/>
          <w:color w:val="auto"/>
          <w:szCs w:val="24"/>
          <w:highlight w:val="none"/>
        </w:rPr>
      </w:pPr>
    </w:p>
    <w:p>
      <w:pPr>
        <w:pStyle w:val="29"/>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ascii="仿宋" w:hAnsi="仿宋" w:eastAsia="仿宋" w:cs="仿宋"/>
          <w:b/>
          <w:color w:val="auto"/>
          <w:sz w:val="24"/>
          <w:highlight w:val="none"/>
        </w:rPr>
      </w:pPr>
      <w:bookmarkStart w:id="64" w:name="_Toc279701240"/>
      <w:bookmarkStart w:id="65" w:name="_Ref467379205"/>
      <w:bookmarkStart w:id="66" w:name="_Toc16917"/>
      <w:bookmarkStart w:id="67" w:name="_Ref467378463"/>
      <w:bookmarkStart w:id="68" w:name="_Ref467379225"/>
      <w:bookmarkStart w:id="69" w:name="_Ref467379094"/>
      <w:bookmarkStart w:id="70" w:name="_Ref467379195"/>
      <w:bookmarkStart w:id="71" w:name="_Ref467379109"/>
      <w:bookmarkStart w:id="72" w:name="_Toc28763"/>
      <w:bookmarkStart w:id="73" w:name="_Toc19614"/>
      <w:bookmarkStart w:id="74" w:name="_Toc259093669"/>
      <w:bookmarkStart w:id="75" w:name="_Toc487900349"/>
      <w:bookmarkStart w:id="76" w:name="_Ref467378499"/>
      <w:bookmarkStart w:id="77" w:name="_Ref467379214"/>
      <w:bookmarkStart w:id="78" w:name="_Ref467378404"/>
      <w:bookmarkStart w:id="79" w:name="_Ref467379101"/>
      <w:r>
        <w:rPr>
          <w:rFonts w:hint="eastAsia" w:ascii="仿宋" w:hAnsi="仿宋" w:eastAsia="仿宋" w:cs="仿宋"/>
          <w:b/>
          <w:color w:val="auto"/>
          <w:sz w:val="24"/>
          <w:highlight w:val="none"/>
        </w:rPr>
        <w:t>2.1 定义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color w:val="auto"/>
          <w:sz w:val="24"/>
          <w:highlight w:val="none"/>
        </w:rPr>
      </w:pPr>
      <w:bookmarkStart w:id="80" w:name="_Ref467378840"/>
      <w:r>
        <w:rPr>
          <w:rFonts w:hint="eastAsia" w:ascii="仿宋" w:hAnsi="仿宋" w:eastAsia="仿宋" w:cs="仿宋"/>
          <w:color w:val="auto"/>
          <w:sz w:val="24"/>
          <w:highlight w:val="none"/>
        </w:rPr>
        <w:t>2.1.4 “甲方”系指与中标或成交供应商签署合同的采购人</w:t>
      </w:r>
      <w:bookmarkEnd w:id="80"/>
      <w:r>
        <w:rPr>
          <w:rFonts w:hint="eastAsia" w:ascii="仿宋" w:hAnsi="仿宋" w:eastAsia="仿宋" w:cs="仿宋"/>
          <w:color w:val="auto"/>
          <w:sz w:val="24"/>
          <w:highlight w:val="none"/>
        </w:rPr>
        <w:t>；采购人委托采购代理机构代表其与乙方签订合同的，采购人的授权委托书作为合同附件。</w:t>
      </w:r>
    </w:p>
    <w:p>
      <w:pPr>
        <w:spacing w:line="560" w:lineRule="exact"/>
        <w:ind w:firstLine="480" w:firstLineChars="200"/>
        <w:rPr>
          <w:rFonts w:ascii="仿宋" w:hAnsi="仿宋" w:eastAsia="仿宋" w:cs="仿宋"/>
          <w:color w:val="auto"/>
          <w:sz w:val="24"/>
          <w:highlight w:val="none"/>
        </w:rPr>
      </w:pPr>
      <w:bookmarkStart w:id="81" w:name="_Ref467379400"/>
      <w:r>
        <w:rPr>
          <w:rFonts w:hint="eastAsia" w:ascii="仿宋" w:hAnsi="仿宋" w:eastAsia="仿宋" w:cs="仿宋"/>
          <w:color w:val="auto"/>
          <w:sz w:val="24"/>
          <w:highlight w:val="none"/>
        </w:rPr>
        <w:t>2.1.5 “乙方”系指根据合同约定交付货物的中标或成交供应商</w:t>
      </w:r>
      <w:bookmarkEnd w:id="81"/>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highlight w:val="none"/>
        </w:rPr>
      </w:pPr>
      <w:bookmarkStart w:id="82" w:name="_Ref467379436"/>
      <w:r>
        <w:rPr>
          <w:rFonts w:hint="eastAsia" w:ascii="仿宋" w:hAnsi="仿宋" w:eastAsia="仿宋" w:cs="仿宋"/>
          <w:color w:val="auto"/>
          <w:sz w:val="24"/>
          <w:highlight w:val="none"/>
        </w:rPr>
        <w:t>2.1.6 “现场”系指合同约定货物将要运至或者安装的地点。</w:t>
      </w:r>
      <w:bookmarkEnd w:id="82"/>
    </w:p>
    <w:p>
      <w:pPr>
        <w:spacing w:line="560" w:lineRule="exact"/>
        <w:ind w:firstLine="482" w:firstLineChars="200"/>
        <w:outlineLvl w:val="0"/>
        <w:rPr>
          <w:rFonts w:ascii="仿宋" w:hAnsi="仿宋" w:eastAsia="仿宋" w:cs="仿宋"/>
          <w:b/>
          <w:color w:val="auto"/>
          <w:sz w:val="24"/>
          <w:highlight w:val="none"/>
        </w:rPr>
      </w:pPr>
      <w:bookmarkStart w:id="83" w:name="_Toc32504"/>
      <w:bookmarkStart w:id="84" w:name="_Toc13336"/>
      <w:bookmarkStart w:id="85" w:name="_Toc259093670"/>
      <w:bookmarkStart w:id="86" w:name="_Toc487900350"/>
      <w:bookmarkStart w:id="87" w:name="_Toc27635"/>
      <w:bookmarkStart w:id="88" w:name="_Toc279701241"/>
      <w:r>
        <w:rPr>
          <w:rFonts w:hint="eastAsia" w:ascii="仿宋" w:hAnsi="仿宋" w:eastAsia="仿宋" w:cs="仿宋"/>
          <w:b/>
          <w:color w:val="auto"/>
          <w:sz w:val="24"/>
          <w:highlight w:val="none"/>
        </w:rPr>
        <w:t>2.2 技术规范</w:t>
      </w:r>
      <w:bookmarkEnd w:id="83"/>
      <w:bookmarkEnd w:id="84"/>
      <w:bookmarkEnd w:id="85"/>
      <w:bookmarkEnd w:id="86"/>
      <w:bookmarkEnd w:id="87"/>
      <w:bookmarkEnd w:id="8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auto"/>
          <w:sz w:val="24"/>
          <w:highlight w:val="none"/>
        </w:rPr>
      </w:pPr>
      <w:bookmarkStart w:id="89" w:name="_Toc27853"/>
      <w:bookmarkStart w:id="90" w:name="_Toc9829"/>
      <w:bookmarkStart w:id="91" w:name="_Toc31634"/>
      <w:bookmarkStart w:id="92" w:name="_Toc259093671"/>
      <w:bookmarkStart w:id="93" w:name="_Toc279701242"/>
      <w:bookmarkStart w:id="94" w:name="_Toc487900351"/>
      <w:r>
        <w:rPr>
          <w:rFonts w:hint="eastAsia" w:ascii="仿宋" w:hAnsi="仿宋" w:eastAsia="仿宋" w:cs="仿宋"/>
          <w:b/>
          <w:color w:val="auto"/>
          <w:sz w:val="24"/>
          <w:highlight w:val="none"/>
        </w:rPr>
        <w:t>2.3 知识产权</w:t>
      </w:r>
      <w:bookmarkEnd w:id="89"/>
      <w:bookmarkEnd w:id="90"/>
      <w:bookmarkEnd w:id="91"/>
      <w:bookmarkEnd w:id="92"/>
      <w:bookmarkEnd w:id="93"/>
      <w:bookmarkEnd w:id="94"/>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95" w:name="_Toc11932"/>
      <w:bookmarkStart w:id="96" w:name="_Toc29149"/>
      <w:bookmarkStart w:id="97" w:name="_Toc4194"/>
      <w:r>
        <w:rPr>
          <w:rFonts w:hint="eastAsia" w:ascii="仿宋" w:hAnsi="仿宋" w:eastAsia="仿宋" w:cs="仿宋"/>
          <w:b/>
          <w:color w:val="auto"/>
          <w:sz w:val="24"/>
          <w:highlight w:val="none"/>
        </w:rPr>
        <w:t>2.4 包装和装运</w:t>
      </w:r>
      <w:bookmarkEnd w:id="95"/>
      <w:bookmarkEnd w:id="96"/>
      <w:bookmarkEnd w:id="9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98" w:name="_Toc487900354"/>
      <w:bookmarkStart w:id="99" w:name="_Ref467379542"/>
      <w:bookmarkStart w:id="100" w:name="_Ref467378591"/>
      <w:bookmarkStart w:id="101" w:name="_Ref467379527"/>
      <w:bookmarkStart w:id="102" w:name="_Ref467378541"/>
      <w:bookmarkStart w:id="103" w:name="_Ref467379536"/>
      <w:bookmarkStart w:id="104" w:name="_Toc259093674"/>
      <w:bookmarkStart w:id="105" w:name="_Toc279701245"/>
      <w:bookmarkStart w:id="106" w:name="_Toc26182"/>
      <w:bookmarkStart w:id="107" w:name="_Toc19074"/>
      <w:bookmarkStart w:id="108" w:name="_Toc30272"/>
      <w:r>
        <w:rPr>
          <w:rFonts w:hint="eastAsia" w:ascii="仿宋" w:hAnsi="仿宋" w:eastAsia="仿宋" w:cs="仿宋"/>
          <w:b/>
          <w:color w:val="auto"/>
          <w:sz w:val="24"/>
          <w:highlight w:val="none"/>
        </w:rPr>
        <w:t>2.</w:t>
      </w:r>
      <w:bookmarkEnd w:id="98"/>
      <w:bookmarkEnd w:id="99"/>
      <w:bookmarkEnd w:id="100"/>
      <w:bookmarkEnd w:id="101"/>
      <w:bookmarkEnd w:id="102"/>
      <w:bookmarkEnd w:id="103"/>
      <w:bookmarkEnd w:id="104"/>
      <w:bookmarkEnd w:id="105"/>
      <w:r>
        <w:rPr>
          <w:rFonts w:hint="eastAsia" w:ascii="仿宋" w:hAnsi="仿宋" w:eastAsia="仿宋" w:cs="仿宋"/>
          <w:b/>
          <w:color w:val="auto"/>
          <w:sz w:val="24"/>
          <w:highlight w:val="none"/>
        </w:rPr>
        <w:t>5 履约检查和问题反馈</w:t>
      </w:r>
      <w:bookmarkEnd w:id="106"/>
      <w:bookmarkEnd w:id="107"/>
      <w:bookmarkEnd w:id="108"/>
    </w:p>
    <w:p>
      <w:pPr>
        <w:spacing w:line="560" w:lineRule="exact"/>
        <w:ind w:firstLine="480" w:firstLineChars="200"/>
        <w:rPr>
          <w:rFonts w:ascii="仿宋" w:hAnsi="仿宋" w:eastAsia="仿宋" w:cs="仿宋"/>
          <w:color w:val="auto"/>
          <w:sz w:val="24"/>
          <w:highlight w:val="none"/>
        </w:rPr>
      </w:pPr>
      <w:bookmarkStart w:id="109" w:name="_Ref467379657"/>
      <w:r>
        <w:rPr>
          <w:rFonts w:hint="eastAsia" w:ascii="仿宋" w:hAnsi="仿宋" w:eastAsia="仿宋" w:cs="仿宋"/>
          <w:color w:val="auto"/>
          <w:sz w:val="24"/>
          <w:highlight w:val="none"/>
        </w:rPr>
        <w:t>2.5.1</w:t>
      </w:r>
      <w:bookmarkEnd w:id="109"/>
      <w:bookmarkStart w:id="110" w:name="_Toc186431854"/>
      <w:bookmarkStart w:id="111" w:name="_Toc487900357"/>
      <w:bookmarkStart w:id="112" w:name="_Toc279701247"/>
      <w:bookmarkStart w:id="113" w:name="_Ref467379793"/>
      <w:bookmarkStart w:id="114" w:name="_Toc259093676"/>
      <w:bookmarkStart w:id="115" w:name="_Ref46737980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0"/>
      <w:bookmarkStart w:id="116" w:name="_Toc186431855"/>
      <w:r>
        <w:rPr>
          <w:rFonts w:hint="eastAsia" w:ascii="仿宋" w:hAnsi="仿宋" w:eastAsia="仿宋" w:cs="仿宋"/>
          <w:color w:val="auto"/>
          <w:sz w:val="24"/>
          <w:highlight w:val="none"/>
        </w:rPr>
        <w:t>。</w:t>
      </w:r>
    </w:p>
    <w:bookmarkEnd w:id="111"/>
    <w:bookmarkEnd w:id="112"/>
    <w:bookmarkEnd w:id="113"/>
    <w:bookmarkEnd w:id="114"/>
    <w:bookmarkEnd w:id="115"/>
    <w:bookmarkEnd w:id="116"/>
    <w:p>
      <w:pPr>
        <w:spacing w:line="560" w:lineRule="exact"/>
        <w:ind w:firstLine="482" w:firstLineChars="200"/>
        <w:outlineLvl w:val="0"/>
        <w:rPr>
          <w:rFonts w:ascii="仿宋" w:hAnsi="仿宋" w:eastAsia="仿宋" w:cs="仿宋"/>
          <w:b/>
          <w:color w:val="auto"/>
          <w:sz w:val="24"/>
          <w:highlight w:val="none"/>
        </w:rPr>
      </w:pPr>
      <w:bookmarkStart w:id="117" w:name="_Ref467379863"/>
      <w:bookmarkStart w:id="118" w:name="_Toc487900358"/>
      <w:bookmarkStart w:id="119" w:name="_Ref467379923"/>
      <w:bookmarkStart w:id="120" w:name="_Toc259093677"/>
      <w:bookmarkStart w:id="121" w:name="_Ref467379852"/>
      <w:bookmarkStart w:id="122" w:name="_Toc279701248"/>
      <w:bookmarkStart w:id="123" w:name="_Toc3225"/>
      <w:bookmarkStart w:id="124" w:name="_Toc16110"/>
      <w:bookmarkStart w:id="125" w:name="_Toc774"/>
      <w:r>
        <w:rPr>
          <w:rFonts w:hint="eastAsia" w:ascii="仿宋" w:hAnsi="仿宋" w:eastAsia="仿宋" w:cs="仿宋"/>
          <w:b/>
          <w:color w:val="auto"/>
          <w:sz w:val="24"/>
          <w:highlight w:val="none"/>
        </w:rPr>
        <w:t>2.6 技术资料</w:t>
      </w:r>
      <w:bookmarkEnd w:id="117"/>
      <w:bookmarkEnd w:id="118"/>
      <w:bookmarkEnd w:id="119"/>
      <w:bookmarkEnd w:id="120"/>
      <w:bookmarkEnd w:id="121"/>
      <w:bookmarkEnd w:id="122"/>
      <w:r>
        <w:rPr>
          <w:rFonts w:hint="eastAsia" w:ascii="仿宋" w:hAnsi="仿宋" w:eastAsia="仿宋" w:cs="仿宋"/>
          <w:b/>
          <w:color w:val="auto"/>
          <w:sz w:val="24"/>
          <w:highlight w:val="none"/>
        </w:rPr>
        <w:t>和保密义务</w:t>
      </w:r>
      <w:bookmarkEnd w:id="123"/>
      <w:bookmarkEnd w:id="124"/>
      <w:bookmarkEnd w:id="12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auto"/>
          <w:sz w:val="24"/>
          <w:highlight w:val="none"/>
        </w:rPr>
      </w:pPr>
      <w:bookmarkStart w:id="126" w:name="_Toc7860"/>
      <w:r>
        <w:rPr>
          <w:rFonts w:hint="eastAsia" w:ascii="仿宋" w:hAnsi="仿宋" w:eastAsia="仿宋" w:cs="仿宋"/>
          <w:b/>
          <w:color w:val="auto"/>
          <w:sz w:val="24"/>
          <w:highlight w:val="none"/>
        </w:rPr>
        <w:t>2.7 质量保证</w:t>
      </w:r>
      <w:bookmarkEnd w:id="12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auto"/>
          <w:sz w:val="24"/>
          <w:highlight w:val="none"/>
        </w:rPr>
      </w:pPr>
      <w:bookmarkStart w:id="127" w:name="_Toc17244"/>
      <w:bookmarkStart w:id="128" w:name="_Toc259093681"/>
      <w:bookmarkStart w:id="129" w:name="_Toc279701252"/>
      <w:bookmarkStart w:id="130" w:name="_Toc487900362"/>
      <w:r>
        <w:rPr>
          <w:rFonts w:hint="eastAsia" w:ascii="仿宋" w:hAnsi="仿宋" w:eastAsia="仿宋" w:cs="仿宋"/>
          <w:b/>
          <w:color w:val="auto"/>
          <w:sz w:val="24"/>
          <w:highlight w:val="none"/>
        </w:rPr>
        <w:t>2.8 货物的风险负担</w:t>
      </w:r>
      <w:bookmarkEnd w:id="127"/>
    </w:p>
    <w:p>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131" w:name="_Toc14055"/>
      <w:r>
        <w:rPr>
          <w:rFonts w:hint="eastAsia" w:ascii="仿宋" w:hAnsi="仿宋" w:eastAsia="仿宋" w:cs="仿宋"/>
          <w:b/>
          <w:color w:val="auto"/>
          <w:sz w:val="24"/>
          <w:highlight w:val="none"/>
        </w:rPr>
        <w:t>2.9 延迟交货</w:t>
      </w:r>
      <w:bookmarkEnd w:id="128"/>
      <w:bookmarkEnd w:id="129"/>
      <w:bookmarkEnd w:id="130"/>
      <w:bookmarkEnd w:id="13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color w:val="auto"/>
          <w:sz w:val="24"/>
          <w:highlight w:val="none"/>
        </w:rPr>
      </w:pPr>
      <w:bookmarkStart w:id="132" w:name="_Toc7502"/>
      <w:bookmarkStart w:id="133" w:name="_Toc487900364"/>
      <w:bookmarkStart w:id="134" w:name="_Ref467378121"/>
      <w:bookmarkStart w:id="135" w:name="_Toc259093683"/>
      <w:bookmarkStart w:id="136" w:name="_Toc279701254"/>
      <w:r>
        <w:rPr>
          <w:rFonts w:hint="eastAsia" w:ascii="仿宋" w:hAnsi="仿宋" w:eastAsia="仿宋" w:cs="仿宋"/>
          <w:b/>
          <w:color w:val="auto"/>
          <w:sz w:val="24"/>
          <w:highlight w:val="none"/>
        </w:rPr>
        <w:t>2.10 合同变更</w:t>
      </w:r>
      <w:bookmarkEnd w:id="13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37" w:name="_Toc279701259"/>
      <w:bookmarkStart w:id="138" w:name="_Toc487900369"/>
      <w:bookmarkStart w:id="139" w:name="_Toc259093688"/>
    </w:p>
    <w:p>
      <w:pPr>
        <w:spacing w:line="560" w:lineRule="exact"/>
        <w:ind w:firstLine="482" w:firstLineChars="200"/>
        <w:outlineLvl w:val="0"/>
        <w:rPr>
          <w:rFonts w:ascii="仿宋" w:hAnsi="仿宋" w:eastAsia="仿宋" w:cs="仿宋"/>
          <w:b/>
          <w:color w:val="auto"/>
          <w:sz w:val="24"/>
          <w:highlight w:val="none"/>
        </w:rPr>
      </w:pPr>
      <w:bookmarkStart w:id="140" w:name="_Toc15237"/>
      <w:bookmarkStart w:id="141" w:name="_Toc22955"/>
      <w:bookmarkStart w:id="142" w:name="_Toc10366"/>
      <w:r>
        <w:rPr>
          <w:rFonts w:hint="eastAsia" w:ascii="仿宋" w:hAnsi="仿宋" w:eastAsia="仿宋" w:cs="仿宋"/>
          <w:b/>
          <w:color w:val="auto"/>
          <w:sz w:val="24"/>
          <w:highlight w:val="none"/>
        </w:rPr>
        <w:t>2.11 合同转让</w:t>
      </w:r>
      <w:bookmarkEnd w:id="137"/>
      <w:bookmarkEnd w:id="138"/>
      <w:bookmarkEnd w:id="139"/>
      <w:r>
        <w:rPr>
          <w:rFonts w:hint="eastAsia" w:ascii="仿宋" w:hAnsi="仿宋" w:eastAsia="仿宋" w:cs="仿宋"/>
          <w:b/>
          <w:color w:val="auto"/>
          <w:sz w:val="24"/>
          <w:highlight w:val="none"/>
        </w:rPr>
        <w:t>和分包</w:t>
      </w:r>
      <w:bookmarkEnd w:id="140"/>
      <w:bookmarkEnd w:id="141"/>
      <w:bookmarkEnd w:id="14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ascii="仿宋" w:hAnsi="仿宋" w:eastAsia="仿宋" w:cs="仿宋"/>
          <w:b/>
          <w:color w:val="auto"/>
          <w:sz w:val="24"/>
          <w:highlight w:val="none"/>
        </w:rPr>
      </w:pPr>
      <w:bookmarkStart w:id="143" w:name="_Toc14066"/>
      <w:bookmarkStart w:id="144" w:name="_Toc13566"/>
      <w:bookmarkStart w:id="145" w:name="_Toc16508"/>
      <w:r>
        <w:rPr>
          <w:rFonts w:hint="eastAsia" w:ascii="仿宋" w:hAnsi="仿宋" w:eastAsia="仿宋" w:cs="仿宋"/>
          <w:b/>
          <w:color w:val="auto"/>
          <w:sz w:val="24"/>
          <w:highlight w:val="none"/>
        </w:rPr>
        <w:t>2.12 不可抗力</w:t>
      </w:r>
      <w:bookmarkEnd w:id="143"/>
      <w:bookmarkEnd w:id="144"/>
      <w:bookmarkEnd w:id="14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ascii="仿宋" w:hAnsi="仿宋" w:eastAsia="仿宋" w:cs="仿宋"/>
          <w:b/>
          <w:color w:val="auto"/>
          <w:sz w:val="24"/>
          <w:highlight w:val="none"/>
        </w:rPr>
      </w:pPr>
      <w:bookmarkStart w:id="146" w:name="_Toc6969"/>
      <w:bookmarkStart w:id="147" w:name="_Toc279701255"/>
      <w:bookmarkStart w:id="148" w:name="_Toc487900365"/>
      <w:bookmarkStart w:id="149" w:name="_Toc259093684"/>
      <w:bookmarkStart w:id="150" w:name="_Toc689"/>
      <w:bookmarkStart w:id="151" w:name="_Toc30676"/>
      <w:r>
        <w:rPr>
          <w:rFonts w:hint="eastAsia" w:ascii="仿宋" w:hAnsi="仿宋" w:eastAsia="仿宋" w:cs="仿宋"/>
          <w:b/>
          <w:color w:val="auto"/>
          <w:sz w:val="24"/>
          <w:highlight w:val="none"/>
        </w:rPr>
        <w:t>2.13 税费</w:t>
      </w:r>
      <w:bookmarkEnd w:id="146"/>
      <w:bookmarkEnd w:id="147"/>
      <w:bookmarkEnd w:id="148"/>
      <w:bookmarkEnd w:id="149"/>
      <w:bookmarkEnd w:id="150"/>
      <w:bookmarkEnd w:id="15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cs="仿宋"/>
          <w:b/>
          <w:color w:val="auto"/>
          <w:sz w:val="24"/>
          <w:highlight w:val="none"/>
        </w:rPr>
      </w:pPr>
      <w:bookmarkStart w:id="152" w:name="_Toc487900368"/>
      <w:bookmarkStart w:id="153" w:name="_Toc7102"/>
      <w:bookmarkStart w:id="154" w:name="_Toc279701258"/>
      <w:bookmarkStart w:id="155" w:name="_Toc16959"/>
      <w:bookmarkStart w:id="156" w:name="_Toc8298"/>
      <w:bookmarkStart w:id="157" w:name="_Toc259093687"/>
      <w:r>
        <w:rPr>
          <w:rFonts w:hint="eastAsia" w:ascii="仿宋" w:hAnsi="仿宋" w:eastAsia="仿宋" w:cs="仿宋"/>
          <w:b/>
          <w:color w:val="auto"/>
          <w:sz w:val="24"/>
          <w:highlight w:val="none"/>
        </w:rPr>
        <w:t>2.14乙方破产</w:t>
      </w:r>
      <w:bookmarkEnd w:id="152"/>
      <w:bookmarkEnd w:id="153"/>
      <w:bookmarkEnd w:id="154"/>
      <w:bookmarkEnd w:id="155"/>
      <w:bookmarkEnd w:id="156"/>
      <w:bookmarkEnd w:id="15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auto"/>
          <w:sz w:val="24"/>
          <w:highlight w:val="none"/>
        </w:rPr>
      </w:pPr>
      <w:bookmarkStart w:id="158" w:name="_Toc6134"/>
      <w:bookmarkStart w:id="159" w:name="_Toc29333"/>
      <w:bookmarkStart w:id="160" w:name="_Toc15387"/>
      <w:r>
        <w:rPr>
          <w:rFonts w:hint="eastAsia" w:ascii="仿宋" w:hAnsi="仿宋" w:eastAsia="仿宋" w:cs="仿宋"/>
          <w:b/>
          <w:color w:val="auto"/>
          <w:sz w:val="24"/>
          <w:highlight w:val="none"/>
        </w:rPr>
        <w:t>2.15 合同中止、终止</w:t>
      </w:r>
      <w:bookmarkEnd w:id="158"/>
      <w:bookmarkEnd w:id="159"/>
      <w:bookmarkEnd w:id="16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highlight w:val="none"/>
        </w:rPr>
      </w:pPr>
      <w:bookmarkStart w:id="161" w:name="_Toc1125"/>
      <w:bookmarkStart w:id="162" w:name="_Toc6596"/>
      <w:bookmarkStart w:id="163" w:name="_Toc14563"/>
      <w:r>
        <w:rPr>
          <w:rFonts w:hint="eastAsia" w:ascii="仿宋" w:hAnsi="仿宋" w:eastAsia="仿宋" w:cs="仿宋"/>
          <w:b/>
          <w:color w:val="auto"/>
          <w:sz w:val="24"/>
          <w:highlight w:val="none"/>
        </w:rPr>
        <w:t>2.16检验和验收</w:t>
      </w:r>
      <w:bookmarkEnd w:id="161"/>
      <w:bookmarkEnd w:id="162"/>
      <w:bookmarkEnd w:id="163"/>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3"/>
    <w:bookmarkEnd w:id="134"/>
    <w:bookmarkEnd w:id="135"/>
    <w:bookmarkEnd w:id="136"/>
    <w:p>
      <w:pPr>
        <w:spacing w:line="560" w:lineRule="exact"/>
        <w:ind w:firstLine="482" w:firstLineChars="200"/>
        <w:outlineLvl w:val="0"/>
        <w:rPr>
          <w:rFonts w:ascii="仿宋" w:hAnsi="仿宋" w:eastAsia="仿宋" w:cs="仿宋"/>
          <w:b/>
          <w:color w:val="auto"/>
          <w:sz w:val="24"/>
          <w:highlight w:val="none"/>
        </w:rPr>
      </w:pPr>
      <w:bookmarkStart w:id="164" w:name="_Toc259093690"/>
      <w:bookmarkStart w:id="165" w:name="_Toc487900371"/>
      <w:bookmarkStart w:id="166" w:name="_Toc279701261"/>
      <w:bookmarkStart w:id="167" w:name="_Toc11284"/>
      <w:bookmarkStart w:id="168" w:name="_Toc19604"/>
      <w:bookmarkStart w:id="169" w:name="_Toc25182"/>
      <w:r>
        <w:rPr>
          <w:rFonts w:hint="eastAsia" w:ascii="仿宋" w:hAnsi="仿宋" w:eastAsia="仿宋" w:cs="仿宋"/>
          <w:b/>
          <w:color w:val="auto"/>
          <w:sz w:val="24"/>
          <w:highlight w:val="none"/>
        </w:rPr>
        <w:t>2.17 通知</w:t>
      </w:r>
      <w:bookmarkEnd w:id="164"/>
      <w:bookmarkEnd w:id="165"/>
      <w:bookmarkEnd w:id="166"/>
      <w:r>
        <w:rPr>
          <w:rFonts w:hint="eastAsia" w:ascii="仿宋" w:hAnsi="仿宋" w:eastAsia="仿宋" w:cs="仿宋"/>
          <w:b/>
          <w:color w:val="auto"/>
          <w:sz w:val="24"/>
          <w:highlight w:val="none"/>
        </w:rPr>
        <w:t>和送达</w:t>
      </w:r>
      <w:bookmarkEnd w:id="167"/>
      <w:bookmarkEnd w:id="168"/>
      <w:bookmarkEnd w:id="169"/>
    </w:p>
    <w:p>
      <w:pPr>
        <w:spacing w:line="560" w:lineRule="exact"/>
        <w:ind w:firstLine="480" w:firstLineChars="200"/>
        <w:rPr>
          <w:rFonts w:ascii="仿宋" w:hAnsi="仿宋" w:eastAsia="仿宋" w:cs="仿宋"/>
          <w:color w:val="auto"/>
          <w:sz w:val="24"/>
          <w:highlight w:val="none"/>
        </w:rPr>
      </w:pPr>
      <w:bookmarkStart w:id="170" w:name="_Toc6698"/>
      <w:bookmarkStart w:id="171" w:name="_Toc3135"/>
      <w:bookmarkStart w:id="172" w:name="_Toc259093691"/>
      <w:bookmarkStart w:id="173" w:name="_Toc279701262"/>
      <w:bookmarkStart w:id="174" w:name="_Toc48790037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0"/>
      <w:bookmarkEnd w:id="171"/>
    </w:p>
    <w:p>
      <w:pPr>
        <w:spacing w:line="560" w:lineRule="exact"/>
        <w:ind w:firstLine="480" w:firstLineChars="200"/>
        <w:rPr>
          <w:rFonts w:ascii="仿宋" w:hAnsi="仿宋" w:eastAsia="仿宋" w:cs="仿宋"/>
          <w:color w:val="auto"/>
          <w:sz w:val="24"/>
          <w:highlight w:val="none"/>
        </w:rPr>
      </w:pPr>
      <w:bookmarkStart w:id="175" w:name="_Toc23128"/>
      <w:bookmarkStart w:id="176"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5"/>
      <w:bookmarkEnd w:id="176"/>
    </w:p>
    <w:p>
      <w:pPr>
        <w:spacing w:line="560" w:lineRule="exact"/>
        <w:ind w:firstLine="482" w:firstLineChars="200"/>
        <w:outlineLvl w:val="0"/>
        <w:rPr>
          <w:rFonts w:ascii="仿宋" w:hAnsi="仿宋" w:eastAsia="仿宋" w:cs="仿宋"/>
          <w:b/>
          <w:color w:val="auto"/>
          <w:sz w:val="24"/>
          <w:highlight w:val="none"/>
        </w:rPr>
      </w:pPr>
      <w:bookmarkStart w:id="177" w:name="_Toc4355"/>
      <w:bookmarkStart w:id="178" w:name="_Toc30599"/>
      <w:bookmarkStart w:id="179" w:name="_Toc18540"/>
      <w:r>
        <w:rPr>
          <w:rFonts w:hint="eastAsia" w:ascii="仿宋" w:hAnsi="仿宋" w:eastAsia="仿宋" w:cs="仿宋"/>
          <w:b/>
          <w:color w:val="auto"/>
          <w:sz w:val="24"/>
          <w:highlight w:val="none"/>
        </w:rPr>
        <w:t>2.18 计量单位</w:t>
      </w:r>
      <w:bookmarkEnd w:id="172"/>
      <w:bookmarkEnd w:id="173"/>
      <w:bookmarkEnd w:id="174"/>
      <w:bookmarkEnd w:id="177"/>
      <w:bookmarkEnd w:id="178"/>
      <w:bookmarkEnd w:id="17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auto"/>
          <w:sz w:val="24"/>
          <w:highlight w:val="none"/>
        </w:rPr>
      </w:pPr>
      <w:bookmarkStart w:id="180" w:name="_Toc279701263"/>
      <w:bookmarkStart w:id="181" w:name="_Toc12773"/>
      <w:bookmarkStart w:id="182" w:name="_Toc10330"/>
      <w:bookmarkStart w:id="183" w:name="_Toc487900373"/>
      <w:bookmarkStart w:id="184" w:name="_Toc259093692"/>
      <w:bookmarkStart w:id="185" w:name="_Toc18567"/>
      <w:r>
        <w:rPr>
          <w:rFonts w:hint="eastAsia" w:ascii="仿宋" w:hAnsi="仿宋" w:eastAsia="仿宋" w:cs="仿宋"/>
          <w:b/>
          <w:color w:val="auto"/>
          <w:sz w:val="24"/>
          <w:highlight w:val="none"/>
        </w:rPr>
        <w:t>2.19 合同使用的文字和适用的法律</w:t>
      </w:r>
      <w:bookmarkEnd w:id="180"/>
      <w:bookmarkEnd w:id="181"/>
      <w:bookmarkEnd w:id="182"/>
      <w:bookmarkEnd w:id="183"/>
      <w:bookmarkEnd w:id="184"/>
      <w:bookmarkEnd w:id="18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ascii="仿宋" w:hAnsi="仿宋" w:eastAsia="仿宋" w:cs="仿宋"/>
          <w:b/>
          <w:color w:val="auto"/>
          <w:sz w:val="24"/>
          <w:highlight w:val="none"/>
        </w:rPr>
      </w:pPr>
      <w:bookmarkStart w:id="186" w:name="_Toc14001"/>
      <w:bookmarkStart w:id="187" w:name="_Toc19890"/>
      <w:bookmarkStart w:id="188" w:name="_Toc6885"/>
      <w:r>
        <w:rPr>
          <w:rFonts w:hint="eastAsia" w:ascii="仿宋" w:hAnsi="仿宋" w:eastAsia="仿宋" w:cs="仿宋"/>
          <w:b/>
          <w:color w:val="auto"/>
          <w:sz w:val="24"/>
          <w:highlight w:val="none"/>
        </w:rPr>
        <w:t>2.20 合同份数</w:t>
      </w:r>
      <w:bookmarkEnd w:id="186"/>
      <w:bookmarkEnd w:id="187"/>
      <w:bookmarkEnd w:id="18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adjustRightInd/>
        <w:spacing w:line="360" w:lineRule="auto"/>
        <w:ind w:firstLine="480" w:firstLineChars="200"/>
        <w:jc w:val="center"/>
        <w:outlineLvl w:val="0"/>
        <w:rPr>
          <w:rFonts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sz w:val="24"/>
          <w:highlight w:val="none"/>
        </w:rPr>
        <w:t>第三部分  合同专用条款</w:t>
      </w:r>
    </w:p>
    <w:p>
      <w:pPr>
        <w:spacing w:line="560" w:lineRule="exac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8"/>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pPr>
              <w:spacing w:line="360" w:lineRule="auto"/>
              <w:rPr>
                <w:rFonts w:ascii="仿宋" w:hAnsi="仿宋" w:eastAsia="仿宋" w:cs="仿宋"/>
                <w:color w:val="auto"/>
                <w:sz w:val="24"/>
                <w:highlight w:val="none"/>
              </w:rPr>
            </w:pPr>
          </w:p>
        </w:tc>
      </w:tr>
    </w:tbl>
    <w:p>
      <w:pPr>
        <w:rPr>
          <w:rFonts w:ascii="仿宋" w:hAnsi="仿宋" w:eastAsia="仿宋" w:cs="仿宋"/>
          <w:color w:val="auto"/>
          <w:highlight w:val="none"/>
        </w:rPr>
      </w:pPr>
    </w:p>
    <w:p>
      <w:pPr>
        <w:spacing w:line="360" w:lineRule="auto"/>
        <w:jc w:val="center"/>
        <w:rPr>
          <w:rFonts w:ascii="仿宋" w:hAnsi="仿宋" w:eastAsia="仿宋" w:cs="仿宋"/>
          <w:b/>
          <w:color w:val="auto"/>
          <w:sz w:val="36"/>
          <w:szCs w:val="36"/>
          <w:highlight w:val="none"/>
        </w:rPr>
      </w:pPr>
    </w:p>
    <w:p>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60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40 </w:t>
      </w:r>
      <w:r>
        <w:rPr>
          <w:rFonts w:hint="eastAsia" w:ascii="仿宋" w:hAnsi="仿宋" w:eastAsia="仿宋" w:cs="仿宋"/>
          <w:color w:val="auto"/>
          <w:sz w:val="24"/>
          <w:highlight w:val="none"/>
        </w:rPr>
        <w:t>分。评分依下述所列为评标打分依据，分值如下（计算分值时，按其算术平均值保留小数2位）。</w:t>
      </w:r>
    </w:p>
    <w:p>
      <w:pPr>
        <w:spacing w:line="440" w:lineRule="exact"/>
        <w:rPr>
          <w:rFonts w:ascii="仿宋" w:hAnsi="仿宋" w:eastAsia="仿宋" w:cs="仿宋"/>
          <w:color w:val="auto"/>
          <w:sz w:val="20"/>
          <w:szCs w:val="20"/>
          <w:highlight w:val="none"/>
          <w:shd w:val="clear" w:color="auto" w:fill="FFFFFF"/>
        </w:rPr>
      </w:pPr>
      <w:r>
        <w:rPr>
          <w:rFonts w:hint="eastAsia" w:ascii="仿宋" w:hAnsi="仿宋" w:eastAsia="仿宋" w:cs="仿宋"/>
          <w:b/>
          <w:bCs/>
          <w:iCs/>
          <w:color w:val="auto"/>
          <w:sz w:val="24"/>
          <w:highlight w:val="none"/>
        </w:rPr>
        <w:t>2.1</w:t>
      </w:r>
      <w:r>
        <w:rPr>
          <w:rFonts w:hint="eastAsia" w:asciiTheme="minorEastAsia" w:hAnsiTheme="minorEastAsia" w:eastAsiaTheme="minorEastAsia"/>
          <w:b/>
          <w:bCs/>
          <w:iCs/>
          <w:color w:val="auto"/>
          <w:sz w:val="24"/>
          <w:highlight w:val="none"/>
          <w:bdr w:val="single" w:color="auto" w:sz="4" w:space="0"/>
        </w:rPr>
        <w:t>01标、02标</w:t>
      </w:r>
      <w:r>
        <w:rPr>
          <w:rFonts w:hint="eastAsia" w:asciiTheme="minorEastAsia" w:hAnsiTheme="minorEastAsia" w:eastAsiaTheme="minorEastAsia"/>
          <w:b/>
          <w:bCs/>
          <w:iCs/>
          <w:color w:val="auto"/>
          <w:sz w:val="24"/>
          <w:highlight w:val="none"/>
          <w:bdr w:val="single" w:color="auto" w:sz="4" w:space="0"/>
          <w:lang w:eastAsia="zh-CN"/>
        </w:rPr>
        <w:t>、</w:t>
      </w:r>
      <w:r>
        <w:rPr>
          <w:rFonts w:hint="eastAsia" w:asciiTheme="minorEastAsia" w:hAnsiTheme="minorEastAsia" w:eastAsiaTheme="minorEastAsia"/>
          <w:b/>
          <w:bCs/>
          <w:iCs/>
          <w:color w:val="auto"/>
          <w:sz w:val="24"/>
          <w:highlight w:val="none"/>
          <w:bdr w:val="single" w:color="auto" w:sz="4" w:space="0"/>
          <w:lang w:val="en-US" w:eastAsia="zh-CN"/>
        </w:rPr>
        <w:t>03标</w:t>
      </w:r>
      <w:r>
        <w:rPr>
          <w:rFonts w:hint="eastAsia" w:ascii="仿宋" w:hAnsi="仿宋" w:eastAsia="仿宋" w:cs="仿宋"/>
          <w:b/>
          <w:bCs/>
          <w:iCs/>
          <w:color w:val="auto"/>
          <w:sz w:val="24"/>
          <w:highlight w:val="none"/>
        </w:rPr>
        <w:t>商务技术分（</w:t>
      </w:r>
      <w:r>
        <w:rPr>
          <w:rFonts w:hint="eastAsia" w:ascii="仿宋" w:hAnsi="仿宋" w:eastAsia="仿宋" w:cs="仿宋"/>
          <w:b/>
          <w:bCs/>
          <w:iCs/>
          <w:color w:val="auto"/>
          <w:sz w:val="24"/>
          <w:highlight w:val="none"/>
          <w:u w:val="single"/>
        </w:rPr>
        <w:t xml:space="preserve">60 </w:t>
      </w:r>
      <w:r>
        <w:rPr>
          <w:rFonts w:hint="eastAsia" w:ascii="仿宋" w:hAnsi="仿宋" w:eastAsia="仿宋" w:cs="仿宋"/>
          <w:b/>
          <w:bCs/>
          <w:iCs/>
          <w:color w:val="auto"/>
          <w:sz w:val="24"/>
          <w:highlight w:val="none"/>
        </w:rPr>
        <w:t>分）</w:t>
      </w:r>
    </w:p>
    <w:tbl>
      <w:tblPr>
        <w:tblStyle w:val="18"/>
        <w:tblW w:w="9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119"/>
        <w:gridCol w:w="7207"/>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noWrap w:val="0"/>
            <w:vAlign w:val="center"/>
          </w:tcPr>
          <w:p>
            <w:pPr>
              <w:snapToGrid w:val="0"/>
              <w:spacing w:line="288"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1119" w:type="dxa"/>
            <w:noWrap w:val="0"/>
            <w:vAlign w:val="center"/>
          </w:tcPr>
          <w:p>
            <w:pPr>
              <w:snapToGrid w:val="0"/>
              <w:spacing w:line="288"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评审因素</w:t>
            </w:r>
          </w:p>
        </w:tc>
        <w:tc>
          <w:tcPr>
            <w:tcW w:w="7207" w:type="dxa"/>
            <w:noWrap w:val="0"/>
            <w:vAlign w:val="center"/>
          </w:tcPr>
          <w:p>
            <w:pPr>
              <w:snapToGrid w:val="0"/>
              <w:spacing w:line="288"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评分细则</w:t>
            </w:r>
          </w:p>
        </w:tc>
        <w:tc>
          <w:tcPr>
            <w:tcW w:w="860" w:type="dxa"/>
            <w:noWrap w:val="0"/>
            <w:vAlign w:val="center"/>
          </w:tcPr>
          <w:p>
            <w:pPr>
              <w:snapToGrid w:val="0"/>
              <w:spacing w:line="288" w:lineRule="auto"/>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660" w:type="dxa"/>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119" w:type="dxa"/>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项目经验</w:t>
            </w:r>
          </w:p>
        </w:tc>
        <w:tc>
          <w:tcPr>
            <w:tcW w:w="7207" w:type="dxa"/>
            <w:noWrap w:val="0"/>
            <w:vAlign w:val="center"/>
          </w:tcPr>
          <w:p>
            <w:pPr>
              <w:snapToGrid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1、投标人提供自2021年1月1日以来（以合同签订时间为准）同类项目业绩，每提供1份得0.5分，最高得3分。（须提供合同复印件并加盖投标人公章）</w:t>
            </w:r>
          </w:p>
          <w:p>
            <w:pPr>
              <w:snapToGrid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自2021年1月1日以来同类项目用户质量评价（“优”或“满意”或同等以上描述），须用户单位盖章，或提供由同类项目用户颁发的荣誉证书（如图书捐赠，活动赞助等），每提供1份得0.5分，最高得2分。（须提供相关证明材料复印件并加盖投标人公章）</w:t>
            </w:r>
          </w:p>
        </w:tc>
        <w:tc>
          <w:tcPr>
            <w:tcW w:w="860" w:type="dxa"/>
            <w:noWrap w:val="0"/>
            <w:vAlign w:val="center"/>
          </w:tcPr>
          <w:p>
            <w:pPr>
              <w:snapToGrid w:val="0"/>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60" w:type="dxa"/>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119" w:type="dxa"/>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综合实力</w:t>
            </w:r>
          </w:p>
        </w:tc>
        <w:tc>
          <w:tcPr>
            <w:tcW w:w="7207" w:type="dxa"/>
            <w:noWrap w:val="0"/>
            <w:vAlign w:val="center"/>
          </w:tcPr>
          <w:p>
            <w:pPr>
              <w:snapToGrid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1.投标人近三年（2021年-2023年）获得过《图书馆报》颁发的省级及以上“优秀馆配商”证书，每得一次得1分，最高3分。（须提供证书复印件并加盖投标人公章）</w:t>
            </w:r>
          </w:p>
          <w:p>
            <w:pPr>
              <w:snapToGrid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从业人员具有新闻出版总署职业技能鉴定指导中心颁发的出版发行员五级（初级）及以上的，得1分。（须提供当地社保部门出具的在投标人单位缴纳的参保证明及职业资格证书复印件并加盖投标人公章，未提供不得分。）</w:t>
            </w:r>
          </w:p>
        </w:tc>
        <w:tc>
          <w:tcPr>
            <w:tcW w:w="860" w:type="dxa"/>
            <w:noWrap w:val="0"/>
            <w:vAlign w:val="center"/>
          </w:tcPr>
          <w:p>
            <w:pPr>
              <w:snapToGrid w:val="0"/>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119" w:type="dxa"/>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进货渠道</w:t>
            </w:r>
          </w:p>
        </w:tc>
        <w:tc>
          <w:tcPr>
            <w:tcW w:w="7207" w:type="dxa"/>
            <w:noWrap w:val="0"/>
            <w:vAlign w:val="center"/>
          </w:tcPr>
          <w:p>
            <w:pPr>
              <w:snapToGrid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投标人有充足数量供书保障的各类出版社，每提供1份以下出版社的证明材料（</w:t>
            </w:r>
            <w:r>
              <w:rPr>
                <w:rFonts w:hint="eastAsia" w:ascii="仿宋" w:hAnsi="仿宋" w:eastAsia="仿宋" w:cs="仿宋"/>
                <w:b/>
                <w:bCs/>
                <w:color w:val="auto"/>
                <w:sz w:val="24"/>
                <w:szCs w:val="24"/>
                <w:highlight w:val="none"/>
              </w:rPr>
              <w:t>证明材料须为有效期内的合同或授权书等</w:t>
            </w:r>
            <w:r>
              <w:rPr>
                <w:rFonts w:hint="eastAsia" w:ascii="仿宋" w:hAnsi="仿宋" w:eastAsia="仿宋" w:cs="仿宋"/>
                <w:color w:val="auto"/>
                <w:sz w:val="24"/>
                <w:szCs w:val="24"/>
                <w:highlight w:val="none"/>
              </w:rPr>
              <w:t>）得0.5分，最高15分，未提供不得分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高等教育出版社、电子工业出版社、化学工业出版社、机械工业出版社、人民邮电出版社、科学出版社、中国建筑工业出版社、中国环境出版社、北京大学出版社、清华大学出版社、广西师范大学出版社、东北财经大学出版社、中国人民大学出版社、复旦大学出版社、南京大学出版社、商务印书馆、三联书店、中华书局、人民出版社、人民文学出版社、社会科学文献出版社、中国社会科学出版社、国家图书馆出版社、上海古籍出版社、外语教学与研究出版社、上海译文出版社、中央编译出版社、上海人民出版社、岳麓书社、法律出版社。</w:t>
            </w:r>
          </w:p>
        </w:tc>
        <w:tc>
          <w:tcPr>
            <w:tcW w:w="860" w:type="dxa"/>
            <w:noWrap w:val="0"/>
            <w:vAlign w:val="center"/>
          </w:tcPr>
          <w:p>
            <w:pPr>
              <w:snapToGrid w:val="0"/>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119" w:type="dxa"/>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供书能力</w:t>
            </w:r>
          </w:p>
        </w:tc>
        <w:tc>
          <w:tcPr>
            <w:tcW w:w="7207" w:type="dxa"/>
            <w:noWrap w:val="0"/>
            <w:vAlign w:val="center"/>
          </w:tcPr>
          <w:p>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合作同类型项目的图书管理系统查询的2023年1月1日至2023年12月31日逾期未到货数据，须电脑截屏打印并加盖图书馆（或图书信息中心）公章，提供每一份未到书率5.00%（含）以内的得1分，每一份未到书率5.01%-10.00%的得0.5分，每一份未到书率10.01%-15.00%的得0.1分，未到书率15.01%及以上的不得分。最多提供5份，最高得5分。</w:t>
            </w:r>
          </w:p>
        </w:tc>
        <w:tc>
          <w:tcPr>
            <w:tcW w:w="860" w:type="dxa"/>
            <w:noWrap w:val="0"/>
            <w:vAlign w:val="center"/>
          </w:tcPr>
          <w:p>
            <w:pPr>
              <w:snapToGrid w:val="0"/>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活动组织</w:t>
            </w:r>
          </w:p>
        </w:tc>
        <w:tc>
          <w:tcPr>
            <w:tcW w:w="7207" w:type="dxa"/>
            <w:tcBorders>
              <w:top w:val="single" w:color="auto" w:sz="4" w:space="0"/>
              <w:left w:val="single" w:color="auto" w:sz="4" w:space="0"/>
              <w:bottom w:val="single" w:color="auto" w:sz="4" w:space="0"/>
              <w:right w:val="single" w:color="auto" w:sz="4" w:space="0"/>
            </w:tcBorders>
            <w:noWrap w:val="0"/>
            <w:vAlign w:val="center"/>
          </w:tcPr>
          <w:p>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一定规模的线上线下图书采购会组织能力，能组织大型书市现采活动。同馆不同年视为不同项目数量，活动数量1-5（不含）家得1分，5（含）-10（不含）家得2分，10（含）家以上得3分。投标文件中提供2020年1月1日以来参与活动的图书馆出具的参加图书现采活动的证明材料复印件并加盖公章，未提供不得分。</w:t>
            </w:r>
          </w:p>
        </w:tc>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采访数据</w:t>
            </w:r>
          </w:p>
        </w:tc>
        <w:tc>
          <w:tcPr>
            <w:tcW w:w="7207" w:type="dxa"/>
            <w:tcBorders>
              <w:top w:val="single" w:color="auto" w:sz="4" w:space="0"/>
              <w:left w:val="single" w:color="auto" w:sz="4" w:space="0"/>
              <w:bottom w:val="single" w:color="auto" w:sz="4" w:space="0"/>
              <w:right w:val="single" w:color="auto" w:sz="4" w:space="0"/>
            </w:tcBorders>
            <w:noWrap w:val="0"/>
            <w:vAlign w:val="top"/>
          </w:tcPr>
          <w:p>
            <w:pPr>
              <w:snapToGrid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承诺提供符合Calis格式的CNMARC采访数据且能无缝导入采购人汇文图书管理平台（版本5.6），必备ISBN、题名、责任者、版本、丛书名、出版社、出版时间、中国分类号、内容提要、读者对象、定价等字段，得1分，投标文件中提供承诺函，未提供不得分；</w:t>
            </w:r>
          </w:p>
          <w:p>
            <w:pPr>
              <w:snapToGrid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2.投标人承诺提供采访书目数据覆盖率达到出版社的95%以上，无不符合采购人的读者层次的数据，得1分，投标文件中提供承诺函，未提供不得分；</w:t>
            </w:r>
          </w:p>
          <w:p>
            <w:pPr>
              <w:snapToGrid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3.投标人承诺提供常规采访书目数据为最近出版图书书目（出版信息一月内必须送达）且每周提供1次，每次不少于1500条，得1分，投标文件中提供承诺函，未提供不得分。</w:t>
            </w:r>
          </w:p>
        </w:tc>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编目数据</w:t>
            </w:r>
          </w:p>
        </w:tc>
        <w:tc>
          <w:tcPr>
            <w:tcW w:w="7207"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1.投标人承诺提供的编目数据为符合CALIS标准格式的CNMARC机读目录数据，符合采购人汇文图书管理平台（版本5.6）要求，得1分，投标文件中提供承诺函，未提供不得分；</w:t>
            </w:r>
          </w:p>
          <w:p>
            <w:pPr>
              <w:snapToGrid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2.投标人承诺编目数据与到馆图书有100%覆盖率（不漏发，不错发），得1分，投标文件中提供承诺函，未提供不得分；</w:t>
            </w:r>
          </w:p>
          <w:p>
            <w:pPr>
              <w:snapToGrid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3.投标人承诺编目数据在每次送书前或同时移交图书馆，得1分，投标文件中提供承诺函，未提供不得分。</w:t>
            </w:r>
          </w:p>
        </w:tc>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图书质量</w:t>
            </w:r>
          </w:p>
        </w:tc>
        <w:tc>
          <w:tcPr>
            <w:tcW w:w="7207"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对图书质量的承诺情况，包含图书是否为全新正版出版物，有无破损，附件是否齐全等，根据对问题图书相应程度及承诺情况评分。完全满足或优于采购需求得2分，基本满足采购需求得1分，不满足采购需求或未提供不得分。</w:t>
            </w:r>
          </w:p>
        </w:tc>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订单调整与退书</w:t>
            </w:r>
            <w:r>
              <w:rPr>
                <w:rFonts w:ascii="仿宋" w:hAnsi="仿宋" w:eastAsia="仿宋" w:cs="仿宋"/>
                <w:color w:val="auto"/>
                <w:sz w:val="24"/>
                <w:szCs w:val="24"/>
                <w:highlight w:val="none"/>
              </w:rPr>
              <w:t>处理</w:t>
            </w:r>
          </w:p>
        </w:tc>
        <w:tc>
          <w:tcPr>
            <w:tcW w:w="7207"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1.投标人对已订图书订单因情况变化，采购人要求减少或取消订单的反应能力，根据相应的时间和内容描述评分。完全满足或优于采购需求得2分，基本满足采购需求得1分，不满足采购需求或未提</w:t>
            </w:r>
          </w:p>
          <w:p>
            <w:pPr>
              <w:snapToGrid w:val="0"/>
              <w:spacing w:line="288"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供不得分。</w:t>
            </w:r>
          </w:p>
          <w:p>
            <w:pPr>
              <w:snapToGrid w:val="0"/>
              <w:spacing w:line="288" w:lineRule="auto"/>
              <w:rPr>
                <w:rFonts w:ascii="仿宋" w:hAnsi="仿宋" w:eastAsia="仿宋" w:cs="仿宋"/>
                <w:iCs/>
                <w:color w:val="auto"/>
                <w:sz w:val="24"/>
                <w:highlight w:val="none"/>
              </w:rPr>
            </w:pPr>
            <w:r>
              <w:rPr>
                <w:rFonts w:hint="eastAsia" w:ascii="仿宋" w:hAnsi="仿宋" w:eastAsia="仿宋" w:cs="仿宋"/>
                <w:iCs/>
                <w:color w:val="auto"/>
                <w:sz w:val="24"/>
                <w:highlight w:val="none"/>
              </w:rPr>
              <w:t>2.</w:t>
            </w:r>
            <w:r>
              <w:rPr>
                <w:rFonts w:ascii="仿宋" w:hAnsi="仿宋" w:eastAsia="仿宋" w:cs="仿宋"/>
                <w:iCs/>
                <w:color w:val="auto"/>
                <w:sz w:val="24"/>
                <w:highlight w:val="none"/>
              </w:rPr>
              <w:t xml:space="preserve"> </w:t>
            </w:r>
            <w:r>
              <w:rPr>
                <w:rFonts w:hint="eastAsia" w:ascii="仿宋" w:hAnsi="仿宋" w:eastAsia="仿宋" w:cs="仿宋"/>
                <w:color w:val="auto"/>
                <w:sz w:val="24"/>
                <w:szCs w:val="24"/>
                <w:highlight w:val="none"/>
              </w:rPr>
              <w:t>投标人对图书质量问题、与馆藏要求不符、与预订不符等原因退书提供的处理方案及处理速度，根据描述的内容评分。完全满足或优于采购需求得2分，基本满足采购需求得1分，不满足采购需求或未提供不得分。</w:t>
            </w:r>
          </w:p>
          <w:p>
            <w:pPr>
              <w:snapToGrid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投标人对图书馆已预订，但因缺货、出版推迟、停止出版等不能及时到馆的图书，或取消出版的图书信息反馈能力、服务方案（投标人承诺以清单、邮件、电话等形式通知采购人员）、根据处理方案及描述的内容评分。完全满足或优于采购需求得2分，基本满足采购需求得1分，不满足采购需求或未提供不得分。</w:t>
            </w:r>
          </w:p>
        </w:tc>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图书加工与运输</w:t>
            </w:r>
          </w:p>
        </w:tc>
        <w:tc>
          <w:tcPr>
            <w:tcW w:w="7207" w:type="dxa"/>
            <w:tcBorders>
              <w:top w:val="single" w:color="auto" w:sz="4" w:space="0"/>
              <w:left w:val="single" w:color="auto" w:sz="4" w:space="0"/>
              <w:bottom w:val="single" w:color="auto" w:sz="4" w:space="0"/>
              <w:right w:val="single" w:color="auto" w:sz="4" w:space="0"/>
            </w:tcBorders>
            <w:noWrap w:val="0"/>
            <w:vAlign w:val="top"/>
          </w:tcPr>
          <w:p>
            <w:pPr>
              <w:snapToGrid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1.投标人须承诺根据采购人要求，及时、定期向采购人送货到指定地点签收，同时提供发货清单（包括电子清单）；</w:t>
            </w:r>
          </w:p>
          <w:p>
            <w:pPr>
              <w:snapToGrid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2.投标人须承诺图书的物理加工符合采购人要求； </w:t>
            </w:r>
          </w:p>
          <w:p>
            <w:pPr>
              <w:snapToGrid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3.投标人须承诺提供优质的配送（包括快递发书），图书打包包装作防水防潮处理，打包整齐，大小适中，同种图书的复本在同一包内，同包里的图书按照发货清单顺序摆放。</w:t>
            </w:r>
          </w:p>
          <w:p>
            <w:pPr>
              <w:snapToGrid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在此基础上如有更好的服务，投标文件中提供承诺函评分。完全满足或优于采购需求得3-2.1分，基本满足采购需求得2.0-</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分，未提供或不满足不得分。</w:t>
            </w:r>
          </w:p>
        </w:tc>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660" w:type="dxa"/>
            <w:tcBorders>
              <w:top w:val="single" w:color="auto" w:sz="4" w:space="0"/>
              <w:left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c>
          <w:tcPr>
            <w:tcW w:w="1119" w:type="dxa"/>
            <w:tcBorders>
              <w:top w:val="single" w:color="auto" w:sz="4" w:space="0"/>
              <w:left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信息化服务</w:t>
            </w:r>
          </w:p>
        </w:tc>
        <w:tc>
          <w:tcPr>
            <w:tcW w:w="7207"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投标人提供读者图书采选平台，应满足以下功能：</w:t>
            </w:r>
          </w:p>
          <w:p>
            <w:pPr>
              <w:snapToGrid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1.提供每周7*24小时图书免费快递下单服务，满足得1分，未提供或不满足不得分。</w:t>
            </w:r>
          </w:p>
          <w:p>
            <w:pPr>
              <w:snapToGrid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2.与校园身份认证系统、图书馆图书管理系统可以实现对接，提供读者身份认证、馆藏图书查重功能，满足得1分，未提供或不满足不得分。</w:t>
            </w:r>
          </w:p>
        </w:tc>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60" w:type="dxa"/>
            <w:tcBorders>
              <w:top w:val="single" w:color="auto" w:sz="4" w:space="0"/>
              <w:left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p>
        </w:tc>
        <w:tc>
          <w:tcPr>
            <w:tcW w:w="1119" w:type="dxa"/>
            <w:tcBorders>
              <w:top w:val="single" w:color="auto" w:sz="4" w:space="0"/>
              <w:left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本地化服务</w:t>
            </w:r>
          </w:p>
        </w:tc>
        <w:tc>
          <w:tcPr>
            <w:tcW w:w="7207" w:type="dxa"/>
            <w:tcBorders>
              <w:top w:val="single" w:color="auto" w:sz="4" w:space="0"/>
              <w:left w:val="single" w:color="auto" w:sz="4" w:space="0"/>
              <w:bottom w:val="single" w:color="auto" w:sz="4" w:space="0"/>
              <w:right w:val="single" w:color="auto" w:sz="4" w:space="0"/>
            </w:tcBorders>
            <w:noWrap w:val="0"/>
            <w:vAlign w:val="center"/>
          </w:tcPr>
          <w:p>
            <w:pPr>
              <w:spacing w:line="288" w:lineRule="auto"/>
              <w:rPr>
                <w:rFonts w:ascii="仿宋_GB2312" w:hAnsi="宋体" w:eastAsia="仿宋_GB2312"/>
                <w:color w:val="auto"/>
                <w:sz w:val="24"/>
                <w:highlight w:val="none"/>
              </w:rPr>
            </w:pPr>
            <w:r>
              <w:rPr>
                <w:rFonts w:hint="eastAsia" w:ascii="仿宋_GB2312" w:hAnsi="宋体" w:eastAsia="仿宋_GB2312"/>
                <w:color w:val="auto"/>
                <w:sz w:val="24"/>
                <w:highlight w:val="none"/>
              </w:rPr>
              <w:t>具有较强的本地化服务能力，在本地拥有常驻服务机构，非本地投标人在绍兴或杭州有分公司或办事处得2分，承诺中标后在1个月内在绍兴设立办事处得</w:t>
            </w:r>
            <w:r>
              <w:rPr>
                <w:rFonts w:ascii="仿宋_GB2312" w:hAnsi="宋体" w:eastAsia="仿宋_GB2312"/>
                <w:color w:val="auto"/>
                <w:sz w:val="24"/>
                <w:highlight w:val="none"/>
              </w:rPr>
              <w:t>1</w:t>
            </w:r>
            <w:r>
              <w:rPr>
                <w:rFonts w:hint="eastAsia" w:ascii="仿宋_GB2312" w:hAnsi="宋体" w:eastAsia="仿宋_GB2312"/>
                <w:color w:val="auto"/>
                <w:sz w:val="24"/>
                <w:highlight w:val="none"/>
              </w:rPr>
              <w:t>分。</w:t>
            </w:r>
          </w:p>
          <w:p>
            <w:pPr>
              <w:snapToGrid w:val="0"/>
              <w:spacing w:line="288" w:lineRule="auto"/>
              <w:rPr>
                <w:rFonts w:hint="eastAsia" w:ascii="仿宋" w:hAnsi="仿宋" w:eastAsia="仿宋" w:cs="仿宋"/>
                <w:color w:val="auto"/>
                <w:sz w:val="24"/>
                <w:szCs w:val="24"/>
                <w:highlight w:val="none"/>
              </w:rPr>
            </w:pPr>
            <w:r>
              <w:rPr>
                <w:rFonts w:hint="eastAsia" w:ascii="仿宋_GB2312" w:hAnsi="宋体" w:eastAsia="仿宋_GB2312"/>
                <w:color w:val="auto"/>
                <w:sz w:val="24"/>
                <w:highlight w:val="none"/>
              </w:rPr>
              <w:t>注：已拥有常驻服务机构的投标文件中提供营业执照或办事机构证明材料，承诺中标后设立的提供承诺书，未提供不得分。</w:t>
            </w:r>
          </w:p>
        </w:tc>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tcBorders>
              <w:left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p>
        </w:tc>
        <w:tc>
          <w:tcPr>
            <w:tcW w:w="1119" w:type="dxa"/>
            <w:tcBorders>
              <w:left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特色服务与特需图书</w:t>
            </w:r>
          </w:p>
          <w:p>
            <w:pPr>
              <w:snapToGrid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书目服务</w:t>
            </w:r>
          </w:p>
        </w:tc>
        <w:tc>
          <w:tcPr>
            <w:tcW w:w="7207"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1.投标人为图书馆相关活动提供特色服务，如活动赞助、开设书展等情况，根据描述的内容和招标人需要的切合度评分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0-5分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p>
          <w:p>
            <w:pPr>
              <w:snapToGrid w:val="0"/>
              <w:spacing w:line="288" w:lineRule="auto"/>
              <w:rPr>
                <w:rFonts w:hint="eastAsia" w:ascii="仿宋" w:hAnsi="仿宋" w:eastAsia="仿宋" w:cs="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根据投标人对图书馆自备书书目、自定较窄主题书目及急需图书书目的采购能力和快速响应能力，根据描述的内容评分。完全满足或优于采购需求得2分，基本满足采购需求得1分，不满足采购需求或未提供不得分。</w:t>
            </w:r>
          </w:p>
        </w:tc>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288" w:lineRule="auto"/>
              <w:jc w:val="center"/>
              <w:rPr>
                <w:rFonts w:hint="eastAsia" w:ascii="仿宋" w:hAnsi="仿宋" w:eastAsia="仿宋" w:cs="仿宋"/>
                <w:color w:val="auto"/>
                <w:kern w:val="2"/>
                <w:sz w:val="24"/>
                <w:szCs w:val="24"/>
                <w:highlight w:val="none"/>
                <w:lang w:val="en-US" w:eastAsia="zh-CN" w:bidi="ar-SA"/>
              </w:rPr>
            </w:pPr>
            <w:r>
              <w:rPr>
                <w:rFonts w:ascii="仿宋" w:hAnsi="仿宋" w:eastAsia="仿宋" w:cs="仿宋"/>
                <w:color w:val="auto"/>
                <w:sz w:val="24"/>
                <w:szCs w:val="24"/>
                <w:highlight w:val="none"/>
              </w:rPr>
              <w:t>7</w:t>
            </w:r>
          </w:p>
        </w:tc>
      </w:tr>
    </w:tbl>
    <w:p>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w:t>
      </w:r>
      <w:r>
        <w:rPr>
          <w:rFonts w:hint="eastAsia" w:asciiTheme="minorEastAsia" w:hAnsiTheme="minorEastAsia" w:eastAsiaTheme="minorEastAsia"/>
          <w:b/>
          <w:bCs/>
          <w:iCs/>
          <w:color w:val="auto"/>
          <w:sz w:val="24"/>
          <w:highlight w:val="none"/>
          <w:bdr w:val="single" w:color="auto" w:sz="4" w:space="0"/>
        </w:rPr>
        <w:t>01标、02标</w:t>
      </w:r>
      <w:r>
        <w:rPr>
          <w:rFonts w:hint="eastAsia" w:asciiTheme="minorEastAsia" w:hAnsiTheme="minorEastAsia" w:eastAsiaTheme="minorEastAsia"/>
          <w:b/>
          <w:bCs/>
          <w:iCs/>
          <w:color w:val="auto"/>
          <w:sz w:val="24"/>
          <w:highlight w:val="none"/>
          <w:bdr w:val="single" w:color="auto" w:sz="4" w:space="0"/>
          <w:lang w:eastAsia="zh-CN"/>
        </w:rPr>
        <w:t>、</w:t>
      </w:r>
      <w:r>
        <w:rPr>
          <w:rFonts w:hint="eastAsia" w:asciiTheme="minorEastAsia" w:hAnsiTheme="minorEastAsia" w:eastAsiaTheme="minorEastAsia"/>
          <w:b/>
          <w:bCs/>
          <w:iCs/>
          <w:color w:val="auto"/>
          <w:sz w:val="24"/>
          <w:highlight w:val="none"/>
          <w:bdr w:val="single" w:color="auto" w:sz="4" w:space="0"/>
          <w:lang w:val="en-US" w:eastAsia="zh-CN"/>
        </w:rPr>
        <w:t>03标</w:t>
      </w:r>
      <w:r>
        <w:rPr>
          <w:rFonts w:hint="eastAsia" w:ascii="仿宋" w:hAnsi="仿宋" w:eastAsia="仿宋" w:cs="仿宋"/>
          <w:b/>
          <w:bCs/>
          <w:iCs/>
          <w:color w:val="auto"/>
          <w:sz w:val="24"/>
          <w:highlight w:val="none"/>
        </w:rPr>
        <w:t>价格分（</w:t>
      </w:r>
      <w:r>
        <w:rPr>
          <w:rFonts w:hint="eastAsia" w:ascii="仿宋" w:hAnsi="仿宋" w:eastAsia="仿宋" w:cs="仿宋"/>
          <w:b/>
          <w:bCs/>
          <w:iCs/>
          <w:color w:val="auto"/>
          <w:sz w:val="24"/>
          <w:highlight w:val="none"/>
          <w:u w:val="single"/>
        </w:rPr>
        <w:t xml:space="preserve"> 40 </w:t>
      </w:r>
      <w:r>
        <w:rPr>
          <w:rFonts w:hint="eastAsia" w:ascii="仿宋" w:hAnsi="仿宋" w:eastAsia="仿宋" w:cs="仿宋"/>
          <w:b/>
          <w:bCs/>
          <w:iCs/>
          <w:color w:val="auto"/>
          <w:sz w:val="24"/>
          <w:highlight w:val="none"/>
        </w:rPr>
        <w:t>分）</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2.2.1评标基准价：即满足招标文件要求且折扣系数最低的投标报价为评标基准价，其价格分为满分。折扣系数最多保留百分比小数点后一位，即**.*%</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投标人各标段投标报价=各标段最高限价×折扣系数。</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40</w:t>
      </w:r>
    </w:p>
    <w:p>
      <w:pPr>
        <w:spacing w:line="360" w:lineRule="auto"/>
        <w:ind w:left="720" w:firstLine="723" w:firstLineChars="200"/>
        <w:outlineLvl w:val="0"/>
        <w:rPr>
          <w:rFonts w:ascii="仿宋" w:hAnsi="仿宋" w:eastAsia="仿宋" w:cs="仿宋"/>
          <w:b/>
          <w:color w:val="auto"/>
          <w:sz w:val="36"/>
          <w:szCs w:val="20"/>
          <w:highlight w:val="none"/>
        </w:rPr>
      </w:pPr>
    </w:p>
    <w:p>
      <w:pPr>
        <w:spacing w:line="360" w:lineRule="auto"/>
        <w:ind w:left="720" w:firstLine="723" w:firstLineChars="200"/>
        <w:outlineLvl w:val="0"/>
        <w:rPr>
          <w:rFonts w:ascii="仿宋" w:hAnsi="仿宋" w:eastAsia="仿宋" w:cs="仿宋"/>
          <w:b/>
          <w:color w:val="auto"/>
          <w:sz w:val="36"/>
          <w:szCs w:val="20"/>
          <w:highlight w:val="none"/>
        </w:rPr>
      </w:pPr>
      <w:bookmarkStart w:id="195" w:name="_GoBack"/>
      <w:bookmarkEnd w:id="195"/>
    </w:p>
    <w:p>
      <w:pPr>
        <w:pStyle w:val="34"/>
        <w:rPr>
          <w:rFonts w:ascii="仿宋" w:hAnsi="仿宋" w:eastAsia="仿宋" w:cs="仿宋"/>
          <w:b/>
          <w:color w:val="auto"/>
          <w:sz w:val="36"/>
          <w:szCs w:val="20"/>
          <w:highlight w:val="none"/>
        </w:rPr>
      </w:pPr>
    </w:p>
    <w:p>
      <w:pPr>
        <w:pStyle w:val="34"/>
        <w:rPr>
          <w:rFonts w:ascii="仿宋" w:hAnsi="仿宋" w:eastAsia="仿宋" w:cs="仿宋"/>
          <w:b/>
          <w:color w:val="auto"/>
          <w:sz w:val="36"/>
          <w:szCs w:val="20"/>
          <w:highlight w:val="none"/>
        </w:rPr>
      </w:pPr>
    </w:p>
    <w:p>
      <w:pPr>
        <w:pStyle w:val="34"/>
        <w:rPr>
          <w:rFonts w:ascii="仿宋" w:hAnsi="仿宋" w:eastAsia="仿宋" w:cs="仿宋"/>
          <w:b/>
          <w:color w:val="auto"/>
          <w:sz w:val="36"/>
          <w:szCs w:val="20"/>
          <w:highlight w:val="none"/>
        </w:rPr>
      </w:pPr>
    </w:p>
    <w:p>
      <w:pPr>
        <w:pStyle w:val="34"/>
        <w:rPr>
          <w:rFonts w:ascii="仿宋" w:hAnsi="仿宋" w:eastAsia="仿宋" w:cs="仿宋"/>
          <w:b/>
          <w:color w:val="auto"/>
          <w:sz w:val="36"/>
          <w:szCs w:val="20"/>
          <w:highlight w:val="none"/>
        </w:rPr>
      </w:pPr>
    </w:p>
    <w:p>
      <w:pPr>
        <w:widowControl/>
        <w:adjustRightInd/>
        <w:jc w:val="both"/>
        <w:rPr>
          <w:rFonts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spacing w:line="360" w:lineRule="auto"/>
        <w:jc w:val="center"/>
        <w:outlineLvl w:val="0"/>
        <w:rPr>
          <w:rFonts w:ascii="仿宋" w:hAnsi="仿宋" w:eastAsia="仿宋" w:cs="仿宋"/>
          <w:b/>
          <w:color w:val="auto"/>
          <w:kern w:val="0"/>
          <w:sz w:val="36"/>
          <w:szCs w:val="36"/>
          <w:highlight w:val="none"/>
        </w:r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（1）符合参加政府采购活动应当具备的一般条件的承诺函……………（47）</w:t>
      </w:r>
    </w:p>
    <w:p>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………………………………………………………………（48）</w:t>
      </w:r>
    </w:p>
    <w:p>
      <w:pPr>
        <w:pStyle w:val="3"/>
        <w:rPr>
          <w:rFonts w:ascii="仿宋" w:hAnsi="仿宋" w:eastAsia="仿宋" w:cs="仿宋"/>
          <w:color w:val="auto"/>
          <w:highlight w:val="none"/>
        </w:rPr>
      </w:pPr>
      <w:r>
        <w:rPr>
          <w:rFonts w:hint="eastAsia" w:ascii="仿宋" w:hAnsi="仿宋" w:eastAsia="仿宋" w:cs="仿宋"/>
          <w:color w:val="auto"/>
          <w:highlight w:val="none"/>
        </w:rPr>
        <w:t>（3）分包协议………………………………………………………………（</w:t>
      </w:r>
      <w:r>
        <w:rPr>
          <w:rFonts w:hint="eastAsia" w:ascii="仿宋" w:hAnsi="仿宋" w:eastAsia="仿宋" w:cs="仿宋"/>
          <w:color w:val="auto"/>
          <w:highlight w:val="none"/>
          <w:lang w:val="en-US"/>
        </w:rPr>
        <w:t>48</w:t>
      </w:r>
      <w:r>
        <w:rPr>
          <w:rFonts w:hint="eastAsia" w:ascii="仿宋" w:hAnsi="仿宋" w:eastAsia="仿宋" w:cs="仿宋"/>
          <w:color w:val="auto"/>
          <w:highlight w:val="none"/>
        </w:rPr>
        <w:t>）</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（4）落实政府采购政策需满足的资格要求………………………………（48）</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（5）本项目的特定资格要求………………………………………………（48）</w:t>
      </w:r>
    </w:p>
    <w:p>
      <w:pPr>
        <w:snapToGrid w:val="0"/>
        <w:spacing w:line="360" w:lineRule="auto"/>
        <w:rPr>
          <w:rFonts w:ascii="仿宋" w:hAnsi="仿宋" w:eastAsia="仿宋" w:cs="仿宋"/>
          <w:color w:val="auto"/>
          <w:sz w:val="24"/>
          <w:highlight w:val="none"/>
        </w:rPr>
      </w:pPr>
    </w:p>
    <w:p>
      <w:pPr>
        <w:snapToGrid w:val="0"/>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ascii="仿宋" w:hAnsi="仿宋" w:eastAsia="仿宋" w:cs="仿宋"/>
          <w:b/>
          <w:color w:val="auto"/>
          <w:kern w:val="0"/>
          <w:sz w:val="32"/>
          <w:szCs w:val="32"/>
          <w:highlight w:val="none"/>
        </w:rPr>
      </w:pPr>
    </w:p>
    <w:p>
      <w:pPr>
        <w:widowControl/>
        <w:spacing w:line="360" w:lineRule="auto"/>
        <w:jc w:val="center"/>
        <w:rPr>
          <w:rFonts w:ascii="仿宋" w:hAnsi="仿宋" w:eastAsia="仿宋" w:cs="仿宋"/>
          <w:b/>
          <w:color w:val="auto"/>
          <w:kern w:val="0"/>
          <w:sz w:val="32"/>
          <w:szCs w:val="32"/>
          <w:highlight w:val="none"/>
        </w:rPr>
      </w:pPr>
    </w:p>
    <w:p>
      <w:pPr>
        <w:widowControl/>
        <w:spacing w:line="360" w:lineRule="auto"/>
        <w:jc w:val="center"/>
        <w:rPr>
          <w:rFonts w:ascii="仿宋" w:hAnsi="仿宋" w:eastAsia="仿宋" w:cs="仿宋"/>
          <w:b/>
          <w:color w:val="auto"/>
          <w:kern w:val="0"/>
          <w:sz w:val="32"/>
          <w:szCs w:val="32"/>
          <w:highlight w:val="none"/>
        </w:rPr>
      </w:pPr>
    </w:p>
    <w:p>
      <w:pPr>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24"/>
        <w:rPr>
          <w:rFonts w:ascii="仿宋" w:hAnsi="仿宋" w:eastAsia="仿宋" w:cs="仿宋"/>
          <w:color w:val="auto"/>
          <w:highlight w:val="none"/>
        </w:rPr>
      </w:pPr>
    </w:p>
    <w:p>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highlight w:val="none"/>
        </w:rPr>
      </w:pPr>
    </w:p>
    <w:p>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36" w:lineRule="auto"/>
        <w:jc w:val="center"/>
        <w:rPr>
          <w:rFonts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35"/>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w:t>
      </w:r>
      <w:r>
        <w:rPr>
          <w:rFonts w:hint="eastAsia" w:ascii="仿宋" w:eastAsia="仿宋" w:cs="仿宋"/>
          <w:color w:val="auto"/>
          <w:highlight w:val="none"/>
          <w:lang w:val="en-US" w:eastAsia="zh-CN"/>
        </w:rPr>
        <w:t>页码</w:t>
      </w:r>
      <w:r>
        <w:rPr>
          <w:rFonts w:hint="eastAsia" w:ascii="仿宋" w:eastAsia="仿宋" w:cs="仿宋"/>
          <w:color w:val="auto"/>
          <w:highlight w:val="none"/>
        </w:rPr>
        <w:t>）</w:t>
      </w:r>
    </w:p>
    <w:p>
      <w:pPr>
        <w:pStyle w:val="35"/>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法定代表人授权书 ………………………………………………………… （</w:t>
      </w:r>
      <w:r>
        <w:rPr>
          <w:rFonts w:hint="eastAsia" w:ascii="仿宋" w:eastAsia="仿宋" w:cs="仿宋"/>
          <w:color w:val="auto"/>
          <w:highlight w:val="none"/>
          <w:lang w:val="en-US" w:eastAsia="zh-CN"/>
        </w:rPr>
        <w:t>页码</w:t>
      </w:r>
      <w:r>
        <w:rPr>
          <w:rFonts w:hint="eastAsia" w:ascii="仿宋" w:eastAsia="仿宋" w:cs="仿宋"/>
          <w:color w:val="auto"/>
          <w:highlight w:val="none"/>
        </w:rPr>
        <w:t>）</w:t>
      </w:r>
    </w:p>
    <w:p>
      <w:pPr>
        <w:pStyle w:val="35"/>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法定代表人及其授权代表身份证复印件（复印件）………………………（</w:t>
      </w:r>
      <w:r>
        <w:rPr>
          <w:rFonts w:hint="eastAsia" w:ascii="仿宋" w:eastAsia="仿宋" w:cs="仿宋"/>
          <w:color w:val="auto"/>
          <w:highlight w:val="none"/>
          <w:lang w:val="en-US" w:eastAsia="zh-CN"/>
        </w:rPr>
        <w:t>页码</w:t>
      </w:r>
      <w:r>
        <w:rPr>
          <w:rFonts w:hint="eastAsia" w:ascii="仿宋" w:eastAsia="仿宋" w:cs="仿宋"/>
          <w:color w:val="auto"/>
          <w:highlight w:val="none"/>
        </w:rPr>
        <w:t>）</w:t>
      </w:r>
    </w:p>
    <w:p>
      <w:pPr>
        <w:pStyle w:val="35"/>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w:t>
      </w:r>
      <w:r>
        <w:rPr>
          <w:rFonts w:hint="eastAsia" w:ascii="仿宋" w:eastAsia="仿宋" w:cs="仿宋"/>
          <w:color w:val="auto"/>
          <w:highlight w:val="none"/>
          <w:lang w:val="en-US" w:eastAsia="zh-CN"/>
        </w:rPr>
        <w:t>页码</w:t>
      </w:r>
      <w:r>
        <w:rPr>
          <w:rFonts w:hint="eastAsia" w:ascii="仿宋" w:eastAsia="仿宋" w:cs="仿宋"/>
          <w:color w:val="auto"/>
          <w:highlight w:val="none"/>
        </w:rPr>
        <w:t>）</w:t>
      </w:r>
    </w:p>
    <w:p>
      <w:pPr>
        <w:pStyle w:val="35"/>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w:t>
      </w:r>
      <w:r>
        <w:rPr>
          <w:rFonts w:hint="eastAsia" w:ascii="仿宋" w:eastAsia="仿宋" w:cs="仿宋"/>
          <w:color w:val="auto"/>
          <w:highlight w:val="none"/>
          <w:lang w:val="en-US" w:eastAsia="zh-CN"/>
        </w:rPr>
        <w:t>页码</w:t>
      </w:r>
      <w:r>
        <w:rPr>
          <w:rFonts w:hint="eastAsia" w:ascii="仿宋" w:eastAsia="仿宋" w:cs="仿宋"/>
          <w:color w:val="auto"/>
          <w:highlight w:val="none"/>
        </w:rPr>
        <w:t>）</w:t>
      </w:r>
    </w:p>
    <w:p>
      <w:pPr>
        <w:pStyle w:val="35"/>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w:t>
      </w:r>
      <w:r>
        <w:rPr>
          <w:rFonts w:hint="eastAsia" w:ascii="仿宋" w:eastAsia="仿宋" w:cs="仿宋"/>
          <w:color w:val="auto"/>
          <w:highlight w:val="none"/>
          <w:lang w:val="en-US" w:eastAsia="zh-CN"/>
        </w:rPr>
        <w:t>页码</w:t>
      </w:r>
      <w:r>
        <w:rPr>
          <w:rFonts w:hint="eastAsia" w:ascii="仿宋" w:eastAsia="仿宋" w:cs="仿宋"/>
          <w:color w:val="auto"/>
          <w:highlight w:val="none"/>
        </w:rPr>
        <w:t>）</w:t>
      </w:r>
    </w:p>
    <w:p>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（7）</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sz w:val="24"/>
          <w:highlight w:val="none"/>
        </w:rPr>
        <w:t>）</w:t>
      </w:r>
    </w:p>
    <w:p>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（8）技术解决方案</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（9）组织实施方案</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（10）售后服务方案</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（11）供应商售后服务证明材料</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sz w:val="24"/>
          <w:highlight w:val="none"/>
        </w:rPr>
        <w:t>）</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（12）项目小组人员名单</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spacing w:line="360" w:lineRule="auto"/>
        <w:ind w:right="-368" w:rightChars="-175"/>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pStyle w:val="4"/>
        <w:rPr>
          <w:rFonts w:ascii="仿宋" w:hAnsi="仿宋" w:eastAsia="仿宋" w:cs="仿宋"/>
          <w:color w:val="auto"/>
          <w:highlight w:val="none"/>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ind w:firstLine="3855" w:firstLineChars="1200"/>
        <w:outlineLvl w:val="0"/>
        <w:rPr>
          <w:rFonts w:ascii="仿宋" w:hAnsi="仿宋" w:eastAsia="仿宋" w:cs="仿宋"/>
          <w:b/>
          <w:color w:val="auto"/>
          <w:kern w:val="0"/>
          <w:sz w:val="32"/>
          <w:szCs w:val="32"/>
          <w:highlight w:val="none"/>
        </w:rPr>
      </w:pPr>
    </w:p>
    <w:p>
      <w:pPr>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6"/>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pPr>
        <w:pStyle w:val="3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3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6"/>
        <w:spacing w:line="336" w:lineRule="auto"/>
        <w:ind w:left="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1.我方同意在投标人</w:t>
      </w:r>
      <w:r>
        <w:rPr>
          <w:rFonts w:hint="eastAsia" w:ascii="仿宋" w:hAnsi="仿宋" w:eastAsia="仿宋" w:cs="仿宋"/>
          <w:color w:val="auto"/>
          <w:kern w:val="44"/>
          <w:sz w:val="24"/>
          <w:highlight w:val="none"/>
        </w:rPr>
        <w:t>须知</w:t>
      </w:r>
      <w:r>
        <w:rPr>
          <w:rFonts w:hint="eastAsia" w:ascii="仿宋" w:hAnsi="仿宋" w:eastAsia="仿宋" w:cs="仿宋"/>
          <w:color w:val="auto"/>
          <w:sz w:val="24"/>
          <w:highlight w:val="none"/>
        </w:rPr>
        <w:t>规定的开标日期起遵守本投标文件中的承诺且在投标有效期满之前均具有约束力。</w:t>
      </w:r>
    </w:p>
    <w:p>
      <w:pPr>
        <w:pStyle w:val="3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3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6"/>
        <w:spacing w:line="336" w:lineRule="auto"/>
        <w:ind w:left="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5.本投标自开标之日（投标截止之日）起90天内有效。</w:t>
      </w:r>
    </w:p>
    <w:p>
      <w:pPr>
        <w:pStyle w:val="3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3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3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3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3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snapToGrid w:val="0"/>
        <w:spacing w:line="336" w:lineRule="auto"/>
        <w:ind w:firstLine="480" w:firstLineChars="200"/>
        <w:jc w:val="left"/>
        <w:rPr>
          <w:rFonts w:ascii="仿宋" w:hAnsi="仿宋" w:eastAsia="仿宋" w:cs="仿宋"/>
          <w:color w:val="auto"/>
          <w:sz w:val="24"/>
          <w:highlight w:val="none"/>
        </w:rPr>
      </w:pPr>
    </w:p>
    <w:p>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pPr>
        <w:snapToGrid w:val="0"/>
        <w:spacing w:line="360" w:lineRule="auto"/>
        <w:jc w:val="center"/>
        <w:rPr>
          <w:rFonts w:ascii="仿宋" w:hAnsi="仿宋" w:eastAsia="仿宋" w:cs="仿宋"/>
          <w:b/>
          <w:color w:val="auto"/>
          <w:kern w:val="0"/>
          <w:sz w:val="32"/>
          <w:szCs w:val="32"/>
          <w:highlight w:val="none"/>
        </w:rPr>
      </w:pPr>
    </w:p>
    <w:p>
      <w:pPr>
        <w:snapToGrid w:val="0"/>
        <w:spacing w:line="360" w:lineRule="auto"/>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pStyle w:val="4"/>
        <w:rPr>
          <w:rFonts w:ascii="仿宋" w:hAnsi="仿宋" w:eastAsia="仿宋" w:cs="仿宋"/>
          <w:color w:val="auto"/>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ascii="仿宋" w:hAnsi="仿宋" w:eastAsia="仿宋" w:cs="仿宋"/>
          <w:color w:val="auto"/>
          <w:sz w:val="24"/>
          <w:highlight w:val="none"/>
        </w:rPr>
      </w:pPr>
    </w:p>
    <w:p>
      <w:pPr>
        <w:spacing w:line="800" w:lineRule="exact"/>
        <w:rPr>
          <w:rFonts w:ascii="仿宋" w:hAnsi="仿宋" w:eastAsia="仿宋" w:cs="仿宋"/>
          <w:b/>
          <w:color w:val="auto"/>
          <w:sz w:val="24"/>
          <w:highlight w:val="none"/>
        </w:rPr>
      </w:pP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ascii="仿宋" w:hAnsi="仿宋" w:eastAsia="仿宋" w:cs="仿宋"/>
          <w:b/>
          <w:color w:val="auto"/>
          <w:kern w:val="0"/>
          <w:sz w:val="32"/>
          <w:szCs w:val="32"/>
          <w:highlight w:val="none"/>
          <w:lang w:val="zh-CN"/>
        </w:rPr>
      </w:pPr>
    </w:p>
    <w:p>
      <w:pPr>
        <w:spacing w:line="800" w:lineRule="exact"/>
        <w:rPr>
          <w:rFonts w:ascii="仿宋" w:hAnsi="仿宋" w:eastAsia="仿宋" w:cs="仿宋"/>
          <w:b/>
          <w:color w:val="auto"/>
          <w:sz w:val="24"/>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三、法定代表人及其授权代表身份证复印件（正反面）</w:t>
      </w: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四、法定代表人身份证明书(格式)</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ascii="仿宋" w:hAnsi="仿宋" w:eastAsia="仿宋" w:cs="仿宋"/>
          <w:color w:val="auto"/>
          <w:sz w:val="24"/>
          <w:highlight w:val="non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pPr>
        <w:spacing w:line="440" w:lineRule="exact"/>
        <w:ind w:right="480"/>
        <w:rPr>
          <w:rFonts w:ascii="仿宋" w:hAnsi="仿宋" w:eastAsia="仿宋" w:cs="仿宋"/>
          <w:color w:val="auto"/>
          <w:sz w:val="24"/>
          <w:highlight w:val="none"/>
        </w:rPr>
      </w:pPr>
    </w:p>
    <w:p>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五、商务技术偏离表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3571"/>
        <w:gridCol w:w="3437"/>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1946" w:type="pct"/>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1873" w:type="pct"/>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673" w:type="pct"/>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946" w:type="pct"/>
          </w:tcPr>
          <w:p>
            <w:pPr>
              <w:jc w:val="center"/>
              <w:rPr>
                <w:rFonts w:ascii="仿宋" w:hAnsi="仿宋" w:eastAsia="仿宋" w:cs="仿宋"/>
                <w:b/>
                <w:color w:val="auto"/>
                <w:kern w:val="0"/>
                <w:sz w:val="32"/>
                <w:szCs w:val="32"/>
                <w:highlight w:val="none"/>
              </w:rPr>
            </w:pPr>
          </w:p>
        </w:tc>
        <w:tc>
          <w:tcPr>
            <w:tcW w:w="1873" w:type="pct"/>
          </w:tcPr>
          <w:p>
            <w:pPr>
              <w:jc w:val="center"/>
              <w:rPr>
                <w:rFonts w:ascii="仿宋" w:hAnsi="仿宋" w:eastAsia="仿宋" w:cs="仿宋"/>
                <w:b/>
                <w:color w:val="auto"/>
                <w:kern w:val="0"/>
                <w:sz w:val="32"/>
                <w:szCs w:val="32"/>
                <w:highlight w:val="none"/>
              </w:rPr>
            </w:pPr>
          </w:p>
        </w:tc>
        <w:tc>
          <w:tcPr>
            <w:tcW w:w="673" w:type="pct"/>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946" w:type="pct"/>
          </w:tcPr>
          <w:p>
            <w:pPr>
              <w:jc w:val="center"/>
              <w:rPr>
                <w:rFonts w:ascii="仿宋" w:hAnsi="仿宋" w:eastAsia="仿宋" w:cs="仿宋"/>
                <w:b/>
                <w:color w:val="auto"/>
                <w:kern w:val="0"/>
                <w:sz w:val="32"/>
                <w:szCs w:val="32"/>
                <w:highlight w:val="none"/>
              </w:rPr>
            </w:pPr>
          </w:p>
        </w:tc>
        <w:tc>
          <w:tcPr>
            <w:tcW w:w="1873" w:type="pct"/>
          </w:tcPr>
          <w:p>
            <w:pPr>
              <w:jc w:val="center"/>
              <w:rPr>
                <w:rFonts w:ascii="仿宋" w:hAnsi="仿宋" w:eastAsia="仿宋" w:cs="仿宋"/>
                <w:b/>
                <w:color w:val="auto"/>
                <w:kern w:val="0"/>
                <w:sz w:val="32"/>
                <w:szCs w:val="32"/>
                <w:highlight w:val="none"/>
              </w:rPr>
            </w:pPr>
          </w:p>
        </w:tc>
        <w:tc>
          <w:tcPr>
            <w:tcW w:w="673" w:type="pct"/>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1946" w:type="pct"/>
          </w:tcPr>
          <w:p>
            <w:pPr>
              <w:jc w:val="center"/>
              <w:rPr>
                <w:rFonts w:ascii="仿宋" w:hAnsi="仿宋" w:eastAsia="仿宋" w:cs="仿宋"/>
                <w:b/>
                <w:color w:val="auto"/>
                <w:kern w:val="0"/>
                <w:sz w:val="32"/>
                <w:szCs w:val="32"/>
                <w:highlight w:val="none"/>
              </w:rPr>
            </w:pPr>
          </w:p>
        </w:tc>
        <w:tc>
          <w:tcPr>
            <w:tcW w:w="1873" w:type="pct"/>
          </w:tcPr>
          <w:p>
            <w:pPr>
              <w:jc w:val="center"/>
              <w:rPr>
                <w:rFonts w:ascii="仿宋" w:hAnsi="仿宋" w:eastAsia="仿宋" w:cs="仿宋"/>
                <w:b/>
                <w:color w:val="auto"/>
                <w:kern w:val="0"/>
                <w:sz w:val="32"/>
                <w:szCs w:val="32"/>
                <w:highlight w:val="none"/>
              </w:rPr>
            </w:pPr>
          </w:p>
        </w:tc>
        <w:tc>
          <w:tcPr>
            <w:tcW w:w="673" w:type="pct"/>
          </w:tcPr>
          <w:p>
            <w:pPr>
              <w:jc w:val="center"/>
              <w:rPr>
                <w:rFonts w:ascii="仿宋" w:hAnsi="仿宋" w:eastAsia="仿宋" w:cs="仿宋"/>
                <w:b/>
                <w:color w:val="auto"/>
                <w:kern w:val="0"/>
                <w:sz w:val="32"/>
                <w:szCs w:val="32"/>
                <w:highlight w:val="none"/>
              </w:rPr>
            </w:pPr>
          </w:p>
        </w:tc>
      </w:tr>
    </w:tbl>
    <w:p>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ascii="仿宋" w:hAnsi="仿宋" w:eastAsia="仿宋" w:cs="仿宋"/>
          <w:b/>
          <w:color w:val="auto"/>
          <w:kern w:val="0"/>
          <w:sz w:val="32"/>
          <w:szCs w:val="32"/>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ind w:firstLine="1911" w:firstLineChars="595"/>
        <w:rPr>
          <w:rFonts w:ascii="仿宋" w:hAnsi="仿宋" w:eastAsia="仿宋" w:cs="仿宋"/>
          <w:b/>
          <w:bCs/>
          <w:color w:val="auto"/>
          <w:sz w:val="32"/>
          <w:szCs w:val="32"/>
          <w:highlight w:val="none"/>
        </w:rPr>
      </w:pPr>
    </w:p>
    <w:p>
      <w:pPr>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ascii="仿宋" w:hAnsi="仿宋" w:eastAsia="仿宋" w:cs="仿宋"/>
          <w:b/>
          <w:bCs/>
          <w:color w:val="auto"/>
          <w:sz w:val="24"/>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七、</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18"/>
        <w:tblW w:w="4997" w:type="pct"/>
        <w:tblInd w:w="0" w:type="dxa"/>
        <w:tblLayout w:type="autofit"/>
        <w:tblCellMar>
          <w:top w:w="0" w:type="dxa"/>
          <w:left w:w="108" w:type="dxa"/>
          <w:bottom w:w="0" w:type="dxa"/>
          <w:right w:w="108" w:type="dxa"/>
        </w:tblCellMar>
      </w:tblPr>
      <w:tblGrid>
        <w:gridCol w:w="1807"/>
        <w:gridCol w:w="954"/>
        <w:gridCol w:w="1361"/>
        <w:gridCol w:w="1147"/>
        <w:gridCol w:w="1158"/>
        <w:gridCol w:w="1521"/>
        <w:gridCol w:w="1220"/>
      </w:tblGrid>
      <w:tr>
        <w:tblPrEx>
          <w:tblCellMar>
            <w:top w:w="0" w:type="dxa"/>
            <w:left w:w="108" w:type="dxa"/>
            <w:bottom w:w="0" w:type="dxa"/>
            <w:right w:w="108" w:type="dxa"/>
          </w:tblCellMar>
        </w:tblPrEx>
        <w:trPr>
          <w:trHeight w:val="1177" w:hRule="atLeast"/>
        </w:trPr>
        <w:tc>
          <w:tcPr>
            <w:tcW w:w="98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520"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742"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62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631"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829"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66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98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520"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742"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2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31"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829"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6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98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520"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742"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2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31"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829"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6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98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520"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742"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2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31"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829"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6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bl>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color w:val="auto"/>
          <w:sz w:val="24"/>
          <w:highlight w:val="none"/>
        </w:rPr>
      </w:pPr>
    </w:p>
    <w:p>
      <w:pPr>
        <w:autoSpaceDE w:val="0"/>
        <w:autoSpaceDN w:val="0"/>
        <w:spacing w:line="360" w:lineRule="auto"/>
        <w:rPr>
          <w:rFonts w:ascii="仿宋" w:hAnsi="仿宋" w:eastAsia="仿宋" w:cs="仿宋"/>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37"/>
        <w:ind w:firstLine="0"/>
        <w:jc w:val="both"/>
        <w:rPr>
          <w:rFonts w:ascii="仿宋" w:eastAsia="仿宋" w:cs="仿宋"/>
          <w:color w:val="auto"/>
          <w:highlight w:val="none"/>
        </w:rPr>
      </w:pPr>
    </w:p>
    <w:p>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八、技术解决方案</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ascii="仿宋" w:hAnsi="仿宋" w:eastAsia="仿宋" w:cs="仿宋"/>
          <w:color w:val="auto"/>
          <w:sz w:val="24"/>
          <w:highlight w:val="none"/>
        </w:rPr>
      </w:pPr>
    </w:p>
    <w:p>
      <w:pPr>
        <w:snapToGrid w:val="0"/>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529"/>
        <w:gridCol w:w="2158"/>
        <w:gridCol w:w="2338"/>
        <w:gridCol w:w="1079"/>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01"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833"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1176"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1274"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588"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725"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01" w:type="pct"/>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3" w:type="pct"/>
            <w:vAlign w:val="center"/>
          </w:tcPr>
          <w:p>
            <w:pPr>
              <w:snapToGrid w:val="0"/>
              <w:spacing w:line="360" w:lineRule="auto"/>
              <w:jc w:val="center"/>
              <w:rPr>
                <w:rFonts w:ascii="仿宋" w:hAnsi="仿宋" w:eastAsia="仿宋" w:cs="仿宋"/>
                <w:color w:val="auto"/>
                <w:sz w:val="24"/>
                <w:highlight w:val="none"/>
              </w:rPr>
            </w:pPr>
          </w:p>
        </w:tc>
        <w:tc>
          <w:tcPr>
            <w:tcW w:w="1176" w:type="pct"/>
            <w:vAlign w:val="center"/>
          </w:tcPr>
          <w:p>
            <w:pPr>
              <w:snapToGrid w:val="0"/>
              <w:spacing w:line="360" w:lineRule="auto"/>
              <w:jc w:val="center"/>
              <w:rPr>
                <w:rFonts w:ascii="仿宋" w:hAnsi="仿宋" w:eastAsia="仿宋" w:cs="仿宋"/>
                <w:color w:val="auto"/>
                <w:sz w:val="24"/>
                <w:highlight w:val="none"/>
              </w:rPr>
            </w:pPr>
          </w:p>
        </w:tc>
        <w:tc>
          <w:tcPr>
            <w:tcW w:w="1274" w:type="pct"/>
            <w:vAlign w:val="center"/>
          </w:tcPr>
          <w:p>
            <w:pPr>
              <w:spacing w:line="360" w:lineRule="auto"/>
              <w:jc w:val="center"/>
              <w:rPr>
                <w:rFonts w:ascii="仿宋" w:hAnsi="仿宋" w:eastAsia="仿宋" w:cs="仿宋"/>
                <w:color w:val="auto"/>
                <w:sz w:val="24"/>
                <w:highlight w:val="none"/>
              </w:rPr>
            </w:pPr>
          </w:p>
        </w:tc>
        <w:tc>
          <w:tcPr>
            <w:tcW w:w="588" w:type="pct"/>
            <w:vAlign w:val="center"/>
          </w:tcPr>
          <w:p>
            <w:pPr>
              <w:spacing w:line="360" w:lineRule="auto"/>
              <w:jc w:val="center"/>
              <w:rPr>
                <w:rFonts w:ascii="仿宋" w:hAnsi="仿宋" w:eastAsia="仿宋" w:cs="仿宋"/>
                <w:color w:val="auto"/>
                <w:sz w:val="24"/>
                <w:highlight w:val="none"/>
              </w:rPr>
            </w:pPr>
          </w:p>
        </w:tc>
        <w:tc>
          <w:tcPr>
            <w:tcW w:w="725" w:type="pct"/>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01" w:type="pct"/>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3" w:type="pct"/>
            <w:vAlign w:val="center"/>
          </w:tcPr>
          <w:p>
            <w:pPr>
              <w:snapToGrid w:val="0"/>
              <w:spacing w:line="360" w:lineRule="auto"/>
              <w:jc w:val="center"/>
              <w:rPr>
                <w:rFonts w:ascii="仿宋" w:hAnsi="仿宋" w:eastAsia="仿宋" w:cs="仿宋"/>
                <w:color w:val="auto"/>
                <w:sz w:val="24"/>
                <w:highlight w:val="none"/>
              </w:rPr>
            </w:pPr>
          </w:p>
        </w:tc>
        <w:tc>
          <w:tcPr>
            <w:tcW w:w="1176" w:type="pct"/>
            <w:vAlign w:val="center"/>
          </w:tcPr>
          <w:p>
            <w:pPr>
              <w:snapToGrid w:val="0"/>
              <w:spacing w:line="360" w:lineRule="auto"/>
              <w:jc w:val="center"/>
              <w:rPr>
                <w:rFonts w:ascii="仿宋" w:hAnsi="仿宋" w:eastAsia="仿宋" w:cs="仿宋"/>
                <w:color w:val="auto"/>
                <w:sz w:val="24"/>
                <w:highlight w:val="none"/>
              </w:rPr>
            </w:pPr>
          </w:p>
        </w:tc>
        <w:tc>
          <w:tcPr>
            <w:tcW w:w="1274" w:type="pct"/>
            <w:vAlign w:val="center"/>
          </w:tcPr>
          <w:p>
            <w:pPr>
              <w:spacing w:line="360" w:lineRule="auto"/>
              <w:jc w:val="center"/>
              <w:rPr>
                <w:rFonts w:ascii="仿宋" w:hAnsi="仿宋" w:eastAsia="仿宋" w:cs="仿宋"/>
                <w:color w:val="auto"/>
                <w:sz w:val="24"/>
                <w:highlight w:val="none"/>
              </w:rPr>
            </w:pPr>
          </w:p>
        </w:tc>
        <w:tc>
          <w:tcPr>
            <w:tcW w:w="588" w:type="pct"/>
            <w:vAlign w:val="center"/>
          </w:tcPr>
          <w:p>
            <w:pPr>
              <w:spacing w:line="360" w:lineRule="auto"/>
              <w:jc w:val="center"/>
              <w:rPr>
                <w:rFonts w:ascii="仿宋" w:hAnsi="仿宋" w:eastAsia="仿宋" w:cs="仿宋"/>
                <w:color w:val="auto"/>
                <w:sz w:val="24"/>
                <w:highlight w:val="none"/>
              </w:rPr>
            </w:pPr>
          </w:p>
        </w:tc>
        <w:tc>
          <w:tcPr>
            <w:tcW w:w="725" w:type="pct"/>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01" w:type="pct"/>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3" w:type="pct"/>
            <w:vAlign w:val="center"/>
          </w:tcPr>
          <w:p>
            <w:pPr>
              <w:snapToGrid w:val="0"/>
              <w:spacing w:line="360" w:lineRule="auto"/>
              <w:jc w:val="center"/>
              <w:rPr>
                <w:rFonts w:ascii="仿宋" w:hAnsi="仿宋" w:eastAsia="仿宋" w:cs="仿宋"/>
                <w:color w:val="auto"/>
                <w:sz w:val="24"/>
                <w:highlight w:val="none"/>
              </w:rPr>
            </w:pPr>
          </w:p>
        </w:tc>
        <w:tc>
          <w:tcPr>
            <w:tcW w:w="1176" w:type="pct"/>
            <w:vAlign w:val="center"/>
          </w:tcPr>
          <w:p>
            <w:pPr>
              <w:snapToGrid w:val="0"/>
              <w:spacing w:line="360" w:lineRule="auto"/>
              <w:jc w:val="center"/>
              <w:rPr>
                <w:rFonts w:ascii="仿宋" w:hAnsi="仿宋" w:eastAsia="仿宋" w:cs="仿宋"/>
                <w:color w:val="auto"/>
                <w:sz w:val="24"/>
                <w:highlight w:val="none"/>
              </w:rPr>
            </w:pPr>
          </w:p>
        </w:tc>
        <w:tc>
          <w:tcPr>
            <w:tcW w:w="1274" w:type="pct"/>
            <w:vAlign w:val="center"/>
          </w:tcPr>
          <w:p>
            <w:pPr>
              <w:spacing w:line="360" w:lineRule="auto"/>
              <w:jc w:val="center"/>
              <w:rPr>
                <w:rFonts w:ascii="仿宋" w:hAnsi="仿宋" w:eastAsia="仿宋" w:cs="仿宋"/>
                <w:color w:val="auto"/>
                <w:sz w:val="24"/>
                <w:highlight w:val="none"/>
              </w:rPr>
            </w:pPr>
          </w:p>
        </w:tc>
        <w:tc>
          <w:tcPr>
            <w:tcW w:w="588" w:type="pct"/>
            <w:vAlign w:val="center"/>
          </w:tcPr>
          <w:p>
            <w:pPr>
              <w:spacing w:line="360" w:lineRule="auto"/>
              <w:jc w:val="center"/>
              <w:rPr>
                <w:rFonts w:ascii="仿宋" w:hAnsi="仿宋" w:eastAsia="仿宋" w:cs="仿宋"/>
                <w:color w:val="auto"/>
                <w:sz w:val="24"/>
                <w:highlight w:val="none"/>
              </w:rPr>
            </w:pPr>
          </w:p>
        </w:tc>
        <w:tc>
          <w:tcPr>
            <w:tcW w:w="725" w:type="pct"/>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01" w:type="pct"/>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3" w:type="pct"/>
            <w:vAlign w:val="center"/>
          </w:tcPr>
          <w:p>
            <w:pPr>
              <w:snapToGrid w:val="0"/>
              <w:spacing w:line="360" w:lineRule="auto"/>
              <w:jc w:val="center"/>
              <w:rPr>
                <w:rFonts w:ascii="仿宋" w:hAnsi="仿宋" w:eastAsia="仿宋" w:cs="仿宋"/>
                <w:color w:val="auto"/>
                <w:sz w:val="24"/>
                <w:highlight w:val="none"/>
              </w:rPr>
            </w:pPr>
          </w:p>
        </w:tc>
        <w:tc>
          <w:tcPr>
            <w:tcW w:w="1176" w:type="pct"/>
            <w:vAlign w:val="center"/>
          </w:tcPr>
          <w:p>
            <w:pPr>
              <w:snapToGrid w:val="0"/>
              <w:spacing w:line="360" w:lineRule="auto"/>
              <w:jc w:val="center"/>
              <w:rPr>
                <w:rFonts w:ascii="仿宋" w:hAnsi="仿宋" w:eastAsia="仿宋" w:cs="仿宋"/>
                <w:color w:val="auto"/>
                <w:sz w:val="24"/>
                <w:highlight w:val="none"/>
              </w:rPr>
            </w:pPr>
          </w:p>
        </w:tc>
        <w:tc>
          <w:tcPr>
            <w:tcW w:w="1274" w:type="pct"/>
            <w:vAlign w:val="center"/>
          </w:tcPr>
          <w:p>
            <w:pPr>
              <w:spacing w:line="360" w:lineRule="auto"/>
              <w:jc w:val="center"/>
              <w:rPr>
                <w:rFonts w:ascii="仿宋" w:hAnsi="仿宋" w:eastAsia="仿宋" w:cs="仿宋"/>
                <w:color w:val="auto"/>
                <w:sz w:val="24"/>
                <w:highlight w:val="none"/>
              </w:rPr>
            </w:pPr>
          </w:p>
        </w:tc>
        <w:tc>
          <w:tcPr>
            <w:tcW w:w="588" w:type="pct"/>
            <w:vAlign w:val="center"/>
          </w:tcPr>
          <w:p>
            <w:pPr>
              <w:spacing w:line="360" w:lineRule="auto"/>
              <w:jc w:val="center"/>
              <w:rPr>
                <w:rFonts w:ascii="仿宋" w:hAnsi="仿宋" w:eastAsia="仿宋" w:cs="仿宋"/>
                <w:color w:val="auto"/>
                <w:sz w:val="24"/>
                <w:highlight w:val="none"/>
              </w:rPr>
            </w:pPr>
          </w:p>
        </w:tc>
        <w:tc>
          <w:tcPr>
            <w:tcW w:w="725" w:type="pct"/>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01" w:type="pct"/>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3" w:type="pct"/>
            <w:vAlign w:val="center"/>
          </w:tcPr>
          <w:p>
            <w:pPr>
              <w:snapToGrid w:val="0"/>
              <w:spacing w:line="360" w:lineRule="auto"/>
              <w:jc w:val="center"/>
              <w:rPr>
                <w:rFonts w:ascii="仿宋" w:hAnsi="仿宋" w:eastAsia="仿宋" w:cs="仿宋"/>
                <w:color w:val="auto"/>
                <w:sz w:val="24"/>
                <w:highlight w:val="none"/>
              </w:rPr>
            </w:pPr>
          </w:p>
        </w:tc>
        <w:tc>
          <w:tcPr>
            <w:tcW w:w="1176" w:type="pct"/>
            <w:vAlign w:val="center"/>
          </w:tcPr>
          <w:p>
            <w:pPr>
              <w:snapToGrid w:val="0"/>
              <w:spacing w:line="360" w:lineRule="auto"/>
              <w:jc w:val="center"/>
              <w:rPr>
                <w:rFonts w:ascii="仿宋" w:hAnsi="仿宋" w:eastAsia="仿宋" w:cs="仿宋"/>
                <w:color w:val="auto"/>
                <w:sz w:val="24"/>
                <w:highlight w:val="none"/>
              </w:rPr>
            </w:pPr>
          </w:p>
        </w:tc>
        <w:tc>
          <w:tcPr>
            <w:tcW w:w="1274" w:type="pct"/>
            <w:vAlign w:val="center"/>
          </w:tcPr>
          <w:p>
            <w:pPr>
              <w:spacing w:line="360" w:lineRule="auto"/>
              <w:jc w:val="center"/>
              <w:rPr>
                <w:rFonts w:ascii="仿宋" w:hAnsi="仿宋" w:eastAsia="仿宋" w:cs="仿宋"/>
                <w:color w:val="auto"/>
                <w:sz w:val="24"/>
                <w:highlight w:val="none"/>
              </w:rPr>
            </w:pPr>
          </w:p>
        </w:tc>
        <w:tc>
          <w:tcPr>
            <w:tcW w:w="588" w:type="pct"/>
            <w:vAlign w:val="center"/>
          </w:tcPr>
          <w:p>
            <w:pPr>
              <w:spacing w:line="360" w:lineRule="auto"/>
              <w:jc w:val="center"/>
              <w:rPr>
                <w:rFonts w:ascii="仿宋" w:hAnsi="仿宋" w:eastAsia="仿宋" w:cs="仿宋"/>
                <w:color w:val="auto"/>
                <w:sz w:val="24"/>
                <w:highlight w:val="none"/>
              </w:rPr>
            </w:pPr>
          </w:p>
        </w:tc>
        <w:tc>
          <w:tcPr>
            <w:tcW w:w="725" w:type="pct"/>
            <w:vAlign w:val="center"/>
          </w:tcPr>
          <w:p>
            <w:pPr>
              <w:spacing w:line="360" w:lineRule="auto"/>
              <w:jc w:val="center"/>
              <w:rPr>
                <w:rFonts w:ascii="仿宋" w:hAnsi="仿宋" w:eastAsia="仿宋" w:cs="仿宋"/>
                <w:color w:val="auto"/>
                <w:sz w:val="24"/>
                <w:highlight w:val="none"/>
              </w:rPr>
            </w:pPr>
          </w:p>
        </w:tc>
      </w:tr>
    </w:tbl>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1.95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仿宋" w:hAnsi="仿宋" w:eastAsia="仿宋" w:cs="仿宋"/>
          <w:b/>
          <w:color w:val="auto"/>
          <w:kern w:val="0"/>
          <w:sz w:val="28"/>
          <w:szCs w:val="28"/>
          <w:highlight w:val="none"/>
        </w:rPr>
        <w:object>
          <v:shape id="_x0000_i1026" o:spt="75" type="#_x0000_t75" style="height:41.95pt;width:440.75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pPr>
        <w:autoSpaceDE w:val="0"/>
        <w:autoSpaceDN w:val="0"/>
        <w:spacing w:line="360" w:lineRule="auto"/>
        <w:ind w:firstLine="4560" w:firstLineChars="1900"/>
        <w:rPr>
          <w:rFonts w:ascii="仿宋" w:hAnsi="仿宋" w:eastAsia="仿宋" w:cs="仿宋"/>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pStyle w:val="24"/>
        <w:rPr>
          <w:rFonts w:ascii="仿宋" w:hAnsi="仿宋" w:eastAsia="仿宋" w:cs="仿宋"/>
          <w:color w:val="auto"/>
          <w:highlight w:val="none"/>
        </w:rPr>
      </w:pPr>
    </w:p>
    <w:p>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18"/>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504"/>
        <w:gridCol w:w="504"/>
        <w:gridCol w:w="504"/>
        <w:gridCol w:w="504"/>
        <w:gridCol w:w="504"/>
        <w:gridCol w:w="504"/>
        <w:gridCol w:w="505"/>
        <w:gridCol w:w="505"/>
        <w:gridCol w:w="505"/>
        <w:gridCol w:w="505"/>
        <w:gridCol w:w="505"/>
        <w:gridCol w:w="505"/>
        <w:gridCol w:w="505"/>
        <w:gridCol w:w="505"/>
        <w:gridCol w:w="505"/>
        <w:gridCol w:w="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92" w:type="pct"/>
            <w:tcBorders>
              <w:tl2br w:val="single" w:color="auto" w:sz="4" w:space="0"/>
            </w:tcBorders>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vAlign w:val="center"/>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vAlign w:val="center"/>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vAlign w:val="center"/>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r>
    </w:tbl>
    <w:p>
      <w:pPr>
        <w:autoSpaceDE w:val="0"/>
        <w:autoSpaceDN w:val="0"/>
        <w:spacing w:line="360" w:lineRule="auto"/>
        <w:rPr>
          <w:rFonts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 w:hAnsi="仿宋" w:eastAsia="仿宋" w:cs="仿宋"/>
          <w:color w:val="auto"/>
          <w:kern w:val="0"/>
          <w:sz w:val="24"/>
          <w:highlight w:val="none"/>
        </w:rPr>
      </w:pPr>
    </w:p>
    <w:p>
      <w:pPr>
        <w:spacing w:line="360" w:lineRule="auto"/>
        <w:jc w:val="center"/>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十、售后服务方案</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pStyle w:val="24"/>
        <w:rPr>
          <w:rFonts w:ascii="仿宋" w:hAnsi="仿宋" w:eastAsia="仿宋" w:cs="仿宋"/>
          <w:color w:val="auto"/>
          <w:highlight w:val="none"/>
        </w:rPr>
      </w:pPr>
    </w:p>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2132"/>
        <w:gridCol w:w="1600"/>
        <w:gridCol w:w="1229"/>
        <w:gridCol w:w="2149"/>
        <w:gridCol w:w="1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445" w:type="pct"/>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162" w:type="pct"/>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872" w:type="pct"/>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670" w:type="pct"/>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1171" w:type="pct"/>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678" w:type="pct"/>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tcPr>
          <w:p>
            <w:pPr>
              <w:autoSpaceDE w:val="0"/>
              <w:autoSpaceDN w:val="0"/>
              <w:spacing w:line="360" w:lineRule="auto"/>
              <w:jc w:val="center"/>
              <w:rPr>
                <w:rFonts w:ascii="仿宋" w:hAnsi="仿宋" w:eastAsia="仿宋" w:cs="仿宋"/>
                <w:color w:val="auto"/>
                <w:sz w:val="24"/>
                <w:highlight w:val="none"/>
              </w:rPr>
            </w:pPr>
          </w:p>
        </w:tc>
        <w:tc>
          <w:tcPr>
            <w:tcW w:w="1162" w:type="pct"/>
          </w:tcPr>
          <w:p>
            <w:pPr>
              <w:autoSpaceDE w:val="0"/>
              <w:autoSpaceDN w:val="0"/>
              <w:spacing w:line="360" w:lineRule="auto"/>
              <w:jc w:val="center"/>
              <w:rPr>
                <w:rFonts w:ascii="仿宋" w:hAnsi="仿宋" w:eastAsia="仿宋" w:cs="仿宋"/>
                <w:color w:val="auto"/>
                <w:sz w:val="24"/>
                <w:highlight w:val="none"/>
              </w:rPr>
            </w:pPr>
          </w:p>
        </w:tc>
        <w:tc>
          <w:tcPr>
            <w:tcW w:w="872" w:type="pct"/>
          </w:tcPr>
          <w:p>
            <w:pPr>
              <w:autoSpaceDE w:val="0"/>
              <w:autoSpaceDN w:val="0"/>
              <w:spacing w:line="360" w:lineRule="auto"/>
              <w:jc w:val="center"/>
              <w:rPr>
                <w:rFonts w:ascii="仿宋" w:hAnsi="仿宋" w:eastAsia="仿宋" w:cs="仿宋"/>
                <w:color w:val="auto"/>
                <w:sz w:val="24"/>
                <w:highlight w:val="none"/>
              </w:rPr>
            </w:pPr>
          </w:p>
        </w:tc>
        <w:tc>
          <w:tcPr>
            <w:tcW w:w="670" w:type="pct"/>
          </w:tcPr>
          <w:p>
            <w:pPr>
              <w:autoSpaceDE w:val="0"/>
              <w:autoSpaceDN w:val="0"/>
              <w:spacing w:line="360" w:lineRule="auto"/>
              <w:jc w:val="center"/>
              <w:rPr>
                <w:rFonts w:ascii="仿宋" w:hAnsi="仿宋" w:eastAsia="仿宋" w:cs="仿宋"/>
                <w:color w:val="auto"/>
                <w:sz w:val="24"/>
                <w:highlight w:val="none"/>
              </w:rPr>
            </w:pPr>
          </w:p>
        </w:tc>
        <w:tc>
          <w:tcPr>
            <w:tcW w:w="1171" w:type="pct"/>
          </w:tcPr>
          <w:p>
            <w:pPr>
              <w:autoSpaceDE w:val="0"/>
              <w:autoSpaceDN w:val="0"/>
              <w:spacing w:line="360" w:lineRule="auto"/>
              <w:jc w:val="center"/>
              <w:rPr>
                <w:rFonts w:ascii="仿宋" w:hAnsi="仿宋" w:eastAsia="仿宋" w:cs="仿宋"/>
                <w:color w:val="auto"/>
                <w:sz w:val="24"/>
                <w:highlight w:val="none"/>
              </w:rPr>
            </w:pPr>
          </w:p>
        </w:tc>
        <w:tc>
          <w:tcPr>
            <w:tcW w:w="678" w:type="pct"/>
          </w:tcPr>
          <w:p>
            <w:pPr>
              <w:autoSpaceDE w:val="0"/>
              <w:autoSpaceDN w:val="0"/>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tcPr>
          <w:p>
            <w:pPr>
              <w:autoSpaceDE w:val="0"/>
              <w:autoSpaceDN w:val="0"/>
              <w:spacing w:line="360" w:lineRule="auto"/>
              <w:jc w:val="center"/>
              <w:rPr>
                <w:rFonts w:ascii="仿宋" w:hAnsi="仿宋" w:eastAsia="仿宋" w:cs="仿宋"/>
                <w:color w:val="auto"/>
                <w:sz w:val="24"/>
                <w:highlight w:val="none"/>
              </w:rPr>
            </w:pPr>
          </w:p>
        </w:tc>
        <w:tc>
          <w:tcPr>
            <w:tcW w:w="1162" w:type="pct"/>
          </w:tcPr>
          <w:p>
            <w:pPr>
              <w:autoSpaceDE w:val="0"/>
              <w:autoSpaceDN w:val="0"/>
              <w:spacing w:line="360" w:lineRule="auto"/>
              <w:jc w:val="center"/>
              <w:rPr>
                <w:rFonts w:ascii="仿宋" w:hAnsi="仿宋" w:eastAsia="仿宋" w:cs="仿宋"/>
                <w:color w:val="auto"/>
                <w:sz w:val="24"/>
                <w:highlight w:val="none"/>
              </w:rPr>
            </w:pPr>
          </w:p>
        </w:tc>
        <w:tc>
          <w:tcPr>
            <w:tcW w:w="872" w:type="pct"/>
          </w:tcPr>
          <w:p>
            <w:pPr>
              <w:autoSpaceDE w:val="0"/>
              <w:autoSpaceDN w:val="0"/>
              <w:spacing w:line="360" w:lineRule="auto"/>
              <w:jc w:val="center"/>
              <w:rPr>
                <w:rFonts w:ascii="仿宋" w:hAnsi="仿宋" w:eastAsia="仿宋" w:cs="仿宋"/>
                <w:color w:val="auto"/>
                <w:sz w:val="24"/>
                <w:highlight w:val="none"/>
              </w:rPr>
            </w:pPr>
          </w:p>
        </w:tc>
        <w:tc>
          <w:tcPr>
            <w:tcW w:w="670" w:type="pct"/>
          </w:tcPr>
          <w:p>
            <w:pPr>
              <w:autoSpaceDE w:val="0"/>
              <w:autoSpaceDN w:val="0"/>
              <w:spacing w:line="360" w:lineRule="auto"/>
              <w:jc w:val="center"/>
              <w:rPr>
                <w:rFonts w:ascii="仿宋" w:hAnsi="仿宋" w:eastAsia="仿宋" w:cs="仿宋"/>
                <w:color w:val="auto"/>
                <w:sz w:val="24"/>
                <w:highlight w:val="none"/>
              </w:rPr>
            </w:pPr>
          </w:p>
        </w:tc>
        <w:tc>
          <w:tcPr>
            <w:tcW w:w="1171" w:type="pct"/>
          </w:tcPr>
          <w:p>
            <w:pPr>
              <w:autoSpaceDE w:val="0"/>
              <w:autoSpaceDN w:val="0"/>
              <w:spacing w:line="360" w:lineRule="auto"/>
              <w:jc w:val="center"/>
              <w:rPr>
                <w:rFonts w:ascii="仿宋" w:hAnsi="仿宋" w:eastAsia="仿宋" w:cs="仿宋"/>
                <w:color w:val="auto"/>
                <w:sz w:val="24"/>
                <w:highlight w:val="none"/>
              </w:rPr>
            </w:pPr>
          </w:p>
        </w:tc>
        <w:tc>
          <w:tcPr>
            <w:tcW w:w="678" w:type="pct"/>
          </w:tcPr>
          <w:p>
            <w:pPr>
              <w:autoSpaceDE w:val="0"/>
              <w:autoSpaceDN w:val="0"/>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tcPr>
          <w:p>
            <w:pPr>
              <w:autoSpaceDE w:val="0"/>
              <w:autoSpaceDN w:val="0"/>
              <w:spacing w:line="360" w:lineRule="auto"/>
              <w:jc w:val="center"/>
              <w:rPr>
                <w:rFonts w:ascii="仿宋" w:hAnsi="仿宋" w:eastAsia="仿宋" w:cs="仿宋"/>
                <w:color w:val="auto"/>
                <w:sz w:val="24"/>
                <w:highlight w:val="none"/>
              </w:rPr>
            </w:pPr>
          </w:p>
        </w:tc>
        <w:tc>
          <w:tcPr>
            <w:tcW w:w="1162" w:type="pct"/>
          </w:tcPr>
          <w:p>
            <w:pPr>
              <w:autoSpaceDE w:val="0"/>
              <w:autoSpaceDN w:val="0"/>
              <w:spacing w:line="360" w:lineRule="auto"/>
              <w:jc w:val="center"/>
              <w:rPr>
                <w:rFonts w:ascii="仿宋" w:hAnsi="仿宋" w:eastAsia="仿宋" w:cs="仿宋"/>
                <w:color w:val="auto"/>
                <w:sz w:val="24"/>
                <w:highlight w:val="none"/>
              </w:rPr>
            </w:pPr>
          </w:p>
        </w:tc>
        <w:tc>
          <w:tcPr>
            <w:tcW w:w="872" w:type="pct"/>
          </w:tcPr>
          <w:p>
            <w:pPr>
              <w:autoSpaceDE w:val="0"/>
              <w:autoSpaceDN w:val="0"/>
              <w:spacing w:line="360" w:lineRule="auto"/>
              <w:jc w:val="center"/>
              <w:rPr>
                <w:rFonts w:ascii="仿宋" w:hAnsi="仿宋" w:eastAsia="仿宋" w:cs="仿宋"/>
                <w:color w:val="auto"/>
                <w:sz w:val="24"/>
                <w:highlight w:val="none"/>
              </w:rPr>
            </w:pPr>
          </w:p>
        </w:tc>
        <w:tc>
          <w:tcPr>
            <w:tcW w:w="670" w:type="pct"/>
          </w:tcPr>
          <w:p>
            <w:pPr>
              <w:autoSpaceDE w:val="0"/>
              <w:autoSpaceDN w:val="0"/>
              <w:spacing w:line="360" w:lineRule="auto"/>
              <w:jc w:val="center"/>
              <w:rPr>
                <w:rFonts w:ascii="仿宋" w:hAnsi="仿宋" w:eastAsia="仿宋" w:cs="仿宋"/>
                <w:color w:val="auto"/>
                <w:sz w:val="24"/>
                <w:highlight w:val="none"/>
              </w:rPr>
            </w:pPr>
          </w:p>
        </w:tc>
        <w:tc>
          <w:tcPr>
            <w:tcW w:w="1171" w:type="pct"/>
          </w:tcPr>
          <w:p>
            <w:pPr>
              <w:autoSpaceDE w:val="0"/>
              <w:autoSpaceDN w:val="0"/>
              <w:spacing w:line="360" w:lineRule="auto"/>
              <w:jc w:val="center"/>
              <w:rPr>
                <w:rFonts w:ascii="仿宋" w:hAnsi="仿宋" w:eastAsia="仿宋" w:cs="仿宋"/>
                <w:color w:val="auto"/>
                <w:sz w:val="24"/>
                <w:highlight w:val="none"/>
              </w:rPr>
            </w:pPr>
          </w:p>
        </w:tc>
        <w:tc>
          <w:tcPr>
            <w:tcW w:w="678" w:type="pct"/>
          </w:tcPr>
          <w:p>
            <w:pPr>
              <w:autoSpaceDE w:val="0"/>
              <w:autoSpaceDN w:val="0"/>
              <w:spacing w:line="360" w:lineRule="auto"/>
              <w:jc w:val="center"/>
              <w:rPr>
                <w:rFonts w:ascii="仿宋" w:hAnsi="仿宋" w:eastAsia="仿宋" w:cs="仿宋"/>
                <w:color w:val="auto"/>
                <w:sz w:val="24"/>
                <w:highlight w:val="none"/>
              </w:rPr>
            </w:pPr>
          </w:p>
        </w:tc>
      </w:tr>
    </w:tbl>
    <w:p>
      <w:pPr>
        <w:autoSpaceDE w:val="0"/>
        <w:autoSpaceDN w:val="0"/>
        <w:rPr>
          <w:rFonts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18"/>
        <w:tblW w:w="4996" w:type="pct"/>
        <w:jc w:val="center"/>
        <w:tblLayout w:type="autofit"/>
        <w:tblCellMar>
          <w:top w:w="0" w:type="dxa"/>
          <w:left w:w="108" w:type="dxa"/>
          <w:bottom w:w="0" w:type="dxa"/>
          <w:right w:w="108" w:type="dxa"/>
        </w:tblCellMar>
      </w:tblPr>
      <w:tblGrid>
        <w:gridCol w:w="456"/>
        <w:gridCol w:w="700"/>
        <w:gridCol w:w="739"/>
        <w:gridCol w:w="456"/>
        <w:gridCol w:w="849"/>
        <w:gridCol w:w="1023"/>
        <w:gridCol w:w="1023"/>
        <w:gridCol w:w="1024"/>
        <w:gridCol w:w="1199"/>
        <w:gridCol w:w="850"/>
        <w:gridCol w:w="848"/>
      </w:tblGrid>
      <w:tr>
        <w:tblPrEx>
          <w:tblCellMar>
            <w:top w:w="0" w:type="dxa"/>
            <w:left w:w="108" w:type="dxa"/>
            <w:bottom w:w="0" w:type="dxa"/>
            <w:right w:w="108" w:type="dxa"/>
          </w:tblCellMar>
        </w:tblPrEx>
        <w:trPr>
          <w:trHeight w:val="20" w:hRule="atLeast"/>
          <w:jc w:val="center"/>
        </w:trPr>
        <w:tc>
          <w:tcPr>
            <w:tcW w:w="189" w:type="pct"/>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92" w:type="pct"/>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413"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216"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473"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568"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568"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568"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663"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473"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472"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189" w:type="pct"/>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highlight w:val="none"/>
              </w:rPr>
            </w:pPr>
          </w:p>
        </w:tc>
        <w:tc>
          <w:tcPr>
            <w:tcW w:w="392" w:type="pct"/>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41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216"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66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2"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189" w:type="pct"/>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highlight w:val="none"/>
              </w:rPr>
            </w:pPr>
          </w:p>
        </w:tc>
        <w:tc>
          <w:tcPr>
            <w:tcW w:w="392" w:type="pct"/>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41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216"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66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2"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189" w:type="pct"/>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highlight w:val="none"/>
              </w:rPr>
            </w:pPr>
          </w:p>
        </w:tc>
        <w:tc>
          <w:tcPr>
            <w:tcW w:w="392" w:type="pct"/>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41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216"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66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2"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r>
    </w:tbl>
    <w:p>
      <w:pPr>
        <w:spacing w:line="360" w:lineRule="auto"/>
        <w:ind w:firstLine="480" w:firstLineChars="200"/>
        <w:rPr>
          <w:rFonts w:ascii="仿宋" w:hAnsi="仿宋" w:eastAsia="仿宋" w:cs="仿宋"/>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p>
    <w:p>
      <w:pPr>
        <w:spacing w:line="36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十一、投标人售后服务能力证明材料</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pPr>
        <w:spacing w:line="336" w:lineRule="auto"/>
        <w:ind w:firstLine="3600" w:firstLineChars="1500"/>
        <w:rPr>
          <w:rFonts w:ascii="仿宋" w:hAnsi="仿宋" w:eastAsia="仿宋" w:cs="仿宋"/>
          <w:color w:val="auto"/>
          <w:sz w:val="24"/>
          <w:highlight w:val="none"/>
        </w:rPr>
      </w:pPr>
    </w:p>
    <w:p>
      <w:pPr>
        <w:pStyle w:val="24"/>
        <w:rPr>
          <w:rFonts w:ascii="仿宋" w:hAnsi="仿宋" w:eastAsia="仿宋" w:cs="仿宋"/>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十二、项目小组人员名单</w:t>
      </w:r>
    </w:p>
    <w:p>
      <w:pPr>
        <w:spacing w:line="360" w:lineRule="auto"/>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18"/>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bl>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pStyle w:val="24"/>
        <w:rPr>
          <w:rFonts w:ascii="仿宋" w:hAnsi="仿宋" w:eastAsia="仿宋" w:cs="仿宋"/>
          <w:color w:val="auto"/>
          <w:highlight w:val="none"/>
        </w:rPr>
      </w:pPr>
    </w:p>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18"/>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bl>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pStyle w:val="24"/>
        <w:rPr>
          <w:rFonts w:ascii="仿宋" w:hAnsi="仿宋" w:eastAsia="仿宋" w:cs="仿宋"/>
          <w:color w:val="auto"/>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ascii="仿宋" w:hAnsi="仿宋" w:eastAsia="仿宋" w:cs="仿宋"/>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 w:hAnsi="仿宋" w:eastAsia="仿宋" w:cs="仿宋"/>
          <w:b/>
          <w:bCs/>
          <w:color w:val="auto"/>
          <w:sz w:val="32"/>
          <w:szCs w:val="32"/>
          <w:highlight w:val="none"/>
        </w:rPr>
      </w:pPr>
    </w:p>
    <w:p>
      <w:pPr>
        <w:snapToGrid w:val="0"/>
        <w:spacing w:line="360" w:lineRule="auto"/>
        <w:ind w:right="960"/>
        <w:rPr>
          <w:rFonts w:ascii="仿宋" w:hAnsi="仿宋" w:eastAsia="仿宋" w:cs="仿宋"/>
          <w:color w:val="auto"/>
          <w:kern w:val="0"/>
          <w:sz w:val="24"/>
          <w:highlight w:val="none"/>
          <w:lang w:val="zh-CN"/>
        </w:rPr>
      </w:pPr>
    </w:p>
    <w:p>
      <w:pPr>
        <w:snapToGrid w:val="0"/>
        <w:spacing w:line="360" w:lineRule="auto"/>
        <w:ind w:right="960"/>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十三、</w:t>
      </w:r>
      <w:r>
        <w:rPr>
          <w:rFonts w:hint="eastAsia" w:ascii="仿宋" w:hAnsi="仿宋" w:eastAsia="仿宋" w:cs="仿宋"/>
          <w:b/>
          <w:color w:val="auto"/>
          <w:kern w:val="0"/>
          <w:sz w:val="32"/>
          <w:szCs w:val="32"/>
          <w:highlight w:val="none"/>
          <w:lang w:val="zh-CN"/>
        </w:rPr>
        <w:t>优惠条件及特殊承诺</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ascii="仿宋" w:hAnsi="仿宋" w:eastAsia="仿宋" w:cs="仿宋"/>
          <w:color w:val="auto"/>
          <w:sz w:val="18"/>
          <w:szCs w:val="18"/>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 w:hAnsi="仿宋" w:eastAsia="仿宋" w:cs="仿宋"/>
          <w:b/>
          <w:bCs/>
          <w:color w:val="auto"/>
          <w:sz w:val="18"/>
          <w:szCs w:val="18"/>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napToGrid w:val="0"/>
        <w:spacing w:line="360" w:lineRule="auto"/>
        <w:ind w:right="960"/>
        <w:jc w:val="right"/>
        <w:rPr>
          <w:rFonts w:ascii="仿宋" w:hAnsi="仿宋" w:eastAsia="仿宋" w:cs="仿宋"/>
          <w:color w:val="auto"/>
          <w:kern w:val="0"/>
          <w:sz w:val="24"/>
          <w:highlight w:val="none"/>
          <w:lang w:val="zh-CN"/>
        </w:rPr>
      </w:pPr>
    </w:p>
    <w:p>
      <w:pPr>
        <w:snapToGrid w:val="0"/>
        <w:spacing w:line="360" w:lineRule="auto"/>
        <w:ind w:right="960"/>
        <w:jc w:val="right"/>
        <w:rPr>
          <w:rFonts w:ascii="仿宋" w:hAnsi="仿宋" w:eastAsia="仿宋" w:cs="仿宋"/>
          <w:color w:val="auto"/>
          <w:kern w:val="0"/>
          <w:sz w:val="24"/>
          <w:highlight w:val="none"/>
          <w:lang w:val="zh-CN"/>
        </w:rPr>
      </w:pPr>
    </w:p>
    <w:p>
      <w:pPr>
        <w:snapToGrid w:val="0"/>
        <w:spacing w:line="360" w:lineRule="auto"/>
        <w:ind w:right="960"/>
        <w:jc w:val="right"/>
        <w:rPr>
          <w:rFonts w:ascii="仿宋" w:hAnsi="仿宋" w:eastAsia="仿宋" w:cs="仿宋"/>
          <w:color w:val="auto"/>
          <w:kern w:val="0"/>
          <w:sz w:val="24"/>
          <w:highlight w:val="none"/>
          <w:lang w:val="zh-CN"/>
        </w:rPr>
      </w:pPr>
    </w:p>
    <w:p>
      <w:pPr>
        <w:snapToGrid w:val="0"/>
        <w:spacing w:line="360" w:lineRule="auto"/>
        <w:ind w:right="960"/>
        <w:jc w:val="right"/>
        <w:rPr>
          <w:rFonts w:ascii="仿宋" w:hAnsi="仿宋" w:eastAsia="仿宋" w:cs="仿宋"/>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培训计划</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18"/>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ascii="仿宋" w:hAnsi="仿宋" w:eastAsia="仿宋" w:cs="仿宋"/>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十六、验收方案</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ascii="仿宋" w:hAnsi="仿宋" w:eastAsia="仿宋" w:cs="仿宋"/>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 w:hAnsi="仿宋" w:eastAsia="仿宋" w:cs="仿宋"/>
          <w:b/>
          <w:bCs/>
          <w:color w:val="auto"/>
          <w:sz w:val="30"/>
          <w:szCs w:val="30"/>
          <w:highlight w:val="none"/>
        </w:rPr>
      </w:pPr>
    </w:p>
    <w:p>
      <w:pPr>
        <w:spacing w:line="360" w:lineRule="auto"/>
        <w:jc w:val="center"/>
        <w:rPr>
          <w:rFonts w:ascii="仿宋" w:hAnsi="仿宋" w:eastAsia="仿宋" w:cs="仿宋"/>
          <w:b/>
          <w:bCs/>
          <w:color w:val="auto"/>
          <w:sz w:val="30"/>
          <w:szCs w:val="30"/>
          <w:highlight w:val="none"/>
        </w:rPr>
      </w:pPr>
    </w:p>
    <w:p>
      <w:pPr>
        <w:spacing w:line="360" w:lineRule="auto"/>
        <w:jc w:val="center"/>
        <w:rPr>
          <w:rFonts w:ascii="仿宋" w:hAnsi="仿宋" w:eastAsia="仿宋" w:cs="仿宋"/>
          <w:b/>
          <w:bCs/>
          <w:color w:val="auto"/>
          <w:sz w:val="24"/>
          <w:highlight w:val="none"/>
        </w:rPr>
      </w:pPr>
    </w:p>
    <w:p>
      <w:pPr>
        <w:spacing w:line="360" w:lineRule="auto"/>
        <w:jc w:val="center"/>
        <w:rPr>
          <w:rFonts w:ascii="仿宋" w:hAnsi="仿宋" w:eastAsia="仿宋" w:cs="仿宋"/>
          <w:b/>
          <w:bCs/>
          <w:color w:val="auto"/>
          <w:sz w:val="24"/>
          <w:highlight w:val="none"/>
        </w:rPr>
      </w:pPr>
    </w:p>
    <w:p>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十七、认为需要的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ascii="仿宋" w:hAnsi="仿宋" w:eastAsia="仿宋" w:cs="仿宋"/>
          <w:color w:val="auto"/>
          <w:sz w:val="24"/>
          <w:highlight w:val="none"/>
        </w:rPr>
      </w:pPr>
    </w:p>
    <w:p>
      <w:pPr>
        <w:pStyle w:val="24"/>
        <w:rPr>
          <w:rFonts w:ascii="仿宋" w:hAnsi="仿宋" w:eastAsia="仿宋" w:cs="仿宋"/>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25"/>
        <w:rPr>
          <w:rFonts w:ascii="仿宋" w:hAnsi="仿宋" w:eastAsia="仿宋" w:cs="仿宋"/>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w:t>
      </w:r>
      <w:r>
        <w:rPr>
          <w:rFonts w:hint="eastAsia" w:ascii="仿宋" w:hAnsi="仿宋" w:eastAsia="仿宋" w:cs="仿宋"/>
          <w:color w:val="auto"/>
          <w:sz w:val="24"/>
          <w:highlight w:val="none"/>
          <w:lang w:val="en-US" w:eastAsia="zh-CN"/>
        </w:rPr>
        <w:t>页码</w:t>
      </w:r>
      <w:r>
        <w:rPr>
          <w:rFonts w:hint="eastAsia" w:ascii="仿宋" w:hAnsi="仿宋" w:eastAsia="仿宋" w:cs="仿宋"/>
          <w:color w:val="auto"/>
          <w:sz w:val="24"/>
          <w:highlight w:val="none"/>
        </w:rPr>
        <w:t>）</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w:t>
      </w:r>
      <w:r>
        <w:rPr>
          <w:rFonts w:hint="eastAsia" w:ascii="仿宋" w:hAnsi="仿宋" w:eastAsia="仿宋" w:cs="仿宋"/>
          <w:color w:val="auto"/>
          <w:sz w:val="24"/>
          <w:highlight w:val="none"/>
          <w:lang w:val="en-US" w:eastAsia="zh-CN"/>
        </w:rPr>
        <w:t>页码</w:t>
      </w:r>
      <w:r>
        <w:rPr>
          <w:rFonts w:hint="eastAsia" w:ascii="仿宋" w:hAnsi="仿宋" w:eastAsia="仿宋" w:cs="仿宋"/>
          <w:color w:val="auto"/>
          <w:sz w:val="24"/>
          <w:highlight w:val="none"/>
        </w:rPr>
        <w:t>）</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w:t>
      </w:r>
      <w:r>
        <w:rPr>
          <w:rFonts w:hint="eastAsia" w:ascii="仿宋" w:hAnsi="仿宋" w:eastAsia="仿宋" w:cs="仿宋"/>
          <w:color w:val="auto"/>
          <w:sz w:val="24"/>
          <w:highlight w:val="none"/>
          <w:lang w:val="en-US" w:eastAsia="zh-CN"/>
        </w:rPr>
        <w:t>页码</w:t>
      </w:r>
      <w:r>
        <w:rPr>
          <w:rFonts w:hint="eastAsia" w:ascii="仿宋" w:hAnsi="仿宋" w:eastAsia="仿宋" w:cs="仿宋"/>
          <w:color w:val="auto"/>
          <w:sz w:val="24"/>
          <w:highlight w:val="none"/>
        </w:rPr>
        <w:t>）</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rPr>
          <w:rFonts w:ascii="仿宋" w:hAnsi="仿宋" w:eastAsia="仿宋" w:cs="仿宋"/>
          <w:b/>
          <w:color w:val="auto"/>
          <w:kern w:val="0"/>
          <w:sz w:val="32"/>
          <w:szCs w:val="32"/>
          <w:highlight w:val="none"/>
        </w:rPr>
      </w:pPr>
    </w:p>
    <w:p>
      <w:pPr>
        <w:pStyle w:val="38"/>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pPr>
        <w:pStyle w:val="38"/>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1371"/>
        <w:gridCol w:w="2397"/>
        <w:gridCol w:w="2428"/>
        <w:gridCol w:w="1763"/>
        <w:gridCol w:w="2129"/>
        <w:gridCol w:w="3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75"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86"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850" w:type="pct"/>
          </w:tcPr>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860"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625"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755"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单价</w:t>
            </w:r>
            <w:r>
              <w:rPr>
                <w:rFonts w:hint="eastAsia" w:ascii="仿宋" w:hAnsi="仿宋" w:eastAsia="仿宋" w:cs="仿宋"/>
                <w:b/>
                <w:color w:val="auto"/>
                <w:sz w:val="24"/>
                <w:highlight w:val="none"/>
              </w:rPr>
              <w:t>折扣系数</w:t>
            </w:r>
          </w:p>
        </w:tc>
        <w:tc>
          <w:tcPr>
            <w:tcW w:w="1247" w:type="pct"/>
            <w:vAlign w:val="center"/>
          </w:tcPr>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75" w:type="pct"/>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486" w:type="pct"/>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850" w:type="pct"/>
            <w:vAlign w:val="center"/>
          </w:tcPr>
          <w:p>
            <w:pPr>
              <w:snapToGrid w:val="0"/>
              <w:spacing w:line="360" w:lineRule="auto"/>
              <w:jc w:val="center"/>
              <w:rPr>
                <w:rFonts w:ascii="仿宋" w:hAnsi="仿宋" w:eastAsia="仿宋" w:cs="仿宋"/>
                <w:color w:val="auto"/>
                <w:sz w:val="24"/>
                <w:highlight w:val="none"/>
              </w:rPr>
            </w:pPr>
          </w:p>
        </w:tc>
        <w:tc>
          <w:tcPr>
            <w:tcW w:w="860" w:type="pct"/>
            <w:vAlign w:val="center"/>
          </w:tcPr>
          <w:p>
            <w:pPr>
              <w:snapToGrid w:val="0"/>
              <w:spacing w:line="360" w:lineRule="auto"/>
              <w:jc w:val="center"/>
              <w:rPr>
                <w:rFonts w:ascii="仿宋" w:hAnsi="仿宋" w:eastAsia="仿宋" w:cs="仿宋"/>
                <w:color w:val="auto"/>
                <w:sz w:val="24"/>
                <w:highlight w:val="none"/>
              </w:rPr>
            </w:pPr>
          </w:p>
        </w:tc>
        <w:tc>
          <w:tcPr>
            <w:tcW w:w="625" w:type="pct"/>
            <w:vAlign w:val="center"/>
          </w:tcPr>
          <w:p>
            <w:pPr>
              <w:snapToGrid w:val="0"/>
              <w:spacing w:line="360" w:lineRule="auto"/>
              <w:jc w:val="center"/>
              <w:rPr>
                <w:rFonts w:ascii="仿宋" w:hAnsi="仿宋" w:eastAsia="仿宋" w:cs="仿宋"/>
                <w:color w:val="auto"/>
                <w:sz w:val="24"/>
                <w:highlight w:val="none"/>
              </w:rPr>
            </w:pPr>
          </w:p>
        </w:tc>
        <w:tc>
          <w:tcPr>
            <w:tcW w:w="755" w:type="pct"/>
            <w:vAlign w:val="center"/>
          </w:tcPr>
          <w:p>
            <w:pPr>
              <w:spacing w:line="360" w:lineRule="auto"/>
              <w:jc w:val="center"/>
              <w:rPr>
                <w:rFonts w:ascii="仿宋" w:hAnsi="仿宋" w:eastAsia="仿宋" w:cs="仿宋"/>
                <w:color w:val="auto"/>
                <w:sz w:val="24"/>
                <w:highlight w:val="none"/>
              </w:rPr>
            </w:pPr>
          </w:p>
        </w:tc>
        <w:tc>
          <w:tcPr>
            <w:tcW w:w="1247" w:type="pct"/>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75" w:type="pct"/>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486" w:type="pct"/>
            <w:vAlign w:val="center"/>
          </w:tcPr>
          <w:p>
            <w:pPr>
              <w:snapToGrid w:val="0"/>
              <w:spacing w:line="360" w:lineRule="auto"/>
              <w:jc w:val="center"/>
              <w:rPr>
                <w:rFonts w:ascii="仿宋" w:hAnsi="仿宋" w:eastAsia="仿宋" w:cs="仿宋"/>
                <w:color w:val="auto"/>
                <w:sz w:val="24"/>
                <w:highlight w:val="none"/>
              </w:rPr>
            </w:pPr>
          </w:p>
        </w:tc>
        <w:tc>
          <w:tcPr>
            <w:tcW w:w="850" w:type="pct"/>
            <w:vAlign w:val="center"/>
          </w:tcPr>
          <w:p>
            <w:pPr>
              <w:snapToGrid w:val="0"/>
              <w:spacing w:line="360" w:lineRule="auto"/>
              <w:jc w:val="center"/>
              <w:rPr>
                <w:rFonts w:ascii="仿宋" w:hAnsi="仿宋" w:eastAsia="仿宋" w:cs="仿宋"/>
                <w:color w:val="auto"/>
                <w:sz w:val="24"/>
                <w:highlight w:val="none"/>
              </w:rPr>
            </w:pPr>
          </w:p>
        </w:tc>
        <w:tc>
          <w:tcPr>
            <w:tcW w:w="860" w:type="pct"/>
            <w:vAlign w:val="center"/>
          </w:tcPr>
          <w:p>
            <w:pPr>
              <w:snapToGrid w:val="0"/>
              <w:spacing w:line="360" w:lineRule="auto"/>
              <w:jc w:val="center"/>
              <w:rPr>
                <w:rFonts w:ascii="仿宋" w:hAnsi="仿宋" w:eastAsia="仿宋" w:cs="仿宋"/>
                <w:color w:val="auto"/>
                <w:sz w:val="24"/>
                <w:highlight w:val="none"/>
              </w:rPr>
            </w:pPr>
          </w:p>
        </w:tc>
        <w:tc>
          <w:tcPr>
            <w:tcW w:w="625" w:type="pct"/>
            <w:vAlign w:val="center"/>
          </w:tcPr>
          <w:p>
            <w:pPr>
              <w:snapToGrid w:val="0"/>
              <w:spacing w:line="360" w:lineRule="auto"/>
              <w:jc w:val="center"/>
              <w:rPr>
                <w:rFonts w:ascii="仿宋" w:hAnsi="仿宋" w:eastAsia="仿宋" w:cs="仿宋"/>
                <w:color w:val="auto"/>
                <w:sz w:val="24"/>
                <w:highlight w:val="none"/>
              </w:rPr>
            </w:pPr>
          </w:p>
        </w:tc>
        <w:tc>
          <w:tcPr>
            <w:tcW w:w="755" w:type="pct"/>
            <w:vAlign w:val="center"/>
          </w:tcPr>
          <w:p>
            <w:pPr>
              <w:spacing w:line="360" w:lineRule="auto"/>
              <w:jc w:val="center"/>
              <w:rPr>
                <w:rFonts w:ascii="仿宋" w:hAnsi="仿宋" w:eastAsia="仿宋" w:cs="仿宋"/>
                <w:color w:val="auto"/>
                <w:sz w:val="24"/>
                <w:highlight w:val="none"/>
              </w:rPr>
            </w:pPr>
          </w:p>
        </w:tc>
        <w:tc>
          <w:tcPr>
            <w:tcW w:w="1247" w:type="pct"/>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75" w:type="pct"/>
            <w:vAlign w:val="center"/>
          </w:tcPr>
          <w:p>
            <w:pPr>
              <w:spacing w:line="360" w:lineRule="auto"/>
              <w:jc w:val="center"/>
              <w:rPr>
                <w:rFonts w:ascii="仿宋" w:hAnsi="仿宋" w:eastAsia="仿宋" w:cs="仿宋"/>
                <w:color w:val="auto"/>
                <w:sz w:val="24"/>
                <w:highlight w:val="none"/>
              </w:rPr>
            </w:pPr>
          </w:p>
        </w:tc>
        <w:tc>
          <w:tcPr>
            <w:tcW w:w="486" w:type="pct"/>
            <w:vAlign w:val="center"/>
          </w:tcPr>
          <w:p>
            <w:pPr>
              <w:snapToGrid w:val="0"/>
              <w:spacing w:line="360" w:lineRule="auto"/>
              <w:jc w:val="center"/>
              <w:rPr>
                <w:rFonts w:ascii="仿宋" w:hAnsi="仿宋" w:eastAsia="仿宋" w:cs="仿宋"/>
                <w:color w:val="auto"/>
                <w:sz w:val="24"/>
                <w:highlight w:val="none"/>
              </w:rPr>
            </w:pPr>
          </w:p>
        </w:tc>
        <w:tc>
          <w:tcPr>
            <w:tcW w:w="850" w:type="pct"/>
            <w:vAlign w:val="center"/>
          </w:tcPr>
          <w:p>
            <w:pPr>
              <w:snapToGrid w:val="0"/>
              <w:spacing w:line="360" w:lineRule="auto"/>
              <w:jc w:val="center"/>
              <w:rPr>
                <w:rFonts w:ascii="仿宋" w:hAnsi="仿宋" w:eastAsia="仿宋" w:cs="仿宋"/>
                <w:color w:val="auto"/>
                <w:sz w:val="24"/>
                <w:highlight w:val="none"/>
              </w:rPr>
            </w:pPr>
          </w:p>
        </w:tc>
        <w:tc>
          <w:tcPr>
            <w:tcW w:w="860" w:type="pct"/>
            <w:vAlign w:val="center"/>
          </w:tcPr>
          <w:p>
            <w:pPr>
              <w:snapToGrid w:val="0"/>
              <w:spacing w:line="360" w:lineRule="auto"/>
              <w:jc w:val="center"/>
              <w:rPr>
                <w:rFonts w:ascii="仿宋" w:hAnsi="仿宋" w:eastAsia="仿宋" w:cs="仿宋"/>
                <w:color w:val="auto"/>
                <w:sz w:val="24"/>
                <w:highlight w:val="none"/>
              </w:rPr>
            </w:pPr>
          </w:p>
        </w:tc>
        <w:tc>
          <w:tcPr>
            <w:tcW w:w="625" w:type="pct"/>
            <w:vAlign w:val="center"/>
          </w:tcPr>
          <w:p>
            <w:pPr>
              <w:snapToGrid w:val="0"/>
              <w:spacing w:line="360" w:lineRule="auto"/>
              <w:jc w:val="center"/>
              <w:rPr>
                <w:rFonts w:ascii="仿宋" w:hAnsi="仿宋" w:eastAsia="仿宋" w:cs="仿宋"/>
                <w:color w:val="auto"/>
                <w:sz w:val="24"/>
                <w:highlight w:val="none"/>
              </w:rPr>
            </w:pPr>
          </w:p>
        </w:tc>
        <w:tc>
          <w:tcPr>
            <w:tcW w:w="755" w:type="pct"/>
            <w:vAlign w:val="center"/>
          </w:tcPr>
          <w:p>
            <w:pPr>
              <w:spacing w:line="360" w:lineRule="auto"/>
              <w:jc w:val="center"/>
              <w:rPr>
                <w:rFonts w:ascii="仿宋" w:hAnsi="仿宋" w:eastAsia="仿宋" w:cs="仿宋"/>
                <w:color w:val="auto"/>
                <w:sz w:val="24"/>
                <w:highlight w:val="none"/>
              </w:rPr>
            </w:pPr>
          </w:p>
        </w:tc>
        <w:tc>
          <w:tcPr>
            <w:tcW w:w="1247" w:type="pct"/>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372" w:type="pct"/>
            <w:gridSpan w:val="4"/>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折扣系数</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（小写）</w:t>
            </w:r>
          </w:p>
        </w:tc>
        <w:tc>
          <w:tcPr>
            <w:tcW w:w="2627" w:type="pct"/>
            <w:gridSpan w:val="3"/>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372" w:type="pct"/>
            <w:gridSpan w:val="4"/>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折扣系数</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（大写）</w:t>
            </w:r>
          </w:p>
        </w:tc>
        <w:tc>
          <w:tcPr>
            <w:tcW w:w="2627" w:type="pct"/>
            <w:gridSpan w:val="3"/>
            <w:vAlign w:val="center"/>
          </w:tcPr>
          <w:p>
            <w:pPr>
              <w:spacing w:line="360" w:lineRule="auto"/>
              <w:jc w:val="center"/>
              <w:rPr>
                <w:rFonts w:ascii="仿宋" w:hAnsi="仿宋" w:eastAsia="仿宋" w:cs="仿宋"/>
                <w:color w:val="auto"/>
                <w:sz w:val="24"/>
                <w:highlight w:val="none"/>
              </w:rPr>
            </w:pPr>
          </w:p>
        </w:tc>
      </w:tr>
    </w:tbl>
    <w:p>
      <w:pPr>
        <w:snapToGrid w:val="0"/>
        <w:spacing w:line="360" w:lineRule="auto"/>
        <w:ind w:left="480"/>
        <w:rPr>
          <w:rFonts w:ascii="仿宋" w:hAnsi="仿宋" w:eastAsia="仿宋" w:cs="仿宋"/>
          <w:b/>
          <w:color w:val="auto"/>
          <w:kern w:val="0"/>
          <w:sz w:val="24"/>
          <w:highlight w:val="none"/>
          <w:lang w:val="zh-CN"/>
        </w:rPr>
      </w:pPr>
    </w:p>
    <w:p>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auto"/>
          <w:kern w:val="0"/>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pStyle w:val="38"/>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38"/>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38"/>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38"/>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89" w:name="_Hlk101259491"/>
      <w:r>
        <w:rPr>
          <w:rFonts w:hint="eastAsia" w:ascii="仿宋" w:hAnsi="仿宋" w:eastAsia="仿宋" w:cs="仿宋"/>
          <w:color w:val="auto"/>
          <w:sz w:val="32"/>
          <w:szCs w:val="32"/>
          <w:highlight w:val="none"/>
        </w:rPr>
        <w:t>（如果有）</w:t>
      </w:r>
      <w:bookmarkEnd w:id="189"/>
    </w:p>
    <w:p>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4"/>
        <w:rPr>
          <w:rFonts w:ascii="仿宋" w:hAnsi="仿宋" w:eastAsia="仿宋" w:cs="仿宋"/>
          <w:b/>
          <w:color w:val="auto"/>
          <w:highlight w:val="none"/>
        </w:rPr>
      </w:pPr>
    </w:p>
    <w:p>
      <w:pPr>
        <w:pStyle w:val="25"/>
        <w:rPr>
          <w:rFonts w:ascii="仿宋" w:hAnsi="仿宋" w:eastAsia="仿宋" w:cs="仿宋"/>
          <w:b/>
          <w:color w:val="auto"/>
          <w:sz w:val="24"/>
          <w:highlight w:val="none"/>
        </w:rPr>
      </w:pPr>
    </w:p>
    <w:p>
      <w:pPr>
        <w:rPr>
          <w:rFonts w:ascii="仿宋" w:hAnsi="仿宋" w:eastAsia="仿宋" w:cs="仿宋"/>
          <w:b/>
          <w:color w:val="auto"/>
          <w:sz w:val="24"/>
          <w:highlight w:val="none"/>
        </w:rPr>
      </w:pPr>
    </w:p>
    <w:p>
      <w:pPr>
        <w:pStyle w:val="24"/>
        <w:rPr>
          <w:rFonts w:ascii="仿宋" w:hAnsi="仿宋" w:eastAsia="仿宋" w:cs="仿宋"/>
          <w:b/>
          <w:color w:val="auto"/>
          <w:highlight w:val="none"/>
        </w:rPr>
      </w:pPr>
    </w:p>
    <w:p>
      <w:pPr>
        <w:pStyle w:val="25"/>
        <w:rPr>
          <w:rFonts w:ascii="仿宋" w:hAnsi="仿宋" w:eastAsia="仿宋" w:cs="仿宋"/>
          <w:color w:val="auto"/>
          <w:highlight w:val="none"/>
        </w:rPr>
      </w:pPr>
    </w:p>
    <w:p>
      <w:pPr>
        <w:pStyle w:val="25"/>
        <w:rPr>
          <w:rFonts w:ascii="仿宋" w:hAnsi="仿宋" w:eastAsia="仿宋" w:cs="仿宋"/>
          <w:color w:val="auto"/>
          <w:highlight w:val="none"/>
        </w:rPr>
      </w:pPr>
    </w:p>
    <w:p>
      <w:pPr>
        <w:widowControl/>
        <w:spacing w:line="360" w:lineRule="auto"/>
        <w:ind w:firstLine="161" w:firstLineChars="50"/>
        <w:jc w:val="center"/>
        <w:rPr>
          <w:rFonts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pPr>
        <w:pStyle w:val="24"/>
        <w:widowControl/>
        <w:spacing w:line="360" w:lineRule="auto"/>
        <w:ind w:firstLine="120" w:firstLineChars="50"/>
        <w:rPr>
          <w:rFonts w:ascii="仿宋" w:hAnsi="仿宋" w:eastAsia="仿宋" w:cs="仿宋"/>
          <w:b/>
          <w:color w:val="auto"/>
          <w:highlight w:val="none"/>
        </w:rPr>
      </w:pPr>
    </w:p>
    <w:p>
      <w:pPr>
        <w:pStyle w:val="25"/>
        <w:spacing w:line="360" w:lineRule="auto"/>
        <w:ind w:left="0" w:firstLine="120" w:firstLineChars="50"/>
        <w:jc w:val="left"/>
        <w:rPr>
          <w:rFonts w:ascii="仿宋" w:hAnsi="仿宋" w:eastAsia="仿宋" w:cs="仿宋"/>
          <w:b/>
          <w:color w:val="auto"/>
          <w:sz w:val="24"/>
          <w:highlight w:val="none"/>
        </w:rPr>
      </w:pPr>
    </w:p>
    <w:p>
      <w:pPr>
        <w:pStyle w:val="38"/>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pStyle w:val="4"/>
        <w:keepNext w:val="0"/>
        <w:keepLines w:val="0"/>
        <w:pageBreakBefore/>
        <w:widowControl/>
        <w:spacing w:before="100" w:beforeAutospacing="1" w:after="100" w:afterAutospacing="1" w:line="360" w:lineRule="auto"/>
        <w:rPr>
          <w:rFonts w:ascii="仿宋" w:hAnsi="仿宋" w:eastAsia="仿宋" w:cs="仿宋"/>
          <w:color w:val="auto"/>
          <w:highlight w:val="none"/>
        </w:rPr>
      </w:pPr>
      <w:bookmarkStart w:id="190" w:name="_Toc465665161"/>
      <w:r>
        <w:rPr>
          <w:rFonts w:hint="eastAsia" w:ascii="仿宋" w:hAnsi="仿宋" w:eastAsia="仿宋" w:cs="仿宋"/>
          <w:color w:val="auto"/>
          <w:highlight w:val="none"/>
        </w:rPr>
        <w:t>附件</w:t>
      </w:r>
      <w:bookmarkEnd w:id="190"/>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312"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ascii="仿宋" w:hAnsi="仿宋" w:eastAsia="仿宋" w:cs="仿宋"/>
          <w:b/>
          <w:bCs/>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highlight w:val="none"/>
        </w:rPr>
      </w:pPr>
    </w:p>
    <w:p>
      <w:pPr>
        <w:spacing w:line="360" w:lineRule="auto"/>
        <w:jc w:val="center"/>
        <w:rPr>
          <w:rFonts w:ascii="仿宋" w:hAnsi="仿宋" w:eastAsia="仿宋" w:cs="仿宋"/>
          <w:b/>
          <w:color w:val="auto"/>
          <w:spacing w:val="6"/>
          <w:sz w:val="32"/>
          <w:szCs w:val="32"/>
          <w:highlight w:val="none"/>
        </w:rPr>
      </w:pPr>
    </w:p>
    <w:p>
      <w:pPr>
        <w:pStyle w:val="4"/>
        <w:rPr>
          <w:rFonts w:ascii="仿宋" w:hAnsi="仿宋" w:eastAsia="仿宋" w:cs="仿宋"/>
          <w:color w:val="auto"/>
          <w:spacing w:val="6"/>
          <w:sz w:val="32"/>
          <w:szCs w:val="32"/>
          <w:highlight w:val="none"/>
        </w:rPr>
      </w:pPr>
    </w:p>
    <w:p>
      <w:pPr>
        <w:rPr>
          <w:rFonts w:ascii="仿宋" w:hAnsi="仿宋" w:eastAsia="仿宋" w:cs="仿宋"/>
          <w:b/>
          <w:color w:val="auto"/>
          <w:spacing w:val="6"/>
          <w:sz w:val="32"/>
          <w:szCs w:val="32"/>
          <w:highlight w:val="none"/>
        </w:rPr>
      </w:pPr>
    </w:p>
    <w:p>
      <w:pPr>
        <w:pStyle w:val="4"/>
        <w:rPr>
          <w:rFonts w:ascii="仿宋" w:hAnsi="仿宋" w:eastAsia="仿宋" w:cs="仿宋"/>
          <w:color w:val="auto"/>
          <w:spacing w:val="6"/>
          <w:sz w:val="32"/>
          <w:szCs w:val="32"/>
          <w:highlight w:val="none"/>
        </w:rPr>
      </w:pPr>
    </w:p>
    <w:p>
      <w:pP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spacing w:line="360" w:lineRule="auto"/>
        <w:rPr>
          <w:rFonts w:ascii="仿宋" w:hAnsi="仿宋" w:eastAsia="仿宋" w:cs="仿宋"/>
          <w:color w:val="auto"/>
          <w:sz w:val="24"/>
          <w:highlight w:val="none"/>
          <w:u w:val="single"/>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24"/>
        <w:rPr>
          <w:rFonts w:ascii="仿宋" w:hAnsi="仿宋" w:eastAsia="仿宋" w:cs="仿宋"/>
          <w:color w:val="auto"/>
          <w:highlight w:val="none"/>
        </w:rPr>
      </w:pPr>
    </w:p>
    <w:p>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ascii="仿宋" w:hAnsi="仿宋" w:eastAsia="仿宋" w:cs="仿宋"/>
          <w:b/>
          <w:color w:val="auto"/>
          <w:spacing w:val="6"/>
          <w:sz w:val="32"/>
          <w:szCs w:val="32"/>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2843530</wp:posOffset>
                </wp:positionH>
                <wp:positionV relativeFrom="paragraph">
                  <wp:posOffset>78105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23.9pt;margin-top:6.15pt;height:177.45pt;width:212.95pt;z-index:-251656192;mso-width-relative:page;mso-height-relative:page;" fillcolor="#FFFFFF" filled="t" stroked="t" coordsize="21600,21600" o:gfxdata="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2k1rXdkAAAAKAQAADwAAAAAAAAABACAAAAAiAAAAZHJzL2Rvd25yZXYueG1sUEsBAhQAFAAAAAgA&#10;h07iQA3yLMvrAQAAGgQAAA4AAAAAAAAAAQAgAAAAKAEAAGRycy9lMm9Eb2MueG1sUEsFBgAAAAAG&#10;AAYAWQEAAIUFAAAAAA==&#10;">
                <v:fill on="t" focussize="0,0"/>
                <v:stroke color="#000000" joinstyle="miter"/>
                <v:imagedata o:title=""/>
                <o:lock v:ext="edit" aspectratio="f"/>
              </v:rect>
            </w:pict>
          </mc:Fallback>
        </mc:AlternateConten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rPr>
          <w:rFonts w:ascii="仿宋" w:hAnsi="仿宋" w:eastAsia="仿宋" w:cs="仿宋"/>
          <w:color w:val="auto"/>
          <w:highlight w:val="none"/>
        </w:rPr>
      </w:pPr>
    </w:p>
    <w:p>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360" w:lineRule="auto"/>
        <w:ind w:firstLine="576"/>
        <w:rPr>
          <w:rFonts w:ascii="仿宋" w:hAnsi="仿宋" w:eastAsia="仿宋" w:cs="仿宋"/>
          <w:color w:val="auto"/>
          <w:kern w:val="0"/>
          <w:sz w:val="24"/>
          <w:highlight w:val="none"/>
          <w:lang w:val="zh-CN"/>
        </w:rPr>
      </w:pPr>
      <w:bookmarkStart w:id="191"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1"/>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4320" w:firstLineChars="18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4320" w:firstLineChars="18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rPr>
          <w:color w:val="auto"/>
          <w:highlight w:val="none"/>
        </w:rPr>
      </w:pPr>
      <w:r>
        <w:rPr>
          <w:rFonts w:hint="eastAsia"/>
          <w:color w:val="auto"/>
          <w:highlight w:val="none"/>
        </w:rPr>
        <w:br w:type="page"/>
      </w:r>
    </w:p>
    <w:p>
      <w:pPr>
        <w:rPr>
          <w:color w:val="auto"/>
          <w:highlight w:val="none"/>
        </w:rPr>
      </w:pPr>
    </w:p>
    <w:p>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5"/>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2"/>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24"/>
        <w:rPr>
          <w:rFonts w:ascii="仿宋" w:hAnsi="仿宋" w:eastAsia="仿宋" w:cs="仿宋"/>
          <w:b/>
          <w:color w:val="auto"/>
          <w:spacing w:val="6"/>
          <w:sz w:val="32"/>
          <w:szCs w:val="32"/>
          <w:highlight w:val="none"/>
        </w:rPr>
      </w:pPr>
    </w:p>
    <w:p>
      <w:pPr>
        <w:pStyle w:val="25"/>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24"/>
        <w:rPr>
          <w:rFonts w:ascii="仿宋" w:hAnsi="仿宋" w:eastAsia="仿宋" w:cs="仿宋"/>
          <w:b/>
          <w:color w:val="auto"/>
          <w:spacing w:val="6"/>
          <w:sz w:val="32"/>
          <w:szCs w:val="32"/>
          <w:highlight w:val="none"/>
        </w:rPr>
      </w:pPr>
    </w:p>
    <w:p>
      <w:pPr>
        <w:pStyle w:val="25"/>
        <w:rPr>
          <w:rFonts w:ascii="仿宋" w:hAnsi="仿宋" w:eastAsia="仿宋" w:cs="仿宋"/>
          <w:color w:val="auto"/>
          <w:highlight w:val="none"/>
        </w:rPr>
      </w:pPr>
    </w:p>
    <w:p>
      <w:pPr>
        <w:spacing w:line="360" w:lineRule="auto"/>
        <w:rPr>
          <w:rFonts w:ascii="仿宋" w:hAnsi="仿宋" w:eastAsia="仿宋" w:cs="仿宋"/>
          <w:b/>
          <w:color w:val="auto"/>
          <w:spacing w:val="6"/>
          <w:sz w:val="32"/>
          <w:szCs w:val="32"/>
          <w:highlight w:val="none"/>
        </w:rPr>
      </w:pPr>
      <w:bookmarkStart w:id="193" w:name="OLE_LINK14"/>
      <w:bookmarkStart w:id="194" w:name="OLE_LINK13"/>
    </w:p>
    <w:p>
      <w:pPr>
        <w:spacing w:line="360" w:lineRule="auto"/>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3"/>
    <w:bookmarkEnd w:id="194"/>
    <w:p>
      <w:pPr>
        <w:spacing w:line="360" w:lineRule="auto"/>
        <w:rPr>
          <w:rFonts w:ascii="仿宋" w:hAnsi="仿宋" w:eastAsia="仿宋" w:cs="仿宋"/>
          <w:b/>
          <w:color w:val="auto"/>
          <w:spacing w:val="6"/>
          <w:sz w:val="30"/>
          <w:szCs w:val="30"/>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spacing w:line="360" w:lineRule="auto"/>
        <w:jc w:val="center"/>
        <w:rPr>
          <w:rFonts w:ascii="仿宋" w:hAnsi="仿宋" w:eastAsia="仿宋" w:cs="仿宋"/>
          <w:color w:val="auto"/>
          <w:sz w:val="24"/>
          <w:highlight w:val="none"/>
          <w:u w:val="single"/>
        </w:rPr>
      </w:pPr>
    </w:p>
    <w:p>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3"/>
        <w:rPr>
          <w:rFonts w:ascii="仿宋" w:hAnsi="仿宋" w:eastAsia="仿宋" w:cs="仿宋"/>
          <w:color w:val="auto"/>
          <w:highlight w:val="none"/>
          <w:lang w:val="en-US"/>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18"/>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ascii="仿宋" w:hAnsi="仿宋" w:eastAsia="仿宋" w:cs="仿宋"/>
          <w:color w:val="auto"/>
          <w:kern w:val="0"/>
          <w:sz w:val="24"/>
          <w:highlight w:val="none"/>
        </w:rPr>
      </w:pPr>
    </w:p>
    <w:p>
      <w:pPr>
        <w:widowControl/>
        <w:jc w:val="left"/>
        <w:rPr>
          <w:rFonts w:ascii="仿宋" w:hAnsi="仿宋" w:eastAsia="仿宋" w:cs="仿宋"/>
          <w:color w:val="auto"/>
          <w:kern w:val="0"/>
          <w:sz w:val="24"/>
          <w:highlight w:val="none"/>
        </w:rPr>
      </w:pPr>
    </w:p>
    <w:p>
      <w:pPr>
        <w:pStyle w:val="4"/>
        <w:rPr>
          <w:rFonts w:ascii="仿宋" w:hAnsi="仿宋" w:eastAsia="仿宋" w:cs="仿宋"/>
          <w:color w:val="auto"/>
          <w:kern w:val="0"/>
          <w:sz w:val="24"/>
          <w:highlight w:val="none"/>
        </w:rPr>
      </w:pPr>
    </w:p>
    <w:p>
      <w:pPr>
        <w:rPr>
          <w:rFonts w:ascii="仿宋" w:hAnsi="仿宋" w:eastAsia="仿宋" w:cs="仿宋"/>
          <w:color w:val="auto"/>
          <w:kern w:val="0"/>
          <w:sz w:val="24"/>
          <w:highlight w:val="none"/>
        </w:rPr>
      </w:pPr>
    </w:p>
    <w:p>
      <w:pPr>
        <w:pStyle w:val="4"/>
        <w:rPr>
          <w:rFonts w:ascii="仿宋" w:hAnsi="仿宋" w:eastAsia="仿宋" w:cs="仿宋"/>
          <w:color w:val="auto"/>
          <w:kern w:val="0"/>
          <w:sz w:val="24"/>
          <w:highlight w:val="none"/>
        </w:rPr>
      </w:pPr>
    </w:p>
    <w:p>
      <w:pPr>
        <w:rPr>
          <w:color w:val="auto"/>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2"/>
          <w:szCs w:val="32"/>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pStyle w:val="4"/>
        <w:rPr>
          <w:rFonts w:ascii="仿宋" w:hAnsi="仿宋" w:eastAsia="仿宋" w:cs="仿宋"/>
          <w:color w:val="auto"/>
          <w:kern w:val="0"/>
          <w:sz w:val="18"/>
          <w:szCs w:val="18"/>
          <w:highlight w:val="none"/>
        </w:rPr>
      </w:pPr>
    </w:p>
    <w:p>
      <w:pPr>
        <w:rPr>
          <w:rFonts w:ascii="仿宋" w:hAnsi="仿宋" w:eastAsia="仿宋" w:cs="仿宋"/>
          <w:color w:val="auto"/>
          <w:kern w:val="0"/>
          <w:sz w:val="18"/>
          <w:szCs w:val="18"/>
          <w:highlight w:val="none"/>
        </w:rPr>
      </w:pPr>
    </w:p>
    <w:p>
      <w:pPr>
        <w:pStyle w:val="4"/>
        <w:rPr>
          <w:color w:val="auto"/>
          <w:highlight w:val="none"/>
        </w:rPr>
      </w:pPr>
    </w:p>
    <w:p>
      <w:pPr>
        <w:widowControl/>
        <w:jc w:val="left"/>
        <w:rPr>
          <w:rFonts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18"/>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ascii="仿宋" w:hAnsi="仿宋" w:eastAsia="仿宋" w:cs="仿宋"/>
          <w:color w:val="auto"/>
          <w:sz w:val="24"/>
          <w:highlight w:val="none"/>
        </w:rPr>
      </w:pPr>
    </w:p>
    <w:p>
      <w:pPr>
        <w:ind w:firstLine="420" w:firstLineChars="200"/>
        <w:rPr>
          <w:rFonts w:ascii="仿宋" w:hAnsi="仿宋" w:eastAsia="仿宋" w:cs="仿宋"/>
          <w:color w:val="auto"/>
          <w:highlight w:val="none"/>
        </w:rPr>
      </w:pPr>
    </w:p>
    <w:p>
      <w:pPr>
        <w:spacing w:line="360" w:lineRule="auto"/>
        <w:ind w:right="420"/>
        <w:rPr>
          <w:rFonts w:ascii="仿宋" w:hAnsi="仿宋" w:eastAsia="仿宋" w:cs="仿宋"/>
          <w:color w:val="auto"/>
          <w:highlight w:val="none"/>
        </w:rPr>
      </w:pPr>
    </w:p>
    <w:p>
      <w:pPr>
        <w:rPr>
          <w:rFonts w:ascii="仿宋" w:hAnsi="仿宋" w:eastAsia="仿宋" w:cs="仿宋"/>
          <w:color w:val="auto"/>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Lucida Sans">
    <w:panose1 w:val="020B0602030504020204"/>
    <w:charset w:val="00"/>
    <w:family w:val="swiss"/>
    <w:pitch w:val="default"/>
    <w:sig w:usb0="00000003" w:usb1="00000000" w:usb2="00000000" w:usb3="00000000" w:csb0="20000001" w:csb1="00000000"/>
  </w:font>
  <w:font w:name="Wingdings 2">
    <w:panose1 w:val="05020102010507070707"/>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right" w:y="1"/>
      <w:rPr>
        <w:rStyle w:val="21"/>
      </w:rPr>
    </w:pPr>
    <w:r>
      <w:fldChar w:fldCharType="begin"/>
    </w:r>
    <w:r>
      <w:rPr>
        <w:rStyle w:val="21"/>
      </w:rPr>
      <w:instrText xml:space="preserve">PAGE  </w:instrText>
    </w:r>
    <w:r>
      <w:fldChar w:fldCharType="end"/>
    </w:r>
  </w:p>
  <w:p>
    <w:pPr>
      <w:pStyle w:val="1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right" w:y="1"/>
      <w:rPr>
        <w:rStyle w:val="21"/>
      </w:rPr>
    </w:pPr>
    <w:r>
      <w:fldChar w:fldCharType="begin"/>
    </w:r>
    <w:r>
      <w:rPr>
        <w:rStyle w:val="21"/>
      </w:rPr>
      <w:instrText xml:space="preserve">PAGE  </w:instrText>
    </w:r>
    <w:r>
      <w:fldChar w:fldCharType="end"/>
    </w:r>
  </w:p>
  <w:p>
    <w:pPr>
      <w:pStyle w:val="1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共86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ascii="仿宋_GB2312" w:eastAsia="仿宋_GB2312"/>
        <w:i/>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ascii="仿宋_GB2312" w:eastAsia="仿宋_GB2312"/>
        <w:i/>
        <w:u w:val="single"/>
      </w:rPr>
    </w:pPr>
    <w:r>
      <w:rPr>
        <w:rFonts w:hint="eastAsia"/>
      </w:rPr>
      <w:t xml:space="preserve">                  </w:t>
    </w:r>
    <w:r>
      <w:t></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ascii="仿宋_GB2312" w:eastAsia="仿宋_GB2312"/>
        <w:i/>
        <w:u w:val="single"/>
      </w:rPr>
    </w:pPr>
    <w:r>
      <w:t></w:t>
    </w:r>
  </w:p>
  <w:p>
    <w:pPr>
      <w:pStyle w:val="14"/>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D5DFC4"/>
    <w:multiLevelType w:val="singleLevel"/>
    <w:tmpl w:val="83D5DFC4"/>
    <w:lvl w:ilvl="0" w:tentative="0">
      <w:start w:val="1"/>
      <w:numFmt w:val="decimal"/>
      <w:pStyle w:val="6"/>
      <w:lvlText w:val="%1."/>
      <w:lvlJc w:val="left"/>
      <w:pPr>
        <w:tabs>
          <w:tab w:val="left" w:pos="780"/>
        </w:tabs>
        <w:ind w:left="780" w:hanging="360"/>
      </w:pPr>
    </w:lvl>
  </w:abstractNum>
  <w:abstractNum w:abstractNumId="1">
    <w:nsid w:val="AD1383E4"/>
    <w:multiLevelType w:val="singleLevel"/>
    <w:tmpl w:val="AD1383E4"/>
    <w:lvl w:ilvl="0" w:tentative="0">
      <w:start w:val="1"/>
      <w:numFmt w:val="chineseCounting"/>
      <w:suff w:val="nothing"/>
      <w:lvlText w:val="%1、"/>
      <w:lvlJc w:val="left"/>
      <w:rPr>
        <w:rFonts w:hint="eastAsia"/>
      </w:rPr>
    </w:lvl>
  </w:abstractNum>
  <w:abstractNum w:abstractNumId="2">
    <w:nsid w:val="BDD23A40"/>
    <w:multiLevelType w:val="singleLevel"/>
    <w:tmpl w:val="BDD23A40"/>
    <w:lvl w:ilvl="0" w:tentative="0">
      <w:start w:val="1"/>
      <w:numFmt w:val="decimal"/>
      <w:suff w:val="nothing"/>
      <w:lvlText w:val="（%1）"/>
      <w:lvlJc w:val="left"/>
    </w:lvl>
  </w:abstractNum>
  <w:abstractNum w:abstractNumId="3">
    <w:nsid w:val="BE054470"/>
    <w:multiLevelType w:val="singleLevel"/>
    <w:tmpl w:val="BE054470"/>
    <w:lvl w:ilvl="0" w:tentative="0">
      <w:start w:val="1"/>
      <w:numFmt w:val="decimal"/>
      <w:pStyle w:val="7"/>
      <w:lvlText w:val="%1."/>
      <w:lvlJc w:val="left"/>
      <w:pPr>
        <w:tabs>
          <w:tab w:val="left" w:pos="360"/>
        </w:tabs>
        <w:ind w:left="360" w:hanging="360"/>
      </w:pPr>
    </w:lvl>
  </w:abstractNum>
  <w:abstractNum w:abstractNumId="4">
    <w:nsid w:val="DBDFAF7A"/>
    <w:multiLevelType w:val="singleLevel"/>
    <w:tmpl w:val="DBDFAF7A"/>
    <w:lvl w:ilvl="0" w:tentative="0">
      <w:start w:val="1"/>
      <w:numFmt w:val="decimal"/>
      <w:suff w:val="nothing"/>
      <w:lvlText w:val="（%1）"/>
      <w:lvlJc w:val="left"/>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3"/>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DI4Y2IxMzIyNGZhMzZhOGE3ZmI1MGMzMjliZWEifQ=="/>
  </w:docVars>
  <w:rsids>
    <w:rsidRoot w:val="60FE6080"/>
    <w:rsid w:val="0011046C"/>
    <w:rsid w:val="005F7E8F"/>
    <w:rsid w:val="008932A5"/>
    <w:rsid w:val="00E4089F"/>
    <w:rsid w:val="01126A09"/>
    <w:rsid w:val="022C3967"/>
    <w:rsid w:val="040E360C"/>
    <w:rsid w:val="07286770"/>
    <w:rsid w:val="0ADE0879"/>
    <w:rsid w:val="0CAE1114"/>
    <w:rsid w:val="0DE22D36"/>
    <w:rsid w:val="10007453"/>
    <w:rsid w:val="107142B0"/>
    <w:rsid w:val="14210379"/>
    <w:rsid w:val="16D723EF"/>
    <w:rsid w:val="18CE3E98"/>
    <w:rsid w:val="1A430ECE"/>
    <w:rsid w:val="232C5590"/>
    <w:rsid w:val="24A563F4"/>
    <w:rsid w:val="280E640F"/>
    <w:rsid w:val="2991662C"/>
    <w:rsid w:val="2993635E"/>
    <w:rsid w:val="2A511A1C"/>
    <w:rsid w:val="2C290DEF"/>
    <w:rsid w:val="2C3E18A0"/>
    <w:rsid w:val="304B18CB"/>
    <w:rsid w:val="30C145B6"/>
    <w:rsid w:val="3474010E"/>
    <w:rsid w:val="350902DA"/>
    <w:rsid w:val="365C4637"/>
    <w:rsid w:val="38A72A28"/>
    <w:rsid w:val="3908363F"/>
    <w:rsid w:val="3CAC611A"/>
    <w:rsid w:val="3FAC37E0"/>
    <w:rsid w:val="3FAF2F1F"/>
    <w:rsid w:val="41247E12"/>
    <w:rsid w:val="43153DFE"/>
    <w:rsid w:val="442519AA"/>
    <w:rsid w:val="44A06593"/>
    <w:rsid w:val="48D928B8"/>
    <w:rsid w:val="49BD469B"/>
    <w:rsid w:val="50F35741"/>
    <w:rsid w:val="558B4B2B"/>
    <w:rsid w:val="55E82F63"/>
    <w:rsid w:val="59EF20E2"/>
    <w:rsid w:val="5C1540A9"/>
    <w:rsid w:val="5CBD0FC2"/>
    <w:rsid w:val="5CFA0384"/>
    <w:rsid w:val="5D9B56DB"/>
    <w:rsid w:val="5DF16377"/>
    <w:rsid w:val="5DF8155E"/>
    <w:rsid w:val="5FB76A00"/>
    <w:rsid w:val="60FE6080"/>
    <w:rsid w:val="6685464A"/>
    <w:rsid w:val="695528F7"/>
    <w:rsid w:val="6B6A468A"/>
    <w:rsid w:val="6C4116C1"/>
    <w:rsid w:val="6CE9795C"/>
    <w:rsid w:val="6D920779"/>
    <w:rsid w:val="6F044625"/>
    <w:rsid w:val="73AA3099"/>
    <w:rsid w:val="76B07F4C"/>
    <w:rsid w:val="77204A34"/>
    <w:rsid w:val="7CD0545D"/>
    <w:rsid w:val="7D20011E"/>
    <w:rsid w:val="7D52015D"/>
    <w:rsid w:val="7D5450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customStyle="1" w:styleId="2">
    <w:name w:val="首行缩进"/>
    <w:basedOn w:val="1"/>
    <w:next w:val="3"/>
    <w:autoRedefine/>
    <w:uiPriority w:val="0"/>
    <w:pPr>
      <w:spacing w:line="360" w:lineRule="auto"/>
      <w:ind w:firstLine="480" w:firstLineChars="200"/>
    </w:pPr>
    <w:rPr>
      <w:sz w:val="24"/>
      <w:lang w:val="zh-CN"/>
    </w:rPr>
  </w:style>
  <w:style w:type="paragraph" w:styleId="3">
    <w:name w:val="Body Text"/>
    <w:basedOn w:val="1"/>
    <w:next w:val="1"/>
    <w:autoRedefine/>
    <w:qFormat/>
    <w:uiPriority w:val="0"/>
    <w:pPr>
      <w:autoSpaceDE w:val="0"/>
      <w:autoSpaceDN w:val="0"/>
      <w:spacing w:line="360" w:lineRule="auto"/>
    </w:pPr>
    <w:rPr>
      <w:rFonts w:ascii="宋体" w:hAnsi="Arial" w:cs="Arial"/>
      <w:snapToGrid w:val="0"/>
      <w:sz w:val="24"/>
      <w:szCs w:val="21"/>
      <w:lang w:val="zh-CN"/>
    </w:rPr>
  </w:style>
  <w:style w:type="paragraph" w:styleId="6">
    <w:name w:val="List Number 2"/>
    <w:basedOn w:val="1"/>
    <w:autoRedefine/>
    <w:qFormat/>
    <w:uiPriority w:val="0"/>
    <w:pPr>
      <w:numPr>
        <w:ilvl w:val="0"/>
        <w:numId w:val="1"/>
      </w:numPr>
    </w:pPr>
  </w:style>
  <w:style w:type="paragraph" w:styleId="7">
    <w:name w:val="List Number"/>
    <w:basedOn w:val="1"/>
    <w:autoRedefine/>
    <w:qFormat/>
    <w:uiPriority w:val="0"/>
    <w:pPr>
      <w:numPr>
        <w:ilvl w:val="0"/>
        <w:numId w:val="2"/>
      </w:numPr>
    </w:pPr>
  </w:style>
  <w:style w:type="paragraph" w:styleId="8">
    <w:name w:val="annotation text"/>
    <w:basedOn w:val="1"/>
    <w:autoRedefine/>
    <w:qFormat/>
    <w:uiPriority w:val="99"/>
    <w:pPr>
      <w:jc w:val="left"/>
    </w:pPr>
  </w:style>
  <w:style w:type="paragraph" w:styleId="9">
    <w:name w:val="Body Text Indent"/>
    <w:basedOn w:val="1"/>
    <w:next w:val="10"/>
    <w:autoRedefine/>
    <w:qFormat/>
    <w:uiPriority w:val="0"/>
    <w:pPr>
      <w:spacing w:line="480" w:lineRule="exact"/>
      <w:ind w:firstLine="480" w:firstLineChars="200"/>
    </w:pPr>
    <w:rPr>
      <w:rFonts w:ascii="宋体" w:hAnsi="宋体"/>
      <w:sz w:val="24"/>
    </w:rPr>
  </w:style>
  <w:style w:type="paragraph" w:styleId="10">
    <w:name w:val="envelope return"/>
    <w:basedOn w:val="1"/>
    <w:autoRedefine/>
    <w:qFormat/>
    <w:uiPriority w:val="0"/>
    <w:pPr>
      <w:snapToGrid w:val="0"/>
    </w:pPr>
    <w:rPr>
      <w:rFonts w:ascii="Arial" w:hAnsi="Arial"/>
    </w:rPr>
  </w:style>
  <w:style w:type="paragraph" w:styleId="11">
    <w:name w:val="Plain Text"/>
    <w:basedOn w:val="1"/>
    <w:autoRedefine/>
    <w:qFormat/>
    <w:uiPriority w:val="0"/>
    <w:rPr>
      <w:rFonts w:ascii="宋体" w:hAnsi="Courier New" w:cs="Arial"/>
      <w:snapToGrid w:val="0"/>
      <w:szCs w:val="21"/>
    </w:rPr>
  </w:style>
  <w:style w:type="paragraph" w:styleId="12">
    <w:name w:val="Body Text Indent 2"/>
    <w:basedOn w:val="1"/>
    <w:autoRedefine/>
    <w:qFormat/>
    <w:uiPriority w:val="0"/>
    <w:pPr>
      <w:spacing w:line="360" w:lineRule="auto"/>
      <w:ind w:firstLine="601"/>
      <w:textAlignment w:val="baseline"/>
    </w:pPr>
    <w:rPr>
      <w:rFonts w:ascii="宋体"/>
      <w:kern w:val="0"/>
      <w:sz w:val="28"/>
      <w:szCs w:val="20"/>
    </w:rPr>
  </w:style>
  <w:style w:type="paragraph" w:styleId="13">
    <w:name w:val="footer"/>
    <w:basedOn w:val="1"/>
    <w:autoRedefine/>
    <w:qFormat/>
    <w:uiPriority w:val="99"/>
    <w:pPr>
      <w:tabs>
        <w:tab w:val="center" w:pos="4153"/>
        <w:tab w:val="right" w:pos="8306"/>
      </w:tabs>
      <w:snapToGrid w:val="0"/>
      <w:jc w:val="left"/>
    </w:pPr>
    <w:rPr>
      <w:sz w:val="18"/>
      <w:szCs w:val="18"/>
    </w:rPr>
  </w:style>
  <w:style w:type="paragraph" w:styleId="14">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5">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16">
    <w:name w:val="Title"/>
    <w:basedOn w:val="1"/>
    <w:autoRedefine/>
    <w:qFormat/>
    <w:uiPriority w:val="10"/>
    <w:pPr>
      <w:widowControl/>
      <w:overflowPunct w:val="0"/>
      <w:autoSpaceDE w:val="0"/>
      <w:autoSpaceDN w:val="0"/>
      <w:jc w:val="center"/>
      <w:textAlignment w:val="baseline"/>
    </w:pPr>
    <w:rPr>
      <w:b/>
      <w:kern w:val="0"/>
      <w:sz w:val="24"/>
      <w:szCs w:val="20"/>
      <w:lang w:val="en-GB"/>
    </w:rPr>
  </w:style>
  <w:style w:type="paragraph" w:styleId="17">
    <w:name w:val="Body Text First Indent"/>
    <w:basedOn w:val="3"/>
    <w:next w:val="1"/>
    <w:autoRedefine/>
    <w:qFormat/>
    <w:uiPriority w:val="0"/>
    <w:pPr>
      <w:ind w:firstLine="420"/>
    </w:pPr>
    <w:rPr>
      <w:rFonts w:hAnsi="Calibri" w:cs="Times New Roman"/>
      <w:snapToGrid/>
      <w:szCs w:val="20"/>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autoRedefine/>
    <w:qFormat/>
    <w:uiPriority w:val="0"/>
    <w:rPr>
      <w:rFonts w:ascii="Arial" w:hAnsi="Arial" w:eastAsia="黑体" w:cs="Arial"/>
      <w:snapToGrid w:val="0"/>
      <w:kern w:val="0"/>
      <w:szCs w:val="21"/>
    </w:rPr>
  </w:style>
  <w:style w:type="character" w:styleId="22">
    <w:name w:val="Hyperlink"/>
    <w:autoRedefine/>
    <w:qFormat/>
    <w:uiPriority w:val="99"/>
    <w:rPr>
      <w:rFonts w:ascii="Arial" w:hAnsi="Arial" w:eastAsia="黑体" w:cs="Arial"/>
      <w:snapToGrid w:val="0"/>
      <w:color w:val="000000"/>
      <w:kern w:val="0"/>
      <w:sz w:val="18"/>
      <w:szCs w:val="18"/>
      <w:u w:val="none"/>
    </w:rPr>
  </w:style>
  <w:style w:type="paragraph" w:customStyle="1" w:styleId="23">
    <w:name w:val="!大节"/>
    <w:basedOn w:val="5"/>
    <w:autoRedefine/>
    <w:qFormat/>
    <w:uiPriority w:val="0"/>
    <w:pPr>
      <w:spacing w:before="260" w:after="260" w:line="415" w:lineRule="auto"/>
      <w:ind w:left="420" w:hanging="420"/>
    </w:pPr>
    <w:rPr>
      <w:rFonts w:ascii="Arial" w:hAnsi="Arial" w:eastAsia="微软雅黑"/>
      <w:lang w:val="en-US"/>
    </w:rPr>
  </w:style>
  <w:style w:type="paragraph" w:customStyle="1" w:styleId="24">
    <w:name w:val="Default"/>
    <w:next w:val="2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5">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26">
    <w:name w:val="正文2"/>
    <w:basedOn w:val="1"/>
    <w:autoRedefine/>
    <w:qFormat/>
    <w:uiPriority w:val="0"/>
    <w:pPr>
      <w:spacing w:before="156" w:line="360" w:lineRule="auto"/>
      <w:ind w:firstLine="510" w:firstLineChars="200"/>
    </w:pPr>
    <w:rPr>
      <w:sz w:val="24"/>
      <w:szCs w:val="20"/>
    </w:rPr>
  </w:style>
  <w:style w:type="character" w:customStyle="1" w:styleId="27">
    <w:name w:val="font41"/>
    <w:autoRedefine/>
    <w:qFormat/>
    <w:uiPriority w:val="0"/>
    <w:rPr>
      <w:rFonts w:hint="eastAsia" w:ascii="仿宋_GB2312" w:eastAsia="仿宋_GB2312" w:cs="仿宋_GB2312"/>
      <w:color w:val="000000"/>
      <w:sz w:val="22"/>
      <w:szCs w:val="22"/>
      <w:u w:val="none"/>
    </w:rPr>
  </w:style>
  <w:style w:type="character" w:customStyle="1" w:styleId="28">
    <w:name w:val="font31"/>
    <w:autoRedefine/>
    <w:qFormat/>
    <w:uiPriority w:val="0"/>
    <w:rPr>
      <w:rFonts w:hint="eastAsia" w:ascii="仿宋" w:hAnsi="仿宋" w:eastAsia="仿宋" w:cs="仿宋"/>
      <w:color w:val="000000"/>
      <w:sz w:val="20"/>
      <w:szCs w:val="20"/>
      <w:u w:val="none"/>
    </w:rPr>
  </w:style>
  <w:style w:type="paragraph" w:customStyle="1" w:styleId="29">
    <w:name w:val="正文缩进1"/>
    <w:basedOn w:val="1"/>
    <w:next w:val="9"/>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31">
    <w:name w:val="纯文本1"/>
    <w:basedOn w:val="1"/>
    <w:autoRedefine/>
    <w:qFormat/>
    <w:uiPriority w:val="0"/>
    <w:pPr>
      <w:adjustRightInd/>
    </w:pPr>
    <w:rPr>
      <w:rFonts w:ascii="宋体" w:hAnsi="Courier New"/>
      <w:kern w:val="0"/>
      <w:sz w:val="20"/>
      <w:szCs w:val="20"/>
    </w:rPr>
  </w:style>
  <w:style w:type="paragraph" w:customStyle="1" w:styleId="32">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33">
    <w:name w:val="列出段落1"/>
    <w:basedOn w:val="1"/>
    <w:autoRedefine/>
    <w:qFormat/>
    <w:uiPriority w:val="34"/>
    <w:pPr>
      <w:spacing w:line="360" w:lineRule="auto"/>
      <w:ind w:firstLine="200" w:firstLineChars="200"/>
    </w:pPr>
    <w:rPr>
      <w:rFonts w:eastAsia="楷体_GB2312" w:cs="Lucida Sans"/>
      <w:sz w:val="24"/>
    </w:rPr>
  </w:style>
  <w:style w:type="paragraph" w:customStyle="1" w:styleId="34">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35">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36">
    <w:name w:val="正文段"/>
    <w:basedOn w:val="1"/>
    <w:autoRedefine/>
    <w:qFormat/>
    <w:uiPriority w:val="0"/>
    <w:pPr>
      <w:widowControl/>
      <w:snapToGrid w:val="0"/>
      <w:spacing w:after="156" w:afterLines="50"/>
      <w:ind w:firstLine="200" w:firstLineChars="200"/>
    </w:pPr>
    <w:rPr>
      <w:kern w:val="0"/>
      <w:sz w:val="24"/>
      <w:szCs w:val="20"/>
    </w:rPr>
  </w:style>
  <w:style w:type="paragraph" w:customStyle="1" w:styleId="37">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38">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92</Pages>
  <Words>8310</Words>
  <Characters>47370</Characters>
  <Lines>394</Lines>
  <Paragraphs>111</Paragraphs>
  <TotalTime>16</TotalTime>
  <ScaleCrop>false</ScaleCrop>
  <LinksUpToDate>false</LinksUpToDate>
  <CharactersWithSpaces>55569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2023-10-09T09:06:00Z</dcterms:created>
  <dc:creator>妳偌安好</dc:creator>
  <cp:lastModifiedBy>kk</cp:lastModifiedBy>
  <dcterms:modified xsi:type="dcterms:W3CDTF">2024-04-18T06:14:30Z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6A063DF955DF4181AD0443F5DC4CD641_13</vt:lpwstr>
  </property>
</Properties>
</file>