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绍兴市中医院改建区固定嵌入式及部分活动医疗家具采购安装项目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color w:val="auto"/>
          <w:sz w:val="28"/>
          <w:szCs w:val="28"/>
          <w:highlight w:val="none"/>
          <w:lang w:eastAsia="zh-CN"/>
        </w:rPr>
        <w:t>TYJZ2023085</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25193662"/>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九</w:t>
            </w:r>
            <w:r>
              <w:rPr>
                <w:rFonts w:hint="eastAsia" w:ascii="仿宋" w:hAnsi="仿宋" w:eastAsia="仿宋" w:cs="仿宋"/>
                <w:color w:val="auto"/>
                <w:sz w:val="28"/>
                <w:szCs w:val="28"/>
                <w:highlight w:val="none"/>
              </w:rPr>
              <w:t>月</w:t>
            </w:r>
          </w:p>
        </w:tc>
      </w:tr>
    </w:tbl>
    <w:p>
      <w:pPr>
        <w:pStyle w:val="638"/>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绍兴市中医院改建区固定嵌入式及部分活动医疗家具采购安装项目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3</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10</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12</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TYJZ2023085</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绍兴市中医院改建区固定嵌入式及部分活动医疗家具采购安装项目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 xml:space="preserve">2000000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 xml:space="preserve">1900000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改建区固定嵌入式及部分活动医疗家具采购安装项目</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预算金额：2000000</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FE"/>
          </w:r>
        </w:sdtContent>
      </w:sdt>
      <w:r>
        <w:rPr>
          <w:rFonts w:hint="eastAsia" w:ascii="仿宋" w:hAnsi="仿宋" w:eastAsia="仿宋" w:cs="仿宋"/>
          <w:b/>
          <w:color w:val="auto"/>
          <w:sz w:val="24"/>
          <w:highlight w:val="none"/>
        </w:rPr>
        <w:t>是，☐否。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A8"/>
          </w:r>
        </w:sdtContent>
      </w:sdt>
      <w:r>
        <w:rPr>
          <w:rFonts w:hint="eastAsia" w:ascii="仿宋" w:hAnsi="仿宋" w:eastAsia="仿宋" w:cs="仿宋"/>
          <w:color w:val="auto"/>
          <w:sz w:val="24"/>
          <w:highlight w:val="none"/>
        </w:rPr>
        <w:t>无；</w:t>
      </w:r>
    </w:p>
    <w:p>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785" w:firstLineChars="374"/>
        <w:textAlignment w:val="auto"/>
        <w:rPr>
          <w:rFonts w:hint="eastAsia" w:ascii="仿宋" w:hAnsi="仿宋" w:eastAsia="仿宋" w:cs="仿宋"/>
          <w:color w:val="auto"/>
          <w:sz w:val="24"/>
          <w:highlight w:val="none"/>
          <w:u w:val="singl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806"/>
      <w:bookmarkStart w:id="12" w:name="_Toc28359019"/>
      <w:bookmarkStart w:id="13" w:name="_Toc28359096"/>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地址：绍兴市越城区人民中路651号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陈雄</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0575-89107222</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35393638"/>
      <w:bookmarkStart w:id="16" w:name="_Toc28359020"/>
      <w:bookmarkStart w:id="17" w:name="_Toc35393807"/>
      <w:bookmarkStart w:id="18" w:name="_Toc28359097"/>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地址：绍兴市越城区朝皇路正大综合楼601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639"/>
      <w:bookmarkStart w:id="20" w:name="_Toc35393808"/>
      <w:bookmarkStart w:id="21" w:name="_Toc28359098"/>
      <w:bookmarkStart w:id="2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张婷婷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详见招标文件第三部分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详见招标文件第三部分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ins w:id="0" w:author="王小炜" w:date="2023-07-17T16:28:50Z">
              <w:r>
                <w:rPr>
                  <w:rFonts w:hint="eastAsia" w:ascii="仿宋" w:hAnsi="仿宋" w:eastAsia="仿宋" w:cs="仿宋"/>
                  <w:color w:val="auto"/>
                  <w:kern w:val="0"/>
                  <w:sz w:val="24"/>
                  <w:highlight w:val="none"/>
                </w:rPr>
                <w:t>□</w:t>
              </w:r>
            </w:ins>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投标截止前一天</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绍兴市朝皇路正大综合楼</w:t>
            </w:r>
            <w:r>
              <w:rPr>
                <w:rFonts w:hint="eastAsia" w:ascii="仿宋" w:hAnsi="仿宋" w:eastAsia="仿宋" w:cs="仿宋"/>
                <w:color w:val="auto"/>
                <w:sz w:val="24"/>
                <w:highlight w:val="none"/>
                <w:u w:val="single"/>
                <w:lang w:val="en-US" w:eastAsia="zh-CN"/>
              </w:rPr>
              <w:t>601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金锦英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13656752180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2" w:char="00A3"/>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30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b/>
                <w:bCs/>
                <w:color w:val="auto"/>
                <w:sz w:val="24"/>
                <w:highlight w:val="none"/>
                <w:u w:val="single"/>
                <w:lang w:val="en-US" w:eastAsia="zh-CN"/>
              </w:rPr>
              <w:t>医用环保治疗柜（含医用分类垃圾柜1组）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_GB2312" w:hAnsi="仿宋" w:eastAsia="仿宋_GB2312"/>
                <w:b/>
                <w:bCs/>
                <w:color w:val="auto"/>
                <w:sz w:val="24"/>
                <w:highlight w:val="none"/>
                <w:u w:val="single"/>
                <w:lang w:val="en-US" w:eastAsia="zh-CN"/>
              </w:rPr>
              <w:t>工业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68072990"/>
      <w:bookmarkEnd w:id="23"/>
      <w:bookmarkStart w:id="24" w:name="_Hlt74729768"/>
      <w:bookmarkEnd w:id="24"/>
      <w:bookmarkStart w:id="25" w:name="_Hlt68072998"/>
      <w:bookmarkEnd w:id="25"/>
      <w:bookmarkStart w:id="26" w:name="_Hlt74707468"/>
      <w:bookmarkEnd w:id="26"/>
      <w:bookmarkStart w:id="27" w:name="_Hlt68073093"/>
      <w:bookmarkEnd w:id="27"/>
      <w:bookmarkStart w:id="28" w:name="_Hlt68057669"/>
      <w:bookmarkEnd w:id="28"/>
      <w:bookmarkStart w:id="29" w:name="_Hlt75236011"/>
      <w:bookmarkEnd w:id="29"/>
      <w:bookmarkStart w:id="30" w:name="_Hlt74730295"/>
      <w:bookmarkEnd w:id="30"/>
      <w:bookmarkStart w:id="31" w:name="_Hlt75236101"/>
      <w:bookmarkEnd w:id="31"/>
      <w:bookmarkStart w:id="32" w:name="_Hlt74714665"/>
      <w:bookmarkEnd w:id="32"/>
      <w:bookmarkStart w:id="33" w:name="_Hlt68403820"/>
      <w:bookmarkEnd w:id="33"/>
      <w:bookmarkStart w:id="34" w:name="_Hlt75236290"/>
      <w:bookmarkEnd w:id="34"/>
      <w:bookmarkStart w:id="35" w:name="第三部分"/>
      <w:bookmarkStart w:id="36" w:name="_Toc164416483"/>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rFonts w:hint="eastAsia"/>
          <w:color w:val="auto"/>
          <w:highlight w:val="none"/>
        </w:rPr>
      </w:pPr>
    </w:p>
    <w:p>
      <w:pPr>
        <w:pStyle w:val="13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3"/>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pStyle w:val="41"/>
        <w:numPr>
          <w:ilvl w:val="0"/>
          <w:numId w:val="0"/>
        </w:numPr>
        <w:adjustRightInd w:val="0"/>
        <w:spacing w:line="360" w:lineRule="auto"/>
        <w:jc w:val="left"/>
        <w:rPr>
          <w:rFonts w:hint="eastAsia" w:ascii="仿宋" w:hAnsi="仿宋" w:eastAsia="仿宋" w:cs="仿宋"/>
          <w:b/>
          <w:bCs/>
          <w:color w:val="auto"/>
          <w:kern w:val="1"/>
          <w:sz w:val="24"/>
          <w:szCs w:val="24"/>
          <w:highlight w:val="none"/>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改建区固定嵌入式及部分活动医疗家具采购安装项目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200</w:t>
      </w:r>
      <w:r>
        <w:rPr>
          <w:rFonts w:hint="eastAsia" w:ascii="仿宋_GB2312" w:hAnsi="新宋体" w:eastAsia="仿宋_GB2312" w:cs="Arial"/>
          <w:b/>
          <w:bCs/>
          <w:color w:val="auto"/>
          <w:sz w:val="24"/>
          <w:highlight w:val="none"/>
        </w:rPr>
        <w:t>万元</w:t>
      </w:r>
      <w:r>
        <w:rPr>
          <w:rFonts w:hint="eastAsia" w:ascii="仿宋_GB2312" w:hAnsi="新宋体" w:eastAsia="仿宋_GB2312" w:cs="Arial"/>
          <w:b/>
          <w:bCs/>
          <w:color w:val="auto"/>
          <w:sz w:val="24"/>
          <w:highlight w:val="none"/>
          <w:lang w:eastAsia="zh-CN"/>
        </w:rPr>
        <w:t>，最高限价：</w:t>
      </w:r>
      <w:r>
        <w:rPr>
          <w:rFonts w:hint="eastAsia" w:ascii="仿宋_GB2312" w:hAnsi="新宋体" w:eastAsia="仿宋_GB2312" w:cs="Arial"/>
          <w:b/>
          <w:bCs/>
          <w:color w:val="auto"/>
          <w:sz w:val="24"/>
          <w:highlight w:val="none"/>
          <w:lang w:val="en-US" w:eastAsia="zh-CN"/>
        </w:rPr>
        <w:t>190万元</w:t>
      </w:r>
      <w:r>
        <w:rPr>
          <w:rFonts w:hint="eastAsia" w:ascii="仿宋_GB2312" w:hAnsi="新宋体" w:eastAsia="仿宋_GB2312" w:cs="Arial"/>
          <w:b/>
          <w:bCs/>
          <w:color w:val="auto"/>
          <w:sz w:val="24"/>
          <w:highlight w:val="none"/>
        </w:rPr>
        <w:t>）</w:t>
      </w:r>
    </w:p>
    <w:p>
      <w:pPr>
        <w:pStyle w:val="41"/>
        <w:numPr>
          <w:ilvl w:val="0"/>
          <w:numId w:val="0"/>
        </w:numPr>
        <w:adjustRightInd w:val="0"/>
        <w:spacing w:line="360" w:lineRule="auto"/>
        <w:jc w:val="left"/>
        <w:rPr>
          <w:rFonts w:hint="eastAsia" w:ascii="仿宋" w:hAnsi="仿宋" w:eastAsia="仿宋" w:cs="仿宋"/>
          <w:b/>
          <w:bCs/>
          <w:color w:val="auto"/>
          <w:kern w:val="1"/>
          <w:sz w:val="24"/>
          <w:szCs w:val="24"/>
          <w:highlight w:val="none"/>
        </w:rPr>
      </w:pPr>
      <w:r>
        <w:rPr>
          <w:rFonts w:hint="eastAsia" w:ascii="仿宋_GB2312" w:hAnsi="新宋体" w:eastAsia="仿宋_GB2312" w:cs="Arial"/>
          <w:b/>
          <w:bCs/>
          <w:color w:val="auto"/>
          <w:sz w:val="24"/>
          <w:highlight w:val="none"/>
          <w:lang w:eastAsia="zh-CN"/>
        </w:rPr>
        <w:t>一、</w:t>
      </w:r>
      <w:r>
        <w:rPr>
          <w:rFonts w:hint="eastAsia" w:ascii="仿宋" w:hAnsi="仿宋" w:eastAsia="仿宋" w:cs="仿宋"/>
          <w:b/>
          <w:bCs/>
          <w:color w:val="auto"/>
          <w:kern w:val="1"/>
          <w:sz w:val="24"/>
          <w:szCs w:val="24"/>
          <w:highlight w:val="none"/>
        </w:rPr>
        <w:t>货物服务需求如下：</w:t>
      </w:r>
    </w:p>
    <w:p>
      <w:pPr>
        <w:pStyle w:val="41"/>
        <w:numPr>
          <w:ilvl w:val="0"/>
          <w:numId w:val="0"/>
        </w:numPr>
        <w:adjustRightInd w:val="0"/>
        <w:spacing w:line="360" w:lineRule="auto"/>
        <w:jc w:val="left"/>
        <w:rPr>
          <w:rFonts w:hint="eastAsia"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1.货物服务清单:详见附件</w:t>
      </w:r>
    </w:p>
    <w:p>
      <w:pPr>
        <w:spacing w:line="440" w:lineRule="exact"/>
        <w:jc w:val="left"/>
        <w:rPr>
          <w:rFonts w:hint="eastAsia" w:eastAsia="仿宋"/>
          <w:b/>
          <w:bCs w:val="0"/>
          <w:color w:val="FF0000"/>
          <w:highlight w:val="none"/>
          <w:lang w:eastAsia="zh-CN"/>
        </w:rPr>
      </w:pPr>
      <w:r>
        <w:rPr>
          <w:rFonts w:hint="eastAsia" w:ascii="仿宋" w:hAnsi="仿宋" w:eastAsia="仿宋" w:cs="仿宋"/>
          <w:b/>
          <w:bCs w:val="0"/>
          <w:color w:val="FF0000"/>
          <w:sz w:val="24"/>
          <w:highlight w:val="none"/>
          <w:lang w:eastAsia="zh-CN"/>
        </w:rPr>
        <w:t>注：投标报价时按附件顺序逐一报价，中标人在报价清单中同类产品出现多个报价，按最低价采购。</w:t>
      </w:r>
    </w:p>
    <w:p>
      <w:pPr>
        <w:pStyle w:val="41"/>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2.技术参数要求</w:t>
      </w:r>
    </w:p>
    <w:p>
      <w:pPr>
        <w:pStyle w:val="41"/>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〖原材料类〗</w:t>
      </w:r>
    </w:p>
    <w:p>
      <w:pPr>
        <w:pStyle w:val="41"/>
        <w:adjustRightInd w:val="0"/>
        <w:spacing w:line="360" w:lineRule="auto"/>
        <w:jc w:val="left"/>
        <w:rPr>
          <w:rFonts w:ascii="仿宋" w:hAnsi="仿宋" w:eastAsia="仿宋" w:cs="仿宋"/>
          <w:b/>
          <w:bCs/>
          <w:color w:val="auto"/>
          <w:sz w:val="24"/>
          <w:szCs w:val="24"/>
          <w:highlight w:val="none"/>
        </w:rPr>
      </w:pPr>
      <w:r>
        <w:rPr>
          <w:rFonts w:hint="eastAsia" w:ascii="仿宋" w:hAnsi="仿宋" w:eastAsia="仿宋" w:cs="仿宋"/>
          <w:b/>
          <w:bCs/>
          <w:color w:val="auto"/>
          <w:kern w:val="1"/>
          <w:sz w:val="24"/>
          <w:szCs w:val="24"/>
          <w:highlight w:val="none"/>
        </w:rPr>
        <w:t>1.</w:t>
      </w:r>
      <w:r>
        <w:rPr>
          <w:rFonts w:hint="eastAsia" w:ascii="仿宋" w:hAnsi="仿宋" w:eastAsia="仿宋" w:cs="仿宋"/>
          <w:b/>
          <w:bCs/>
          <w:color w:val="auto"/>
          <w:sz w:val="24"/>
          <w:szCs w:val="24"/>
          <w:highlight w:val="none"/>
        </w:rPr>
        <w:t>304不锈钢板：</w:t>
      </w:r>
    </w:p>
    <w:p>
      <w:pPr>
        <w:pStyle w:val="41"/>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1.1符合GB/T 1220-2007《不锈钢棒》标准：①碳</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0.06% ②硫</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0.030% ③磷</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0.045% ④硅</w:t>
      </w:r>
      <w:r>
        <w:rPr>
          <w:rFonts w:hint="eastAsia" w:ascii="仿宋" w:hAnsi="仿宋" w:eastAsia="仿宋" w:cs="仿宋"/>
          <w:color w:val="auto"/>
          <w:sz w:val="24"/>
          <w:szCs w:val="24"/>
          <w:highlight w:val="none"/>
        </w:rPr>
        <w:t>≤1.00</w:t>
      </w:r>
      <w:r>
        <w:rPr>
          <w:rFonts w:hint="eastAsia" w:ascii="仿宋" w:hAnsi="仿宋" w:eastAsia="仿宋" w:cs="仿宋"/>
          <w:bCs/>
          <w:color w:val="auto"/>
          <w:sz w:val="24"/>
          <w:szCs w:val="24"/>
          <w:highlight w:val="none"/>
        </w:rPr>
        <w:t>% ⑤锰</w:t>
      </w:r>
      <w:r>
        <w:rPr>
          <w:rFonts w:hint="eastAsia" w:ascii="仿宋" w:hAnsi="仿宋" w:eastAsia="仿宋" w:cs="仿宋"/>
          <w:color w:val="auto"/>
          <w:sz w:val="24"/>
          <w:szCs w:val="24"/>
          <w:highlight w:val="none"/>
        </w:rPr>
        <w:t>≤2.00</w:t>
      </w:r>
      <w:r>
        <w:rPr>
          <w:rFonts w:hint="eastAsia" w:ascii="仿宋" w:hAnsi="仿宋" w:eastAsia="仿宋" w:cs="仿宋"/>
          <w:bCs/>
          <w:color w:val="auto"/>
          <w:sz w:val="24"/>
          <w:szCs w:val="24"/>
          <w:highlight w:val="none"/>
        </w:rPr>
        <w:t>% ⑥铬：18.00~20.00% ⑦镍：8.00~11.00%；</w:t>
      </w:r>
    </w:p>
    <w:p>
      <w:pPr>
        <w:pStyle w:val="41"/>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1.2</w:t>
      </w:r>
      <w:r>
        <w:rPr>
          <w:rFonts w:hint="eastAsia" w:ascii="仿宋" w:hAnsi="仿宋" w:eastAsia="仿宋" w:cs="仿宋"/>
          <w:color w:val="auto"/>
          <w:sz w:val="24"/>
          <w:szCs w:val="24"/>
          <w:highlight w:val="none"/>
        </w:rPr>
        <w:t>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240</w:t>
      </w:r>
      <w:r>
        <w:rPr>
          <w:rFonts w:hint="eastAsia" w:ascii="仿宋" w:hAnsi="仿宋" w:eastAsia="仿宋" w:cs="仿宋"/>
          <w:color w:val="auto"/>
          <w:sz w:val="24"/>
          <w:szCs w:val="24"/>
          <w:highlight w:val="none"/>
        </w:rPr>
        <w:t>小时盐雾试验后,镀层的耐腐蚀等级≥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spacing w:line="360" w:lineRule="auto"/>
        <w:rPr>
          <w:rFonts w:ascii="仿宋" w:hAnsi="仿宋" w:eastAsia="仿宋" w:cs="仿宋"/>
          <w:b/>
          <w:bCs/>
          <w:color w:val="auto"/>
          <w:sz w:val="24"/>
          <w:highlight w:val="none"/>
        </w:rPr>
      </w:pPr>
      <w:r>
        <w:rPr>
          <w:rFonts w:hint="eastAsia" w:ascii="仿宋" w:hAnsi="仿宋" w:eastAsia="仿宋" w:cs="仿宋"/>
          <w:b/>
          <w:bCs/>
          <w:color w:val="auto"/>
          <w:kern w:val="1"/>
          <w:sz w:val="24"/>
          <w:highlight w:val="none"/>
        </w:rPr>
        <w:t>2.</w:t>
      </w:r>
      <w:r>
        <w:rPr>
          <w:rFonts w:hint="eastAsia" w:ascii="仿宋" w:hAnsi="仿宋" w:eastAsia="仿宋" w:cs="仿宋"/>
          <w:b/>
          <w:bCs/>
          <w:color w:val="auto"/>
          <w:sz w:val="24"/>
          <w:highlight w:val="none"/>
        </w:rPr>
        <w:t>电解钢板：</w:t>
      </w:r>
    </w:p>
    <w:p>
      <w:pPr>
        <w:pStyle w:val="41"/>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1.1符合GB/T 3325-2017《金属家具通用技术条件》，金属喷漆(塑)涂层硬度≥2H。金属喷漆（塑）涂层耐腐蚀：100h内，观察在溶液中样板上划道两侧3mm以外，无鼓泡产生；100h后，检查划道两侧3mm外，无锈迹、剥落、起皱、变色和失光等现象；</w:t>
      </w:r>
    </w:p>
    <w:p>
      <w:pPr>
        <w:pStyle w:val="41"/>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240</w:t>
      </w:r>
      <w:r>
        <w:rPr>
          <w:rFonts w:hint="eastAsia" w:ascii="仿宋" w:hAnsi="仿宋" w:eastAsia="仿宋" w:cs="仿宋"/>
          <w:color w:val="auto"/>
          <w:sz w:val="24"/>
          <w:szCs w:val="24"/>
          <w:highlight w:val="none"/>
        </w:rPr>
        <w:t>小时盐雾试验后,镀层的耐腐蚀等级≥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pStyle w:val="41"/>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color w:val="auto"/>
          <w:sz w:val="24"/>
          <w:szCs w:val="24"/>
          <w:highlight w:val="none"/>
        </w:rPr>
        <w:t>1.3符合GB/T15675-2008《连续电镀锌、锌镍合金镀层钢板及钢带》标准：抗拉强度350</w:t>
      </w:r>
      <w:r>
        <w:rPr>
          <w:rFonts w:hint="eastAsia" w:ascii="仿宋" w:hAnsi="仿宋" w:eastAsia="仿宋" w:cs="仿宋"/>
          <w:bCs/>
          <w:color w:val="auto"/>
          <w:sz w:val="24"/>
          <w:szCs w:val="24"/>
          <w:highlight w:val="none"/>
        </w:rPr>
        <w:t>~410N/mm²,下屈服强度</w:t>
      </w:r>
      <w:r>
        <w:rPr>
          <w:rFonts w:hint="eastAsia" w:ascii="仿宋" w:hAnsi="仿宋" w:eastAsia="仿宋" w:cs="仿宋"/>
          <w:color w:val="auto"/>
          <w:sz w:val="24"/>
          <w:szCs w:val="24"/>
          <w:highlight w:val="none"/>
        </w:rPr>
        <w:t>≥280</w:t>
      </w:r>
      <w:r>
        <w:rPr>
          <w:rFonts w:hint="eastAsia" w:ascii="仿宋" w:hAnsi="仿宋" w:eastAsia="仿宋" w:cs="仿宋"/>
          <w:bCs/>
          <w:color w:val="auto"/>
          <w:sz w:val="24"/>
          <w:szCs w:val="24"/>
          <w:highlight w:val="none"/>
        </w:rPr>
        <w:t xml:space="preserve"> N/mm²，镀</w:t>
      </w:r>
      <w:r>
        <w:rPr>
          <w:rFonts w:hint="eastAsia" w:ascii="仿宋" w:hAnsi="仿宋" w:eastAsia="仿宋" w:cs="仿宋"/>
          <w:color w:val="auto"/>
          <w:sz w:val="24"/>
          <w:szCs w:val="24"/>
          <w:highlight w:val="none"/>
        </w:rPr>
        <w:t>锌层重量：单面三点平均值不小于40/40</w:t>
      </w:r>
      <w:r>
        <w:rPr>
          <w:rFonts w:hint="eastAsia" w:ascii="仿宋" w:hAnsi="仿宋" w:eastAsia="仿宋" w:cs="仿宋"/>
          <w:bCs/>
          <w:color w:val="auto"/>
          <w:sz w:val="24"/>
          <w:szCs w:val="24"/>
          <w:highlight w:val="none"/>
        </w:rPr>
        <w:t xml:space="preserve"> m²。化学成份：①C</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0.12% ②S</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③P</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④Mn</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0.6% ⑥ALt</w:t>
      </w:r>
      <w:r>
        <w:rPr>
          <w:rFonts w:hint="eastAsia" w:ascii="仿宋" w:hAnsi="仿宋" w:eastAsia="仿宋" w:cs="仿宋"/>
          <w:color w:val="auto"/>
          <w:sz w:val="24"/>
          <w:szCs w:val="24"/>
          <w:highlight w:val="none"/>
        </w:rPr>
        <w:t>≥0.02</w:t>
      </w:r>
      <w:r>
        <w:rPr>
          <w:rFonts w:hint="eastAsia" w:ascii="仿宋" w:hAnsi="仿宋" w:eastAsia="仿宋" w:cs="仿宋"/>
          <w:bCs/>
          <w:color w:val="auto"/>
          <w:sz w:val="24"/>
          <w:szCs w:val="24"/>
          <w:highlight w:val="none"/>
        </w:rPr>
        <w:t>%；</w:t>
      </w:r>
    </w:p>
    <w:p>
      <w:pPr>
        <w:spacing w:line="360" w:lineRule="auto"/>
        <w:rPr>
          <w:rFonts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3.</w:t>
      </w:r>
      <w:r>
        <w:rPr>
          <w:rStyle w:val="119"/>
          <w:rFonts w:hint="eastAsia" w:ascii="仿宋" w:hAnsi="仿宋" w:eastAsia="仿宋" w:cs="仿宋"/>
          <w:color w:val="auto"/>
          <w:sz w:val="24"/>
          <w:szCs w:val="24"/>
          <w:highlight w:val="none"/>
        </w:rPr>
        <w:t>医用纯亚克力人造石</w:t>
      </w:r>
      <w:r>
        <w:rPr>
          <w:rFonts w:hint="eastAsia" w:ascii="仿宋" w:hAnsi="仿宋" w:eastAsia="仿宋" w:cs="仿宋"/>
          <w:bCs/>
          <w:color w:val="auto"/>
          <w:kern w:val="1"/>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▲3.1符合JC/T 908-2013 《人造石》标准, 巴氏硬度≥55 ，耐磨性≤0.6g，耐污值总和≤64，最大污迹深度≤0.12mm，耐化学药品性：实体面材试样表面无明显损伤,轻度损伤用600目砂纸轻擦即可除去,损伤程度应不影响板材的使用性,并易恢复至原状；耐燃烧性能：香烟燃烧实体面材与香烟接触过程中，或在此之后，不得有明火燃烧或阴燃，任何形式的损坏不得影响产品的使用性，并可通过研磨剂和抛光剂恢复至原状；耐高温性：实体面材试样表面应无破裂、裂缝或鼓泡等显著影响。表面缺陷易打磨恢复至原状，并不影响板材的使用。</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3.2符合GB 6566-2010《建筑材料放射性核素限量》标准：放射性保护分类控制：A类装饰装修材料内照射指数I</w:t>
      </w:r>
      <w:r>
        <w:rPr>
          <w:rFonts w:hint="eastAsia" w:ascii="仿宋" w:hAnsi="仿宋" w:eastAsia="仿宋" w:cs="仿宋"/>
          <w:color w:val="auto"/>
          <w:sz w:val="24"/>
          <w:highlight w:val="none"/>
          <w:vertAlign w:val="subscript"/>
        </w:rPr>
        <w:t>Ra</w:t>
      </w:r>
      <w:r>
        <w:rPr>
          <w:rFonts w:hint="eastAsia" w:ascii="仿宋" w:hAnsi="仿宋" w:eastAsia="仿宋" w:cs="仿宋"/>
          <w:color w:val="auto"/>
          <w:sz w:val="24"/>
          <w:highlight w:val="none"/>
        </w:rPr>
        <w:t>≤0.01，外照射指数I</w:t>
      </w:r>
      <w:r>
        <w:rPr>
          <w:rFonts w:hint="eastAsia" w:ascii="仿宋" w:hAnsi="仿宋" w:eastAsia="仿宋" w:cs="仿宋"/>
          <w:color w:val="auto"/>
          <w:sz w:val="24"/>
          <w:highlight w:val="none"/>
          <w:vertAlign w:val="subscript"/>
        </w:rPr>
        <w:t>r</w:t>
      </w:r>
      <w:r>
        <w:rPr>
          <w:rFonts w:hint="eastAsia" w:ascii="仿宋" w:hAnsi="仿宋" w:eastAsia="仿宋" w:cs="仿宋"/>
          <w:color w:val="auto"/>
          <w:sz w:val="24"/>
          <w:highlight w:val="none"/>
        </w:rPr>
        <w:t>≤0.01。</w:t>
      </w:r>
    </w:p>
    <w:p>
      <w:pPr>
        <w:pStyle w:val="41"/>
        <w:adjustRightInd w:val="0"/>
        <w:spacing w:line="360" w:lineRule="auto"/>
        <w:jc w:val="left"/>
        <w:rPr>
          <w:rStyle w:val="119"/>
          <w:rFonts w:ascii="仿宋" w:hAnsi="仿宋" w:eastAsia="仿宋" w:cs="仿宋"/>
          <w:b w:val="0"/>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b/>
          <w:color w:val="auto"/>
          <w:sz w:val="24"/>
          <w:szCs w:val="24"/>
          <w:highlight w:val="none"/>
        </w:rPr>
        <w:t xml:space="preserve"> </w:t>
      </w:r>
      <w:r>
        <w:rPr>
          <w:rStyle w:val="119"/>
          <w:rFonts w:hint="eastAsia" w:ascii="仿宋" w:hAnsi="仿宋" w:eastAsia="仿宋" w:cs="仿宋"/>
          <w:color w:val="auto"/>
          <w:sz w:val="24"/>
          <w:szCs w:val="24"/>
          <w:highlight w:val="none"/>
        </w:rPr>
        <w:t>304不锈钢缓冲铰链（门铰）：</w:t>
      </w:r>
    </w:p>
    <w:p>
      <w:pPr>
        <w:pStyle w:val="41"/>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4.1符合QB/T 2189-2013检测标准，通过耐久性试验≥12万次开合：a)所有组件或结合处不应断裂，b)通过手触压证实，用于紧固的组件不应松动，c)所有组件不应有影响正常运作的变形或磨损；d)固定组件不应松动；e)所有组件的功能不应损害；f）杯状暗铰链及其组件不应分离。</w:t>
      </w:r>
    </w:p>
    <w:p>
      <w:pPr>
        <w:pStyle w:val="41"/>
        <w:adjustRightIn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4.2符合QB/T3827-1999《轻工产品金属镀层和化学处理层的耐腐蚀试验方法乙酸盐雾试验（ASS）法》标准，经过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小时乙酸盐雾试验后，镀层的耐腐蚀等级≥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pStyle w:val="2"/>
        <w:ind w:left="0" w:leftChars="0" w:firstLine="0" w:firstLineChars="0"/>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5.三节缓冲导轨：</w:t>
      </w:r>
    </w:p>
    <w:p>
      <w:pPr>
        <w:pStyle w:val="41"/>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5.1符合GB/T 3325-2017《金属家具通用技术条件》标准，通过推拉构件≥120000次耐久性试验；</w:t>
      </w:r>
    </w:p>
    <w:p>
      <w:pPr>
        <w:pStyle w:val="41"/>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5.2 </w:t>
      </w:r>
      <w:r>
        <w:rPr>
          <w:rFonts w:hint="eastAsia" w:ascii="仿宋" w:hAnsi="仿宋" w:eastAsia="仿宋" w:cs="仿宋"/>
          <w:bCs/>
          <w:color w:val="auto"/>
          <w:sz w:val="24"/>
          <w:szCs w:val="24"/>
          <w:highlight w:val="none"/>
        </w:rPr>
        <w:t>符合QB/T 2454-2013《家具五金 抽屉导轨》标准,</w:t>
      </w:r>
      <w:r>
        <w:rPr>
          <w:rFonts w:hint="eastAsia" w:ascii="仿宋" w:hAnsi="仿宋" w:eastAsia="仿宋" w:cs="仿宋"/>
          <w:color w:val="auto"/>
          <w:sz w:val="24"/>
          <w:szCs w:val="24"/>
          <w:highlight w:val="none"/>
        </w:rPr>
        <w:t xml:space="preserve"> 通过垂直向下静载荷、水平侧向静载荷、猛关或猛开试验：a)所有组件或连接件不应断裂损坏，b)通过手触压证实，用于紧固的组件不应松动，c)所有零部件不应有影响正常运作的变形或磨损；d)五金连接件不应松动；e)所有组件的功能不应损害；f)抽屉导轨及其组件应能正常工作。</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5.3符合QB/T3827-1999《轻工产品金属镀层和化学处理层的耐腐蚀试验方法乙酸盐雾</w:t>
      </w:r>
      <w:r>
        <w:rPr>
          <w:rFonts w:hint="eastAsia" w:ascii="仿宋" w:hAnsi="仿宋" w:eastAsia="仿宋" w:cs="仿宋"/>
          <w:color w:val="auto"/>
          <w:sz w:val="24"/>
          <w:highlight w:val="none"/>
        </w:rPr>
        <w:t>试验（ASS）法》标准，经过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小时乙酸盐雾试验后，镀层的耐腐蚀等级≥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spacing w:line="360" w:lineRule="auto"/>
        <w:rPr>
          <w:rFonts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6.抗菌粉末：</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▲6.1符合HG/T 2006-2006《热固性粉末涂料》标准：在容器中状态：色泽均匀，无异物，呈松散粉末状；②硬度（擦伤）≥H；③附着力≤1级；④耐碱性（5%NaOH）168h无异常；⑤耐酸性（3%HCI）240h无异常；⑥可溶性重金属：Pb≤5mg/kg 、Cd≤5mg/kg 、Cr≤5mg/kg 、Hg≤5mg/kg。</w:t>
      </w:r>
    </w:p>
    <w:p>
      <w:pPr>
        <w:pStyle w:val="26"/>
        <w:spacing w:line="360" w:lineRule="auto"/>
        <w:ind w:left="0" w:leftChars="0" w:firstLine="0" w:firstLineChars="0"/>
        <w:rPr>
          <w:rStyle w:val="119"/>
          <w:rFonts w:ascii="仿宋" w:hAnsi="仿宋" w:eastAsia="仿宋" w:cs="仿宋"/>
          <w:color w:val="auto"/>
          <w:sz w:val="24"/>
          <w:szCs w:val="24"/>
          <w:highlight w:val="none"/>
        </w:rPr>
      </w:pPr>
      <w:r>
        <w:rPr>
          <w:rFonts w:hint="eastAsia" w:ascii="仿宋" w:hAnsi="仿宋" w:eastAsia="仿宋" w:cs="仿宋"/>
          <w:b/>
          <w:color w:val="auto"/>
          <w:sz w:val="24"/>
          <w:highlight w:val="none"/>
        </w:rPr>
        <w:t>7、</w:t>
      </w:r>
      <w:r>
        <w:rPr>
          <w:rStyle w:val="119"/>
          <w:rFonts w:hint="eastAsia" w:ascii="仿宋" w:hAnsi="仿宋" w:eastAsia="仿宋" w:cs="仿宋"/>
          <w:color w:val="auto"/>
          <w:sz w:val="24"/>
          <w:szCs w:val="24"/>
          <w:highlight w:val="none"/>
        </w:rPr>
        <w:t>水槽：</w:t>
      </w:r>
    </w:p>
    <w:p>
      <w:pPr>
        <w:pStyle w:val="26"/>
        <w:spacing w:line="360" w:lineRule="auto"/>
        <w:ind w:left="0" w:leftChars="0" w:firstLine="0" w:firstLineChars="0"/>
        <w:rPr>
          <w:rFonts w:ascii="仿宋" w:hAnsi="仿宋" w:eastAsia="仿宋" w:cs="仿宋"/>
          <w:color w:val="auto"/>
          <w:sz w:val="24"/>
          <w:highlight w:val="none"/>
        </w:rPr>
      </w:pPr>
      <w:r>
        <w:rPr>
          <w:rFonts w:hint="eastAsia" w:ascii="仿宋" w:hAnsi="仿宋" w:eastAsia="仿宋" w:cs="仿宋"/>
          <w:bCs/>
          <w:color w:val="auto"/>
          <w:sz w:val="24"/>
          <w:highlight w:val="none"/>
        </w:rPr>
        <w:t>7.1</w:t>
      </w:r>
      <w:r>
        <w:rPr>
          <w:rFonts w:hint="eastAsia" w:ascii="仿宋" w:hAnsi="仿宋" w:eastAsia="仿宋" w:cs="仿宋"/>
          <w:color w:val="auto"/>
          <w:sz w:val="24"/>
          <w:highlight w:val="none"/>
        </w:rPr>
        <w:t>符合QB/T 3827-1999《轻工产品金属镀层和化学处理层的耐腐蚀试验方法乙酸盐雾试验(ASS)法》，乙酸盐雾试验：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pStyle w:val="27"/>
        <w:spacing w:line="360" w:lineRule="auto"/>
        <w:rPr>
          <w:rStyle w:val="119"/>
          <w:rFonts w:ascii="仿宋" w:hAnsi="仿宋" w:eastAsia="仿宋" w:cs="仿宋"/>
          <w:color w:val="auto"/>
          <w:sz w:val="24"/>
          <w:szCs w:val="24"/>
          <w:highlight w:val="none"/>
        </w:rPr>
      </w:pPr>
      <w:r>
        <w:rPr>
          <w:rFonts w:hint="eastAsia" w:ascii="仿宋" w:hAnsi="仿宋" w:eastAsia="仿宋" w:cs="仿宋"/>
          <w:b/>
          <w:color w:val="auto"/>
          <w:sz w:val="24"/>
          <w:highlight w:val="none"/>
        </w:rPr>
        <w:t>8、</w:t>
      </w:r>
      <w:r>
        <w:rPr>
          <w:rStyle w:val="119"/>
          <w:rFonts w:hint="eastAsia" w:ascii="仿宋" w:hAnsi="仿宋" w:eastAsia="仿宋" w:cs="仿宋"/>
          <w:color w:val="auto"/>
          <w:sz w:val="24"/>
          <w:szCs w:val="24"/>
          <w:highlight w:val="none"/>
        </w:rPr>
        <w:t>水龙头：</w:t>
      </w:r>
    </w:p>
    <w:p>
      <w:pPr>
        <w:pStyle w:val="27"/>
        <w:spacing w:line="360" w:lineRule="auto"/>
        <w:rPr>
          <w:rFonts w:ascii="仿宋" w:hAnsi="仿宋" w:eastAsia="仿宋" w:cs="仿宋"/>
          <w:color w:val="auto"/>
          <w:sz w:val="24"/>
          <w:highlight w:val="none"/>
        </w:rPr>
      </w:pPr>
      <w:r>
        <w:rPr>
          <w:rStyle w:val="119"/>
          <w:rFonts w:hint="eastAsia" w:ascii="仿宋" w:hAnsi="仿宋" w:eastAsia="仿宋" w:cs="仿宋"/>
          <w:b w:val="0"/>
          <w:color w:val="auto"/>
          <w:sz w:val="24"/>
          <w:szCs w:val="24"/>
          <w:highlight w:val="none"/>
        </w:rPr>
        <w:t>8.1</w:t>
      </w:r>
      <w:r>
        <w:rPr>
          <w:rFonts w:hint="eastAsia" w:ascii="仿宋" w:hAnsi="仿宋" w:eastAsia="仿宋" w:cs="仿宋"/>
          <w:color w:val="auto"/>
          <w:sz w:val="24"/>
          <w:highlight w:val="none"/>
        </w:rPr>
        <w:t>符合QB/T 3827-1999《轻工产品金属镀层和化学处理层的耐腐蚀试验方法乙酸盐雾试验(ASS)法》，乙酸盐雾试验：经过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小时乙酸盐雾试验后，涂层的耐腐蚀等级≥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pStyle w:val="27"/>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8.2符合GB/T-35607-2017《绿色产品评价家具》苯、甲苯、二甲苯、总挥发性有机化合物(TVOC) 均未检测出。</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9、多层板：符合HJ 571-2010 《环境标志产品技术要求 人造板及其制品》标准</w:t>
      </w:r>
    </w:p>
    <w:p>
      <w:pPr>
        <w:pStyle w:val="27"/>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▲9.1甲醛释放量：≤0.1mg/m³。</w:t>
      </w:r>
    </w:p>
    <w:p>
      <w:pPr>
        <w:pStyle w:val="27"/>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9.2总挥发性有机化合物（TVOC）：≤0.05mg/㎡h。</w:t>
      </w:r>
    </w:p>
    <w:p>
      <w:pPr>
        <w:pStyle w:val="27"/>
        <w:numPr>
          <w:ilvl w:val="0"/>
          <w:numId w:val="1"/>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PU皮：符合GB/T 16799-2018《家具用皮革》</w:t>
      </w:r>
    </w:p>
    <w:p>
      <w:pPr>
        <w:pStyle w:val="27"/>
        <w:numPr>
          <w:ilvl w:val="0"/>
          <w:numId w:val="0"/>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10.1 摩擦色牢度：干擦（500次）：≥4级；湿擦（250次）：≥3-4级；碱性汗液（80次）：≥3-4级。</w:t>
      </w:r>
    </w:p>
    <w:p>
      <w:pPr>
        <w:pStyle w:val="27"/>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10.2涂层粘着牢度≥8.6N/10mm。</w:t>
      </w:r>
    </w:p>
    <w:p>
      <w:pPr>
        <w:pStyle w:val="27"/>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▲10.3禁用偶氮染料含量未检出。</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〖成品类〗</w:t>
      </w:r>
    </w:p>
    <w:p>
      <w:pPr>
        <w:pStyle w:val="2"/>
        <w:ind w:left="0" w:leftChars="0" w:firstLine="0" w:firstLineChars="0"/>
        <w:rPr>
          <w:rFonts w:ascii="仿宋" w:hAnsi="仿宋" w:eastAsia="仿宋" w:cs="仿宋"/>
          <w:b/>
          <w:bCs/>
          <w:color w:val="auto"/>
          <w:sz w:val="24"/>
          <w:highlight w:val="none"/>
        </w:rPr>
      </w:pPr>
      <w:r>
        <w:rPr>
          <w:rFonts w:hint="eastAsia" w:ascii="仿宋" w:hAnsi="仿宋" w:eastAsia="仿宋" w:cs="仿宋"/>
          <w:b/>
          <w:bCs/>
          <w:color w:val="auto"/>
          <w:sz w:val="24"/>
          <w:highlight w:val="none"/>
        </w:rPr>
        <w:t>医用环保治疗柜</w:t>
      </w:r>
      <w:r>
        <w:rPr>
          <w:rFonts w:hint="eastAsia" w:ascii="仿宋" w:hAnsi="仿宋" w:eastAsia="仿宋" w:cs="仿宋"/>
          <w:b/>
          <w:bCs/>
          <w:color w:val="auto"/>
          <w:sz w:val="24"/>
          <w:highlight w:val="none"/>
          <w:lang w:eastAsia="zh-CN"/>
        </w:rPr>
        <w:t>：</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1.1柜体采用1.0mm厚（宝钢/鞍钢）电解板，防潮防水，经久耐用；台面及饰板采用12mm厚亚克力，具有耐酸耐碱的性质，抗污染不渗透、不变形不上色、无缝隙易清洁打理，耐磨、耐刮损、耐冲击、耐高温、抗紫外线、抗污垢、防火、防静电，以及具有阻燃性、无毒等技术特点；符合医院等高标准的环境卫生要求；柜体底部采用1.0mm的SUS304#不锈钢踢脚线，比柜体前端面缩进尺寸为20mm，高150mm，操作时无抵脚感，符合人体工程学原理，预防多次清洁消毒导致的腐蚀和生锈；</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1.2符合QB/T 3827-1999《轻工产品金属镀层和化学处理层的耐腐蚀试验方法乙酸盐雾试验(ASS)法》、GB/T 3325-2017《金属家具通用技术条件》标准：</w:t>
      </w:r>
    </w:p>
    <w:p>
      <w:pPr>
        <w:spacing w:line="360" w:lineRule="auto"/>
        <w:rPr>
          <w:rFonts w:ascii="仿宋" w:hAnsi="仿宋" w:eastAsia="仿宋" w:cs="仿宋"/>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（1）金属表面耐腐蚀：经过</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240小时乙酸盐雾试验后,镀层的耐腐蚀等级≥10级；</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金属外观：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（3）拉门猛关试验通过拉门猛关试验((0.6+3）kg,10次）；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（4）拉门水平加载试验通过拉门水平加载试验（加载60N，10次）；</w:t>
      </w:r>
    </w:p>
    <w:p>
      <w:pPr>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（5）拉门耐久性(≥</w:t>
      </w:r>
      <w:r>
        <w:rPr>
          <w:rFonts w:hint="eastAsia" w:ascii="仿宋" w:hAnsi="仿宋" w:eastAsia="仿宋" w:cs="仿宋"/>
          <w:bCs/>
          <w:color w:val="auto"/>
          <w:sz w:val="24"/>
          <w:highlight w:val="none"/>
          <w:lang w:val="en-US" w:eastAsia="zh-CN"/>
        </w:rPr>
        <w:t>20万</w:t>
      </w:r>
      <w:r>
        <w:rPr>
          <w:rFonts w:hint="eastAsia" w:ascii="仿宋" w:hAnsi="仿宋" w:eastAsia="仿宋" w:cs="仿宋"/>
          <w:bCs/>
          <w:color w:val="auto"/>
          <w:sz w:val="24"/>
          <w:highlight w:val="none"/>
        </w:rPr>
        <w:t>次)通过拉门耐久性试验(质量2kg，≥20万次）。</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、医用诊查床</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.1符合GB/T 3325-2017《金属家具通用技术条件》标准。床面采用医用PU皮包面，抗污易清洁、满足医用清洗剂、消毒剂的腐蚀，表面柔软舒适,内部采用高密度、高弹力聚氨脂海绵，密度不低于45，可防氧化、防碎，软硬适中，回弹性良好，不易变形；支架和卷筒采用优质一级冷轧钢，钢板厚度≥1.5mm，金属表面采用环氧树脂静电粉末，全自动涂装工艺，涂漆厚度不低于60um，喷涂硬度≥2H。</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.2形状和位置公差：邻边垂直度(面板) 对角线长度差:≤3mm，对边长度差:≤2mm，翘曲度（面板) ≤3.0mm；平整度(面板)≤0.20mm；着地平稳性底脚与水平面的差值≤2.0mm ；</w:t>
      </w:r>
    </w:p>
    <w:p>
      <w:pPr>
        <w:numPr>
          <w:ilvl w:val="0"/>
          <w:numId w:val="2"/>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金属外观：管材应无裂缝、叠缝，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numPr>
          <w:ilvl w:val="0"/>
          <w:numId w:val="2"/>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通过床铺面均布载荷试验(均布载荷1200N， 7天）；</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（3）通过床铺面集中静载荷试验(在床铺面中心垂直加载1100N，10次）；</w:t>
      </w:r>
    </w:p>
    <w:p>
      <w:pPr>
        <w:pStyle w:val="27"/>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（4）床结构耐久性试验通过20000次试验（加载300N，平衡载荷1000N)；</w:t>
      </w:r>
    </w:p>
    <w:p>
      <w:pPr>
        <w:pStyle w:val="27"/>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w:t>
      </w:r>
    </w:p>
    <w:p>
      <w:pPr>
        <w:pStyle w:val="27"/>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1、原材料样品清单：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207"/>
        <w:gridCol w:w="2748"/>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207" w:type="dxa"/>
            <w:noWrap w:val="0"/>
            <w:vAlign w:val="center"/>
          </w:tcPr>
          <w:p>
            <w:pPr>
              <w:pStyle w:val="957"/>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样品名称</w:t>
            </w:r>
          </w:p>
        </w:tc>
        <w:tc>
          <w:tcPr>
            <w:tcW w:w="2748" w:type="dxa"/>
            <w:noWrap w:val="0"/>
            <w:vAlign w:val="center"/>
          </w:tcPr>
          <w:p>
            <w:pPr>
              <w:pStyle w:val="957"/>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样品规格（mm）</w:t>
            </w:r>
          </w:p>
        </w:tc>
        <w:tc>
          <w:tcPr>
            <w:tcW w:w="2258" w:type="dxa"/>
            <w:noWrap w:val="0"/>
            <w:vAlign w:val="center"/>
          </w:tcPr>
          <w:p>
            <w:pPr>
              <w:pStyle w:val="957"/>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1</w:t>
            </w:r>
          </w:p>
        </w:tc>
        <w:tc>
          <w:tcPr>
            <w:tcW w:w="3207" w:type="dxa"/>
            <w:noWrap w:val="0"/>
            <w:vAlign w:val="center"/>
          </w:tcPr>
          <w:p>
            <w:pPr>
              <w:pStyle w:val="957"/>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电解钢板</w:t>
            </w:r>
          </w:p>
        </w:tc>
        <w:tc>
          <w:tcPr>
            <w:tcW w:w="2748" w:type="dxa"/>
            <w:noWrap w:val="0"/>
            <w:vAlign w:val="center"/>
          </w:tcPr>
          <w:p>
            <w:pPr>
              <w:pStyle w:val="957"/>
              <w:jc w:val="center"/>
              <w:rPr>
                <w:rFonts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200*1.0</w:t>
            </w:r>
          </w:p>
        </w:tc>
        <w:tc>
          <w:tcPr>
            <w:tcW w:w="2258" w:type="dxa"/>
            <w:noWrap w:val="0"/>
            <w:vAlign w:val="center"/>
          </w:tcPr>
          <w:p>
            <w:pPr>
              <w:pStyle w:val="957"/>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2</w:t>
            </w:r>
          </w:p>
        </w:tc>
        <w:tc>
          <w:tcPr>
            <w:tcW w:w="3207" w:type="dxa"/>
            <w:noWrap w:val="0"/>
            <w:vAlign w:val="center"/>
          </w:tcPr>
          <w:p>
            <w:pPr>
              <w:pStyle w:val="957"/>
              <w:ind w:right="-126"/>
              <w:jc w:val="center"/>
              <w:rPr>
                <w:rFonts w:ascii="仿宋" w:hAnsi="仿宋" w:eastAsia="仿宋" w:cs="仿宋"/>
                <w:color w:val="auto"/>
                <w:sz w:val="24"/>
                <w:highlight w:val="none"/>
              </w:rPr>
            </w:pPr>
            <w:r>
              <w:rPr>
                <w:rStyle w:val="93"/>
                <w:rFonts w:hint="eastAsia" w:ascii="仿宋" w:hAnsi="仿宋" w:eastAsia="仿宋" w:cs="仿宋"/>
                <w:b w:val="0"/>
                <w:bCs w:val="0"/>
                <w:color w:val="auto"/>
                <w:sz w:val="24"/>
                <w:szCs w:val="24"/>
                <w:highlight w:val="none"/>
              </w:rPr>
              <w:t>医用纯亚克力人造石</w:t>
            </w:r>
          </w:p>
        </w:tc>
        <w:tc>
          <w:tcPr>
            <w:tcW w:w="2748" w:type="dxa"/>
            <w:noWrap w:val="0"/>
            <w:vAlign w:val="center"/>
          </w:tcPr>
          <w:p>
            <w:pPr>
              <w:pStyle w:val="957"/>
              <w:jc w:val="center"/>
              <w:rPr>
                <w:rFonts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200*12</w:t>
            </w:r>
          </w:p>
        </w:tc>
        <w:tc>
          <w:tcPr>
            <w:tcW w:w="2258" w:type="dxa"/>
            <w:noWrap w:val="0"/>
            <w:vAlign w:val="center"/>
          </w:tcPr>
          <w:p>
            <w:pPr>
              <w:pStyle w:val="957"/>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3</w:t>
            </w:r>
          </w:p>
        </w:tc>
        <w:tc>
          <w:tcPr>
            <w:tcW w:w="3207" w:type="dxa"/>
            <w:noWrap w:val="0"/>
            <w:vAlign w:val="center"/>
          </w:tcPr>
          <w:p>
            <w:pPr>
              <w:pStyle w:val="957"/>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304不锈钢缓冲铰链（门铰）</w:t>
            </w:r>
          </w:p>
        </w:tc>
        <w:tc>
          <w:tcPr>
            <w:tcW w:w="2748" w:type="dxa"/>
            <w:noWrap w:val="0"/>
            <w:vAlign w:val="center"/>
          </w:tcPr>
          <w:p>
            <w:pPr>
              <w:pStyle w:val="957"/>
              <w:jc w:val="center"/>
              <w:rPr>
                <w:rFonts w:ascii="仿宋" w:hAnsi="仿宋" w:eastAsia="仿宋" w:cs="仿宋"/>
                <w:color w:val="auto"/>
                <w:sz w:val="24"/>
                <w:highlight w:val="none"/>
              </w:rPr>
            </w:pPr>
            <w:r>
              <w:rPr>
                <w:rFonts w:hint="eastAsia" w:ascii="仿宋" w:hAnsi="仿宋" w:eastAsia="仿宋" w:cs="仿宋"/>
                <w:color w:val="auto"/>
                <w:sz w:val="24"/>
                <w:highlight w:val="none"/>
              </w:rPr>
              <w:t>标准</w:t>
            </w:r>
          </w:p>
        </w:tc>
        <w:tc>
          <w:tcPr>
            <w:tcW w:w="2258" w:type="dxa"/>
            <w:noWrap w:val="0"/>
            <w:vAlign w:val="center"/>
          </w:tcPr>
          <w:p>
            <w:pPr>
              <w:pStyle w:val="957"/>
              <w:jc w:val="center"/>
              <w:rPr>
                <w:rFonts w:ascii="仿宋" w:hAnsi="仿宋" w:eastAsia="仿宋" w:cs="仿宋"/>
                <w:color w:val="auto"/>
                <w:sz w:val="24"/>
                <w:highlight w:val="none"/>
              </w:rPr>
            </w:pPr>
            <w:r>
              <w:rPr>
                <w:rFonts w:hint="eastAsia" w:ascii="仿宋" w:hAnsi="仿宋" w:eastAsia="仿宋" w:cs="仿宋"/>
                <w:color w:val="auto"/>
                <w:sz w:val="24"/>
                <w:highlight w:val="none"/>
              </w:rPr>
              <w:t>1对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4</w:t>
            </w:r>
          </w:p>
        </w:tc>
        <w:tc>
          <w:tcPr>
            <w:tcW w:w="3207" w:type="dxa"/>
            <w:noWrap w:val="0"/>
            <w:vAlign w:val="center"/>
          </w:tcPr>
          <w:p>
            <w:pPr>
              <w:pStyle w:val="957"/>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三节导轨</w:t>
            </w:r>
          </w:p>
        </w:tc>
        <w:tc>
          <w:tcPr>
            <w:tcW w:w="2748" w:type="dxa"/>
            <w:noWrap w:val="0"/>
            <w:vAlign w:val="center"/>
          </w:tcPr>
          <w:p>
            <w:pPr>
              <w:pStyle w:val="957"/>
              <w:jc w:val="center"/>
              <w:rPr>
                <w:rFonts w:ascii="仿宋" w:hAnsi="仿宋" w:eastAsia="仿宋" w:cs="仿宋"/>
                <w:color w:val="auto"/>
                <w:sz w:val="24"/>
                <w:highlight w:val="none"/>
              </w:rPr>
            </w:pPr>
            <w:r>
              <w:rPr>
                <w:rFonts w:hint="eastAsia" w:ascii="仿宋" w:hAnsi="仿宋" w:eastAsia="仿宋" w:cs="仿宋"/>
                <w:color w:val="auto"/>
                <w:sz w:val="24"/>
                <w:highlight w:val="none"/>
              </w:rPr>
              <w:t>16寸</w:t>
            </w:r>
          </w:p>
        </w:tc>
        <w:tc>
          <w:tcPr>
            <w:tcW w:w="2258" w:type="dxa"/>
            <w:noWrap w:val="0"/>
            <w:vAlign w:val="center"/>
          </w:tcPr>
          <w:p>
            <w:pPr>
              <w:pStyle w:val="957"/>
              <w:jc w:val="center"/>
              <w:rPr>
                <w:rFonts w:ascii="仿宋" w:hAnsi="仿宋" w:eastAsia="仿宋" w:cs="仿宋"/>
                <w:color w:val="auto"/>
                <w:sz w:val="24"/>
                <w:highlight w:val="none"/>
              </w:rPr>
            </w:pPr>
            <w:r>
              <w:rPr>
                <w:rFonts w:hint="eastAsia" w:ascii="仿宋" w:hAnsi="仿宋" w:eastAsia="仿宋" w:cs="仿宋"/>
                <w:color w:val="auto"/>
                <w:sz w:val="24"/>
                <w:highlight w:val="none"/>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5</w:t>
            </w:r>
          </w:p>
        </w:tc>
        <w:tc>
          <w:tcPr>
            <w:tcW w:w="3207" w:type="dxa"/>
            <w:noWrap w:val="0"/>
            <w:vAlign w:val="center"/>
          </w:tcPr>
          <w:p>
            <w:pPr>
              <w:pStyle w:val="957"/>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多层板</w:t>
            </w:r>
          </w:p>
        </w:tc>
        <w:tc>
          <w:tcPr>
            <w:tcW w:w="2748" w:type="dxa"/>
            <w:noWrap w:val="0"/>
            <w:vAlign w:val="center"/>
          </w:tcPr>
          <w:p>
            <w:pPr>
              <w:pStyle w:val="957"/>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200*18</w:t>
            </w:r>
          </w:p>
        </w:tc>
        <w:tc>
          <w:tcPr>
            <w:tcW w:w="2258" w:type="dxa"/>
            <w:noWrap w:val="0"/>
            <w:vAlign w:val="center"/>
          </w:tcPr>
          <w:p>
            <w:pPr>
              <w:pStyle w:val="957"/>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noWrap w:val="0"/>
            <w:vAlign w:val="center"/>
          </w:tcPr>
          <w:p>
            <w:pPr>
              <w:pStyle w:val="957"/>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6</w:t>
            </w:r>
          </w:p>
        </w:tc>
        <w:tc>
          <w:tcPr>
            <w:tcW w:w="3207" w:type="dxa"/>
            <w:noWrap w:val="0"/>
            <w:vAlign w:val="center"/>
          </w:tcPr>
          <w:p>
            <w:pPr>
              <w:pStyle w:val="957"/>
              <w:ind w:right="-126"/>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PU皮</w:t>
            </w:r>
          </w:p>
        </w:tc>
        <w:tc>
          <w:tcPr>
            <w:tcW w:w="2748" w:type="dxa"/>
            <w:noWrap w:val="0"/>
            <w:vAlign w:val="center"/>
          </w:tcPr>
          <w:p>
            <w:pPr>
              <w:pStyle w:val="957"/>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w:t>
            </w:r>
          </w:p>
        </w:tc>
        <w:tc>
          <w:tcPr>
            <w:tcW w:w="2258" w:type="dxa"/>
            <w:noWrap w:val="0"/>
            <w:vAlign w:val="center"/>
          </w:tcPr>
          <w:p>
            <w:pPr>
              <w:pStyle w:val="957"/>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09" w:type="dxa"/>
            <w:gridSpan w:val="4"/>
            <w:noWrap w:val="0"/>
            <w:vAlign w:val="center"/>
          </w:tcPr>
          <w:p>
            <w:pPr>
              <w:pStyle w:val="957"/>
              <w:jc w:val="center"/>
              <w:rPr>
                <w:rFonts w:ascii="仿宋" w:hAnsi="仿宋" w:eastAsia="仿宋" w:cs="仿宋"/>
                <w:color w:val="auto"/>
                <w:sz w:val="24"/>
                <w:highlight w:val="none"/>
              </w:rPr>
            </w:pPr>
            <w:r>
              <w:rPr>
                <w:rFonts w:hint="eastAsia" w:ascii="仿宋" w:hAnsi="仿宋" w:eastAsia="仿宋" w:cs="仿宋"/>
                <w:color w:val="auto"/>
                <w:sz w:val="24"/>
                <w:highlight w:val="none"/>
              </w:rPr>
              <w:t>注：各类板材样品应按照成品家具的工艺进行制作。</w:t>
            </w:r>
          </w:p>
        </w:tc>
      </w:tr>
    </w:tbl>
    <w:p>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2、成品样品清单：</w:t>
      </w:r>
    </w:p>
    <w:tbl>
      <w:tblPr>
        <w:tblStyle w:val="64"/>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580"/>
        <w:gridCol w:w="2492"/>
        <w:gridCol w:w="858"/>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noWrap w:val="0"/>
            <w:vAlign w:val="center"/>
          </w:tcPr>
          <w:p>
            <w:pPr>
              <w:pStyle w:val="957"/>
              <w:ind w:left="20" w:leftChars="0"/>
              <w:jc w:val="center"/>
              <w:rPr>
                <w:rFonts w:ascii="仿宋" w:hAnsi="仿宋" w:eastAsia="仿宋" w:cs="仿宋"/>
                <w:b/>
                <w:bCs/>
                <w:color w:val="auto"/>
                <w:kern w:val="2"/>
                <w:sz w:val="24"/>
                <w:szCs w:val="24"/>
                <w:highlight w:val="none"/>
                <w:lang w:val="en-US" w:eastAsia="zh-CN" w:bidi="zh-CN"/>
              </w:rPr>
            </w:pPr>
            <w:r>
              <w:rPr>
                <w:rFonts w:hint="eastAsia" w:ascii="仿宋" w:hAnsi="仿宋" w:eastAsia="仿宋" w:cs="仿宋"/>
                <w:b/>
                <w:bCs/>
                <w:color w:val="auto"/>
                <w:sz w:val="24"/>
                <w:highlight w:val="none"/>
              </w:rPr>
              <w:t>序号</w:t>
            </w:r>
          </w:p>
        </w:tc>
        <w:tc>
          <w:tcPr>
            <w:tcW w:w="2580" w:type="dxa"/>
            <w:noWrap w:val="0"/>
            <w:vAlign w:val="center"/>
          </w:tcPr>
          <w:p>
            <w:pPr>
              <w:pStyle w:val="957"/>
              <w:ind w:left="20" w:leftChars="0"/>
              <w:jc w:val="center"/>
              <w:rPr>
                <w:rFonts w:ascii="仿宋" w:hAnsi="仿宋" w:eastAsia="仿宋" w:cs="仿宋"/>
                <w:b/>
                <w:bCs/>
                <w:color w:val="auto"/>
                <w:kern w:val="2"/>
                <w:sz w:val="24"/>
                <w:szCs w:val="24"/>
                <w:highlight w:val="none"/>
                <w:lang w:val="zh-CN" w:eastAsia="zh-CN" w:bidi="zh-CN"/>
              </w:rPr>
            </w:pPr>
            <w:r>
              <w:rPr>
                <w:rFonts w:hint="eastAsia" w:ascii="仿宋" w:hAnsi="仿宋" w:eastAsia="仿宋" w:cs="仿宋"/>
                <w:b/>
                <w:bCs/>
                <w:color w:val="auto"/>
                <w:sz w:val="24"/>
                <w:highlight w:val="none"/>
              </w:rPr>
              <w:t>样品名称</w:t>
            </w:r>
          </w:p>
        </w:tc>
        <w:tc>
          <w:tcPr>
            <w:tcW w:w="2492" w:type="dxa"/>
            <w:noWrap w:val="0"/>
            <w:vAlign w:val="center"/>
          </w:tcPr>
          <w:p>
            <w:pPr>
              <w:pStyle w:val="957"/>
              <w:ind w:left="20" w:leftChars="0"/>
              <w:jc w:val="center"/>
              <w:rPr>
                <w:rFonts w:ascii="仿宋" w:hAnsi="仿宋" w:eastAsia="仿宋" w:cs="仿宋"/>
                <w:b/>
                <w:bCs/>
                <w:color w:val="auto"/>
                <w:kern w:val="2"/>
                <w:sz w:val="24"/>
                <w:szCs w:val="24"/>
                <w:highlight w:val="none"/>
                <w:lang w:val="en-US" w:eastAsia="zh-CN" w:bidi="zh-CN"/>
              </w:rPr>
            </w:pPr>
            <w:r>
              <w:rPr>
                <w:rFonts w:hint="eastAsia" w:ascii="仿宋" w:hAnsi="仿宋" w:eastAsia="仿宋" w:cs="仿宋"/>
                <w:b/>
                <w:bCs/>
                <w:color w:val="auto"/>
                <w:sz w:val="24"/>
                <w:highlight w:val="none"/>
              </w:rPr>
              <w:t>样品规格</w:t>
            </w:r>
          </w:p>
        </w:tc>
        <w:tc>
          <w:tcPr>
            <w:tcW w:w="858" w:type="dxa"/>
            <w:noWrap w:val="0"/>
            <w:vAlign w:val="center"/>
          </w:tcPr>
          <w:p>
            <w:pPr>
              <w:pStyle w:val="957"/>
              <w:ind w:left="20" w:leftChars="0"/>
              <w:jc w:val="center"/>
              <w:rPr>
                <w:rFonts w:ascii="仿宋" w:hAnsi="仿宋" w:eastAsia="仿宋" w:cs="仿宋"/>
                <w:b/>
                <w:bCs/>
                <w:color w:val="auto"/>
                <w:kern w:val="2"/>
                <w:sz w:val="24"/>
                <w:szCs w:val="24"/>
                <w:highlight w:val="none"/>
                <w:lang w:val="en-US" w:eastAsia="zh-CN" w:bidi="zh-CN"/>
              </w:rPr>
            </w:pPr>
            <w:r>
              <w:rPr>
                <w:rFonts w:hint="eastAsia" w:ascii="仿宋" w:hAnsi="仿宋" w:eastAsia="仿宋" w:cs="仿宋"/>
                <w:b/>
                <w:bCs/>
                <w:color w:val="auto"/>
                <w:sz w:val="24"/>
                <w:highlight w:val="none"/>
              </w:rPr>
              <w:t>数量</w:t>
            </w:r>
          </w:p>
        </w:tc>
        <w:tc>
          <w:tcPr>
            <w:tcW w:w="2432" w:type="dxa"/>
            <w:noWrap w:val="0"/>
            <w:vAlign w:val="center"/>
          </w:tcPr>
          <w:p>
            <w:pPr>
              <w:pStyle w:val="957"/>
              <w:ind w:left="20" w:leftChars="0"/>
              <w:jc w:val="center"/>
              <w:rPr>
                <w:rFonts w:ascii="仿宋" w:hAnsi="仿宋" w:eastAsia="仿宋" w:cs="仿宋"/>
                <w:b/>
                <w:bCs/>
                <w:color w:val="auto"/>
                <w:kern w:val="2"/>
                <w:sz w:val="24"/>
                <w:szCs w:val="24"/>
                <w:highlight w:val="none"/>
                <w:lang w:val="zh-CN" w:eastAsia="zh-CN" w:bidi="zh-CN"/>
              </w:rPr>
            </w:pPr>
            <w:r>
              <w:rPr>
                <w:rFonts w:hint="eastAsia" w:ascii="仿宋" w:hAnsi="仿宋" w:eastAsia="仿宋" w:cs="仿宋"/>
                <w:b/>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noWrap w:val="0"/>
            <w:vAlign w:val="center"/>
          </w:tcPr>
          <w:p>
            <w:pPr>
              <w:pStyle w:val="957"/>
              <w:ind w:left="2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580" w:type="dxa"/>
            <w:noWrap w:val="0"/>
            <w:vAlign w:val="center"/>
          </w:tcPr>
          <w:p>
            <w:pPr>
              <w:pStyle w:val="957"/>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rPr>
              <w:t>医用环保治疗柜（</w:t>
            </w:r>
            <w:r>
              <w:rPr>
                <w:rFonts w:hint="eastAsia" w:ascii="仿宋" w:hAnsi="仿宋" w:eastAsia="仿宋" w:cs="仿宋"/>
                <w:color w:val="auto"/>
                <w:sz w:val="24"/>
                <w:highlight w:val="none"/>
                <w:lang w:val="en-US"/>
              </w:rPr>
              <w:t>含医用分类垃圾柜1组）</w:t>
            </w:r>
          </w:p>
        </w:tc>
        <w:tc>
          <w:tcPr>
            <w:tcW w:w="2492" w:type="dxa"/>
            <w:noWrap w:val="0"/>
            <w:vAlign w:val="center"/>
          </w:tcPr>
          <w:p>
            <w:pPr>
              <w:pStyle w:val="957"/>
              <w:ind w:left="20"/>
              <w:jc w:val="center"/>
              <w:rPr>
                <w:rFonts w:ascii="仿宋" w:hAnsi="仿宋" w:eastAsia="仿宋" w:cs="仿宋"/>
                <w:color w:val="auto"/>
                <w:sz w:val="24"/>
                <w:highlight w:val="none"/>
                <w:lang w:val="en-US"/>
              </w:rPr>
            </w:pPr>
            <w:r>
              <w:rPr>
                <w:rFonts w:hint="eastAsia" w:ascii="仿宋" w:hAnsi="仿宋" w:eastAsia="仿宋" w:cs="仿宋"/>
                <w:bCs/>
                <w:color w:val="auto"/>
                <w:sz w:val="24"/>
                <w:highlight w:val="none"/>
              </w:rPr>
              <w:t>≥</w:t>
            </w:r>
            <w:r>
              <w:rPr>
                <w:rFonts w:hint="eastAsia" w:ascii="仿宋" w:hAnsi="仿宋" w:eastAsia="仿宋" w:cs="仿宋"/>
                <w:color w:val="auto"/>
                <w:kern w:val="0"/>
                <w:sz w:val="20"/>
                <w:szCs w:val="20"/>
                <w:highlight w:val="none"/>
              </w:rPr>
              <w:t>1600</w:t>
            </w:r>
            <w:r>
              <w:rPr>
                <w:rFonts w:hint="eastAsia" w:ascii="仿宋" w:hAnsi="仿宋" w:eastAsia="仿宋" w:cs="仿宋"/>
                <w:color w:val="auto"/>
                <w:kern w:val="0"/>
                <w:sz w:val="20"/>
                <w:szCs w:val="20"/>
                <w:highlight w:val="none"/>
                <w:lang w:val="en-US"/>
              </w:rPr>
              <w:t>W</w:t>
            </w:r>
            <w:r>
              <w:rPr>
                <w:rFonts w:hint="eastAsia" w:ascii="仿宋" w:hAnsi="仿宋" w:eastAsia="仿宋" w:cs="仿宋"/>
                <w:color w:val="auto"/>
                <w:kern w:val="0"/>
                <w:sz w:val="20"/>
                <w:szCs w:val="20"/>
                <w:highlight w:val="none"/>
              </w:rPr>
              <w:t>*630</w:t>
            </w:r>
            <w:r>
              <w:rPr>
                <w:rFonts w:hint="eastAsia" w:ascii="仿宋" w:hAnsi="仿宋" w:eastAsia="仿宋" w:cs="仿宋"/>
                <w:color w:val="auto"/>
                <w:kern w:val="0"/>
                <w:sz w:val="20"/>
                <w:szCs w:val="20"/>
                <w:highlight w:val="none"/>
                <w:lang w:val="en-US"/>
              </w:rPr>
              <w:t>D</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rPr>
              <w:t>2000H/</w:t>
            </w:r>
            <w:r>
              <w:rPr>
                <w:rFonts w:hint="eastAsia" w:ascii="仿宋" w:hAnsi="仿宋" w:eastAsia="仿宋" w:cs="仿宋"/>
                <w:color w:val="auto"/>
                <w:kern w:val="0"/>
                <w:sz w:val="20"/>
                <w:szCs w:val="20"/>
                <w:highlight w:val="none"/>
              </w:rPr>
              <w:t>835</w:t>
            </w:r>
            <w:r>
              <w:rPr>
                <w:rFonts w:hint="eastAsia" w:ascii="仿宋" w:hAnsi="仿宋" w:eastAsia="仿宋" w:cs="仿宋"/>
                <w:color w:val="auto"/>
                <w:kern w:val="0"/>
                <w:sz w:val="20"/>
                <w:szCs w:val="20"/>
                <w:highlight w:val="none"/>
                <w:lang w:val="en-US"/>
              </w:rPr>
              <w:t>H</w:t>
            </w:r>
            <w:r>
              <w:rPr>
                <w:rFonts w:hint="eastAsia" w:ascii="仿宋" w:hAnsi="仿宋" w:eastAsia="仿宋" w:cs="仿宋"/>
                <w:color w:val="auto"/>
                <w:kern w:val="0"/>
                <w:sz w:val="24"/>
                <w:highlight w:val="none"/>
                <w:lang w:val="en-US"/>
              </w:rPr>
              <w:t>（mm）</w:t>
            </w:r>
          </w:p>
        </w:tc>
        <w:tc>
          <w:tcPr>
            <w:tcW w:w="858" w:type="dxa"/>
            <w:noWrap w:val="0"/>
            <w:vAlign w:val="center"/>
          </w:tcPr>
          <w:p>
            <w:pPr>
              <w:pStyle w:val="957"/>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 组</w:t>
            </w:r>
          </w:p>
        </w:tc>
        <w:tc>
          <w:tcPr>
            <w:tcW w:w="2432" w:type="dxa"/>
            <w:noWrap w:val="0"/>
            <w:vAlign w:val="center"/>
          </w:tcPr>
          <w:p>
            <w:pPr>
              <w:pStyle w:val="957"/>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noWrap w:val="0"/>
            <w:vAlign w:val="center"/>
          </w:tcPr>
          <w:p>
            <w:pPr>
              <w:pStyle w:val="957"/>
              <w:ind w:left="2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580" w:type="dxa"/>
            <w:noWrap w:val="0"/>
            <w:vAlign w:val="center"/>
          </w:tcPr>
          <w:p>
            <w:pPr>
              <w:pStyle w:val="957"/>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3号楼二楼</w:t>
            </w:r>
            <w:r>
              <w:rPr>
                <w:rFonts w:hint="eastAsia" w:ascii="仿宋" w:hAnsi="仿宋" w:eastAsia="仿宋" w:cs="仿宋"/>
                <w:color w:val="auto"/>
                <w:sz w:val="24"/>
                <w:highlight w:val="none"/>
                <w:lang w:val="en-US"/>
              </w:rPr>
              <w:t>序号</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rPr>
              <w:t>医用诊查床</w:t>
            </w:r>
          </w:p>
        </w:tc>
        <w:tc>
          <w:tcPr>
            <w:tcW w:w="2492" w:type="dxa"/>
            <w:noWrap w:val="0"/>
            <w:vAlign w:val="center"/>
          </w:tcPr>
          <w:p>
            <w:pPr>
              <w:pStyle w:val="957"/>
              <w:ind w:left="20"/>
              <w:jc w:val="center"/>
              <w:rPr>
                <w:rFonts w:ascii="仿宋" w:hAnsi="仿宋" w:eastAsia="仿宋" w:cs="仿宋"/>
                <w:bCs/>
                <w:color w:val="auto"/>
                <w:sz w:val="24"/>
                <w:highlight w:val="none"/>
              </w:rPr>
            </w:pPr>
            <w:r>
              <w:rPr>
                <w:rFonts w:hint="eastAsia" w:ascii="仿宋" w:hAnsi="仿宋" w:eastAsia="仿宋" w:cs="仿宋"/>
                <w:color w:val="auto"/>
                <w:kern w:val="0"/>
                <w:sz w:val="20"/>
                <w:szCs w:val="20"/>
                <w:highlight w:val="none"/>
              </w:rPr>
              <w:t>1800</w:t>
            </w:r>
            <w:r>
              <w:rPr>
                <w:rFonts w:hint="eastAsia" w:ascii="仿宋" w:hAnsi="仿宋" w:eastAsia="仿宋" w:cs="仿宋"/>
                <w:color w:val="auto"/>
                <w:kern w:val="0"/>
                <w:sz w:val="20"/>
                <w:szCs w:val="20"/>
                <w:highlight w:val="none"/>
                <w:lang w:val="en-US" w:eastAsia="zh-CN"/>
              </w:rPr>
              <w:t>W</w:t>
            </w:r>
            <w:r>
              <w:rPr>
                <w:rFonts w:hint="eastAsia" w:ascii="仿宋" w:hAnsi="仿宋" w:eastAsia="仿宋" w:cs="仿宋"/>
                <w:color w:val="auto"/>
                <w:kern w:val="0"/>
                <w:sz w:val="20"/>
                <w:szCs w:val="20"/>
                <w:highlight w:val="none"/>
              </w:rPr>
              <w:t>*600</w:t>
            </w:r>
            <w:r>
              <w:rPr>
                <w:rFonts w:hint="eastAsia" w:ascii="仿宋" w:hAnsi="仿宋" w:eastAsia="仿宋" w:cs="仿宋"/>
                <w:color w:val="auto"/>
                <w:kern w:val="0"/>
                <w:sz w:val="20"/>
                <w:szCs w:val="20"/>
                <w:highlight w:val="none"/>
                <w:lang w:val="en-US" w:eastAsia="zh-CN"/>
              </w:rPr>
              <w:t>D</w:t>
            </w:r>
            <w:r>
              <w:rPr>
                <w:rFonts w:hint="eastAsia" w:ascii="仿宋" w:hAnsi="仿宋" w:eastAsia="仿宋" w:cs="仿宋"/>
                <w:color w:val="auto"/>
                <w:kern w:val="0"/>
                <w:sz w:val="20"/>
                <w:szCs w:val="20"/>
                <w:highlight w:val="none"/>
              </w:rPr>
              <w:t>*660</w:t>
            </w:r>
            <w:r>
              <w:rPr>
                <w:rFonts w:hint="eastAsia" w:ascii="仿宋" w:hAnsi="仿宋" w:eastAsia="仿宋" w:cs="仿宋"/>
                <w:color w:val="auto"/>
                <w:kern w:val="0"/>
                <w:sz w:val="20"/>
                <w:szCs w:val="20"/>
                <w:highlight w:val="none"/>
                <w:lang w:val="en-US" w:eastAsia="zh-CN"/>
              </w:rPr>
              <w:t>H</w:t>
            </w:r>
            <w:r>
              <w:rPr>
                <w:rFonts w:hint="eastAsia" w:ascii="仿宋" w:hAnsi="仿宋" w:eastAsia="仿宋" w:cs="仿宋"/>
                <w:color w:val="auto"/>
                <w:kern w:val="0"/>
                <w:sz w:val="20"/>
                <w:szCs w:val="20"/>
                <w:highlight w:val="none"/>
                <w:lang w:val="en-US"/>
              </w:rPr>
              <w:t>（mm）</w:t>
            </w:r>
          </w:p>
        </w:tc>
        <w:tc>
          <w:tcPr>
            <w:tcW w:w="858" w:type="dxa"/>
            <w:noWrap w:val="0"/>
            <w:vAlign w:val="center"/>
          </w:tcPr>
          <w:p>
            <w:pPr>
              <w:pStyle w:val="957"/>
              <w:ind w:left="2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rPr>
              <w:t xml:space="preserve">1 </w:t>
            </w:r>
            <w:r>
              <w:rPr>
                <w:rFonts w:hint="eastAsia" w:ascii="仿宋" w:hAnsi="仿宋" w:eastAsia="仿宋" w:cs="仿宋"/>
                <w:color w:val="auto"/>
                <w:sz w:val="24"/>
                <w:highlight w:val="none"/>
                <w:lang w:val="en-US" w:eastAsia="zh-CN"/>
              </w:rPr>
              <w:t>张</w:t>
            </w:r>
          </w:p>
        </w:tc>
        <w:tc>
          <w:tcPr>
            <w:tcW w:w="2432" w:type="dxa"/>
            <w:noWrap w:val="0"/>
            <w:vAlign w:val="center"/>
          </w:tcPr>
          <w:p>
            <w:pPr>
              <w:pStyle w:val="957"/>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bl>
    <w:p>
      <w:pPr>
        <w:spacing w:line="360" w:lineRule="auto"/>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eastAsia="zh-CN"/>
        </w:rPr>
        <w:t>注：</w:t>
      </w:r>
      <w:r>
        <w:rPr>
          <w:rFonts w:hint="eastAsia" w:ascii="仿宋" w:hAnsi="仿宋" w:eastAsia="仿宋" w:cs="仿宋"/>
          <w:b/>
          <w:bCs w:val="0"/>
          <w:color w:val="auto"/>
          <w:sz w:val="24"/>
          <w:highlight w:val="none"/>
        </w:rPr>
        <w:t>提供样品的</w:t>
      </w:r>
      <w:r>
        <w:rPr>
          <w:rFonts w:hint="eastAsia" w:ascii="仿宋" w:hAnsi="仿宋" w:eastAsia="仿宋" w:cs="仿宋"/>
          <w:b/>
          <w:bCs w:val="0"/>
          <w:color w:val="auto"/>
          <w:sz w:val="24"/>
          <w:highlight w:val="none"/>
          <w:lang w:eastAsia="zh-CN"/>
        </w:rPr>
        <w:t>时间地址详见前附表，如需提前送达请提前联系采购代理机构。</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二、商务要求：</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1、供货要求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1.1投标人所供货物须符合国家的相关规定，且负责将所供货物送至采购人指定地点，并负责货物的安装、调试等。</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1.2产品安装所涉及的有关零配件均由投标人提供。</w:t>
      </w:r>
    </w:p>
    <w:p>
      <w:pPr>
        <w:numPr>
          <w:ilvl w:val="0"/>
          <w:numId w:val="3"/>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2.1投标人所提供的货物、工程和服务均应以人民币报价，如同时以人民币及外币报价，以人民币报价为准。</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2.2投标人应按照招标文件采购需求的内容、责任范围以及合同条款进行报价，采购人不再支付除此之外的其它任何费用。</w:t>
      </w:r>
    </w:p>
    <w:p>
      <w:pPr>
        <w:numPr>
          <w:ilvl w:val="0"/>
          <w:numId w:val="3"/>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交货及安装</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3.1交货时间：合同生效之日起</w:t>
      </w:r>
      <w:r>
        <w:rPr>
          <w:rFonts w:hint="eastAsia" w:ascii="仿宋" w:hAnsi="仿宋" w:eastAsia="仿宋" w:cs="仿宋"/>
          <w:b/>
          <w:bCs w:val="0"/>
          <w:color w:val="auto"/>
          <w:sz w:val="24"/>
          <w:highlight w:val="none"/>
          <w:lang w:val="en-US" w:eastAsia="zh-CN"/>
        </w:rPr>
        <w:t>4</w:t>
      </w:r>
      <w:r>
        <w:rPr>
          <w:rFonts w:hint="eastAsia" w:ascii="仿宋" w:hAnsi="仿宋" w:eastAsia="仿宋" w:cs="仿宋"/>
          <w:b/>
          <w:bCs w:val="0"/>
          <w:color w:val="auto"/>
          <w:sz w:val="24"/>
          <w:highlight w:val="none"/>
        </w:rPr>
        <w:t>0个</w:t>
      </w:r>
      <w:r>
        <w:rPr>
          <w:rFonts w:hint="eastAsia" w:ascii="仿宋" w:hAnsi="仿宋" w:eastAsia="仿宋" w:cs="仿宋"/>
          <w:bCs/>
          <w:color w:val="auto"/>
          <w:sz w:val="24"/>
          <w:highlight w:val="none"/>
        </w:rPr>
        <w:t>日历日内完成，并经验收合格后交付采购人使用。</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3.2中标供应商必须严格按照项目技术要求进行安装，并接受采购人的监督管理。</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3.3所有货物必须在检验合格经采购人同意后，方可用于本项目。</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3.4采购人有权监督、检查、检验中标人的货物质量及安装质量进度，整改方案须经采购人认可后方能实施，中标供应商应把货物质量放在首位，加强技术管理和质量保证体系，严格认真地执行技术标准和规范。</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3.5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4、验收要求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4.1验收以招标文件和技术文件、投标文件、合同及安装技术要求为依据。</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4.3验收必须符合国家、地方有关规范、标准及设计要求。</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4.5整改完毕且复验合格后将本项目货物交给采购人使用，完成日期以通过复验日期为准。</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5、售后服务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5.1投标人须提供经调试、验收合格后至少5年的质保期(投标人可根据自身实力作出更长时间的质保承诺)。在此期间，投标人应免费处理因质量发生的故障，并进行正常保养。</w:t>
      </w:r>
      <w:r>
        <w:rPr>
          <w:rFonts w:hint="eastAsia" w:ascii="仿宋" w:hAnsi="仿宋" w:eastAsia="仿宋" w:cs="仿宋"/>
          <w:bCs/>
          <w:color w:val="auto"/>
          <w:sz w:val="24"/>
          <w:highlight w:val="none"/>
          <w:lang w:val="en-US" w:eastAsia="zh-CN"/>
        </w:rPr>
        <w:t>若投标人未按约履行承诺，采购人可请第三方机构进行维修，维修期间产生的费用应有投标人承担。</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5.2中标人必须有可靠的售后服务保障，能提供正常的技术、备品备件服务。中标人在接到招标人通知后，6小时内派人赴现场解决质量问题。24小时内不能修复的，则无偿提供备件或备用零件供采购人使用。</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6、服务要求</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6.1保修期内，如出现故障，中标人在接到电话6小时内到达采购人指定地点，</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6.2中标人提供的货物，必须符合招标文件及其投标文件规定的要求，如有不符，采购人可以无条件退货，造成的损失由中标人承担。</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6.3中标人、供货人名称必须一致，否则作违约处理，其履约保证金不予退还。</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6.4中标人必须按照招标文件及其投标文件规定的时间要求完成供货和施工，如未按期完成，由中标单位按照中标总价的10%进行赔偿，因此造成的任何损失和损伤，一切责任由中标单位负责。</w:t>
      </w:r>
    </w:p>
    <w:p>
      <w:pPr>
        <w:spacing w:line="440" w:lineRule="exact"/>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6.5项目实施人员费用由中标人承担（费用包括但不限于选派专业人员的住宿、就餐和交通等。）</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7、付款方式</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本项目根据财政资金拨款计划进行分期支付。按《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jc w:val="left"/>
        <w:rPr>
          <w:rFonts w:ascii="仿宋" w:hAnsi="仿宋" w:eastAsia="仿宋" w:cs="仿宋"/>
          <w:bCs/>
          <w:color w:val="auto"/>
          <w:sz w:val="24"/>
          <w:highlight w:val="none"/>
        </w:rPr>
      </w:pPr>
      <w:r>
        <w:rPr>
          <w:rFonts w:hint="eastAsia" w:ascii="仿宋" w:hAnsi="仿宋" w:eastAsia="仿宋" w:cs="仿宋"/>
          <w:b/>
          <w:color w:val="auto"/>
          <w:sz w:val="24"/>
          <w:highlight w:val="none"/>
        </w:rPr>
        <w:t>8、履约保证金：</w:t>
      </w:r>
      <w:r>
        <w:rPr>
          <w:rFonts w:hint="eastAsia" w:ascii="仿宋" w:hAnsi="仿宋" w:eastAsia="仿宋" w:cs="仿宋"/>
          <w:bCs/>
          <w:color w:val="auto"/>
          <w:sz w:val="24"/>
          <w:highlight w:val="none"/>
        </w:rPr>
        <w:t xml:space="preserve">履约保证金为中标价的1%，合同签订后缴纳，在项目验收合格后无任何质量问题后退还。 </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9、违约责任及奖罚</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9.1安装完成经验收，不能达到招标文件规定的“质量要求”，无偿返工，并扣除全部履约保证金，同时作违约论处。</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9.2不能在规定时间内完成货物供应及安装的，每逾期一天扣合同金额的0.1%。（非中标供应商原因除外）。</w:t>
      </w:r>
    </w:p>
    <w:p>
      <w:pPr>
        <w:spacing w:line="440" w:lineRule="exact"/>
        <w:ind w:right="42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9.3因中标供应商违约造成终止合同的，则扣除全部履约保证金，同时作违约论处。</w:t>
      </w:r>
      <w:r>
        <w:rPr>
          <w:rFonts w:hint="eastAsia" w:ascii="仿宋" w:hAnsi="仿宋" w:eastAsia="仿宋" w:cs="仿宋"/>
          <w:bCs/>
          <w:color w:val="auto"/>
          <w:sz w:val="24"/>
          <w:highlight w:val="none"/>
        </w:rPr>
        <w:cr/>
      </w:r>
      <w:r>
        <w:rPr>
          <w:rFonts w:hint="eastAsia" w:ascii="仿宋" w:hAnsi="仿宋" w:eastAsia="仿宋" w:cs="仿宋"/>
          <w:bCs/>
          <w:color w:val="auto"/>
          <w:sz w:val="24"/>
          <w:highlight w:val="none"/>
        </w:rPr>
        <w:t>9.4因采购人违约造成终止合同，采购人应退还中标供应商缴纳的履约保证金，同时支付给中标供应商履约保证金同等金额的违约金，但属执行国家行政指令造成的合同终止，不支付违约金。</w:t>
      </w:r>
    </w:p>
    <w:p>
      <w:pPr>
        <w:pStyle w:val="2"/>
        <w:rPr>
          <w:rFonts w:hint="eastAsia" w:ascii="仿宋" w:hAnsi="仿宋" w:eastAsia="仿宋" w:cs="仿宋"/>
          <w:bCs/>
          <w:color w:val="auto"/>
          <w:sz w:val="24"/>
          <w:highlight w:val="none"/>
        </w:rPr>
      </w:pPr>
    </w:p>
    <w:p>
      <w:pPr>
        <w:pStyle w:val="2"/>
        <w:rPr>
          <w:rFonts w:hint="eastAsia" w:ascii="仿宋" w:hAnsi="仿宋" w:eastAsia="仿宋" w:cs="仿宋"/>
          <w:bCs/>
          <w:color w:val="auto"/>
          <w:sz w:val="24"/>
          <w:highlight w:val="none"/>
        </w:rPr>
      </w:pPr>
    </w:p>
    <w:p>
      <w:pPr>
        <w:pStyle w:val="2"/>
        <w:rPr>
          <w:rFonts w:hint="eastAsia" w:ascii="仿宋" w:hAnsi="仿宋" w:eastAsia="仿宋" w:cs="仿宋"/>
          <w:bCs/>
          <w:color w:val="auto"/>
          <w:sz w:val="24"/>
          <w:highlight w:val="none"/>
        </w:rPr>
      </w:pPr>
    </w:p>
    <w:p>
      <w:pPr>
        <w:spacing w:line="360" w:lineRule="auto"/>
        <w:ind w:left="720" w:leftChars="343" w:firstLine="1084" w:firstLineChars="300"/>
        <w:jc w:val="center"/>
        <w:outlineLvl w:val="0"/>
        <w:rPr>
          <w:rFonts w:hint="eastAsia" w:ascii="仿宋" w:hAnsi="仿宋" w:eastAsia="仿宋" w:cs="仿宋"/>
          <w:b/>
          <w:color w:val="auto"/>
          <w:sz w:val="36"/>
          <w:szCs w:val="36"/>
          <w:highlight w:val="none"/>
          <w:lang w:eastAsia="zh-CN"/>
        </w:rPr>
      </w:pPr>
    </w:p>
    <w:p>
      <w:pPr>
        <w:spacing w:line="360" w:lineRule="auto"/>
        <w:ind w:left="720" w:leftChars="343" w:firstLine="1084" w:firstLineChars="300"/>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3"/>
        <w:ind w:left="0" w:leftChars="0" w:firstLine="0" w:firstLineChars="0"/>
        <w:rPr>
          <w:rFonts w:hint="eastAsia" w:ascii="仿宋" w:hAnsi="仿宋" w:eastAsia="仿宋" w:cs="仿宋"/>
          <w:color w:val="auto"/>
          <w:szCs w:val="24"/>
          <w:highlight w:val="none"/>
        </w:rPr>
      </w:pPr>
    </w:p>
    <w:p>
      <w:pPr>
        <w:pStyle w:val="703"/>
        <w:jc w:val="center"/>
        <w:rPr>
          <w:rFonts w:hint="eastAsia" w:ascii="仿宋" w:hAnsi="仿宋" w:eastAsia="仿宋" w:cs="仿宋"/>
          <w:color w:val="auto"/>
          <w:szCs w:val="24"/>
          <w:highlight w:val="none"/>
        </w:rPr>
      </w:pPr>
    </w:p>
    <w:p>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3"/>
        <w:rPr>
          <w:rFonts w:hint="eastAsia" w:ascii="仿宋" w:hAnsi="仿宋" w:eastAsia="仿宋" w:cs="仿宋"/>
          <w:color w:val="auto"/>
          <w:szCs w:val="24"/>
          <w:highlight w:val="none"/>
        </w:rPr>
      </w:pPr>
    </w:p>
    <w:p>
      <w:pPr>
        <w:pStyle w:val="703"/>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hint="eastAsia" w:ascii="仿宋" w:hAnsi="仿宋" w:eastAsia="仿宋" w:cs="仿宋"/>
          <w:color w:val="auto"/>
          <w:szCs w:val="24"/>
          <w:highlight w:val="none"/>
        </w:rPr>
      </w:pPr>
    </w:p>
    <w:p>
      <w:pPr>
        <w:pStyle w:val="600"/>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43" w:name="_Toc2232"/>
      <w:bookmarkStart w:id="44" w:name="_Toc24059"/>
      <w:bookmarkStart w:id="45" w:name="_Toc3029"/>
      <w:r>
        <w:rPr>
          <w:rFonts w:hint="eastAsia" w:ascii="仿宋" w:hAnsi="仿宋" w:eastAsia="仿宋" w:cs="仿宋"/>
          <w:b/>
          <w:color w:val="auto"/>
          <w:sz w:val="24"/>
          <w:highlight w:val="none"/>
        </w:rPr>
        <w:t>1.1 合同组成部分</w:t>
      </w:r>
      <w:bookmarkEnd w:id="43"/>
      <w:bookmarkEnd w:id="44"/>
      <w:bookmarkEnd w:id="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6" w:name="_Toc21295"/>
      <w:bookmarkStart w:id="47" w:name="_Toc24300"/>
      <w:bookmarkStart w:id="48" w:name="_Toc27126"/>
      <w:r>
        <w:rPr>
          <w:rFonts w:hint="eastAsia" w:ascii="仿宋" w:hAnsi="仿宋" w:eastAsia="仿宋" w:cs="仿宋"/>
          <w:b/>
          <w:color w:val="auto"/>
          <w:sz w:val="24"/>
          <w:highlight w:val="none"/>
        </w:rPr>
        <w:t>1.2 货物</w:t>
      </w:r>
      <w:bookmarkEnd w:id="46"/>
      <w:bookmarkEnd w:id="47"/>
      <w:bookmarkEnd w:id="48"/>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49" w:name="_Toc21551"/>
      <w:bookmarkStart w:id="50" w:name="_Toc21631"/>
      <w:bookmarkStart w:id="51" w:name="_Toc23292"/>
      <w:r>
        <w:rPr>
          <w:rFonts w:hint="eastAsia" w:ascii="仿宋" w:hAnsi="仿宋" w:eastAsia="仿宋" w:cs="仿宋"/>
          <w:b/>
          <w:color w:val="auto"/>
          <w:sz w:val="24"/>
          <w:highlight w:val="none"/>
        </w:rPr>
        <w:t>1.3 价款</w:t>
      </w:r>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color w:val="auto"/>
                <w:sz w:val="24"/>
                <w:szCs w:val="24"/>
                <w:highlight w:val="none"/>
              </w:rPr>
            </w:pPr>
          </w:p>
        </w:tc>
      </w:tr>
    </w:tbl>
    <w:p>
      <w:pPr>
        <w:pStyle w:val="960"/>
        <w:spacing w:before="0" w:beforeAutospacing="0" w:after="0" w:afterAutospacing="0" w:line="360" w:lineRule="auto"/>
        <w:ind w:firstLine="480"/>
        <w:rPr>
          <w:rFonts w:hint="eastAsia" w:ascii="仿宋" w:hAnsi="仿宋" w:eastAsia="仿宋" w:cs="仿宋"/>
          <w:b/>
          <w:color w:val="auto"/>
          <w:highlight w:val="none"/>
        </w:rPr>
      </w:pPr>
      <w:bookmarkStart w:id="52" w:name="_Toc22618"/>
      <w:bookmarkStart w:id="53" w:name="_Toc1814"/>
      <w:bookmarkStart w:id="54" w:name="_Toc10340"/>
      <w:r>
        <w:rPr>
          <w:rFonts w:hint="eastAsia" w:ascii="仿宋" w:hAnsi="仿宋" w:eastAsia="仿宋" w:cs="仿宋"/>
          <w:b/>
          <w:color w:val="auto"/>
          <w:highlight w:val="none"/>
        </w:rPr>
        <w:t>1.4履约保证金</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2"/>
      <w:bookmarkEnd w:id="53"/>
      <w:bookmarkEnd w:id="54"/>
      <w:r>
        <w:rPr>
          <w:rFonts w:hint="eastAsia" w:ascii="仿宋" w:hAnsi="仿宋" w:eastAsia="仿宋" w:cs="仿宋"/>
          <w:b/>
          <w:color w:val="auto"/>
          <w:sz w:val="24"/>
          <w:highlight w:val="none"/>
        </w:rPr>
        <w:t>预付款</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5" w:name="_Toc32071"/>
      <w:bookmarkStart w:id="56" w:name="_Toc2846"/>
      <w:bookmarkStart w:id="57" w:name="_Toc19304"/>
      <w:r>
        <w:rPr>
          <w:rFonts w:hint="eastAsia" w:ascii="仿宋" w:hAnsi="仿宋" w:eastAsia="仿宋" w:cs="仿宋"/>
          <w:b/>
          <w:color w:val="auto"/>
          <w:sz w:val="24"/>
          <w:highlight w:val="none"/>
        </w:rPr>
        <w:t>1.7货物交付期限、地点和方式</w:t>
      </w:r>
      <w:bookmarkEnd w:id="55"/>
      <w:bookmarkEnd w:id="56"/>
      <w:bookmarkEnd w:id="57"/>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8" w:name="_Toc21423"/>
      <w:bookmarkStart w:id="59" w:name="_Toc19554"/>
      <w:bookmarkStart w:id="60" w:name="_Toc27250"/>
      <w:r>
        <w:rPr>
          <w:rFonts w:hint="eastAsia" w:ascii="仿宋" w:hAnsi="仿宋" w:eastAsia="仿宋" w:cs="仿宋"/>
          <w:b/>
          <w:color w:val="auto"/>
          <w:sz w:val="24"/>
          <w:highlight w:val="none"/>
        </w:rPr>
        <w:t>1.8违约责任</w:t>
      </w:r>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61" w:name="_Toc15583"/>
      <w:bookmarkStart w:id="62" w:name="_Toc28375"/>
      <w:bookmarkStart w:id="63" w:name="_Toc16021"/>
      <w:r>
        <w:rPr>
          <w:rFonts w:hint="eastAsia" w:ascii="仿宋" w:hAnsi="仿宋" w:eastAsia="仿宋" w:cs="仿宋"/>
          <w:b/>
          <w:color w:val="auto"/>
          <w:sz w:val="24"/>
          <w:highlight w:val="none"/>
        </w:rPr>
        <w:t>1.9合同争议的解决</w:t>
      </w:r>
      <w:bookmarkEnd w:id="61"/>
      <w:bookmarkEnd w:id="62"/>
      <w:bookmarkEnd w:id="63"/>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64" w:name="_Toc11173"/>
      <w:bookmarkStart w:id="65" w:name="_Toc15322"/>
      <w:bookmarkStart w:id="66" w:name="_Toc7245"/>
      <w:r>
        <w:rPr>
          <w:rFonts w:hint="eastAsia" w:ascii="仿宋" w:hAnsi="仿宋" w:eastAsia="仿宋" w:cs="仿宋"/>
          <w:b/>
          <w:color w:val="auto"/>
          <w:sz w:val="24"/>
          <w:highlight w:val="none"/>
        </w:rPr>
        <w:t>2.0 合同生效</w:t>
      </w:r>
      <w:bookmarkEnd w:id="64"/>
      <w:bookmarkEnd w:id="65"/>
      <w:bookmarkEnd w:id="66"/>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7" w:name="_Ref467379214"/>
      <w:bookmarkStart w:id="68" w:name="_Toc259093669"/>
      <w:bookmarkStart w:id="69" w:name="_Ref467378463"/>
      <w:bookmarkStart w:id="70" w:name="_Toc279701240"/>
      <w:bookmarkStart w:id="71" w:name="_Ref467379094"/>
      <w:bookmarkStart w:id="72" w:name="_Ref467379195"/>
      <w:bookmarkStart w:id="73" w:name="_Toc28763"/>
      <w:bookmarkStart w:id="74" w:name="_Ref467379225"/>
      <w:bookmarkStart w:id="75" w:name="_Ref467379101"/>
      <w:bookmarkStart w:id="76" w:name="_Toc19614"/>
      <w:bookmarkStart w:id="77" w:name="_Toc487900349"/>
      <w:bookmarkStart w:id="78" w:name="_Ref467379205"/>
      <w:bookmarkStart w:id="79" w:name="_Ref467378404"/>
      <w:bookmarkStart w:id="80" w:name="_Ref467378499"/>
      <w:bookmarkStart w:id="81" w:name="_Toc16917"/>
      <w:bookmarkStart w:id="82" w:name="_Ref467379109"/>
      <w:r>
        <w:rPr>
          <w:rFonts w:hint="eastAsia" w:ascii="仿宋" w:hAnsi="仿宋" w:eastAsia="仿宋" w:cs="仿宋"/>
          <w:b/>
          <w:color w:val="auto"/>
          <w:sz w:val="24"/>
          <w:highlight w:val="none"/>
        </w:rPr>
        <w:t>2.1 定义</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83" w:name="_Ref467378840"/>
      <w:r>
        <w:rPr>
          <w:rFonts w:hint="eastAsia" w:ascii="仿宋" w:hAnsi="仿宋" w:eastAsia="仿宋" w:cs="仿宋"/>
          <w:color w:val="auto"/>
          <w:sz w:val="24"/>
          <w:highlight w:val="none"/>
        </w:rPr>
        <w:t>2.1.4 “甲方”系指与中标或成交供应商签署合同的采购人</w:t>
      </w:r>
      <w:bookmarkEnd w:id="83"/>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84" w:name="_Ref467379400"/>
      <w:r>
        <w:rPr>
          <w:rFonts w:hint="eastAsia" w:ascii="仿宋" w:hAnsi="仿宋" w:eastAsia="仿宋" w:cs="仿宋"/>
          <w:color w:val="auto"/>
          <w:sz w:val="24"/>
          <w:highlight w:val="none"/>
        </w:rPr>
        <w:t>2.1.5 “乙方”系指根据合同约定交付货物的中标或成交供应商</w:t>
      </w:r>
      <w:bookmarkEnd w:id="8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85" w:name="_Ref467379436"/>
      <w:r>
        <w:rPr>
          <w:rFonts w:hint="eastAsia" w:ascii="仿宋" w:hAnsi="仿宋" w:eastAsia="仿宋" w:cs="仿宋"/>
          <w:color w:val="auto"/>
          <w:sz w:val="24"/>
          <w:highlight w:val="none"/>
        </w:rPr>
        <w:t>2.1.6 “现场”系指合同约定货物将要运至或者安装的地点。</w:t>
      </w:r>
      <w:bookmarkEnd w:id="85"/>
    </w:p>
    <w:p>
      <w:pPr>
        <w:spacing w:line="560" w:lineRule="exact"/>
        <w:ind w:firstLine="482" w:firstLineChars="200"/>
        <w:outlineLvl w:val="0"/>
        <w:rPr>
          <w:rFonts w:hint="eastAsia" w:ascii="仿宋" w:hAnsi="仿宋" w:eastAsia="仿宋" w:cs="仿宋"/>
          <w:b/>
          <w:color w:val="auto"/>
          <w:sz w:val="24"/>
          <w:highlight w:val="none"/>
        </w:rPr>
      </w:pPr>
      <w:bookmarkStart w:id="86" w:name="_Toc32504"/>
      <w:bookmarkStart w:id="87" w:name="_Toc27635"/>
      <w:bookmarkStart w:id="88" w:name="_Toc13336"/>
      <w:bookmarkStart w:id="89" w:name="_Toc487900350"/>
      <w:bookmarkStart w:id="90" w:name="_Toc279701241"/>
      <w:bookmarkStart w:id="91" w:name="_Toc259093670"/>
      <w:r>
        <w:rPr>
          <w:rFonts w:hint="eastAsia" w:ascii="仿宋" w:hAnsi="仿宋" w:eastAsia="仿宋" w:cs="仿宋"/>
          <w:b/>
          <w:color w:val="auto"/>
          <w:sz w:val="24"/>
          <w:highlight w:val="none"/>
        </w:rPr>
        <w:t>2.2 技术规范</w:t>
      </w:r>
      <w:bookmarkEnd w:id="86"/>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279701242"/>
      <w:bookmarkStart w:id="93" w:name="_Toc27853"/>
      <w:bookmarkStart w:id="94" w:name="_Toc9829"/>
      <w:bookmarkStart w:id="95" w:name="_Toc259093671"/>
      <w:bookmarkStart w:id="96" w:name="_Toc31634"/>
      <w:bookmarkStart w:id="97" w:name="_Toc487900351"/>
      <w:r>
        <w:rPr>
          <w:rFonts w:hint="eastAsia" w:ascii="仿宋" w:hAnsi="仿宋" w:eastAsia="仿宋" w:cs="仿宋"/>
          <w:b/>
          <w:color w:val="auto"/>
          <w:sz w:val="24"/>
          <w:highlight w:val="none"/>
        </w:rPr>
        <w:t>2.3 知识产权</w:t>
      </w:r>
      <w:bookmarkEnd w:id="92"/>
      <w:bookmarkEnd w:id="93"/>
      <w:bookmarkEnd w:id="94"/>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8" w:name="_Toc4194"/>
      <w:bookmarkStart w:id="99" w:name="_Toc29149"/>
      <w:bookmarkStart w:id="100" w:name="_Toc11932"/>
      <w:r>
        <w:rPr>
          <w:rFonts w:hint="eastAsia" w:ascii="仿宋" w:hAnsi="仿宋" w:eastAsia="仿宋" w:cs="仿宋"/>
          <w:b/>
          <w:color w:val="auto"/>
          <w:sz w:val="24"/>
          <w:highlight w:val="none"/>
        </w:rPr>
        <w:t>2.4 包装和装运</w:t>
      </w:r>
      <w:bookmarkEnd w:id="98"/>
      <w:bookmarkEnd w:id="99"/>
      <w:bookmarkEnd w:id="1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1" w:name="_Ref467379542"/>
      <w:bookmarkStart w:id="102" w:name="_Ref467378591"/>
      <w:bookmarkStart w:id="103" w:name="_Toc487900354"/>
      <w:bookmarkStart w:id="104" w:name="_Ref467379527"/>
      <w:bookmarkStart w:id="105" w:name="_Toc279701245"/>
      <w:bookmarkStart w:id="106" w:name="_Ref467378541"/>
      <w:bookmarkStart w:id="107" w:name="_Toc259093674"/>
      <w:bookmarkStart w:id="108" w:name="_Ref467379536"/>
      <w:bookmarkStart w:id="109" w:name="_Toc19074"/>
      <w:bookmarkStart w:id="110" w:name="_Toc26182"/>
      <w:bookmarkStart w:id="111" w:name="_Toc30272"/>
      <w:r>
        <w:rPr>
          <w:rFonts w:hint="eastAsia" w:ascii="仿宋" w:hAnsi="仿宋" w:eastAsia="仿宋" w:cs="仿宋"/>
          <w:b/>
          <w:color w:val="auto"/>
          <w:sz w:val="24"/>
          <w:highlight w:val="none"/>
        </w:rPr>
        <w:t>2.</w:t>
      </w:r>
      <w:bookmarkEnd w:id="101"/>
      <w:bookmarkEnd w:id="102"/>
      <w:bookmarkEnd w:id="103"/>
      <w:bookmarkEnd w:id="104"/>
      <w:bookmarkEnd w:id="105"/>
      <w:bookmarkEnd w:id="106"/>
      <w:bookmarkEnd w:id="107"/>
      <w:bookmarkEnd w:id="108"/>
      <w:r>
        <w:rPr>
          <w:rFonts w:hint="eastAsia" w:ascii="仿宋" w:hAnsi="仿宋" w:eastAsia="仿宋" w:cs="仿宋"/>
          <w:b/>
          <w:color w:val="auto"/>
          <w:sz w:val="24"/>
          <w:highlight w:val="none"/>
        </w:rPr>
        <w:t>5 履约检查和问题反馈</w:t>
      </w:r>
      <w:bookmarkEnd w:id="109"/>
      <w:bookmarkEnd w:id="110"/>
      <w:bookmarkEnd w:id="111"/>
    </w:p>
    <w:p>
      <w:pPr>
        <w:spacing w:line="560" w:lineRule="exact"/>
        <w:ind w:firstLine="480" w:firstLineChars="200"/>
        <w:rPr>
          <w:rFonts w:hint="eastAsia" w:ascii="仿宋" w:hAnsi="仿宋" w:eastAsia="仿宋" w:cs="仿宋"/>
          <w:color w:val="auto"/>
          <w:sz w:val="24"/>
          <w:highlight w:val="none"/>
        </w:rPr>
      </w:pPr>
      <w:bookmarkStart w:id="112" w:name="_Ref467379657"/>
      <w:r>
        <w:rPr>
          <w:rFonts w:hint="eastAsia" w:ascii="仿宋" w:hAnsi="仿宋" w:eastAsia="仿宋" w:cs="仿宋"/>
          <w:color w:val="auto"/>
          <w:sz w:val="24"/>
          <w:highlight w:val="none"/>
        </w:rPr>
        <w:t>2.5.1</w:t>
      </w:r>
      <w:bookmarkEnd w:id="112"/>
      <w:bookmarkStart w:id="113" w:name="_Toc186431854"/>
      <w:bookmarkStart w:id="114" w:name="_Toc259093676"/>
      <w:bookmarkStart w:id="115" w:name="_Toc279701247"/>
      <w:bookmarkStart w:id="116" w:name="_Toc487900357"/>
      <w:bookmarkStart w:id="117" w:name="_Ref467379793"/>
      <w:bookmarkStart w:id="118"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3"/>
      <w:bookmarkStart w:id="119" w:name="_Toc186431855"/>
      <w:r>
        <w:rPr>
          <w:rFonts w:hint="eastAsia" w:ascii="仿宋" w:hAnsi="仿宋" w:eastAsia="仿宋" w:cs="仿宋"/>
          <w:color w:val="auto"/>
          <w:sz w:val="24"/>
          <w:highlight w:val="none"/>
        </w:rPr>
        <w:t>。</w:t>
      </w:r>
    </w:p>
    <w:bookmarkEnd w:id="114"/>
    <w:bookmarkEnd w:id="115"/>
    <w:bookmarkEnd w:id="116"/>
    <w:bookmarkEnd w:id="117"/>
    <w:bookmarkEnd w:id="118"/>
    <w:bookmarkEnd w:id="119"/>
    <w:p>
      <w:pPr>
        <w:spacing w:line="560" w:lineRule="exact"/>
        <w:ind w:firstLine="482" w:firstLineChars="200"/>
        <w:outlineLvl w:val="0"/>
        <w:rPr>
          <w:rFonts w:hint="eastAsia" w:ascii="仿宋" w:hAnsi="仿宋" w:eastAsia="仿宋" w:cs="仿宋"/>
          <w:b/>
          <w:color w:val="auto"/>
          <w:sz w:val="24"/>
          <w:highlight w:val="none"/>
        </w:rPr>
      </w:pPr>
      <w:bookmarkStart w:id="120" w:name="_Ref467379863"/>
      <w:bookmarkStart w:id="121" w:name="_Ref467379852"/>
      <w:bookmarkStart w:id="122" w:name="_Toc259093677"/>
      <w:bookmarkStart w:id="123" w:name="_Toc487900358"/>
      <w:bookmarkStart w:id="124" w:name="_Ref467379923"/>
      <w:bookmarkStart w:id="125" w:name="_Toc279701248"/>
      <w:bookmarkStart w:id="126" w:name="_Toc16110"/>
      <w:bookmarkStart w:id="127" w:name="_Toc3225"/>
      <w:bookmarkStart w:id="128" w:name="_Toc774"/>
      <w:r>
        <w:rPr>
          <w:rFonts w:hint="eastAsia" w:ascii="仿宋" w:hAnsi="仿宋" w:eastAsia="仿宋" w:cs="仿宋"/>
          <w:b/>
          <w:color w:val="auto"/>
          <w:sz w:val="24"/>
          <w:highlight w:val="none"/>
        </w:rPr>
        <w:t>2.6 技术资料</w:t>
      </w:r>
      <w:bookmarkEnd w:id="120"/>
      <w:bookmarkEnd w:id="121"/>
      <w:bookmarkEnd w:id="122"/>
      <w:bookmarkEnd w:id="123"/>
      <w:bookmarkEnd w:id="124"/>
      <w:bookmarkEnd w:id="125"/>
      <w:r>
        <w:rPr>
          <w:rFonts w:hint="eastAsia" w:ascii="仿宋" w:hAnsi="仿宋" w:eastAsia="仿宋" w:cs="仿宋"/>
          <w:b/>
          <w:color w:val="auto"/>
          <w:sz w:val="24"/>
          <w:highlight w:val="none"/>
        </w:rPr>
        <w:t>和保密义务</w:t>
      </w:r>
      <w:bookmarkEnd w:id="126"/>
      <w:bookmarkEnd w:id="127"/>
      <w:bookmarkEnd w:id="12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29" w:name="_Toc7860"/>
      <w:r>
        <w:rPr>
          <w:rFonts w:hint="eastAsia" w:ascii="仿宋" w:hAnsi="仿宋" w:eastAsia="仿宋" w:cs="仿宋"/>
          <w:b/>
          <w:color w:val="auto"/>
          <w:sz w:val="24"/>
          <w:highlight w:val="none"/>
        </w:rPr>
        <w:t>2.7 质量保证</w:t>
      </w:r>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30" w:name="_Toc17244"/>
      <w:bookmarkStart w:id="131" w:name="_Toc487900362"/>
      <w:bookmarkStart w:id="132" w:name="_Toc259093681"/>
      <w:bookmarkStart w:id="133" w:name="_Toc279701252"/>
      <w:r>
        <w:rPr>
          <w:rFonts w:hint="eastAsia" w:ascii="仿宋" w:hAnsi="仿宋" w:eastAsia="仿宋" w:cs="仿宋"/>
          <w:b/>
          <w:color w:val="auto"/>
          <w:sz w:val="24"/>
          <w:highlight w:val="none"/>
        </w:rPr>
        <w:t>2.8 货物的风险负担</w:t>
      </w:r>
      <w:bookmarkEnd w:id="13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4" w:name="_Toc14055"/>
      <w:r>
        <w:rPr>
          <w:rFonts w:hint="eastAsia" w:ascii="仿宋" w:hAnsi="仿宋" w:eastAsia="仿宋" w:cs="仿宋"/>
          <w:b/>
          <w:color w:val="auto"/>
          <w:sz w:val="24"/>
          <w:highlight w:val="none"/>
        </w:rPr>
        <w:t>2.9 延迟交货</w:t>
      </w:r>
      <w:bookmarkEnd w:id="131"/>
      <w:bookmarkEnd w:id="132"/>
      <w:bookmarkEnd w:id="133"/>
      <w:bookmarkEnd w:id="13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5" w:name="_Toc7502"/>
      <w:bookmarkStart w:id="136" w:name="_Ref467378121"/>
      <w:bookmarkStart w:id="137" w:name="_Toc279701254"/>
      <w:bookmarkStart w:id="138" w:name="_Toc259093683"/>
      <w:bookmarkStart w:id="139" w:name="_Toc487900364"/>
      <w:r>
        <w:rPr>
          <w:rFonts w:hint="eastAsia" w:ascii="仿宋" w:hAnsi="仿宋" w:eastAsia="仿宋" w:cs="仿宋"/>
          <w:b/>
          <w:color w:val="auto"/>
          <w:sz w:val="24"/>
          <w:highlight w:val="none"/>
        </w:rPr>
        <w:t>2.10 合同变更</w:t>
      </w:r>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0" w:name="_Toc259093688"/>
      <w:bookmarkStart w:id="141" w:name="_Toc487900369"/>
      <w:bookmarkStart w:id="142" w:name="_Toc279701259"/>
    </w:p>
    <w:p>
      <w:pPr>
        <w:spacing w:line="560" w:lineRule="exact"/>
        <w:ind w:firstLine="482" w:firstLineChars="200"/>
        <w:outlineLvl w:val="0"/>
        <w:rPr>
          <w:rFonts w:hint="eastAsia" w:ascii="仿宋" w:hAnsi="仿宋" w:eastAsia="仿宋" w:cs="仿宋"/>
          <w:b/>
          <w:color w:val="auto"/>
          <w:sz w:val="24"/>
          <w:highlight w:val="none"/>
        </w:rPr>
      </w:pPr>
      <w:bookmarkStart w:id="143" w:name="_Toc22955"/>
      <w:bookmarkStart w:id="144" w:name="_Toc10366"/>
      <w:bookmarkStart w:id="145" w:name="_Toc15237"/>
      <w:r>
        <w:rPr>
          <w:rFonts w:hint="eastAsia" w:ascii="仿宋" w:hAnsi="仿宋" w:eastAsia="仿宋" w:cs="仿宋"/>
          <w:b/>
          <w:color w:val="auto"/>
          <w:sz w:val="24"/>
          <w:highlight w:val="none"/>
        </w:rPr>
        <w:t>2.11 合同转让</w:t>
      </w:r>
      <w:bookmarkEnd w:id="140"/>
      <w:bookmarkEnd w:id="141"/>
      <w:bookmarkEnd w:id="142"/>
      <w:r>
        <w:rPr>
          <w:rFonts w:hint="eastAsia" w:ascii="仿宋" w:hAnsi="仿宋" w:eastAsia="仿宋" w:cs="仿宋"/>
          <w:b/>
          <w:color w:val="auto"/>
          <w:sz w:val="24"/>
          <w:highlight w:val="none"/>
        </w:rPr>
        <w:t>和分包</w:t>
      </w:r>
      <w:bookmarkEnd w:id="143"/>
      <w:bookmarkEnd w:id="144"/>
      <w:bookmarkEnd w:id="1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6" w:name="_Toc14066"/>
      <w:bookmarkStart w:id="147" w:name="_Toc13566"/>
      <w:bookmarkStart w:id="148" w:name="_Toc16508"/>
      <w:r>
        <w:rPr>
          <w:rFonts w:hint="eastAsia" w:ascii="仿宋" w:hAnsi="仿宋" w:eastAsia="仿宋" w:cs="仿宋"/>
          <w:b/>
          <w:color w:val="auto"/>
          <w:sz w:val="24"/>
          <w:highlight w:val="none"/>
        </w:rPr>
        <w:t>2.12 不可抗力</w:t>
      </w:r>
      <w:bookmarkEnd w:id="146"/>
      <w:bookmarkEnd w:id="147"/>
      <w:bookmarkEnd w:id="14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49" w:name="_Toc279701255"/>
      <w:bookmarkStart w:id="150" w:name="_Toc30676"/>
      <w:bookmarkStart w:id="151" w:name="_Toc6969"/>
      <w:bookmarkStart w:id="152" w:name="_Toc259093684"/>
      <w:bookmarkStart w:id="153" w:name="_Toc487900365"/>
      <w:bookmarkStart w:id="154" w:name="_Toc689"/>
      <w:r>
        <w:rPr>
          <w:rFonts w:hint="eastAsia" w:ascii="仿宋" w:hAnsi="仿宋" w:eastAsia="仿宋" w:cs="仿宋"/>
          <w:b/>
          <w:color w:val="auto"/>
          <w:sz w:val="24"/>
          <w:highlight w:val="none"/>
        </w:rPr>
        <w:t>2.13 税费</w:t>
      </w:r>
      <w:bookmarkEnd w:id="149"/>
      <w:bookmarkEnd w:id="150"/>
      <w:bookmarkEnd w:id="151"/>
      <w:bookmarkEnd w:id="152"/>
      <w:bookmarkEnd w:id="153"/>
      <w:bookmarkEnd w:id="15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5" w:name="_Toc259093687"/>
      <w:bookmarkStart w:id="156" w:name="_Toc279701258"/>
      <w:bookmarkStart w:id="157" w:name="_Toc7102"/>
      <w:bookmarkStart w:id="158" w:name="_Toc8298"/>
      <w:bookmarkStart w:id="159" w:name="_Toc487900368"/>
      <w:bookmarkStart w:id="160" w:name="_Toc16959"/>
      <w:r>
        <w:rPr>
          <w:rFonts w:hint="eastAsia" w:ascii="仿宋" w:hAnsi="仿宋" w:eastAsia="仿宋" w:cs="仿宋"/>
          <w:b/>
          <w:color w:val="auto"/>
          <w:sz w:val="24"/>
          <w:highlight w:val="none"/>
        </w:rPr>
        <w:t>2.14乙方破产</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61" w:name="_Toc6134"/>
      <w:bookmarkStart w:id="162" w:name="_Toc15387"/>
      <w:bookmarkStart w:id="163" w:name="_Toc29333"/>
      <w:r>
        <w:rPr>
          <w:rFonts w:hint="eastAsia" w:ascii="仿宋" w:hAnsi="仿宋" w:eastAsia="仿宋" w:cs="仿宋"/>
          <w:b/>
          <w:color w:val="auto"/>
          <w:sz w:val="24"/>
          <w:highlight w:val="none"/>
        </w:rPr>
        <w:t>2.15 合同中止、终止</w:t>
      </w:r>
      <w:bookmarkEnd w:id="161"/>
      <w:bookmarkEnd w:id="162"/>
      <w:bookmarkEnd w:id="16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4" w:name="_Toc14563"/>
      <w:bookmarkStart w:id="165" w:name="_Toc6596"/>
      <w:bookmarkStart w:id="166" w:name="_Toc1125"/>
      <w:r>
        <w:rPr>
          <w:rFonts w:hint="eastAsia" w:ascii="仿宋" w:hAnsi="仿宋" w:eastAsia="仿宋" w:cs="仿宋"/>
          <w:b/>
          <w:color w:val="auto"/>
          <w:sz w:val="24"/>
          <w:highlight w:val="none"/>
        </w:rPr>
        <w:t>2.16检验和验收</w:t>
      </w:r>
      <w:bookmarkEnd w:id="164"/>
      <w:bookmarkEnd w:id="165"/>
      <w:bookmarkEnd w:id="16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6"/>
    <w:bookmarkEnd w:id="137"/>
    <w:bookmarkEnd w:id="138"/>
    <w:bookmarkEnd w:id="139"/>
    <w:p>
      <w:pPr>
        <w:spacing w:line="560" w:lineRule="exact"/>
        <w:ind w:firstLine="482" w:firstLineChars="200"/>
        <w:outlineLvl w:val="0"/>
        <w:rPr>
          <w:rFonts w:hint="eastAsia" w:ascii="仿宋" w:hAnsi="仿宋" w:eastAsia="仿宋" w:cs="仿宋"/>
          <w:b/>
          <w:color w:val="auto"/>
          <w:sz w:val="24"/>
          <w:highlight w:val="none"/>
        </w:rPr>
      </w:pPr>
      <w:bookmarkStart w:id="167" w:name="_Toc259093690"/>
      <w:bookmarkStart w:id="168" w:name="_Toc279701261"/>
      <w:bookmarkStart w:id="169" w:name="_Toc487900371"/>
      <w:bookmarkStart w:id="170" w:name="_Toc25182"/>
      <w:bookmarkStart w:id="171" w:name="_Toc19604"/>
      <w:bookmarkStart w:id="172" w:name="_Toc11284"/>
      <w:r>
        <w:rPr>
          <w:rFonts w:hint="eastAsia" w:ascii="仿宋" w:hAnsi="仿宋" w:eastAsia="仿宋" w:cs="仿宋"/>
          <w:b/>
          <w:color w:val="auto"/>
          <w:sz w:val="24"/>
          <w:highlight w:val="none"/>
        </w:rPr>
        <w:t>2.17 通知</w:t>
      </w:r>
      <w:bookmarkEnd w:id="167"/>
      <w:bookmarkEnd w:id="168"/>
      <w:bookmarkEnd w:id="169"/>
      <w:r>
        <w:rPr>
          <w:rFonts w:hint="eastAsia" w:ascii="仿宋" w:hAnsi="仿宋" w:eastAsia="仿宋" w:cs="仿宋"/>
          <w:b/>
          <w:color w:val="auto"/>
          <w:sz w:val="24"/>
          <w:highlight w:val="none"/>
        </w:rPr>
        <w:t>和送达</w:t>
      </w:r>
      <w:bookmarkEnd w:id="170"/>
      <w:bookmarkEnd w:id="171"/>
      <w:bookmarkEnd w:id="172"/>
    </w:p>
    <w:p>
      <w:pPr>
        <w:spacing w:line="560" w:lineRule="exact"/>
        <w:ind w:firstLine="480" w:firstLineChars="200"/>
        <w:rPr>
          <w:rFonts w:hint="eastAsia" w:ascii="仿宋" w:hAnsi="仿宋" w:eastAsia="仿宋" w:cs="仿宋"/>
          <w:color w:val="auto"/>
          <w:sz w:val="24"/>
          <w:highlight w:val="none"/>
        </w:rPr>
      </w:pPr>
      <w:bookmarkStart w:id="173" w:name="_Toc3135"/>
      <w:bookmarkStart w:id="174" w:name="_Toc6698"/>
      <w:bookmarkStart w:id="175" w:name="_Toc487900372"/>
      <w:bookmarkStart w:id="176" w:name="_Toc259093691"/>
      <w:bookmarkStart w:id="177"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3"/>
      <w:bookmarkEnd w:id="174"/>
    </w:p>
    <w:p>
      <w:pPr>
        <w:spacing w:line="560" w:lineRule="exact"/>
        <w:ind w:firstLine="480" w:firstLineChars="200"/>
        <w:rPr>
          <w:rFonts w:hint="eastAsia" w:ascii="仿宋" w:hAnsi="仿宋" w:eastAsia="仿宋" w:cs="仿宋"/>
          <w:color w:val="auto"/>
          <w:sz w:val="24"/>
          <w:highlight w:val="none"/>
        </w:rPr>
      </w:pPr>
      <w:bookmarkStart w:id="178" w:name="_Toc23294"/>
      <w:bookmarkStart w:id="179"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8"/>
      <w:bookmarkEnd w:id="179"/>
    </w:p>
    <w:p>
      <w:pPr>
        <w:spacing w:line="560" w:lineRule="exact"/>
        <w:ind w:firstLine="482" w:firstLineChars="200"/>
        <w:outlineLvl w:val="0"/>
        <w:rPr>
          <w:rFonts w:hint="eastAsia" w:ascii="仿宋" w:hAnsi="仿宋" w:eastAsia="仿宋" w:cs="仿宋"/>
          <w:b/>
          <w:color w:val="auto"/>
          <w:sz w:val="24"/>
          <w:highlight w:val="none"/>
        </w:rPr>
      </w:pPr>
      <w:bookmarkStart w:id="180" w:name="_Toc30599"/>
      <w:bookmarkStart w:id="181" w:name="_Toc4355"/>
      <w:bookmarkStart w:id="182" w:name="_Toc18540"/>
      <w:r>
        <w:rPr>
          <w:rFonts w:hint="eastAsia" w:ascii="仿宋" w:hAnsi="仿宋" w:eastAsia="仿宋" w:cs="仿宋"/>
          <w:b/>
          <w:color w:val="auto"/>
          <w:sz w:val="24"/>
          <w:highlight w:val="none"/>
        </w:rPr>
        <w:t>2.18 计量单位</w:t>
      </w:r>
      <w:bookmarkEnd w:id="175"/>
      <w:bookmarkEnd w:id="176"/>
      <w:bookmarkEnd w:id="177"/>
      <w:bookmarkEnd w:id="180"/>
      <w:bookmarkEnd w:id="181"/>
      <w:bookmarkEnd w:id="1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83" w:name="_Toc279701263"/>
      <w:bookmarkStart w:id="184" w:name="_Toc12773"/>
      <w:bookmarkStart w:id="185" w:name="_Toc18567"/>
      <w:bookmarkStart w:id="186" w:name="_Toc487900373"/>
      <w:bookmarkStart w:id="187" w:name="_Toc259093692"/>
      <w:bookmarkStart w:id="188" w:name="_Toc10330"/>
      <w:r>
        <w:rPr>
          <w:rFonts w:hint="eastAsia" w:ascii="仿宋" w:hAnsi="仿宋" w:eastAsia="仿宋" w:cs="仿宋"/>
          <w:b/>
          <w:color w:val="auto"/>
          <w:sz w:val="24"/>
          <w:highlight w:val="none"/>
        </w:rPr>
        <w:t>2.19 合同使用的文字和适用的法律</w:t>
      </w:r>
      <w:bookmarkEnd w:id="183"/>
      <w:bookmarkEnd w:id="184"/>
      <w:bookmarkEnd w:id="185"/>
      <w:bookmarkEnd w:id="186"/>
      <w:bookmarkEnd w:id="187"/>
      <w:bookmarkEnd w:id="18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89" w:name="_Toc14001"/>
      <w:bookmarkStart w:id="190" w:name="_Toc19890"/>
      <w:bookmarkStart w:id="191" w:name="_Toc6885"/>
      <w:r>
        <w:rPr>
          <w:rFonts w:hint="eastAsia" w:ascii="仿宋" w:hAnsi="仿宋" w:eastAsia="仿宋" w:cs="仿宋"/>
          <w:b/>
          <w:color w:val="auto"/>
          <w:sz w:val="24"/>
          <w:highlight w:val="none"/>
        </w:rPr>
        <w:t>2.20 合同份数</w:t>
      </w:r>
      <w:bookmarkEnd w:id="189"/>
      <w:bookmarkEnd w:id="190"/>
      <w:bookmarkEnd w:id="1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4"/>
        <w:tblW w:w="91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2"/>
        <w:gridCol w:w="859"/>
        <w:gridCol w:w="648"/>
        <w:gridCol w:w="7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 目</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18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 分 细 则 及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top w:val="single" w:color="000000" w:sz="4" w:space="0"/>
              <w:left w:val="single" w:color="000000" w:sz="4" w:space="0"/>
              <w:right w:val="single" w:color="auto" w:sz="4" w:space="0"/>
            </w:tcBorders>
            <w:noWrap w:val="0"/>
            <w:vAlign w:val="center"/>
          </w:tcPr>
          <w:p>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p>
        </w:tc>
        <w:tc>
          <w:tcPr>
            <w:tcW w:w="85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同类项目业绩</w:t>
            </w:r>
          </w:p>
        </w:tc>
        <w:tc>
          <w:tcPr>
            <w:tcW w:w="64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7188" w:type="dxa"/>
            <w:tcBorders>
              <w:top w:val="single" w:color="auto" w:sz="4" w:space="0"/>
              <w:left w:val="single" w:color="auto" w:sz="4" w:space="0"/>
              <w:bottom w:val="single" w:color="auto" w:sz="4" w:space="0"/>
              <w:right w:val="single" w:color="auto" w:sz="4" w:space="0"/>
            </w:tcBorders>
            <w:noWrap w:val="0"/>
            <w:vAlign w:val="center"/>
          </w:tcPr>
          <w:p>
            <w:pPr>
              <w:pStyle w:val="35"/>
              <w:rPr>
                <w:rFonts w:ascii="仿宋" w:hAnsi="仿宋" w:eastAsia="仿宋" w:cs="仿宋"/>
                <w:color w:val="auto"/>
                <w:szCs w:val="21"/>
                <w:highlight w:val="none"/>
              </w:rPr>
            </w:pPr>
            <w:r>
              <w:rPr>
                <w:rFonts w:hint="eastAsia" w:ascii="仿宋" w:hAnsi="仿宋" w:eastAsia="仿宋" w:cs="仿宋"/>
                <w:color w:val="auto"/>
                <w:szCs w:val="21"/>
                <w:highlight w:val="none"/>
              </w:rPr>
              <w:t>投标人提供</w:t>
            </w:r>
            <w:r>
              <w:rPr>
                <w:rFonts w:hint="eastAsia" w:ascii="仿宋" w:hAnsi="仿宋" w:eastAsia="仿宋" w:cs="仿宋"/>
                <w:sz w:val="21"/>
                <w:szCs w:val="21"/>
                <w:highlight w:val="none"/>
                <w:lang w:eastAsia="zh-CN"/>
              </w:rPr>
              <w:t>自</w:t>
            </w:r>
            <w:r>
              <w:rPr>
                <w:rFonts w:hint="eastAsia" w:ascii="仿宋" w:hAnsi="仿宋" w:eastAsia="仿宋" w:cs="仿宋"/>
                <w:sz w:val="21"/>
                <w:szCs w:val="21"/>
                <w:highlight w:val="none"/>
                <w:lang w:val="en-US" w:eastAsia="zh-CN"/>
              </w:rPr>
              <w:t>2020年7月1日</w:t>
            </w:r>
            <w:r>
              <w:rPr>
                <w:rFonts w:hint="eastAsia" w:ascii="仿宋" w:hAnsi="仿宋" w:eastAsia="仿宋" w:cs="仿宋"/>
                <w:sz w:val="21"/>
                <w:szCs w:val="21"/>
                <w:highlight w:val="none"/>
              </w:rPr>
              <w:t>以来</w:t>
            </w:r>
            <w:r>
              <w:rPr>
                <w:rFonts w:hint="eastAsia" w:ascii="仿宋" w:hAnsi="仿宋" w:eastAsia="仿宋" w:cs="仿宋"/>
                <w:color w:val="auto"/>
                <w:szCs w:val="21"/>
                <w:highlight w:val="none"/>
              </w:rPr>
              <w:t>具有同类业绩（每份合同清单内</w:t>
            </w:r>
            <w:r>
              <w:rPr>
                <w:rFonts w:hint="eastAsia" w:ascii="仿宋" w:hAnsi="仿宋" w:eastAsia="仿宋" w:cs="仿宋"/>
                <w:color w:val="auto"/>
                <w:szCs w:val="21"/>
                <w:highlight w:val="none"/>
                <w:lang w:eastAsia="zh-CN"/>
              </w:rPr>
              <w:t>需包括医用环保治疗柜、医用诊查床等产品）</w:t>
            </w:r>
            <w:r>
              <w:rPr>
                <w:rFonts w:hint="eastAsia" w:ascii="仿宋" w:hAnsi="仿宋" w:eastAsia="仿宋" w:cs="仿宋"/>
                <w:color w:val="auto"/>
                <w:szCs w:val="21"/>
                <w:highlight w:val="none"/>
              </w:rPr>
              <w:t>，每提供一个业绩证明材料的得1分，未提供的不得分，得分不超过3分。</w:t>
            </w:r>
          </w:p>
          <w:p>
            <w:pPr>
              <w:pStyle w:val="35"/>
              <w:rPr>
                <w:rFonts w:ascii="仿宋" w:hAnsi="仿宋" w:eastAsia="仿宋" w:cs="仿宋"/>
                <w:color w:val="auto"/>
                <w:szCs w:val="21"/>
                <w:highlight w:val="none"/>
              </w:rPr>
            </w:pPr>
            <w:r>
              <w:rPr>
                <w:rFonts w:hint="eastAsia" w:ascii="仿宋" w:hAnsi="仿宋" w:eastAsia="仿宋" w:cs="仿宋"/>
                <w:color w:val="auto"/>
                <w:szCs w:val="21"/>
                <w:highlight w:val="none"/>
              </w:rPr>
              <w:t>证明材料：合同复印件及合同清单，复印件须加盖供应商公章，要求证明材料能体现评审因素，合同内容无法体现评审因素的可提供相应的业主证明材料（须加盖业主章）。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9" w:hRule="atLeast"/>
          <w:jc w:val="center"/>
        </w:trPr>
        <w:tc>
          <w:tcPr>
            <w:tcW w:w="462" w:type="dxa"/>
            <w:vMerge w:val="restart"/>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p>
        </w:tc>
        <w:tc>
          <w:tcPr>
            <w:tcW w:w="859" w:type="dxa"/>
            <w:vMerge w:val="restart"/>
            <w:tcBorders>
              <w:left w:val="single" w:color="auto" w:sz="4" w:space="0"/>
              <w:right w:val="single" w:color="auto" w:sz="4" w:space="0"/>
            </w:tcBorders>
            <w:noWrap w:val="0"/>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认证证书</w:t>
            </w:r>
          </w:p>
        </w:tc>
        <w:tc>
          <w:tcPr>
            <w:tcW w:w="648" w:type="dxa"/>
            <w:vMerge w:val="restart"/>
            <w:tcBorders>
              <w:left w:val="single" w:color="auto" w:sz="4" w:space="0"/>
              <w:right w:val="single" w:color="auto" w:sz="4" w:space="0"/>
            </w:tcBorders>
            <w:noWrap w:val="0"/>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6分</w:t>
            </w:r>
          </w:p>
        </w:tc>
        <w:tc>
          <w:tcPr>
            <w:tcW w:w="7188" w:type="dxa"/>
            <w:tcBorders>
              <w:top w:val="single" w:color="auto" w:sz="4" w:space="0"/>
              <w:left w:val="single" w:color="auto" w:sz="4" w:space="0"/>
              <w:right w:val="single" w:color="auto" w:sz="4" w:space="0"/>
            </w:tcBorders>
            <w:noWrap w:val="0"/>
            <w:vAlign w:val="center"/>
          </w:tcPr>
          <w:p>
            <w:pPr>
              <w:pStyle w:val="35"/>
              <w:rPr>
                <w:rFonts w:ascii="仿宋" w:hAnsi="仿宋" w:eastAsia="仿宋" w:cs="仿宋"/>
                <w:color w:val="auto"/>
                <w:szCs w:val="21"/>
                <w:highlight w:val="none"/>
              </w:rPr>
            </w:pPr>
            <w:r>
              <w:rPr>
                <w:rFonts w:hint="eastAsia" w:ascii="仿宋" w:hAnsi="仿宋" w:eastAsia="仿宋" w:cs="仿宋"/>
                <w:color w:val="auto"/>
                <w:szCs w:val="21"/>
                <w:highlight w:val="none"/>
              </w:rPr>
              <w:t>投标人提供有效期内质量管理体系认证证书、环境管理体系认证证书、职业健康安全管理体系认证证书，且</w:t>
            </w:r>
            <w:r>
              <w:rPr>
                <w:rFonts w:hint="eastAsia" w:ascii="仿宋" w:hAnsi="仿宋" w:eastAsia="仿宋" w:cs="仿宋"/>
                <w:color w:val="auto"/>
                <w:szCs w:val="21"/>
                <w:highlight w:val="none"/>
                <w:lang w:val="zh-TW" w:eastAsia="zh-TW"/>
              </w:rPr>
              <w:t>认证范围需涵盖医用家</w:t>
            </w:r>
            <w:r>
              <w:rPr>
                <w:rFonts w:hint="eastAsia" w:ascii="仿宋" w:hAnsi="仿宋" w:eastAsia="仿宋" w:cs="仿宋"/>
                <w:color w:val="auto"/>
                <w:szCs w:val="21"/>
                <w:highlight w:val="none"/>
              </w:rPr>
              <w:t>具，每提供一个符合要求的证书得1分，最高得3分。</w:t>
            </w:r>
          </w:p>
          <w:p>
            <w:pPr>
              <w:pStyle w:val="35"/>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评审依据</w:t>
            </w:r>
            <w:r>
              <w:rPr>
                <w:rFonts w:hint="eastAsia" w:ascii="仿宋" w:hAnsi="仿宋" w:eastAsia="仿宋" w:cs="仿宋"/>
                <w:color w:val="auto"/>
                <w:szCs w:val="21"/>
                <w:highlight w:val="none"/>
              </w:rPr>
              <w:t>：提供上述有效证书复印件（加盖公章）、全国认证认可信息公共服务平台网站（cx.cnca.cn）有效网页查询结果截图或打印件作为评审依据（加盖公章）。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0" w:hRule="atLeast"/>
          <w:jc w:val="center"/>
        </w:trPr>
        <w:tc>
          <w:tcPr>
            <w:tcW w:w="462" w:type="dxa"/>
            <w:vMerge w:val="continue"/>
            <w:tcBorders>
              <w:left w:val="single" w:color="000000" w:sz="4" w:space="0"/>
              <w:right w:val="single" w:color="auto" w:sz="4" w:space="0"/>
            </w:tcBorders>
            <w:noWrap w:val="0"/>
            <w:vAlign w:val="center"/>
          </w:tcPr>
          <w:p>
            <w:pPr>
              <w:widowControl/>
              <w:jc w:val="center"/>
              <w:rPr>
                <w:rFonts w:ascii="仿宋" w:hAnsi="仿宋" w:eastAsia="仿宋" w:cs="仿宋"/>
                <w:color w:val="auto"/>
                <w:szCs w:val="21"/>
                <w:highlight w:val="none"/>
              </w:rPr>
            </w:pPr>
          </w:p>
        </w:tc>
        <w:tc>
          <w:tcPr>
            <w:tcW w:w="859" w:type="dxa"/>
            <w:vMerge w:val="continue"/>
            <w:tcBorders>
              <w:left w:val="single" w:color="auto" w:sz="4" w:space="0"/>
              <w:right w:val="single" w:color="auto" w:sz="4" w:space="0"/>
            </w:tcBorders>
            <w:noWrap w:val="0"/>
            <w:vAlign w:val="center"/>
          </w:tcPr>
          <w:p>
            <w:pPr>
              <w:jc w:val="center"/>
              <w:rPr>
                <w:rFonts w:ascii="仿宋" w:hAnsi="仿宋" w:eastAsia="仿宋" w:cs="仿宋"/>
                <w:color w:val="auto"/>
                <w:szCs w:val="21"/>
                <w:highlight w:val="none"/>
              </w:rPr>
            </w:pPr>
          </w:p>
        </w:tc>
        <w:tc>
          <w:tcPr>
            <w:tcW w:w="648" w:type="dxa"/>
            <w:vMerge w:val="continue"/>
            <w:tcBorders>
              <w:left w:val="single" w:color="auto" w:sz="4" w:space="0"/>
              <w:right w:val="single" w:color="auto" w:sz="4" w:space="0"/>
            </w:tcBorders>
            <w:noWrap w:val="0"/>
            <w:vAlign w:val="center"/>
          </w:tcPr>
          <w:p>
            <w:pPr>
              <w:widowControl/>
              <w:adjustRightInd w:val="0"/>
              <w:snapToGrid w:val="0"/>
              <w:jc w:val="center"/>
              <w:rPr>
                <w:rFonts w:ascii="仿宋" w:hAnsi="仿宋" w:eastAsia="仿宋" w:cs="仿宋"/>
                <w:color w:val="auto"/>
                <w:kern w:val="0"/>
                <w:szCs w:val="21"/>
                <w:highlight w:val="none"/>
              </w:rPr>
            </w:pPr>
          </w:p>
        </w:tc>
        <w:tc>
          <w:tcPr>
            <w:tcW w:w="7188" w:type="dxa"/>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投标人具有有效期内中国绿色产品认证证书，且认证的主要包括医用环保治疗柜、医用诊查床、清（污）洗柜</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项，提供证书复印件。每一项得0.5分，最高得1.5分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满足三项得满分。</w:t>
            </w:r>
          </w:p>
          <w:p>
            <w:pPr>
              <w:rPr>
                <w:rFonts w:ascii="仿宋" w:hAnsi="仿宋" w:eastAsia="仿宋" w:cs="仿宋"/>
                <w:color w:val="auto"/>
                <w:szCs w:val="21"/>
                <w:highlight w:val="none"/>
              </w:rPr>
            </w:pPr>
            <w:r>
              <w:rPr>
                <w:rFonts w:hint="eastAsia" w:ascii="仿宋" w:hAnsi="仿宋" w:eastAsia="仿宋" w:cs="仿宋"/>
                <w:color w:val="auto"/>
                <w:szCs w:val="21"/>
                <w:highlight w:val="none"/>
              </w:rPr>
              <w:t>评审依据：提供上述有效证书复印件（加盖公章）、全国认证认可信息公共服务平台网站（cx.cnca.cn）有效网页查询结果截图或打印件作为评审依据（加盖公章）。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3" w:hRule="atLeast"/>
          <w:jc w:val="center"/>
        </w:trPr>
        <w:tc>
          <w:tcPr>
            <w:tcW w:w="462" w:type="dxa"/>
            <w:vMerge w:val="continue"/>
            <w:tcBorders>
              <w:left w:val="single" w:color="000000" w:sz="4" w:space="0"/>
              <w:right w:val="single" w:color="auto" w:sz="4" w:space="0"/>
            </w:tcBorders>
            <w:noWrap w:val="0"/>
            <w:vAlign w:val="center"/>
          </w:tcPr>
          <w:p>
            <w:pPr>
              <w:widowControl/>
              <w:jc w:val="center"/>
              <w:rPr>
                <w:rFonts w:ascii="仿宋" w:hAnsi="仿宋" w:eastAsia="仿宋" w:cs="仿宋"/>
                <w:color w:val="auto"/>
                <w:szCs w:val="21"/>
                <w:highlight w:val="none"/>
              </w:rPr>
            </w:pPr>
          </w:p>
        </w:tc>
        <w:tc>
          <w:tcPr>
            <w:tcW w:w="859" w:type="dxa"/>
            <w:vMerge w:val="continue"/>
            <w:tcBorders>
              <w:left w:val="single" w:color="auto" w:sz="4" w:space="0"/>
              <w:right w:val="single" w:color="auto" w:sz="4" w:space="0"/>
            </w:tcBorders>
            <w:noWrap w:val="0"/>
            <w:vAlign w:val="center"/>
          </w:tcPr>
          <w:p>
            <w:pPr>
              <w:jc w:val="center"/>
              <w:rPr>
                <w:rFonts w:ascii="仿宋" w:hAnsi="仿宋" w:eastAsia="仿宋" w:cs="仿宋"/>
                <w:color w:val="auto"/>
                <w:szCs w:val="21"/>
                <w:highlight w:val="none"/>
              </w:rPr>
            </w:pPr>
          </w:p>
        </w:tc>
        <w:tc>
          <w:tcPr>
            <w:tcW w:w="648" w:type="dxa"/>
            <w:vMerge w:val="continue"/>
            <w:tcBorders>
              <w:left w:val="single" w:color="auto" w:sz="4" w:space="0"/>
              <w:right w:val="single" w:color="auto" w:sz="4" w:space="0"/>
            </w:tcBorders>
            <w:noWrap w:val="0"/>
            <w:vAlign w:val="center"/>
          </w:tcPr>
          <w:p>
            <w:pPr>
              <w:widowControl/>
              <w:adjustRightInd w:val="0"/>
              <w:snapToGrid w:val="0"/>
              <w:jc w:val="center"/>
              <w:rPr>
                <w:rFonts w:ascii="仿宋" w:hAnsi="仿宋" w:eastAsia="仿宋" w:cs="仿宋"/>
                <w:color w:val="auto"/>
                <w:kern w:val="0"/>
                <w:szCs w:val="21"/>
                <w:highlight w:val="none"/>
              </w:rPr>
            </w:pPr>
          </w:p>
        </w:tc>
        <w:tc>
          <w:tcPr>
            <w:tcW w:w="7188" w:type="dxa"/>
            <w:tcBorders>
              <w:top w:val="single" w:color="auto" w:sz="4" w:space="0"/>
              <w:left w:val="single" w:color="auto" w:sz="4" w:space="0"/>
              <w:right w:val="single" w:color="auto" w:sz="4" w:space="0"/>
            </w:tcBorders>
            <w:noWrap w:val="0"/>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投标人具有有效期内的“中国环境标志产品认证证书”，且认证的主要产品</w:t>
            </w:r>
            <w:r>
              <w:rPr>
                <w:rFonts w:hint="eastAsia" w:ascii="仿宋" w:hAnsi="仿宋" w:eastAsia="仿宋" w:cs="仿宋"/>
                <w:color w:val="auto"/>
                <w:szCs w:val="21"/>
                <w:highlight w:val="none"/>
                <w:lang w:eastAsia="zh-CN"/>
              </w:rPr>
              <w:t>包括</w:t>
            </w:r>
            <w:r>
              <w:rPr>
                <w:rFonts w:hint="eastAsia" w:ascii="仿宋" w:hAnsi="仿宋" w:eastAsia="仿宋" w:cs="仿宋"/>
                <w:color w:val="auto"/>
                <w:szCs w:val="21"/>
                <w:highlight w:val="none"/>
              </w:rPr>
              <w:t>医用环保治疗柜、医用诊查床、清（污）洗柜</w:t>
            </w:r>
            <w:r>
              <w:rPr>
                <w:rFonts w:hint="eastAsia" w:ascii="仿宋" w:hAnsi="仿宋" w:eastAsia="仿宋" w:cs="仿宋"/>
                <w:color w:val="auto"/>
                <w:szCs w:val="21"/>
                <w:highlight w:val="none"/>
                <w:lang w:eastAsia="zh-CN"/>
              </w:rPr>
              <w:t>、医护储物柜四</w:t>
            </w:r>
            <w:r>
              <w:rPr>
                <w:rFonts w:hint="eastAsia" w:ascii="仿宋" w:hAnsi="仿宋" w:eastAsia="仿宋" w:cs="仿宋"/>
                <w:color w:val="auto"/>
                <w:szCs w:val="21"/>
                <w:highlight w:val="none"/>
              </w:rPr>
              <w:t>项</w:t>
            </w:r>
            <w:r>
              <w:rPr>
                <w:rFonts w:hint="eastAsia" w:ascii="仿宋" w:hAnsi="仿宋" w:eastAsia="仿宋" w:cs="仿宋"/>
                <w:color w:val="auto"/>
                <w:szCs w:val="21"/>
                <w:highlight w:val="none"/>
              </w:rPr>
              <w:t>，每一项得0.5分，最高得1.5分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满足三项</w:t>
            </w:r>
            <w:r>
              <w:rPr>
                <w:rFonts w:hint="eastAsia" w:ascii="仿宋" w:hAnsi="仿宋" w:eastAsia="仿宋" w:cs="仿宋"/>
                <w:color w:val="auto"/>
                <w:szCs w:val="21"/>
                <w:highlight w:val="none"/>
                <w:lang w:eastAsia="zh-CN"/>
              </w:rPr>
              <w:t>及以上</w:t>
            </w:r>
            <w:r>
              <w:rPr>
                <w:rFonts w:hint="eastAsia" w:ascii="仿宋" w:hAnsi="仿宋" w:eastAsia="仿宋" w:cs="仿宋"/>
                <w:color w:val="auto"/>
                <w:szCs w:val="21"/>
                <w:highlight w:val="none"/>
              </w:rPr>
              <w:t>得满分</w:t>
            </w:r>
            <w:r>
              <w:rPr>
                <w:rFonts w:hint="eastAsia" w:ascii="仿宋" w:hAnsi="仿宋" w:eastAsia="仿宋" w:cs="仿宋"/>
                <w:color w:val="auto"/>
                <w:szCs w:val="21"/>
                <w:highlight w:val="none"/>
              </w:rPr>
              <w:t>。</w:t>
            </w:r>
          </w:p>
          <w:p>
            <w:pPr>
              <w:rPr>
                <w:rFonts w:ascii="仿宋" w:hAnsi="仿宋" w:eastAsia="仿宋" w:cs="仿宋"/>
                <w:color w:val="auto"/>
                <w:szCs w:val="21"/>
                <w:highlight w:val="none"/>
              </w:rPr>
            </w:pPr>
            <w:r>
              <w:rPr>
                <w:rFonts w:hint="eastAsia" w:ascii="仿宋" w:hAnsi="仿宋" w:eastAsia="仿宋" w:cs="仿宋"/>
                <w:color w:val="auto"/>
                <w:szCs w:val="21"/>
                <w:highlight w:val="none"/>
              </w:rPr>
              <w:t>需提供认证证书扫描件并加盖投标人公章，且认证机构须符合《市场监管总局关于发布参与实施政府采购节能产品、环境标志产品认证机构名录的公告》。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c>
          <w:tcPr>
            <w:tcW w:w="859" w:type="dxa"/>
            <w:tcBorders>
              <w:left w:val="single" w:color="auto" w:sz="4" w:space="0"/>
              <w:right w:val="single" w:color="auto" w:sz="4" w:space="0"/>
            </w:tcBorders>
            <w:noWrap w:val="0"/>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质保期</w:t>
            </w:r>
          </w:p>
        </w:tc>
        <w:tc>
          <w:tcPr>
            <w:tcW w:w="648" w:type="dxa"/>
            <w:tcBorders>
              <w:left w:val="single" w:color="auto" w:sz="4" w:space="0"/>
              <w:right w:val="single" w:color="auto" w:sz="4" w:space="0"/>
            </w:tcBorders>
            <w:noWrap w:val="0"/>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3分</w:t>
            </w:r>
          </w:p>
        </w:tc>
        <w:tc>
          <w:tcPr>
            <w:tcW w:w="7188" w:type="dxa"/>
            <w:tcBorders>
              <w:top w:val="single" w:color="auto" w:sz="4" w:space="0"/>
              <w:left w:val="single" w:color="auto" w:sz="4" w:space="0"/>
              <w:right w:val="single" w:color="auto" w:sz="4" w:space="0"/>
            </w:tcBorders>
            <w:noWrap w:val="0"/>
            <w:vAlign w:val="center"/>
          </w:tcPr>
          <w:p>
            <w:pPr>
              <w:pStyle w:val="35"/>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质保期满足招标文件基本要求的，不得分，在此基础上每增加1年加1分，最高加3</w:t>
            </w:r>
            <w:r>
              <w:rPr>
                <w:rFonts w:hint="eastAsia" w:ascii="仿宋" w:hAnsi="仿宋" w:eastAsia="仿宋" w:cs="仿宋"/>
                <w:color w:val="auto"/>
                <w:szCs w:val="21"/>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859" w:type="dxa"/>
            <w:tcBorders>
              <w:left w:val="single" w:color="auto" w:sz="4" w:space="0"/>
              <w:right w:val="single" w:color="auto" w:sz="4" w:space="0"/>
            </w:tcBorders>
            <w:noWrap w:val="0"/>
            <w:vAlign w:val="center"/>
          </w:tcPr>
          <w:p>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售后</w:t>
            </w:r>
            <w:r>
              <w:rPr>
                <w:rFonts w:hint="eastAsia" w:ascii="仿宋" w:hAnsi="仿宋" w:eastAsia="仿宋" w:cs="仿宋"/>
                <w:color w:val="auto"/>
                <w:szCs w:val="21"/>
                <w:highlight w:val="none"/>
                <w:lang w:eastAsia="zh-CN"/>
              </w:rPr>
              <w:t>服务</w:t>
            </w:r>
          </w:p>
        </w:tc>
        <w:tc>
          <w:tcPr>
            <w:tcW w:w="648" w:type="dxa"/>
            <w:tcBorders>
              <w:left w:val="single" w:color="auto" w:sz="4" w:space="0"/>
              <w:right w:val="single" w:color="auto" w:sz="4" w:space="0"/>
            </w:tcBorders>
            <w:noWrap w:val="0"/>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3分</w:t>
            </w:r>
          </w:p>
        </w:tc>
        <w:tc>
          <w:tcPr>
            <w:tcW w:w="7188" w:type="dxa"/>
            <w:tcBorders>
              <w:top w:val="single" w:color="auto" w:sz="4" w:space="0"/>
              <w:left w:val="single" w:color="auto" w:sz="4" w:space="0"/>
              <w:right w:val="single" w:color="auto" w:sz="4" w:space="0"/>
            </w:tcBorders>
            <w:noWrap w:val="0"/>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投标人提供针对本项目的售后服务方案（保修期、技术培训、维护保养计划及售后服务措施、售后服务机构设置），进行横向比较综合评审</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0-3分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859" w:type="dxa"/>
            <w:tcBorders>
              <w:left w:val="single" w:color="auto" w:sz="4" w:space="0"/>
              <w:right w:val="single" w:color="auto" w:sz="4" w:space="0"/>
            </w:tcBorders>
            <w:noWrap w:val="0"/>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技术参数</w:t>
            </w:r>
          </w:p>
        </w:tc>
        <w:tc>
          <w:tcPr>
            <w:tcW w:w="648" w:type="dxa"/>
            <w:tcBorders>
              <w:left w:val="single" w:color="auto" w:sz="4" w:space="0"/>
              <w:right w:val="single" w:color="auto" w:sz="4" w:space="0"/>
            </w:tcBorders>
            <w:noWrap w:val="0"/>
            <w:vAlign w:val="center"/>
          </w:tcPr>
          <w:p>
            <w:pPr>
              <w:widowControl/>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20分</w:t>
            </w:r>
          </w:p>
        </w:tc>
        <w:tc>
          <w:tcPr>
            <w:tcW w:w="7188" w:type="dxa"/>
            <w:tcBorders>
              <w:top w:val="single" w:color="auto" w:sz="4" w:space="0"/>
              <w:left w:val="single" w:color="000000" w:sz="4" w:space="0"/>
              <w:bottom w:val="single" w:color="auto" w:sz="4" w:space="0"/>
              <w:right w:val="single" w:color="000000" w:sz="4" w:space="0"/>
            </w:tcBorders>
            <w:noWrap w:val="0"/>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lang w:eastAsia="zh-CN"/>
              </w:rPr>
              <w:t>完全满足招标文件要求得</w:t>
            </w:r>
            <w:r>
              <w:rPr>
                <w:rFonts w:hint="eastAsia" w:ascii="仿宋" w:hAnsi="仿宋" w:eastAsia="仿宋" w:cs="仿宋"/>
                <w:color w:val="auto"/>
                <w:szCs w:val="21"/>
                <w:highlight w:val="none"/>
                <w:lang w:val="en-US" w:eastAsia="zh-CN"/>
              </w:rPr>
              <w:t>20分，其中</w:t>
            </w:r>
            <w:r>
              <w:rPr>
                <w:rFonts w:hint="eastAsia" w:ascii="仿宋" w:hAnsi="仿宋" w:eastAsia="仿宋" w:cs="仿宋"/>
                <w:color w:val="auto"/>
                <w:szCs w:val="21"/>
                <w:highlight w:val="none"/>
                <w:lang w:eastAsia="zh-CN"/>
              </w:rPr>
              <w:t>含</w:t>
            </w:r>
            <w:r>
              <w:rPr>
                <w:rFonts w:hint="eastAsia" w:ascii="仿宋" w:hAnsi="仿宋" w:eastAsia="仿宋" w:cs="仿宋"/>
                <w:color w:val="auto"/>
                <w:szCs w:val="21"/>
                <w:highlight w:val="none"/>
              </w:rPr>
              <w:t>“▲”指标每负偏离一项扣2分，其</w:t>
            </w:r>
            <w:r>
              <w:rPr>
                <w:rFonts w:hint="eastAsia" w:ascii="仿宋" w:hAnsi="仿宋" w:eastAsia="仿宋" w:cs="仿宋"/>
                <w:color w:val="auto"/>
                <w:szCs w:val="21"/>
                <w:highlight w:val="none"/>
                <w:lang w:eastAsia="zh-CN"/>
              </w:rPr>
              <w:t>它</w:t>
            </w:r>
            <w:r>
              <w:rPr>
                <w:rFonts w:hint="eastAsia" w:ascii="仿宋" w:hAnsi="仿宋" w:eastAsia="仿宋" w:cs="仿宋"/>
                <w:color w:val="auto"/>
                <w:szCs w:val="21"/>
                <w:highlight w:val="none"/>
              </w:rPr>
              <w:t>一般指标每负偏离一项扣1分，扣完为止。</w:t>
            </w:r>
          </w:p>
          <w:p>
            <w:pPr>
              <w:rPr>
                <w:rFonts w:ascii="仿宋" w:hAnsi="仿宋" w:eastAsia="仿宋" w:cs="仿宋"/>
                <w:color w:val="auto"/>
                <w:szCs w:val="21"/>
                <w:highlight w:val="none"/>
              </w:rPr>
            </w:pPr>
            <w:r>
              <w:rPr>
                <w:rFonts w:hint="eastAsia" w:ascii="仿宋" w:hAnsi="仿宋" w:eastAsia="仿宋" w:cs="仿宋"/>
                <w:color w:val="auto"/>
                <w:szCs w:val="21"/>
                <w:highlight w:val="none"/>
              </w:rPr>
              <w:t>注：对应的技术参数需提供提供202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年1月1日以来的检测报告，检测报告必须由具备家具成品及其原辅材料检测能力并通过国家计量认证（CMA、CNAS资质）的第三方检测机构提供，</w:t>
            </w:r>
            <w:r>
              <w:rPr>
                <w:rFonts w:hint="eastAsia" w:ascii="仿宋" w:hAnsi="仿宋" w:eastAsia="仿宋" w:cs="仿宋"/>
                <w:color w:val="auto"/>
                <w:szCs w:val="21"/>
                <w:highlight w:val="none"/>
                <w:lang w:eastAsia="zh-CN"/>
              </w:rPr>
              <w:t>提供的检测报告需在全国认证认可信息公共服务平台（http://cx.cnca.cn/CertECloud/index/index/page）可查询并附网页查询截图，</w:t>
            </w:r>
            <w:r>
              <w:rPr>
                <w:rFonts w:hint="eastAsia" w:ascii="仿宋" w:hAnsi="仿宋" w:eastAsia="仿宋" w:cs="仿宋"/>
                <w:color w:val="auto"/>
                <w:szCs w:val="21"/>
                <w:highlight w:val="none"/>
              </w:rPr>
              <w:t>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p>
        </w:tc>
        <w:tc>
          <w:tcPr>
            <w:tcW w:w="859" w:type="dxa"/>
            <w:tcBorders>
              <w:left w:val="single" w:color="auto" w:sz="4" w:space="0"/>
              <w:right w:val="single" w:color="auto" w:sz="4" w:space="0"/>
            </w:tcBorders>
            <w:noWrap w:val="0"/>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深化设计方案</w:t>
            </w:r>
          </w:p>
        </w:tc>
        <w:tc>
          <w:tcPr>
            <w:tcW w:w="648" w:type="dxa"/>
            <w:tcBorders>
              <w:left w:val="single" w:color="auto" w:sz="4" w:space="0"/>
              <w:right w:val="single" w:color="auto" w:sz="4" w:space="0"/>
            </w:tcBorders>
            <w:noWrap w:val="0"/>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10分</w:t>
            </w:r>
          </w:p>
        </w:tc>
        <w:tc>
          <w:tcPr>
            <w:tcW w:w="7188" w:type="dxa"/>
            <w:tcBorders>
              <w:top w:val="single" w:color="auto" w:sz="4" w:space="0"/>
              <w:left w:val="single" w:color="000000" w:sz="4" w:space="0"/>
              <w:bottom w:val="single" w:color="auto" w:sz="4" w:space="0"/>
              <w:right w:val="single" w:color="000000" w:sz="4" w:space="0"/>
            </w:tcBorders>
            <w:noWrap w:val="0"/>
            <w:vAlign w:val="center"/>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本次项目的设计方案图纸 </w:t>
            </w:r>
          </w:p>
          <w:p>
            <w:pPr>
              <w:widowControl/>
              <w:numPr>
                <w:ilvl w:val="0"/>
                <w:numId w:val="4"/>
              </w:numPr>
              <w:jc w:val="left"/>
              <w:rPr>
                <w:rFonts w:ascii="仿宋" w:hAnsi="仿宋" w:eastAsia="仿宋" w:cs="仿宋"/>
                <w:color w:val="auto"/>
                <w:szCs w:val="21"/>
                <w:highlight w:val="none"/>
              </w:rPr>
            </w:pPr>
            <w:r>
              <w:rPr>
                <w:rFonts w:hint="eastAsia" w:ascii="仿宋" w:hAnsi="仿宋" w:eastAsia="仿宋" w:cs="仿宋"/>
                <w:color w:val="auto"/>
                <w:szCs w:val="21"/>
                <w:highlight w:val="none"/>
              </w:rPr>
              <w:t>结合本项目的效果图及招标清单参考图片及尺寸,根据各自优势产品设计出适合现场主要区域（包括但不限于</w:t>
            </w:r>
            <w:r>
              <w:rPr>
                <w:rFonts w:hint="eastAsia" w:ascii="仿宋" w:hAnsi="仿宋" w:eastAsia="仿宋" w:cs="仿宋"/>
                <w:color w:val="auto"/>
                <w:szCs w:val="21"/>
                <w:highlight w:val="none"/>
                <w:lang w:eastAsia="zh-CN"/>
              </w:rPr>
              <w:t>三号楼三层治疗室、四号楼二层急诊处置室、五号楼三层消化内科病区中医治疗室</w:t>
            </w:r>
            <w:r>
              <w:rPr>
                <w:rFonts w:hint="eastAsia" w:ascii="仿宋" w:hAnsi="仿宋" w:eastAsia="仿宋" w:cs="仿宋"/>
                <w:color w:val="auto"/>
                <w:szCs w:val="21"/>
                <w:highlight w:val="none"/>
              </w:rPr>
              <w:t>等）空间整体彩色效果图（共不少于</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个空间效果图，根据效果综合评分）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0-5分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2、针对本项目提供对应产品的进行深化设计，并提供产品设计工艺结构图，包括且不限于：（包括但不限于</w:t>
            </w:r>
            <w:r>
              <w:rPr>
                <w:rFonts w:hint="eastAsia" w:ascii="仿宋" w:hAnsi="仿宋" w:eastAsia="仿宋" w:cs="仿宋"/>
                <w:color w:val="auto"/>
                <w:szCs w:val="21"/>
                <w:highlight w:val="none"/>
                <w:lang w:eastAsia="zh-CN"/>
              </w:rPr>
              <w:t>三号楼三层治疗室、四号楼二层急诊处置室、五号楼三层消化内科病区中医治疗室等</w:t>
            </w:r>
            <w:r>
              <w:rPr>
                <w:rFonts w:hint="eastAsia" w:ascii="仿宋" w:hAnsi="仿宋" w:eastAsia="仿宋" w:cs="仿宋"/>
                <w:color w:val="auto"/>
                <w:szCs w:val="21"/>
                <w:highlight w:val="none"/>
              </w:rPr>
              <w:t>）根据设计产品的合理性、操作性、实用性强，院感流程控制合规性进行打分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0-5分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7</w:t>
            </w:r>
          </w:p>
        </w:tc>
        <w:tc>
          <w:tcPr>
            <w:tcW w:w="859" w:type="dxa"/>
            <w:tcBorders>
              <w:left w:val="single" w:color="auto" w:sz="4" w:space="0"/>
              <w:bottom w:val="single" w:color="auto" w:sz="4" w:space="0"/>
              <w:right w:val="single" w:color="auto" w:sz="4" w:space="0"/>
            </w:tcBorders>
            <w:noWrap w:val="0"/>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组织实施方案</w:t>
            </w:r>
          </w:p>
        </w:tc>
        <w:tc>
          <w:tcPr>
            <w:tcW w:w="648" w:type="dxa"/>
            <w:tcBorders>
              <w:left w:val="single" w:color="auto" w:sz="4" w:space="0"/>
              <w:bottom w:val="single" w:color="auto" w:sz="4" w:space="0"/>
              <w:right w:val="single" w:color="auto" w:sz="4" w:space="0"/>
            </w:tcBorders>
            <w:noWrap w:val="0"/>
            <w:vAlign w:val="center"/>
          </w:tcPr>
          <w:p>
            <w:pPr>
              <w:pStyle w:val="957"/>
              <w:jc w:val="center"/>
              <w:rPr>
                <w:rFonts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2分</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投标人提供针对本项目的组织实施方案的响应程度、针对性、完整性进行评审</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0-2分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8</w:t>
            </w:r>
          </w:p>
        </w:tc>
        <w:tc>
          <w:tcPr>
            <w:tcW w:w="859" w:type="dxa"/>
            <w:tcBorders>
              <w:left w:val="single" w:color="auto" w:sz="4" w:space="0"/>
              <w:bottom w:val="single" w:color="auto" w:sz="4" w:space="0"/>
              <w:right w:val="single" w:color="auto" w:sz="4" w:space="0"/>
            </w:tcBorders>
            <w:noWrap w:val="0"/>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质量保证承诺</w:t>
            </w:r>
          </w:p>
        </w:tc>
        <w:tc>
          <w:tcPr>
            <w:tcW w:w="648" w:type="dxa"/>
            <w:tcBorders>
              <w:left w:val="single" w:color="auto" w:sz="4" w:space="0"/>
              <w:bottom w:val="single" w:color="auto" w:sz="4" w:space="0"/>
              <w:right w:val="single" w:color="auto" w:sz="4" w:space="0"/>
            </w:tcBorders>
            <w:noWrap w:val="0"/>
            <w:vAlign w:val="center"/>
          </w:tcPr>
          <w:p>
            <w:pPr>
              <w:pStyle w:val="957"/>
              <w:jc w:val="center"/>
              <w:rPr>
                <w:rFonts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2分</w:t>
            </w:r>
          </w:p>
        </w:tc>
        <w:tc>
          <w:tcPr>
            <w:tcW w:w="7188" w:type="dxa"/>
            <w:tcBorders>
              <w:top w:val="single" w:color="auto" w:sz="4" w:space="0"/>
              <w:left w:val="single" w:color="000000" w:sz="4" w:space="0"/>
              <w:bottom w:val="single" w:color="auto" w:sz="4" w:space="0"/>
              <w:right w:val="single" w:color="000000" w:sz="4" w:space="0"/>
            </w:tcBorders>
            <w:noWrap w:val="0"/>
            <w:vAlign w:val="top"/>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投标人承诺出现产品质量问题退换货得1分，投标人提供因质量问题引起不良后果的处理措施、承诺得1分，未提供或未承诺不得分。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3" w:hRule="atLeast"/>
          <w:jc w:val="center"/>
        </w:trPr>
        <w:tc>
          <w:tcPr>
            <w:tcW w:w="462" w:type="dxa"/>
            <w:vMerge w:val="restart"/>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9</w:t>
            </w:r>
          </w:p>
        </w:tc>
        <w:tc>
          <w:tcPr>
            <w:tcW w:w="859" w:type="dxa"/>
            <w:vMerge w:val="restart"/>
            <w:tcBorders>
              <w:left w:val="single" w:color="auto" w:sz="4" w:space="0"/>
              <w:right w:val="single" w:color="auto" w:sz="4" w:space="0"/>
            </w:tcBorders>
            <w:noWrap w:val="0"/>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样品</w:t>
            </w:r>
          </w:p>
        </w:tc>
        <w:tc>
          <w:tcPr>
            <w:tcW w:w="648" w:type="dxa"/>
            <w:tcBorders>
              <w:left w:val="single" w:color="auto" w:sz="4" w:space="0"/>
              <w:right w:val="single" w:color="auto" w:sz="4" w:space="0"/>
            </w:tcBorders>
            <w:noWrap w:val="0"/>
            <w:vAlign w:val="center"/>
          </w:tcPr>
          <w:p>
            <w:pPr>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6分</w:t>
            </w:r>
          </w:p>
        </w:tc>
        <w:tc>
          <w:tcPr>
            <w:tcW w:w="7188" w:type="dxa"/>
            <w:tcBorders>
              <w:top w:val="single" w:color="auto" w:sz="4" w:space="0"/>
              <w:left w:val="single" w:color="000000" w:sz="4" w:space="0"/>
              <w:right w:val="single" w:color="000000" w:sz="4" w:space="0"/>
            </w:tcBorders>
            <w:noWrap w:val="0"/>
            <w:vAlign w:val="center"/>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样品小样质量（样品制作工艺、使用灵活性或方便性、结构或构造合理性等方面进行综合评审）：</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1、电解钢板；0~1分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2、纯亚克力人造石；0~</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3、阻尼门铰</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三节缓冲导轨；0~1分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4、多层板；0~1分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5、皮革；0~1分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462" w:type="dxa"/>
            <w:vMerge w:val="continue"/>
            <w:tcBorders>
              <w:left w:val="single" w:color="000000" w:sz="4" w:space="0"/>
              <w:right w:val="single" w:color="auto" w:sz="4" w:space="0"/>
            </w:tcBorders>
            <w:noWrap w:val="0"/>
            <w:vAlign w:val="center"/>
          </w:tcPr>
          <w:p>
            <w:pPr>
              <w:widowControl/>
              <w:jc w:val="center"/>
              <w:rPr>
                <w:rFonts w:hint="eastAsia" w:ascii="仿宋" w:hAnsi="仿宋" w:eastAsia="仿宋" w:cs="仿宋"/>
                <w:color w:val="auto"/>
                <w:szCs w:val="21"/>
                <w:highlight w:val="none"/>
                <w:lang w:eastAsia="zh-CN"/>
              </w:rPr>
            </w:pPr>
          </w:p>
        </w:tc>
        <w:tc>
          <w:tcPr>
            <w:tcW w:w="859" w:type="dxa"/>
            <w:vMerge w:val="continue"/>
            <w:tcBorders>
              <w:left w:val="single" w:color="auto" w:sz="4" w:space="0"/>
              <w:right w:val="single" w:color="auto" w:sz="4" w:space="0"/>
            </w:tcBorders>
            <w:noWrap w:val="0"/>
            <w:vAlign w:val="center"/>
          </w:tcPr>
          <w:p>
            <w:pPr>
              <w:jc w:val="center"/>
              <w:rPr>
                <w:rFonts w:ascii="仿宋" w:hAnsi="仿宋" w:eastAsia="仿宋" w:cs="仿宋"/>
                <w:color w:val="auto"/>
                <w:kern w:val="0"/>
                <w:szCs w:val="21"/>
                <w:highlight w:val="none"/>
              </w:rPr>
            </w:pPr>
          </w:p>
        </w:tc>
        <w:tc>
          <w:tcPr>
            <w:tcW w:w="648" w:type="dxa"/>
            <w:tcBorders>
              <w:left w:val="single" w:color="auto" w:sz="4" w:space="0"/>
              <w:right w:val="single" w:color="auto" w:sz="4" w:space="0"/>
            </w:tcBorders>
            <w:noWrap w:val="0"/>
            <w:vAlign w:val="center"/>
          </w:tcPr>
          <w:p>
            <w:pPr>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15分</w:t>
            </w:r>
          </w:p>
        </w:tc>
        <w:tc>
          <w:tcPr>
            <w:tcW w:w="7188" w:type="dxa"/>
            <w:tcBorders>
              <w:top w:val="single" w:color="auto" w:sz="4" w:space="0"/>
              <w:left w:val="single" w:color="000000" w:sz="4" w:space="0"/>
              <w:right w:val="single" w:color="000000" w:sz="4" w:space="0"/>
            </w:tcBorders>
            <w:noWrap w:val="0"/>
            <w:vAlign w:val="center"/>
          </w:tcPr>
          <w:p>
            <w:pPr>
              <w:adjustRightInd w:val="0"/>
              <w:snapToGrid w:val="0"/>
              <w:rPr>
                <w:rFonts w:ascii="仿宋" w:hAnsi="仿宋" w:eastAsia="仿宋" w:cs="仿宋"/>
                <w:color w:val="auto"/>
                <w:szCs w:val="21"/>
                <w:highlight w:val="none"/>
              </w:rPr>
            </w:pPr>
            <w:bookmarkStart w:id="202" w:name="_GoBack"/>
            <w:r>
              <w:rPr>
                <w:rFonts w:hint="eastAsia" w:ascii="仿宋" w:hAnsi="仿宋" w:eastAsia="仿宋" w:cs="仿宋"/>
                <w:color w:val="auto"/>
                <w:szCs w:val="21"/>
                <w:highlight w:val="none"/>
              </w:rPr>
              <w:t>成品样品质量：样品的制作工艺、表面处理及部件连接工艺情况进行评分：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样品整体的美观度、色彩搭配协调性；0~3分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样品材质的符合度、制作工艺精湛度；0~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表面处理及部件连接工艺；0~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成品样品结构、稳定性、使用灵活性及方便性；0~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bookmarkEnd w:id="202"/>
          </w:p>
        </w:tc>
      </w:tr>
    </w:tbl>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p>
      <w:pPr>
        <w:pStyle w:val="81"/>
        <w:rPr>
          <w:rFonts w:hint="eastAsia" w:ascii="仿宋" w:hAnsi="仿宋" w:eastAsia="仿宋" w:cs="仿宋"/>
          <w:b/>
          <w:color w:val="auto"/>
          <w:sz w:val="36"/>
          <w:szCs w:val="20"/>
          <w:highlight w:val="none"/>
        </w:rPr>
      </w:pPr>
    </w:p>
    <w:bookmarkEnd w:id="41"/>
    <w:bookmarkEnd w:id="42"/>
    <w:p>
      <w:pPr>
        <w:widowControl/>
        <w:adjustRightInd/>
        <w:jc w:val="both"/>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2"/>
        <w:rPr>
          <w:rFonts w:hint="eastAsia"/>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6"/>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6"/>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6"/>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6"/>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6"/>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Style w:val="2"/>
        <w:ind w:left="0" w:leftChars="0" w:firstLine="0" w:firstLineChars="0"/>
        <w:rPr>
          <w:rFonts w:hint="eastAsia"/>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2"/>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2"/>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2"/>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2"/>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2"/>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pStyle w:val="82"/>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3"/>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p>
        </w:tc>
        <w:tc>
          <w:tcPr>
            <w:tcW w:w="1417" w:type="dxa"/>
            <w:vAlign w:val="center"/>
          </w:tcPr>
          <w:p>
            <w:pPr>
              <w:snapToGrid w:val="0"/>
              <w:spacing w:line="360" w:lineRule="auto"/>
              <w:jc w:val="center"/>
              <w:rPr>
                <w:rFonts w:hint="eastAsia" w:ascii="仿宋" w:hAnsi="仿宋" w:eastAsia="仿宋" w:cs="仿宋"/>
                <w:color w:val="auto"/>
                <w:sz w:val="24"/>
                <w:highlight w:val="none"/>
              </w:rPr>
            </w:pPr>
          </w:p>
        </w:tc>
        <w:tc>
          <w:tcPr>
            <w:tcW w:w="1843" w:type="dxa"/>
            <w:vAlign w:val="center"/>
          </w:tcPr>
          <w:p>
            <w:pPr>
              <w:snapToGrid w:val="0"/>
              <w:spacing w:line="360" w:lineRule="auto"/>
              <w:jc w:val="center"/>
              <w:rPr>
                <w:rFonts w:hint="eastAsia" w:ascii="仿宋" w:hAnsi="仿宋" w:eastAsia="仿宋" w:cs="仿宋"/>
                <w:color w:val="auto"/>
                <w:sz w:val="24"/>
                <w:highlight w:val="none"/>
              </w:rPr>
            </w:pPr>
          </w:p>
        </w:tc>
        <w:tc>
          <w:tcPr>
            <w:tcW w:w="3118" w:type="dxa"/>
            <w:vAlign w:val="center"/>
          </w:tcPr>
          <w:p>
            <w:pPr>
              <w:snapToGrid w:val="0"/>
              <w:spacing w:line="360" w:lineRule="auto"/>
              <w:jc w:val="center"/>
              <w:rPr>
                <w:rFonts w:hint="eastAsia" w:ascii="仿宋" w:hAnsi="仿宋" w:eastAsia="仿宋" w:cs="仿宋"/>
                <w:color w:val="auto"/>
                <w:sz w:val="24"/>
                <w:highlight w:val="none"/>
              </w:rPr>
            </w:pPr>
          </w:p>
        </w:tc>
        <w:tc>
          <w:tcPr>
            <w:tcW w:w="993" w:type="dxa"/>
            <w:vAlign w:val="center"/>
          </w:tcPr>
          <w:p>
            <w:pPr>
              <w:snapToGrid w:val="0"/>
              <w:spacing w:line="360" w:lineRule="auto"/>
              <w:jc w:val="center"/>
              <w:rPr>
                <w:rFonts w:hint="eastAsia" w:ascii="仿宋" w:hAnsi="仿宋" w:eastAsia="仿宋" w:cs="仿宋"/>
                <w:color w:val="auto"/>
                <w:sz w:val="24"/>
                <w:highlight w:val="none"/>
              </w:rPr>
            </w:pPr>
          </w:p>
        </w:tc>
        <w:tc>
          <w:tcPr>
            <w:tcW w:w="1559" w:type="dxa"/>
            <w:vAlign w:val="center"/>
          </w:tcPr>
          <w:p>
            <w:pPr>
              <w:spacing w:line="360" w:lineRule="auto"/>
              <w:jc w:val="center"/>
              <w:rPr>
                <w:rFonts w:hint="eastAsia" w:ascii="仿宋" w:hAnsi="仿宋" w:eastAsia="仿宋" w:cs="仿宋"/>
                <w:color w:val="auto"/>
                <w:sz w:val="24"/>
                <w:highlight w:val="none"/>
              </w:rPr>
            </w:pPr>
          </w:p>
        </w:tc>
        <w:tc>
          <w:tcPr>
            <w:tcW w:w="1984" w:type="dxa"/>
            <w:vAlign w:val="center"/>
          </w:tcPr>
          <w:p>
            <w:pPr>
              <w:spacing w:line="360" w:lineRule="auto"/>
              <w:jc w:val="center"/>
              <w:rPr>
                <w:rFonts w:hint="eastAsia" w:ascii="仿宋" w:hAnsi="仿宋" w:eastAsia="仿宋" w:cs="仿宋"/>
                <w:color w:val="auto"/>
                <w:sz w:val="24"/>
                <w:highlight w:val="none"/>
              </w:rPr>
            </w:pPr>
          </w:p>
        </w:tc>
        <w:tc>
          <w:tcPr>
            <w:tcW w:w="3119"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2" w:name="_Hlk101259491"/>
      <w:r>
        <w:rPr>
          <w:rFonts w:hint="eastAsia" w:ascii="仿宋" w:hAnsi="仿宋" w:eastAsia="仿宋" w:cs="仿宋"/>
          <w:color w:val="auto"/>
          <w:sz w:val="32"/>
          <w:szCs w:val="32"/>
          <w:highlight w:val="none"/>
        </w:rPr>
        <w:t>（如果有）</w:t>
      </w:r>
      <w:bookmarkEnd w:id="192"/>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hint="eastAsia" w:ascii="仿宋" w:hAnsi="仿宋" w:eastAsia="仿宋" w:cs="仿宋"/>
          <w:b/>
          <w:color w:val="auto"/>
          <w:sz w:val="24"/>
          <w:highlight w:val="none"/>
        </w:rPr>
      </w:pPr>
    </w:p>
    <w:p>
      <w:pPr>
        <w:pStyle w:val="83"/>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2"/>
        <w:rPr>
          <w:rFonts w:hint="eastAsia" w:ascii="仿宋" w:hAnsi="仿宋" w:eastAsia="仿宋" w:cs="仿宋"/>
          <w:b/>
          <w:color w:val="auto"/>
          <w:sz w:val="24"/>
          <w:highlight w:val="none"/>
        </w:rPr>
      </w:pPr>
    </w:p>
    <w:p>
      <w:pPr>
        <w:pStyle w:val="83"/>
        <w:rPr>
          <w:rFonts w:hint="eastAsia"/>
          <w:color w:val="auto"/>
          <w:highlight w:val="none"/>
        </w:rPr>
      </w:pPr>
    </w:p>
    <w:p>
      <w:pPr>
        <w:pStyle w:val="83"/>
        <w:rPr>
          <w:rFonts w:hint="eastAsia"/>
          <w:color w:val="auto"/>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83"/>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3" w:name="_Toc465665161"/>
      <w:r>
        <w:rPr>
          <w:rFonts w:hint="eastAsia" w:ascii="仿宋" w:hAnsi="仿宋" w:eastAsia="仿宋" w:cs="仿宋"/>
          <w:color w:val="auto"/>
          <w:highlight w:val="none"/>
        </w:rPr>
        <w:t>附件</w:t>
      </w:r>
      <w:bookmarkEnd w:id="193"/>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rPr>
          <w:rFonts w:hint="eastAsia"/>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color w:val="auto"/>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9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4"/>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5"/>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2"/>
        <w:rPr>
          <w:rFonts w:hint="eastAsia" w:ascii="仿宋" w:hAnsi="仿宋" w:eastAsia="仿宋" w:cs="仿宋"/>
          <w:b/>
          <w:color w:val="auto"/>
          <w:spacing w:val="6"/>
          <w:sz w:val="32"/>
          <w:szCs w:val="32"/>
          <w:highlight w:val="none"/>
        </w:rPr>
      </w:pPr>
    </w:p>
    <w:p>
      <w:pPr>
        <w:pStyle w:val="83"/>
        <w:rPr>
          <w:rFonts w:hint="eastAsia"/>
          <w:color w:val="auto"/>
          <w:highlight w:val="none"/>
        </w:rPr>
      </w:pPr>
    </w:p>
    <w:p>
      <w:pPr>
        <w:spacing w:line="360" w:lineRule="auto"/>
        <w:jc w:val="both"/>
        <w:rPr>
          <w:rFonts w:hint="eastAsia" w:ascii="仿宋" w:hAnsi="仿宋" w:eastAsia="仿宋" w:cs="仿宋"/>
          <w:b/>
          <w:color w:val="auto"/>
          <w:spacing w:val="6"/>
          <w:sz w:val="32"/>
          <w:szCs w:val="32"/>
          <w:highlight w:val="none"/>
        </w:rPr>
      </w:pPr>
      <w:bookmarkStart w:id="196" w:name="OLE_LINK14"/>
      <w:bookmarkStart w:id="197" w:name="OLE_LINK13"/>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6"/>
    <w:bookmarkEnd w:id="197"/>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8" w:name="_Toc91899912"/>
    <w:bookmarkStart w:id="199" w:name="_Toc36110187"/>
    <w:bookmarkStart w:id="200" w:name="_Toc164085800"/>
    <w:bookmarkStart w:id="201" w:name="_Toc131845147"/>
    <w:r>
      <w:rPr>
        <w:rFonts w:hint="eastAsia" w:ascii="仿宋_GB2312" w:eastAsia="仿宋_GB2312"/>
        <w:kern w:val="0"/>
        <w:szCs w:val="21"/>
      </w:rPr>
      <w:t xml:space="preserve"> 页</w:t>
    </w:r>
    <w:bookmarkEnd w:id="198"/>
    <w:bookmarkEnd w:id="199"/>
    <w:bookmarkEnd w:id="200"/>
    <w:bookmarkEnd w:id="20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DB2329"/>
    <w:multiLevelType w:val="singleLevel"/>
    <w:tmpl w:val="CEDB2329"/>
    <w:lvl w:ilvl="0" w:tentative="0">
      <w:start w:val="10"/>
      <w:numFmt w:val="decimal"/>
      <w:suff w:val="nothing"/>
      <w:lvlText w:val="%1、"/>
      <w:lvlJc w:val="left"/>
    </w:lvl>
  </w:abstractNum>
  <w:abstractNum w:abstractNumId="1">
    <w:nsid w:val="DF348F2F"/>
    <w:multiLevelType w:val="singleLevel"/>
    <w:tmpl w:val="DF348F2F"/>
    <w:lvl w:ilvl="0" w:tentative="0">
      <w:start w:val="1"/>
      <w:numFmt w:val="decimal"/>
      <w:suff w:val="nothing"/>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9D8BBFF"/>
    <w:multiLevelType w:val="singleLevel"/>
    <w:tmpl w:val="29D8BBFF"/>
    <w:lvl w:ilvl="0" w:tentative="0">
      <w:start w:val="1"/>
      <w:numFmt w:val="decimal"/>
      <w:suff w:val="nothing"/>
      <w:lvlText w:val="（%1）"/>
      <w:lvlJc w:val="left"/>
    </w:lvl>
  </w:abstractNum>
  <w:abstractNum w:abstractNumId="5">
    <w:nsid w:val="33D2DD23"/>
    <w:multiLevelType w:val="singleLevel"/>
    <w:tmpl w:val="33D2DD23"/>
    <w:lvl w:ilvl="0" w:tentative="0">
      <w:start w:val="1"/>
      <w:numFmt w:val="decimal"/>
      <w:suff w:val="nothing"/>
      <w:lvlText w:val="%1、"/>
      <w:lvlJc w:val="left"/>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小炜">
    <w15:presenceInfo w15:providerId="None" w15:userId="王小炜"/>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iMTc5Mjg0YWFmNjAwZTBjOGFiODc5N2VmNzc1NDQifQ=="/>
  </w:docVars>
  <w:rsids>
    <w:rsidRoot w:val="00000000"/>
    <w:rsid w:val="02F1210D"/>
    <w:rsid w:val="033E089E"/>
    <w:rsid w:val="06190FCC"/>
    <w:rsid w:val="06D74677"/>
    <w:rsid w:val="08C43471"/>
    <w:rsid w:val="09751930"/>
    <w:rsid w:val="0983157E"/>
    <w:rsid w:val="0E6E5F02"/>
    <w:rsid w:val="0FA0239A"/>
    <w:rsid w:val="10B26C72"/>
    <w:rsid w:val="12BA02DC"/>
    <w:rsid w:val="12CC3225"/>
    <w:rsid w:val="14127BE9"/>
    <w:rsid w:val="16557BC2"/>
    <w:rsid w:val="169E17AF"/>
    <w:rsid w:val="26D47812"/>
    <w:rsid w:val="2CDA6E57"/>
    <w:rsid w:val="3F326AC0"/>
    <w:rsid w:val="48C54A66"/>
    <w:rsid w:val="4DE4148C"/>
    <w:rsid w:val="4FAE554B"/>
    <w:rsid w:val="50C301CB"/>
    <w:rsid w:val="522D310C"/>
    <w:rsid w:val="56DE6A0A"/>
    <w:rsid w:val="57DAE6E1"/>
    <w:rsid w:val="5F665FB3"/>
    <w:rsid w:val="62C024A1"/>
    <w:rsid w:val="642152E2"/>
    <w:rsid w:val="65077AE2"/>
    <w:rsid w:val="6AEF1016"/>
    <w:rsid w:val="6D7F1965"/>
    <w:rsid w:val="70B76B39"/>
    <w:rsid w:val="729E74BD"/>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link w:val="9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2"/>
    <w:qFormat/>
    <w:uiPriority w:val="0"/>
    <w:pPr>
      <w:ind w:firstLine="420"/>
    </w:pPr>
    <w:rPr>
      <w:rFonts w:hAnsi="Calibri" w:cs="Times New Roman"/>
      <w:snapToGrid/>
      <w:szCs w:val="20"/>
    </w:rPr>
  </w:style>
  <w:style w:type="paragraph" w:styleId="26">
    <w:name w:val="Body Text Indent"/>
    <w:basedOn w:val="1"/>
    <w:next w:val="27"/>
    <w:link w:val="266"/>
    <w:qFormat/>
    <w:uiPriority w:val="0"/>
    <w:pPr>
      <w:spacing w:line="480" w:lineRule="exact"/>
      <w:ind w:firstLine="480" w:firstLineChars="200"/>
    </w:pPr>
    <w:rPr>
      <w:rFonts w:ascii="宋体" w:hAnsi="宋体"/>
      <w:sz w:val="24"/>
    </w:rPr>
  </w:style>
  <w:style w:type="paragraph" w:styleId="27">
    <w:name w:val="envelope return"/>
    <w:basedOn w:val="1"/>
    <w:qFormat/>
    <w:uiPriority w:val="0"/>
    <w:pPr>
      <w:snapToGrid w:val="0"/>
    </w:pPr>
    <w:rPr>
      <w:rFonts w:ascii="Arial" w:hAnsi="Arial"/>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2"/>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6"/>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qFormat/>
    <w:uiPriority w:val="0"/>
    <w:rPr>
      <w:b/>
      <w:bCs/>
    </w:rPr>
  </w:style>
  <w:style w:type="paragraph" w:styleId="63">
    <w:name w:val="Body Text First Indent 2"/>
    <w:basedOn w:val="26"/>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basedOn w:val="71"/>
    <w:link w:val="5"/>
    <w:qFormat/>
    <w:uiPriority w:val="0"/>
    <w:rPr>
      <w:b/>
      <w:bCs/>
      <w:sz w:val="32"/>
      <w:szCs w:val="32"/>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8"/>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1"/>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5"/>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40"/>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51129</Words>
  <Characters>54218</Characters>
  <Paragraphs>2030</Paragraphs>
  <TotalTime>8</TotalTime>
  <ScaleCrop>false</ScaleCrop>
  <LinksUpToDate>false</LinksUpToDate>
  <CharactersWithSpaces>61529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kk</cp:lastModifiedBy>
  <cp:lastPrinted>2021-12-28T11:06:00Z</cp:lastPrinted>
  <dcterms:modified xsi:type="dcterms:W3CDTF">2023-09-22T06:21:27Z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