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pacing w:val="-12"/>
          <w:sz w:val="44"/>
          <w:szCs w:val="44"/>
          <w:highlight w:val="none"/>
          <w:lang w:eastAsia="zh-CN"/>
        </w:rPr>
      </w:pPr>
      <w:r>
        <w:rPr>
          <w:rFonts w:hint="eastAsia" w:ascii="隶书" w:hAnsi="Arial" w:eastAsia="隶书" w:cs="Arial"/>
          <w:b/>
          <w:spacing w:val="-12"/>
          <w:sz w:val="44"/>
          <w:szCs w:val="44"/>
          <w:highlight w:val="none"/>
          <w:lang w:eastAsia="zh-CN"/>
        </w:rPr>
        <w:t>绍兴市中医院、绍兴市第七人民医院、绍兴市口腔医院全面预算管理系统项目（重招）</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ascii="隶书" w:eastAsia="隶书"/>
          <w:sz w:val="44"/>
          <w:highlight w:val="none"/>
        </w:rPr>
      </w:pPr>
    </w:p>
    <w:p>
      <w:pPr>
        <w:pStyle w:val="2"/>
        <w:rPr>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隶书" w:hAnsi="Arial" w:eastAsia="隶书" w:cs="Arial"/>
          <w:b/>
          <w:sz w:val="72"/>
          <w:szCs w:val="72"/>
          <w:highlight w:val="none"/>
        </w:rPr>
      </w:pPr>
      <w:r>
        <w:rPr>
          <w:rFonts w:hint="eastAsia" w:ascii="隶书" w:hAnsi="Arial" w:eastAsia="隶书" w:cs="Arial"/>
          <w:b/>
          <w:sz w:val="72"/>
          <w:szCs w:val="72"/>
          <w:highlight w:val="none"/>
        </w:rPr>
        <w:t>公</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隶书" w:hAnsi="Arial" w:eastAsia="隶书" w:cs="Arial"/>
          <w:b/>
          <w:sz w:val="72"/>
          <w:szCs w:val="7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隶书" w:hAnsi="Arial" w:eastAsia="隶书" w:cs="Arial"/>
          <w:b/>
          <w:sz w:val="72"/>
          <w:szCs w:val="72"/>
          <w:highlight w:val="none"/>
        </w:rPr>
      </w:pPr>
      <w:r>
        <w:rPr>
          <w:rFonts w:hint="eastAsia" w:ascii="隶书" w:hAnsi="Arial" w:eastAsia="隶书" w:cs="Arial"/>
          <w:b/>
          <w:sz w:val="72"/>
          <w:szCs w:val="72"/>
          <w:highlight w:val="none"/>
        </w:rPr>
        <w:t>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隶书" w:hAnsi="Arial" w:eastAsia="隶书" w:cs="Arial"/>
          <w:b/>
          <w:sz w:val="72"/>
          <w:szCs w:val="7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隶书" w:hAnsi="Arial" w:eastAsia="隶书" w:cs="Arial"/>
          <w:b/>
          <w:sz w:val="72"/>
          <w:szCs w:val="72"/>
          <w:highlight w:val="none"/>
        </w:rPr>
      </w:pPr>
      <w:r>
        <w:rPr>
          <w:rFonts w:hint="eastAsia" w:ascii="隶书" w:hAnsi="Arial" w:eastAsia="隶书" w:cs="Arial"/>
          <w:b/>
          <w:sz w:val="72"/>
          <w:szCs w:val="72"/>
          <w:highlight w:val="none"/>
        </w:rPr>
        <w:t>招</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隶书" w:hAnsi="Arial" w:eastAsia="隶书" w:cs="Arial"/>
          <w:b/>
          <w:sz w:val="72"/>
          <w:szCs w:val="7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隶书" w:hAnsi="Arial" w:eastAsia="隶书" w:cs="Arial"/>
          <w:b/>
          <w:sz w:val="72"/>
          <w:szCs w:val="72"/>
          <w:highlight w:val="none"/>
        </w:rPr>
      </w:pPr>
      <w:r>
        <w:rPr>
          <w:rFonts w:hint="eastAsia" w:ascii="隶书" w:hAnsi="Arial" w:eastAsia="隶书" w:cs="Arial"/>
          <w:b/>
          <w:sz w:val="72"/>
          <w:szCs w:val="72"/>
          <w:highlight w:val="none"/>
        </w:rPr>
        <w:t>标</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隶书" w:eastAsia="隶书"/>
          <w:b/>
          <w:sz w:val="72"/>
          <w:szCs w:val="7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隶书" w:eastAsia="隶书"/>
          <w:b/>
          <w:sz w:val="72"/>
          <w:szCs w:val="72"/>
          <w:highlight w:val="none"/>
        </w:rPr>
      </w:pPr>
      <w:r>
        <w:rPr>
          <w:rFonts w:hint="eastAsia" w:ascii="隶书" w:eastAsia="隶书"/>
          <w:b/>
          <w:sz w:val="72"/>
          <w:szCs w:val="72"/>
          <w:highlight w:val="none"/>
        </w:rPr>
        <w:t>文</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隶书" w:eastAsia="隶书"/>
          <w:b/>
          <w:sz w:val="72"/>
          <w:szCs w:val="7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隶书" w:eastAsia="隶书"/>
          <w:sz w:val="44"/>
          <w:highlight w:val="none"/>
        </w:rPr>
      </w:pPr>
      <w:r>
        <w:rPr>
          <w:rFonts w:hint="eastAsia" w:ascii="隶书" w:eastAsia="隶书"/>
          <w:b/>
          <w:sz w:val="72"/>
          <w:szCs w:val="72"/>
          <w:highlight w:val="none"/>
        </w:rPr>
        <w:t>件</w:t>
      </w:r>
    </w:p>
    <w:p>
      <w:pPr>
        <w:jc w:val="center"/>
        <w:outlineLvl w:val="0"/>
        <w:rPr>
          <w:rFonts w:ascii="隶书" w:eastAsia="隶书"/>
          <w:sz w:val="44"/>
          <w:highlight w:val="none"/>
        </w:rPr>
      </w:pPr>
      <w:r>
        <w:rPr>
          <w:rFonts w:hint="eastAsia" w:ascii="隶书" w:eastAsia="隶书"/>
          <w:sz w:val="44"/>
          <w:highlight w:val="none"/>
        </w:rPr>
        <w:t>（电子招投标）</w:t>
      </w:r>
    </w:p>
    <w:p>
      <w:pPr>
        <w:jc w:val="both"/>
        <w:outlineLvl w:val="0"/>
        <w:rPr>
          <w:rFonts w:ascii="隶书" w:eastAsia="隶书"/>
          <w:sz w:val="44"/>
          <w:highlight w:val="none"/>
        </w:rPr>
      </w:pPr>
    </w:p>
    <w:p>
      <w:pPr>
        <w:jc w:val="center"/>
        <w:rPr>
          <w:rFonts w:hint="eastAsia" w:ascii="隶书" w:eastAsia="隶书"/>
          <w:b/>
          <w:sz w:val="28"/>
          <w:szCs w:val="28"/>
          <w:highlight w:val="none"/>
          <w:lang w:eastAsia="zh-CN"/>
        </w:rPr>
      </w:pPr>
      <w:r>
        <w:rPr>
          <w:rFonts w:hint="eastAsia" w:ascii="隶书" w:eastAsia="隶书"/>
          <w:b/>
          <w:sz w:val="28"/>
          <w:szCs w:val="28"/>
          <w:highlight w:val="none"/>
        </w:rPr>
        <w:t>招标编号:</w:t>
      </w:r>
      <w:r>
        <w:rPr>
          <w:rFonts w:hint="eastAsia" w:ascii="隶书" w:eastAsia="隶书"/>
          <w:b/>
          <w:sz w:val="28"/>
          <w:szCs w:val="28"/>
          <w:highlight w:val="none"/>
          <w:lang w:eastAsia="zh-CN"/>
        </w:rPr>
        <w:t>TYJZ2023011</w:t>
      </w:r>
    </w:p>
    <w:tbl>
      <w:tblPr>
        <w:tblStyle w:val="4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绍兴市中医院</w:t>
            </w:r>
          </w:p>
          <w:p>
            <w:pPr>
              <w:spacing w:line="320" w:lineRule="exact"/>
              <w:outlineLvl w:val="0"/>
              <w:rPr>
                <w:rFonts w:hint="eastAsia"/>
                <w:highlight w:val="none"/>
                <w:lang w:eastAsia="zh-CN"/>
              </w:rPr>
            </w:pPr>
            <w:r>
              <w:rPr>
                <w:rFonts w:hint="eastAsia" w:ascii="隶书" w:hAnsi="宋体" w:eastAsia="隶书"/>
                <w:sz w:val="28"/>
                <w:szCs w:val="28"/>
                <w:highlight w:val="none"/>
                <w:lang w:eastAsia="zh-CN"/>
              </w:rPr>
              <w:t>绍兴市第七人民医院</w:t>
            </w:r>
          </w:p>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0"/>
                <w:w w:val="100"/>
                <w:kern w:val="0"/>
                <w:sz w:val="28"/>
                <w:szCs w:val="28"/>
                <w:highlight w:val="none"/>
                <w:fitText w:val="1680" w:id="1777547442"/>
              </w:rPr>
              <w:t>采购代理机构</w:t>
            </w:r>
            <w:r>
              <w:rPr>
                <w:rFonts w:hint="eastAsia" w:ascii="隶书" w:hAnsi="宋体" w:eastAsia="隶书"/>
                <w:sz w:val="28"/>
                <w:szCs w:val="28"/>
                <w:highlight w:val="none"/>
              </w:rPr>
              <w:t>：</w:t>
            </w:r>
          </w:p>
        </w:tc>
        <w:tc>
          <w:tcPr>
            <w:tcW w:w="5445" w:type="dxa"/>
          </w:tcPr>
          <w:p>
            <w:pPr>
              <w:spacing w:after="100" w:afterAutospacing="1" w:line="440" w:lineRule="exact"/>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fitText w:val="1680" w:id="1"/>
              </w:rPr>
              <w:t>监督单</w:t>
            </w:r>
            <w:r>
              <w:rPr>
                <w:rFonts w:hint="eastAsia" w:ascii="隶书" w:hAnsi="宋体" w:eastAsia="隶书"/>
                <w:spacing w:val="1"/>
                <w:kern w:val="0"/>
                <w:sz w:val="28"/>
                <w:szCs w:val="28"/>
                <w:highlight w:val="none"/>
                <w:fitText w:val="1680" w:id="1"/>
              </w:rPr>
              <w:t>位</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highlight w:val="none"/>
              </w:rPr>
            </w:pPr>
            <w:r>
              <w:rPr>
                <w:rFonts w:hint="eastAsia" w:ascii="隶书" w:eastAsia="隶书"/>
                <w:sz w:val="28"/>
                <w:szCs w:val="28"/>
                <w:highlight w:val="none"/>
              </w:rPr>
              <w:t>二○二</w:t>
            </w:r>
            <w:r>
              <w:rPr>
                <w:rFonts w:hint="eastAsia" w:ascii="隶书" w:eastAsia="隶书"/>
                <w:sz w:val="28"/>
                <w:szCs w:val="28"/>
                <w:highlight w:val="none"/>
                <w:lang w:eastAsia="zh-CN"/>
              </w:rPr>
              <w:t>三</w:t>
            </w:r>
            <w:r>
              <w:rPr>
                <w:rFonts w:hint="eastAsia" w:ascii="隶书" w:eastAsia="隶书"/>
                <w:sz w:val="28"/>
                <w:szCs w:val="28"/>
                <w:highlight w:val="none"/>
              </w:rPr>
              <w:t>年</w:t>
            </w:r>
            <w:r>
              <w:rPr>
                <w:rFonts w:hint="eastAsia" w:ascii="隶书" w:eastAsia="隶书"/>
                <w:sz w:val="28"/>
                <w:szCs w:val="28"/>
                <w:highlight w:val="none"/>
                <w:lang w:eastAsia="zh-CN"/>
              </w:rPr>
              <w:t>四</w:t>
            </w:r>
            <w:bookmarkStart w:id="171" w:name="_GoBack"/>
            <w:bookmarkEnd w:id="171"/>
            <w:r>
              <w:rPr>
                <w:rFonts w:hint="eastAsia" w:ascii="隶书" w:eastAsia="隶书"/>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highlight w:val="none"/>
              </w:rPr>
            </w:pPr>
            <w:r>
              <w:rPr>
                <w:rFonts w:ascii="仿宋_GB2312" w:hAnsi="新宋体" w:eastAsia="仿宋_GB2312"/>
                <w:highlight w:val="none"/>
              </w:rPr>
              <w:br w:type="page"/>
            </w:r>
          </w:p>
          <w:tbl>
            <w:tblPr>
              <w:tblStyle w:val="42"/>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lang w:eastAsia="zh-CN"/>
                    </w:rPr>
                    <w:t>绍兴市中医院、绍兴市第七人民医院、绍兴市口腔医院全面预算管理系统项目（重招）</w:t>
                  </w:r>
                  <w:r>
                    <w:rPr>
                      <w:rFonts w:hint="eastAsia" w:ascii="仿宋_GB2312" w:hAnsi="新宋体" w:eastAsia="仿宋_GB2312"/>
                      <w:szCs w:val="24"/>
                      <w:highlight w:val="none"/>
                    </w:rPr>
                    <w:t>的潜在投标人应在</w:t>
                  </w:r>
                  <w:r>
                    <w:rPr>
                      <w:rStyle w:val="278"/>
                      <w:rFonts w:ascii="仿宋" w:hAnsi="仿宋"/>
                      <w:sz w:val="27"/>
                      <w:szCs w:val="27"/>
                      <w:highlight w:val="none"/>
                    </w:rPr>
                    <w:t>https://www.zcygov.cn</w:t>
                  </w:r>
                  <w:r>
                    <w:rPr>
                      <w:rFonts w:hint="eastAsia" w:ascii="仿宋_GB2312" w:hAnsi="新宋体" w:eastAsia="仿宋_GB2312"/>
                      <w:szCs w:val="24"/>
                      <w:highlight w:val="none"/>
                    </w:rPr>
                    <w:t>获取（下载）招标文件，并于202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04</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一、项目基本情况</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项目编号：</w:t>
            </w:r>
            <w:r>
              <w:rPr>
                <w:rFonts w:hint="eastAsia" w:ascii="仿宋_GB2312" w:hAnsi="新宋体" w:eastAsia="仿宋_GB2312"/>
                <w:szCs w:val="24"/>
                <w:highlight w:val="none"/>
                <w:lang w:eastAsia="zh-CN"/>
              </w:rPr>
              <w:t>TYJZ2023011</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项目名称：</w:t>
            </w:r>
            <w:r>
              <w:rPr>
                <w:rFonts w:hint="eastAsia" w:ascii="仿宋_GB2312" w:hAnsi="新宋体" w:eastAsia="仿宋_GB2312"/>
                <w:szCs w:val="24"/>
                <w:highlight w:val="none"/>
                <w:lang w:eastAsia="zh-CN"/>
              </w:rPr>
              <w:t>绍兴市中医院、绍兴市第七人民医院、绍兴市口腔医院全面预算管理系统项目（重招）</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采购方式：公开招标</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预算金额（元）：</w:t>
            </w:r>
            <w:r>
              <w:rPr>
                <w:rFonts w:hint="eastAsia" w:ascii="仿宋_GB2312" w:hAnsi="新宋体" w:eastAsia="仿宋_GB2312"/>
                <w:szCs w:val="24"/>
                <w:highlight w:val="none"/>
                <w:lang w:eastAsia="zh-CN"/>
              </w:rPr>
              <w:t>2700000</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最高限价（元）：</w:t>
            </w:r>
            <w:r>
              <w:rPr>
                <w:rFonts w:hint="eastAsia" w:ascii="仿宋_GB2312" w:hAnsi="新宋体" w:eastAsia="仿宋_GB2312"/>
                <w:szCs w:val="24"/>
                <w:highlight w:val="none"/>
                <w:lang w:eastAsia="zh-CN"/>
              </w:rPr>
              <w:t>2700000</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采购需求：</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全面预算管理系统项目（重招）</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预算金额（元）: </w:t>
            </w:r>
            <w:r>
              <w:rPr>
                <w:rFonts w:hint="eastAsia" w:ascii="仿宋_GB2312" w:hAnsi="新宋体" w:eastAsia="仿宋_GB2312"/>
                <w:szCs w:val="24"/>
                <w:highlight w:val="none"/>
                <w:lang w:eastAsia="zh-CN"/>
              </w:rPr>
              <w:t>2700000</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简要规格描述或项目基本概况介绍、用途：详见采购文件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备注：无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合同履约期限：按双方合同约定条款执行。</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本项目（是）接受联合体投标。</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二、申请人的资格要求：</w:t>
            </w:r>
          </w:p>
          <w:p>
            <w:pPr>
              <w:pStyle w:val="6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A8"/>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r>
              <w:rPr>
                <w:rFonts w:hint="eastAsia" w:ascii="仿宋_GB2312" w:hAnsi="MS Gothic" w:eastAsia="仿宋_GB2312" w:cs="Arial"/>
                <w:highlight w:val="none"/>
              </w:rPr>
              <w:sym w:font="Wingdings" w:char="00FE"/>
            </w:r>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993" w:firstLineChars="473"/>
              <w:rPr>
                <w:rFonts w:ascii="仿宋_GB2312" w:hAnsi="仿宋" w:eastAsia="仿宋_GB2312"/>
                <w:sz w:val="24"/>
                <w:highlight w:val="none"/>
              </w:rPr>
            </w:pPr>
            <w:r>
              <w:rPr>
                <w:rFonts w:hint="eastAsia" w:ascii="仿宋_GB2312" w:hAnsi="MS Gothic" w:eastAsia="仿宋_GB2312" w:cs="Arial"/>
                <w:highlight w:val="none"/>
              </w:rPr>
              <w:sym w:font="Wingdings" w:char="00FE"/>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236598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MS Gothic" w:eastAsia="仿宋_GB2312" w:cs="Arial"/>
                        <w:highlight w:val="none"/>
                      </w:rPr>
                      <w:sym w:font="Wingdings" w:char="00A8"/>
                    </w: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695941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三、获取招标文件</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时间：/至202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04</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日，每天上午00:00至12:00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地点（网址）：</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售价（元）：0</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四、提交投标文件截止时间、开标时间和地点</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提交投标文件截止时间：202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04</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日 09:00（北京时间）</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04</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日 09:00</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_GB2312" w:hAnsi="新宋体" w:eastAsia="仿宋_GB2312"/>
                <w:szCs w:val="24"/>
                <w:highlight w:val="none"/>
              </w:rPr>
              <w:t>，在政府采购云平台（www.zcygov.cn）上开启响应文件。</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五、公告期限</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六、其他补充事宜</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七、对本次采购提出询问、质疑、投诉，请按以下方式联系</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1.采购人信息</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val="en-US" w:eastAsia="zh-CN"/>
              </w:rPr>
              <w:t>1</w:t>
            </w:r>
            <w:r>
              <w:rPr>
                <w:rFonts w:hint="eastAsia" w:ascii="仿宋_GB2312" w:hAnsi="新宋体" w:eastAsia="仿宋_GB2312"/>
                <w:szCs w:val="24"/>
                <w:highlight w:val="none"/>
              </w:rPr>
              <w:t>：</w:t>
            </w:r>
            <w:r>
              <w:rPr>
                <w:rFonts w:hint="eastAsia" w:ascii="仿宋_GB2312" w:hAnsi="新宋体" w:eastAsia="仿宋_GB2312"/>
                <w:szCs w:val="24"/>
                <w:highlight w:val="none"/>
                <w:lang w:eastAsia="zh-CN"/>
              </w:rPr>
              <w:t>绍兴市中医院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绍兴市越城区人民中路651号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eastAsia="zh-CN"/>
              </w:rPr>
              <w:t>王月中</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项目联系方式（询问）：0575-89107227</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沈勇</w:t>
            </w:r>
          </w:p>
          <w:p>
            <w:pPr>
              <w:pStyle w:val="69"/>
              <w:spacing w:afterLines="0" w:line="440" w:lineRule="exact"/>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质疑联系方式：0575-89107189</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val="en-US" w:eastAsia="zh-CN"/>
              </w:rPr>
              <w:t>2</w:t>
            </w:r>
            <w:r>
              <w:rPr>
                <w:rFonts w:hint="eastAsia" w:ascii="仿宋_GB2312" w:hAnsi="新宋体" w:eastAsia="仿宋_GB2312"/>
                <w:szCs w:val="24"/>
                <w:highlight w:val="none"/>
              </w:rPr>
              <w:t>：</w:t>
            </w:r>
            <w:r>
              <w:rPr>
                <w:rFonts w:hint="eastAsia" w:ascii="仿宋_GB2312" w:hAnsi="新宋体" w:eastAsia="仿宋_GB2312"/>
                <w:szCs w:val="24"/>
                <w:highlight w:val="none"/>
                <w:lang w:eastAsia="zh-CN"/>
              </w:rPr>
              <w:t>绍兴市第七人民医院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绍兴市越城区胜利西路1234号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eastAsia="zh-CN"/>
              </w:rPr>
              <w:t>戴潇洋</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项目联系方式（询问）：0575-85397715</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葛伟炬</w:t>
            </w:r>
          </w:p>
          <w:p>
            <w:pPr>
              <w:pStyle w:val="69"/>
              <w:spacing w:afterLines="0" w:line="440" w:lineRule="exact"/>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质疑联系方式：0575-85397979</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w:t>
            </w:r>
            <w:r>
              <w:rPr>
                <w:rFonts w:hint="eastAsia" w:ascii="仿宋_GB2312" w:hAnsi="新宋体" w:eastAsia="仿宋_GB2312"/>
                <w:szCs w:val="24"/>
                <w:highlight w:val="none"/>
                <w:lang w:eastAsia="zh-CN"/>
              </w:rPr>
              <w:t>绍兴市口腔医院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绍兴市口腔医院延安东路399号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eastAsia="zh-CN"/>
              </w:rPr>
              <w:t>王佳南</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项目联系方式（询问）：0575-88551156</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顾佳斌</w:t>
            </w:r>
          </w:p>
          <w:p>
            <w:pPr>
              <w:pStyle w:val="69"/>
              <w:spacing w:afterLines="0" w:line="440" w:lineRule="exact"/>
              <w:ind w:firstLine="480"/>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rPr>
              <w:t>质疑联系方式：</w:t>
            </w:r>
            <w:r>
              <w:rPr>
                <w:rFonts w:hint="eastAsia" w:ascii="仿宋" w:hAnsi="仿宋" w:eastAsia="仿宋" w:cs="仿宋"/>
                <w:kern w:val="0"/>
                <w:sz w:val="24"/>
                <w:highlight w:val="none"/>
                <w:lang w:val="en-US" w:eastAsia="zh-CN"/>
              </w:rPr>
              <w:t>0575-88551166</w:t>
            </w:r>
          </w:p>
          <w:p>
            <w:pPr>
              <w:pStyle w:val="69"/>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69"/>
              <w:spacing w:afterLines="0" w:line="440" w:lineRule="exact"/>
              <w:ind w:firstLine="480"/>
              <w:rPr>
                <w:rFonts w:ascii="仿宋_GB2312" w:hAnsi="新宋体" w:eastAsia="仿宋_GB2312"/>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3.同级政府采购监督管理部门 </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传真：0575-85209697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联系人 ：吴滟      </w:t>
            </w:r>
          </w:p>
          <w:p>
            <w:pPr>
              <w:pStyle w:val="6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监督投诉电话：0575-85209645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263220618"/>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94006690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szCs w:val="21"/>
                  <w:highlight w:val="none"/>
                </w:rPr>
                <w:id w:val="-740788832"/>
              </w:sdtPr>
              <w:sdtEndPr>
                <w:rPr>
                  <w:rFonts w:hint="eastAsia" w:ascii="仿宋_GB2312" w:hAnsi="仿宋" w:eastAsia="仿宋_GB2312" w:cs="Arial"/>
                  <w:kern w:val="0"/>
                  <w:sz w:val="24"/>
                  <w:szCs w:val="21"/>
                  <w:highlight w:val="none"/>
                </w:rPr>
              </w:sdtEndPr>
              <w:sdtContent>
                <w:r>
                  <w:rPr>
                    <w:rFonts w:hint="eastAsia" w:ascii="仿宋_GB2312" w:hAnsi="MS Gothic" w:eastAsia="仿宋_GB2312" w:cs="Arial"/>
                    <w:kern w:val="0"/>
                    <w:sz w:val="24"/>
                    <w:highlight w:val="none"/>
                  </w:rPr>
                  <w:sym w:font="Wingdings 2" w:char="0052"/>
                </w:r>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详见配置需求和评标办法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color w:val="000000" w:themeColor="text1"/>
                <w:sz w:val="24"/>
                <w:highlight w:val="none"/>
                <w:u w:val="single"/>
              </w:rPr>
              <w:t>年  月日 09:00（北京时间）前（开标当天送达）</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_GB2312" w:hAnsi="宋体" w:eastAsia="仿宋_GB2312"/>
                <w:b/>
                <w:sz w:val="24"/>
                <w:highlight w:val="none"/>
              </w:rPr>
              <w:t>讲解演示：</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在评标时安排每个投标人进行现场演示</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szCs w:val="24"/>
                <w:highlight w:val="none"/>
                <w:lang w:val="zh-CN"/>
              </w:rPr>
              <w:t>使用图片彩页、PPT演示不得分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分钟，演示时间不超过</w:t>
            </w:r>
            <w:r>
              <w:rPr>
                <w:rFonts w:hint="eastAsia" w:ascii="仿宋_GB2312" w:hAnsi="仿宋" w:eastAsia="仿宋_GB2312" w:cs="仿宋_GB2312"/>
                <w:color w:val="auto"/>
                <w:kern w:val="0"/>
                <w:sz w:val="24"/>
                <w:highlight w:val="none"/>
                <w:lang w:val="en-US" w:eastAsia="zh-CN"/>
              </w:rPr>
              <w:t>30</w:t>
            </w:r>
            <w:r>
              <w:rPr>
                <w:rFonts w:hint="eastAsia" w:ascii="仿宋_GB2312" w:hAnsi="仿宋" w:eastAsia="仿宋_GB2312" w:cs="仿宋_GB2312"/>
                <w:color w:val="auto"/>
                <w:kern w:val="0"/>
                <w:sz w:val="24"/>
                <w:highlight w:val="none"/>
                <w:lang w:val="zh-CN"/>
              </w:rPr>
              <w:t>分钟，</w:t>
            </w:r>
            <w:r>
              <w:rPr>
                <w:rFonts w:hint="eastAsia" w:ascii="仿宋_GB2312" w:hAnsi="仿宋_GB2312" w:eastAsia="仿宋_GB2312" w:cs="仿宋_GB2312"/>
                <w:color w:val="auto"/>
                <w:sz w:val="24"/>
                <w:highlight w:val="none"/>
              </w:rPr>
              <w:t>不包含评委提问解答时间。</w:t>
            </w:r>
          </w:p>
          <w:p>
            <w:pPr>
              <w:spacing w:line="420" w:lineRule="exact"/>
              <w:rPr>
                <w:rFonts w:ascii="仿宋_GB2312" w:hAnsi="宋体" w:eastAsia="仿宋_GB2312"/>
                <w:sz w:val="24"/>
                <w:highlight w:val="none"/>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000000" w:themeColor="text1"/>
                <w:kern w:val="0"/>
                <w:sz w:val="24"/>
                <w:highlight w:val="none"/>
                <w:lang w:val="zh-CN"/>
              </w:rPr>
              <w:t>以政采云平台中</w:t>
            </w:r>
            <w:r>
              <w:rPr>
                <w:rFonts w:hint="eastAsia" w:ascii="仿宋_GB2312" w:hAnsi="仿宋" w:eastAsia="仿宋_GB2312" w:cs="Arial"/>
                <w:bCs/>
                <w:color w:val="000000" w:themeColor="text1"/>
                <w:sz w:val="24"/>
                <w:highlight w:val="none"/>
              </w:rPr>
              <w:t>递交投标</w:t>
            </w:r>
            <w:r>
              <w:rPr>
                <w:rFonts w:hint="eastAsia" w:ascii="仿宋_GB2312" w:hAnsi="仿宋" w:eastAsia="仿宋_GB2312" w:cs="仿宋_GB2312"/>
                <w:color w:val="000000" w:themeColor="text1"/>
                <w:kern w:val="0"/>
                <w:sz w:val="24"/>
                <w:highlight w:val="none"/>
                <w:lang w:val="zh-CN"/>
              </w:rPr>
              <w:t>文件先后顺序为准。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751813434"/>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83321284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b/>
                <w:bCs/>
                <w:sz w:val="24"/>
                <w:highlight w:val="none"/>
                <w:u w:val="single"/>
                <w:lang w:val="en-US" w:eastAsia="zh-CN"/>
              </w:rPr>
              <w:t>全面预算管理模块</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370" w:type="dxa"/>
            <w:gridSpan w:val="2"/>
            <w:vAlign w:val="center"/>
          </w:tcPr>
          <w:p>
            <w:pPr>
              <w:snapToGrid w:val="0"/>
              <w:ind w:left="-18" w:leftChars="-9" w:right="-50" w:rightChars="-24" w:hanging="1"/>
              <w:jc w:val="left"/>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b/>
                <w:bCs/>
                <w:sz w:val="24"/>
                <w:highlight w:val="none"/>
                <w:u w:val="single"/>
                <w:lang w:val="en-US" w:eastAsia="zh-CN"/>
              </w:rPr>
              <w:t xml:space="preserve">  软件和信息技术服务业  </w:t>
            </w:r>
            <w:r>
              <w:rPr>
                <w:rFonts w:hint="eastAsia" w:ascii="仿宋_GB2312" w:hAnsi="仿宋" w:eastAsia="仿宋_GB2312" w:cs="Arial"/>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信用信息查询渠道及截止时间：</w:t>
            </w:r>
            <w:r>
              <w:rPr>
                <w:rFonts w:hint="eastAsia" w:ascii="仿宋_GB2312" w:hAnsi="宋体" w:eastAsia="仿宋_GB2312"/>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highlight w:val="none"/>
              </w:rPr>
              <w:t>开标当天</w:t>
            </w:r>
            <w:r>
              <w:rPr>
                <w:rFonts w:hint="eastAsia" w:ascii="仿宋_GB2312" w:hAnsi="宋体" w:eastAsia="仿宋_GB2312"/>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信用信息查询记录和证据留存的具体方式：</w:t>
            </w:r>
            <w:r>
              <w:rPr>
                <w:rFonts w:hint="eastAsia" w:ascii="仿宋_GB2312" w:hAnsi="宋体" w:eastAsia="仿宋_GB2312"/>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宋体" w:eastAsia="仿宋_GB2312"/>
                <w:sz w:val="24"/>
                <w:highlight w:val="none"/>
              </w:rPr>
            </w:pPr>
            <w:r>
              <w:rPr>
                <w:rFonts w:hint="eastAsia" w:ascii="仿宋_GB2312" w:hAnsi="宋体" w:eastAsia="仿宋_GB2312"/>
                <w:b/>
                <w:sz w:val="24"/>
                <w:highlight w:val="none"/>
              </w:rPr>
              <w:t>信用信息的使用规则：</w:t>
            </w:r>
            <w:r>
              <w:rPr>
                <w:rFonts w:hint="eastAsia" w:ascii="仿宋_GB2312" w:hAnsi="宋体" w:eastAsia="仿宋_GB2312"/>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highlight w:val="none"/>
              </w:rPr>
            </w:pPr>
            <w:r>
              <w:rPr>
                <w:rFonts w:ascii="仿宋_GB2312" w:hAnsi="宋体" w:eastAsia="仿宋_GB2312"/>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扰乱公共资源交易市场秩序行为：</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sz w:val="24"/>
                <w:highlight w:val="none"/>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r>
              <w:rPr>
                <w:rFonts w:hint="eastAsia" w:ascii="MS Gothic" w:hAnsi="MS Gothic" w:eastAsia="MS Gothic" w:cs="宋体"/>
                <w:kern w:val="0"/>
                <w:sz w:val="24"/>
                <w:highlight w:val="none"/>
              </w:rPr>
              <w:t>☐</w:t>
            </w:r>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lang w:val="en-US" w:eastAsia="zh-CN"/>
              </w:rPr>
              <w:t>19</w:t>
            </w:r>
          </w:p>
        </w:tc>
        <w:tc>
          <w:tcPr>
            <w:tcW w:w="8370" w:type="dxa"/>
            <w:gridSpan w:val="2"/>
            <w:vAlign w:val="center"/>
          </w:tcPr>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z w:val="24"/>
                <w:highlight w:val="none"/>
                <w:lang w:val="en-US" w:eastAsia="zh-CN"/>
              </w:rPr>
              <w:t>*62</w:t>
            </w:r>
            <w:r>
              <w:rPr>
                <w:rFonts w:hint="eastAsia" w:ascii="仿宋" w:hAnsi="仿宋" w:eastAsia="仿宋" w:cs="仿宋"/>
                <w:sz w:val="24"/>
                <w:highlight w:val="none"/>
              </w:rPr>
              <w:t>%进行收费。服务费不到2000元按照2000元收取。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pacing w:line="440" w:lineRule="exact"/>
              <w:rPr>
                <w:rFonts w:hint="eastAsia" w:ascii="MS Gothic" w:hAnsi="MS Gothic" w:eastAsia="MS Gothic" w:cs="宋体"/>
                <w:kern w:val="0"/>
                <w:sz w:val="24"/>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解释：凡涉及本招标文件的解释权属于采购人和本</w:t>
            </w:r>
            <w:r>
              <w:rPr>
                <w:rFonts w:hint="eastAsia" w:ascii="仿宋_GB2312" w:hAnsi="宋体" w:eastAsia="仿宋_GB2312"/>
                <w:sz w:val="24"/>
                <w:highlight w:val="none"/>
                <w:lang w:eastAsia="zh-CN"/>
              </w:rPr>
              <w:t>采购代理机构</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一、总则</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 项目说明</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定义</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2.1政府采购当事人及监管部门</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2.1.1“采购人”系指采购公告中载明的本项目的采购人，即</w:t>
      </w:r>
      <w:r>
        <w:rPr>
          <w:rFonts w:hint="eastAsia" w:ascii="仿宋_GB2312" w:hAnsi="仿宋_GB2312" w:eastAsia="仿宋_GB2312" w:cs="仿宋_GB2312"/>
          <w:sz w:val="24"/>
          <w:highlight w:val="none"/>
          <w:lang w:eastAsia="zh-CN"/>
        </w:rPr>
        <w:t>绍兴市中医院、绍兴市第七人民医院、绍兴市口腔医院</w:t>
      </w:r>
      <w:r>
        <w:rPr>
          <w:rFonts w:hint="eastAsia" w:ascii="仿宋_GB2312" w:hAnsi="仿宋_GB2312" w:eastAsia="仿宋_GB2312" w:cs="仿宋_GB2312"/>
          <w:sz w:val="24"/>
          <w:highlight w:val="none"/>
        </w:rPr>
        <w:t>（合同中的甲方）。</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2.1.2“采购代理机构”系指采购公告中载明的本项目的采购</w:t>
      </w:r>
      <w:r>
        <w:rPr>
          <w:rFonts w:hint="eastAsia" w:ascii="仿宋_GB2312" w:hAnsi="仿宋_GB2312" w:eastAsia="仿宋_GB2312" w:cs="仿宋_GB2312"/>
          <w:sz w:val="24"/>
          <w:highlight w:val="none"/>
          <w:lang w:eastAsia="zh-CN"/>
        </w:rPr>
        <w:t>代理</w:t>
      </w:r>
      <w:r>
        <w:rPr>
          <w:rFonts w:hint="eastAsia" w:ascii="仿宋_GB2312" w:hAnsi="仿宋_GB2312" w:eastAsia="仿宋_GB2312" w:cs="仿宋_GB2312"/>
          <w:sz w:val="24"/>
          <w:highlight w:val="none"/>
        </w:rPr>
        <w:t>机构，即</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sz w:val="24"/>
          <w:highlight w:val="none"/>
        </w:rPr>
        <w:t>。</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sz w:val="24"/>
          <w:highlight w:val="none"/>
        </w:rPr>
      </w:pPr>
      <w:r>
        <w:rPr>
          <w:rFonts w:hint="eastAsia" w:ascii="仿宋_GB2312" w:hAnsi="仿宋_GB2312" w:eastAsia="仿宋_GB2312" w:cs="仿宋_GB2312"/>
          <w:sz w:val="24"/>
          <w:highlight w:val="none"/>
        </w:rPr>
        <w:t>2.1.4“监督单位”系指政府采购法定义监督管理部门，即绍兴市财政局。</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2.4“项目”系指投标人按招标文件规定向采购人提供的产品和服务。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2.5“授权代表”系指法定代表人的被授权委托人。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”系指不适用本项目的要求。</w:t>
      </w:r>
    </w:p>
    <w:p>
      <w:pPr>
        <w:snapToGrid w:val="0"/>
        <w:spacing w:line="440" w:lineRule="exact"/>
        <w:jc w:val="left"/>
        <w:rPr>
          <w:rFonts w:ascii="仿宋_GB2312" w:hAnsi="宋体" w:eastAsia="仿宋_GB2312"/>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修缮、装修类项目采购建材的，采购人应将绿色建筑和绿色建材性能、指标等作为实质性条件纳入招标文件和合同。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highlight w:val="none"/>
        </w:rPr>
      </w:pPr>
      <w:r>
        <w:rPr>
          <w:rFonts w:hint="eastAsia" w:ascii="仿宋_GB2312" w:hAnsi="宋体" w:eastAsia="仿宋_GB2312"/>
          <w:b/>
          <w:sz w:val="36"/>
          <w:szCs w:val="36"/>
          <w:highlight w:val="none"/>
        </w:rPr>
        <w:t>二、招标文件</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1．招标方式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 本次招标采用</w:t>
      </w:r>
      <w:r>
        <w:rPr>
          <w:rFonts w:hint="eastAsia" w:ascii="仿宋_GB2312" w:hAnsi="宋体" w:eastAsia="仿宋_GB2312"/>
          <w:b/>
          <w:kern w:val="0"/>
          <w:sz w:val="24"/>
          <w:highlight w:val="none"/>
        </w:rPr>
        <w:t>公开招标</w:t>
      </w:r>
      <w:r>
        <w:rPr>
          <w:rFonts w:hint="eastAsia" w:ascii="仿宋_GB2312" w:hAnsi="宋体" w:eastAsia="仿宋_GB2312"/>
          <w:sz w:val="24"/>
          <w:highlight w:val="none"/>
        </w:rPr>
        <w:t>方式进行。</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highlight w:val="none"/>
        </w:rPr>
      </w:pPr>
      <w:r>
        <w:rPr>
          <w:rFonts w:hint="eastAsia" w:ascii="仿宋_GB2312" w:hAnsi="宋体" w:eastAsia="仿宋_GB2312"/>
          <w:b/>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 招标文件的修改</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4.1 </w:t>
      </w:r>
      <w:r>
        <w:rPr>
          <w:rFonts w:hint="eastAsia" w:ascii="仿宋_GB2312" w:hAnsi="宋体" w:eastAsia="仿宋_GB2312"/>
          <w:bCs/>
          <w:sz w:val="24"/>
          <w:highlight w:val="none"/>
        </w:rPr>
        <w:t>招标文件包括本招标文件及所有的招标答疑记录（澄清、修改）和发出的补充通知</w:t>
      </w:r>
      <w:r>
        <w:rPr>
          <w:rFonts w:hint="eastAsia" w:ascii="仿宋_GB2312" w:hAnsi="宋体" w:eastAsia="仿宋_GB2312"/>
          <w:sz w:val="24"/>
          <w:highlight w:val="none"/>
        </w:rPr>
        <w:t>。</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4.3招标文件的修改</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5.参考品牌</w:t>
      </w:r>
    </w:p>
    <w:p>
      <w:pPr>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三、投标文件</w:t>
      </w:r>
    </w:p>
    <w:p>
      <w:pPr>
        <w:numPr>
          <w:ilvl w:val="0"/>
          <w:numId w:val="5"/>
        </w:num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投标文件的语言、计量单位、形式及效力</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1.4不按招标文件的要求提供的投标文件可能导致被拒绝。</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1.5投标文件的形式和效力</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1.5.2投标文件的效力：</w:t>
      </w:r>
    </w:p>
    <w:p>
      <w:pPr>
        <w:snapToGrid w:val="0"/>
        <w:spacing w:line="440" w:lineRule="exact"/>
        <w:ind w:firstLine="472" w:firstLineChars="196"/>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投标文件的组成</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投标文件由“报价文件资料”、“商务技术（资信）文件资料”两部分组成，</w:t>
      </w:r>
      <w:r>
        <w:rPr>
          <w:rFonts w:hint="eastAsia" w:ascii="仿宋_GB2312" w:hAnsi="仿宋" w:eastAsia="仿宋_GB2312"/>
          <w:sz w:val="24"/>
          <w:highlight w:val="none"/>
        </w:rPr>
        <w:t>其中</w:t>
      </w:r>
      <w:r>
        <w:rPr>
          <w:rFonts w:hint="eastAsia" w:ascii="仿宋_GB2312" w:hAnsi="仿宋" w:eastAsia="仿宋_GB2312"/>
          <w:b/>
          <w:sz w:val="24"/>
          <w:highlight w:val="none"/>
        </w:rPr>
        <w:t>电子投标文件中所须加盖公章部分均应采用电子签章。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2.1.1投标响应函（格式见第六部分附件）；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2.1.2开标一览表（格式见第六部分附件）；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2.1.3中小企业声明函（如有，格式见第六部分附件）；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 “商务技术（资信）文件资料”应包括以下内容（正本用原件）：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2.2.1法定代表人授权委托书(格式见第六部分附件)；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2.2.2授权代表社保证明（格式见第六部分附件）；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rPr>
          <w:rFonts w:ascii="仿宋_GB2312" w:hAnsi="仿宋_GB2312" w:eastAsia="仿宋_GB2312" w:cs="仿宋_GB2312"/>
          <w:kern w:val="0"/>
          <w:sz w:val="24"/>
          <w:highlight w:val="none"/>
        </w:rPr>
      </w:pPr>
      <w:r>
        <w:rPr>
          <w:rFonts w:hint="eastAsia" w:ascii="仿宋_GB2312" w:hAnsi="宋体" w:eastAsia="仿宋_GB2312"/>
          <w:sz w:val="24"/>
          <w:highlight w:val="none"/>
        </w:rPr>
        <w:t>2.2.4</w:t>
      </w:r>
      <w:r>
        <w:rPr>
          <w:rFonts w:hint="eastAsia" w:ascii="仿宋_GB2312" w:hAnsi="Arial" w:eastAsia="仿宋_GB2312" w:cs="Arial"/>
          <w:kern w:val="0"/>
          <w:sz w:val="24"/>
          <w:highlight w:val="none"/>
        </w:rPr>
        <w:t>供应商基本资格条件</w:t>
      </w:r>
      <w:r>
        <w:rPr>
          <w:rFonts w:hint="eastAsia" w:ascii="仿宋_GB2312" w:hAnsi="仿宋_GB2312" w:eastAsia="仿宋_GB2312" w:cs="仿宋_GB2312"/>
          <w:sz w:val="24"/>
          <w:highlight w:val="none"/>
        </w:rPr>
        <w:t>书面承诺函（</w:t>
      </w:r>
      <w:r>
        <w:rPr>
          <w:rFonts w:hint="eastAsia" w:ascii="仿宋_GB2312" w:hAnsi="宋体" w:eastAsia="仿宋_GB2312"/>
          <w:sz w:val="24"/>
          <w:highlight w:val="none"/>
        </w:rPr>
        <w:t>格式见第六部分附件</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3"/>
        <w:snapToGrid w:val="0"/>
        <w:spacing w:line="440" w:lineRule="exact"/>
        <w:rPr>
          <w:rFonts w:ascii="仿宋_GB2312" w:hAnsi="仿宋_GB2312" w:eastAsia="仿宋_GB2312" w:cs="仿宋_GB2312"/>
          <w:sz w:val="24"/>
          <w:highlight w:val="none"/>
          <w:lang w:val="zh-CN"/>
        </w:rPr>
      </w:pPr>
      <w:bookmarkStart w:id="1" w:name="_Hlt68403820"/>
      <w:bookmarkEnd w:id="1"/>
      <w:bookmarkStart w:id="2" w:name="_Hlt68072998"/>
      <w:bookmarkEnd w:id="2"/>
      <w:bookmarkStart w:id="3" w:name="_Hlt68073093"/>
      <w:bookmarkEnd w:id="3"/>
      <w:r>
        <w:rPr>
          <w:rFonts w:hint="eastAsia" w:ascii="仿宋_GB2312" w:hAnsi="宋体" w:eastAsia="仿宋_GB2312"/>
          <w:sz w:val="24"/>
          <w:highlight w:val="none"/>
        </w:rPr>
        <w:t>2.2.6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sz w:val="24"/>
          <w:highlight w:val="none"/>
        </w:rPr>
        <w:t>，</w:t>
      </w:r>
      <w:r>
        <w:rPr>
          <w:rFonts w:hint="eastAsia" w:ascii="仿宋_GB2312" w:hAnsi="仿宋_GB2312" w:eastAsia="仿宋_GB2312" w:cs="仿宋_GB2312"/>
          <w:b/>
          <w:sz w:val="24"/>
          <w:highlight w:val="none"/>
        </w:rPr>
        <w:t>提供主要投标产品的技术参数证明材料（如原厂技术说明、官网截图、产品彩页等），</w:t>
      </w:r>
      <w:r>
        <w:rPr>
          <w:rFonts w:hint="eastAsia" w:ascii="仿宋_GB2312" w:hAnsi="仿宋_GB2312" w:eastAsia="仿宋_GB2312" w:cs="仿宋_GB2312"/>
          <w:sz w:val="24"/>
          <w:highlight w:val="none"/>
        </w:rPr>
        <w:t>明确表示该项指标所涉及的软硬件是标准配置还是选择配置</w:t>
      </w:r>
      <w:r>
        <w:rPr>
          <w:rFonts w:hint="eastAsia" w:ascii="仿宋_GB2312" w:hAnsi="仿宋_GB2312" w:eastAsia="仿宋_GB2312" w:cs="仿宋_GB2312"/>
          <w:b/>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highlight w:val="none"/>
          <w:lang w:val="zh-CN"/>
        </w:rPr>
        <w:t>任何含糊不清的</w:t>
      </w:r>
      <w:r>
        <w:rPr>
          <w:rFonts w:hint="eastAsia" w:ascii="仿宋_GB2312" w:hAnsi="仿宋_GB2312" w:eastAsia="仿宋_GB2312" w:cs="仿宋_GB2312"/>
          <w:b/>
          <w:sz w:val="24"/>
          <w:highlight w:val="none"/>
        </w:rPr>
        <w:t>表述导致</w:t>
      </w:r>
      <w:r>
        <w:rPr>
          <w:rFonts w:hint="eastAsia" w:ascii="仿宋_GB2312" w:hAnsi="仿宋_GB2312" w:eastAsia="仿宋_GB2312" w:cs="仿宋_GB2312"/>
          <w:b/>
          <w:kern w:val="0"/>
          <w:sz w:val="24"/>
          <w:highlight w:val="none"/>
          <w:lang w:val="zh-CN"/>
        </w:rPr>
        <w:t>评标委员会技术扣分直至认定为投标无效都将是投标人的责任）</w:t>
      </w:r>
      <w:r>
        <w:rPr>
          <w:rFonts w:hint="eastAsia" w:ascii="仿宋_GB2312" w:hAnsi="仿宋_GB2312" w:eastAsia="仿宋_GB2312" w:cs="仿宋_GB2312"/>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仿宋" w:eastAsia="仿宋_GB2312" w:cs="仿宋_GB2312"/>
          <w:sz w:val="24"/>
          <w:highlight w:val="none"/>
        </w:rPr>
        <w:t>本项目如需采购政府强制采购的节能产品的或</w:t>
      </w:r>
      <w:r>
        <w:rPr>
          <w:rFonts w:hint="eastAsia" w:ascii="仿宋_GB2312" w:hAnsi="仿宋" w:eastAsia="仿宋_GB2312"/>
          <w:sz w:val="24"/>
          <w:highlight w:val="none"/>
        </w:rPr>
        <w:t>投标人提供的产品是环境标志产品，</w:t>
      </w:r>
      <w:r>
        <w:rPr>
          <w:rFonts w:hint="eastAsia" w:ascii="仿宋_GB2312" w:hAnsi="仿宋" w:eastAsia="仿宋_GB2312" w:cs="仿宋_GB2312"/>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2.2.9</w:t>
      </w:r>
      <w:r>
        <w:rPr>
          <w:rFonts w:hint="eastAsia" w:ascii="仿宋_GB2312" w:hAnsi="仿宋_GB2312" w:eastAsia="仿宋_GB2312" w:cs="仿宋_GB2312"/>
          <w:sz w:val="24"/>
          <w:highlight w:val="none"/>
        </w:rPr>
        <w:t>投标人在投标文件技术偏离说明表中，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2.2.14</w:t>
      </w:r>
      <w:r>
        <w:rPr>
          <w:rFonts w:hint="eastAsia" w:ascii="仿宋_GB2312" w:hAnsi="仿宋_GB2312" w:eastAsia="仿宋_GB2312" w:cs="仿宋_GB2312"/>
          <w:kern w:val="0"/>
          <w:sz w:val="24"/>
          <w:highlight w:val="none"/>
          <w:lang w:val="zh-CN"/>
        </w:rPr>
        <w:t>培训计划（如有）；</w:t>
      </w:r>
      <w:r>
        <w:rPr>
          <w:rFonts w:ascii="仿宋_GB2312" w:hAnsi="仿宋_GB2312" w:eastAsia="仿宋_GB2312" w:cs="仿宋_GB2312"/>
          <w:kern w:val="0"/>
          <w:sz w:val="24"/>
          <w:highlight w:val="none"/>
          <w:lang w:val="zh-CN"/>
        </w:rPr>
        <w:t xml:space="preserve"> </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2.2.15验收方案；</w:t>
      </w:r>
    </w:p>
    <w:p>
      <w:pPr>
        <w:snapToGrid w:val="0"/>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kern w:val="0"/>
          <w:sz w:val="24"/>
          <w:highlight w:val="none"/>
        </w:rPr>
        <w:t>2.2.16</w:t>
      </w:r>
      <w:r>
        <w:rPr>
          <w:rFonts w:hint="eastAsia" w:ascii="仿宋_GB2312" w:hAnsi="仿宋_GB2312" w:eastAsia="仿宋_GB2312" w:cs="仿宋_GB2312"/>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lang w:val="zh-CN"/>
        </w:rPr>
        <w:t>2.2.17廉政承诺书</w:t>
      </w:r>
      <w:r>
        <w:rPr>
          <w:rFonts w:hint="eastAsia" w:ascii="仿宋_GB2312" w:hAnsi="宋体" w:eastAsia="仿宋_GB2312"/>
          <w:sz w:val="24"/>
          <w:highlight w:val="none"/>
        </w:rPr>
        <w:t>（格式见第六部分附件）；</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2.2.18联合协议（如有）；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2.2.19分包意向协议（如有）；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2.2.20中小企业声明函（如有）；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2.2.21</w:t>
      </w:r>
      <w:r>
        <w:rPr>
          <w:rFonts w:hint="eastAsia" w:ascii="仿宋_GB2312" w:hAnsi="宋体" w:eastAsia="仿宋_GB2312"/>
          <w:sz w:val="24"/>
          <w:highlight w:val="none"/>
          <w:u w:val="wave"/>
        </w:rPr>
        <w:t>未尽事宜请各投标单位按评分标准和相对应标项相关要求制作</w:t>
      </w:r>
      <w:r>
        <w:rPr>
          <w:rFonts w:hint="eastAsia" w:ascii="仿宋_GB2312" w:hAnsi="宋体" w:eastAsia="仿宋_GB2312"/>
          <w:sz w:val="24"/>
          <w:highlight w:val="none"/>
        </w:rPr>
        <w:t>；</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highlight w:val="none"/>
        </w:rPr>
      </w:pPr>
      <w:r>
        <w:rPr>
          <w:rFonts w:hint="eastAsia" w:ascii="仿宋_GB2312" w:hAnsi="宋体" w:eastAsia="仿宋_GB2312"/>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投标报价</w:t>
      </w:r>
    </w:p>
    <w:p>
      <w:pPr>
        <w:pStyle w:val="23"/>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3.1投标人应按招标文件中《开标一览表》等附表要求填写。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w:t>
      </w:r>
      <w:r>
        <w:rPr>
          <w:rFonts w:hint="eastAsia" w:ascii="仿宋_GB2312" w:hAnsi="宋体" w:eastAsia="仿宋_GB2312"/>
          <w:b/>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highlight w:val="none"/>
        </w:rPr>
      </w:pPr>
      <w:r>
        <w:rPr>
          <w:rFonts w:hint="eastAsia" w:ascii="仿宋_GB2312" w:hAnsi="宋体" w:eastAsia="仿宋_GB2312"/>
          <w:b/>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4.1</w:t>
      </w:r>
      <w:r>
        <w:rPr>
          <w:rFonts w:hint="eastAsia" w:ascii="仿宋_GB2312" w:hAnsi="仿宋" w:eastAsia="仿宋_GB2312" w:cs="仿宋_GB2312"/>
          <w:highlight w:val="none"/>
        </w:rPr>
        <w:t>投标有效期为从提交投标文件的截止之日起90天。</w:t>
      </w:r>
      <w:r>
        <w:rPr>
          <w:rFonts w:hint="eastAsia" w:ascii="仿宋_GB2312" w:hAnsi="仿宋" w:eastAsia="仿宋_GB2312" w:cs="仿宋_GB2312"/>
          <w:b/>
          <w:highlight w:val="none"/>
        </w:rPr>
        <w:t>投标人的投标文件中承</w:t>
      </w:r>
      <w:r>
        <w:rPr>
          <w:rFonts w:hint="eastAsia" w:ascii="仿宋_GB2312" w:hAnsi="仿宋" w:eastAsia="仿宋_GB2312" w:cs="仿宋_GB2312"/>
          <w:b/>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5.投标文件的规定</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5.1投标文件由“商务技术（资信）文件资料”、“报价文件资料”两部分文件组成，应按统一格式填写。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5.2投标文件须按附件格式要求进行电子签章，投标人应写全称。</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5.4投标文件因字迹潦草或表达不清所引起的后果由投标人负责。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highlight w:val="none"/>
        </w:rPr>
      </w:pPr>
      <w:r>
        <w:rPr>
          <w:rFonts w:hint="eastAsia" w:ascii="仿宋_GB2312" w:hAnsi="宋体" w:eastAsia="仿宋_GB2312"/>
          <w:b/>
          <w:sz w:val="24"/>
          <w:highlight w:val="none"/>
        </w:rPr>
        <w:t>6</w:t>
      </w:r>
      <w:r>
        <w:rPr>
          <w:rFonts w:hint="eastAsia" w:ascii="仿宋_GB2312" w:hAnsi="仿宋" w:eastAsia="仿宋_GB2312" w:cs="仿宋_GB2312"/>
          <w:b/>
          <w:sz w:val="24"/>
          <w:highlight w:val="none"/>
        </w:rPr>
        <w:t>.投标文件的提交</w:t>
      </w:r>
    </w:p>
    <w:p>
      <w:pPr>
        <w:snapToGrid w:val="0"/>
        <w:spacing w:line="440" w:lineRule="exact"/>
        <w:ind w:firstLine="480" w:firstLineChars="200"/>
        <w:rPr>
          <w:rFonts w:ascii="仿宋_GB2312" w:eastAsia="仿宋_GB2312"/>
          <w:b/>
          <w:sz w:val="24"/>
          <w:highlight w:val="none"/>
        </w:rPr>
      </w:pP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rPr>
          <w:rFonts w:ascii="仿宋_GB2312" w:hAnsi="宋体" w:eastAsia="仿宋_GB2312"/>
          <w:b/>
          <w:kern w:val="0"/>
          <w:sz w:val="24"/>
          <w:highlight w:val="none"/>
        </w:rPr>
      </w:pPr>
      <w:r>
        <w:rPr>
          <w:rFonts w:hint="eastAsia" w:ascii="仿宋_GB2312" w:hAnsi="宋体" w:eastAsia="仿宋_GB2312"/>
          <w:b/>
          <w:sz w:val="24"/>
          <w:highlight w:val="none"/>
        </w:rPr>
        <w:t>7．</w:t>
      </w:r>
      <w:r>
        <w:rPr>
          <w:rFonts w:hint="eastAsia" w:ascii="仿宋_GB2312" w:hAnsi="宋体" w:eastAsia="仿宋_GB2312"/>
          <w:b/>
          <w:kern w:val="0"/>
          <w:sz w:val="24"/>
          <w:highlight w:val="none"/>
        </w:rPr>
        <w:t>投标文件的补充和修改</w:t>
      </w:r>
    </w:p>
    <w:p>
      <w:pPr>
        <w:spacing w:line="440" w:lineRule="exact"/>
        <w:ind w:firstLine="480" w:firstLineChars="200"/>
        <w:jc w:val="left"/>
        <w:rPr>
          <w:rFonts w:ascii="仿宋_GB2312" w:hAnsi="宋体" w:eastAsia="仿宋_GB2312"/>
          <w:kern w:val="0"/>
          <w:sz w:val="24"/>
          <w:highlight w:val="none"/>
        </w:rPr>
      </w:pPr>
      <w:r>
        <w:rPr>
          <w:rFonts w:hint="eastAsia" w:ascii="仿宋_GB2312" w:hAnsi="宋体" w:eastAsia="仿宋_GB2312"/>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highlight w:val="none"/>
        </w:rPr>
      </w:pPr>
      <w:r>
        <w:rPr>
          <w:rFonts w:hint="eastAsia" w:ascii="仿宋_GB2312" w:eastAsia="仿宋_GB2312"/>
          <w:b/>
          <w:sz w:val="32"/>
          <w:szCs w:val="32"/>
          <w:highlight w:val="none"/>
        </w:rPr>
        <w:t>四、开标和评标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1．电子招投标开标及评审程序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1.1投标截止时间后，主持人宣布开标会开始。</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1.2投标人登录政采云平台，用“项目采购-开标评标”功能对电子投标文件进行在线解密。在线解密电子投标文件时间为开标时间起3</w:t>
      </w:r>
      <w:r>
        <w:rPr>
          <w:rFonts w:ascii="仿宋_GB2312" w:hAnsi="宋体" w:eastAsia="仿宋_GB2312"/>
          <w:sz w:val="24"/>
          <w:highlight w:val="none"/>
        </w:rPr>
        <w:t>0</w:t>
      </w:r>
      <w:r>
        <w:rPr>
          <w:rFonts w:hint="eastAsia" w:ascii="仿宋_GB2312" w:hAnsi="宋体" w:eastAsia="仿宋_GB2312"/>
          <w:sz w:val="24"/>
          <w:highlight w:val="none"/>
        </w:rPr>
        <w:t>分钟内。</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1.3评标委员会对资格和商务技术响应文件进行评审。</w:t>
      </w:r>
    </w:p>
    <w:p>
      <w:pPr>
        <w:snapToGrid w:val="0"/>
        <w:spacing w:line="440" w:lineRule="exact"/>
        <w:jc w:val="left"/>
        <w:rPr>
          <w:rFonts w:ascii="仿宋_GB2312" w:eastAsia="仿宋_GB2312"/>
          <w:sz w:val="24"/>
          <w:highlight w:val="none"/>
        </w:rPr>
      </w:pPr>
      <w:r>
        <w:rPr>
          <w:rFonts w:hint="eastAsia" w:ascii="仿宋_GB2312" w:hAnsi="宋体" w:eastAsia="仿宋_GB2312"/>
          <w:sz w:val="24"/>
          <w:highlight w:val="none"/>
        </w:rPr>
        <w:t>1.4主持人宣布商务技术得分及</w:t>
      </w:r>
      <w:r>
        <w:rPr>
          <w:rFonts w:hint="eastAsia" w:ascii="仿宋_GB2312" w:eastAsia="仿宋_GB2312"/>
          <w:sz w:val="24"/>
          <w:highlight w:val="none"/>
        </w:rPr>
        <w:t>无效（废）投标情形</w:t>
      </w:r>
      <w:r>
        <w:rPr>
          <w:rFonts w:hint="eastAsia" w:ascii="仿宋_GB2312" w:hAnsi="宋体" w:eastAsia="仿宋_GB2312"/>
          <w:sz w:val="24"/>
          <w:highlight w:val="none"/>
        </w:rPr>
        <w:t>（如有），</w:t>
      </w:r>
      <w:r>
        <w:rPr>
          <w:rFonts w:hint="eastAsia" w:ascii="仿宋_GB2312" w:hAnsi="Arial" w:eastAsia="仿宋_GB2312" w:cs="Arial"/>
          <w:sz w:val="24"/>
          <w:highlight w:val="none"/>
        </w:rPr>
        <w:t>公布经商务技术（资信）评审符合招标文件要求的投标人名单及其商务技术得分。</w:t>
      </w:r>
    </w:p>
    <w:p>
      <w:pPr>
        <w:snapToGrid w:val="0"/>
        <w:spacing w:line="440" w:lineRule="exact"/>
        <w:jc w:val="left"/>
        <w:rPr>
          <w:rFonts w:ascii="仿宋_GB2312" w:hAnsi="宋体" w:eastAsia="仿宋_GB2312"/>
          <w:sz w:val="24"/>
          <w:highlight w:val="none"/>
        </w:rPr>
      </w:pPr>
      <w:r>
        <w:rPr>
          <w:rFonts w:hint="eastAsia" w:ascii="仿宋_GB2312" w:eastAsia="仿宋_GB2312"/>
          <w:sz w:val="24"/>
          <w:highlight w:val="none"/>
        </w:rPr>
        <w:t>1.5</w:t>
      </w:r>
      <w:r>
        <w:rPr>
          <w:rFonts w:hint="eastAsia" w:ascii="仿宋_GB2312" w:hAnsi="宋体" w:eastAsia="仿宋_GB2312"/>
          <w:sz w:val="24"/>
          <w:highlight w:val="none"/>
        </w:rPr>
        <w:t>启封</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1.6评标委员会对投标文件</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1.7主持人公布评标结果。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特别说明：政采云公司如对电子化开标及评审程序有调整的，按调整后的程序操作。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2.1电子交易平台发生故障而无法登录访问的；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2.2电子交易平台应用或数据库出现错误，不能进行正常操作的；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2.3电子交易平台发现严重安全漏洞，有潜在泄密危险的；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2.4病毒发作导致不能进行正常操作的；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2.5其他无法保证电子交易的公平、公正和安全的情况。</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3．评标</w:t>
      </w:r>
    </w:p>
    <w:p>
      <w:pPr>
        <w:spacing w:line="440" w:lineRule="exact"/>
        <w:jc w:val="left"/>
        <w:rPr>
          <w:rFonts w:ascii="仿宋_GB2312" w:hAnsi="宋体" w:eastAsia="仿宋_GB2312" w:cs="宋体"/>
          <w:sz w:val="24"/>
          <w:highlight w:val="none"/>
        </w:rPr>
      </w:pPr>
      <w:r>
        <w:rPr>
          <w:rFonts w:hint="eastAsia" w:ascii="仿宋_GB2312" w:hAnsi="宋体" w:eastAsia="仿宋_GB2312"/>
          <w:sz w:val="24"/>
          <w:highlight w:val="none"/>
        </w:rPr>
        <w:t>3.1</w:t>
      </w:r>
      <w:r>
        <w:rPr>
          <w:rFonts w:hint="eastAsia" w:ascii="仿宋_GB2312" w:hAnsi="宋体" w:eastAsia="仿宋_GB2312" w:cs="宋体"/>
          <w:sz w:val="24"/>
          <w:highlight w:val="none"/>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3.2评标委员会由采购人代表和有关方面的专家组成，成员人数为五人以上单数。</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3.3评标委员会负责对投标人资格的最终审定。</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供应商通过政采云平台交换的数据电文必须进行电子签章。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3.6评</w:t>
      </w:r>
      <w:r>
        <w:rPr>
          <w:rFonts w:hint="eastAsia" w:ascii="仿宋_GB2312" w:hAnsi="宋体" w:eastAsia="仿宋_GB2312"/>
          <w:sz w:val="24"/>
          <w:highlight w:val="none"/>
        </w:rPr>
        <w:t>标委员会</w:t>
      </w:r>
      <w:r>
        <w:rPr>
          <w:rFonts w:hint="eastAsia" w:ascii="仿宋_GB2312" w:hAnsi="宋体" w:eastAsia="仿宋_GB2312"/>
          <w:kern w:val="0"/>
          <w:sz w:val="24"/>
          <w:highlight w:val="none"/>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cs="宋体"/>
          <w:sz w:val="24"/>
          <w:highlight w:val="none"/>
        </w:rPr>
        <w:t>3.7评标委员会不向落标方解释落标的原因。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4．投标文件的初审鉴定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4.1资格性审查</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4.2符合性审查</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highlight w:val="none"/>
        </w:rPr>
      </w:pPr>
      <w:r>
        <w:rPr>
          <w:rFonts w:hint="eastAsia" w:ascii="仿宋_GB2312" w:hAnsi="宋体" w:eastAsia="仿宋_GB2312"/>
          <w:b/>
          <w:kern w:val="0"/>
          <w:sz w:val="24"/>
          <w:highlight w:val="none"/>
        </w:rPr>
        <w:t xml:space="preserve">5. </w:t>
      </w:r>
      <w:r>
        <w:rPr>
          <w:rFonts w:hint="eastAsia" w:ascii="仿宋_GB2312" w:hAnsi="宋体" w:eastAsia="仿宋_GB2312" w:cs="宋体"/>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sz w:val="24"/>
          <w:highlight w:val="none"/>
        </w:rPr>
      </w:pPr>
      <w:r>
        <w:rPr>
          <w:rFonts w:hint="eastAsia" w:ascii="仿宋_GB2312" w:hAnsi="宋体" w:eastAsia="仿宋_GB2312" w:cs="宋体"/>
          <w:b/>
          <w:sz w:val="24"/>
          <w:highlight w:val="none"/>
        </w:rPr>
        <w:t>6.投标文件的评审、比较和否决</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6.1评标委员会将对在实质上响应招标文件要求的投标文件进行评估和比较。</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highlight w:val="none"/>
        </w:rPr>
        <w:t>不得超过投标文件的范围或者改变投标文件的实质性内容。</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6.5</w:t>
      </w:r>
      <w:r>
        <w:rPr>
          <w:rFonts w:ascii="仿宋_GB2312" w:hAnsi="宋体" w:eastAsia="仿宋_GB2312" w:cs="宋体"/>
          <w:sz w:val="24"/>
          <w:highlight w:val="none"/>
        </w:rPr>
        <w:t>比较与评价</w:t>
      </w:r>
      <w:r>
        <w:rPr>
          <w:rFonts w:hint="eastAsia" w:ascii="仿宋_GB2312" w:hAnsi="宋体" w:eastAsia="仿宋_GB2312" w:cs="宋体"/>
          <w:sz w:val="24"/>
          <w:highlight w:val="none"/>
        </w:rPr>
        <w:t>。评</w:t>
      </w:r>
      <w:r>
        <w:rPr>
          <w:rFonts w:ascii="仿宋_GB2312" w:hAnsi="宋体" w:eastAsia="仿宋_GB2312" w:cs="宋体"/>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6.6</w:t>
      </w:r>
      <w:r>
        <w:rPr>
          <w:rFonts w:ascii="仿宋_GB2312" w:hAnsi="宋体" w:eastAsia="仿宋_GB2312" w:cs="宋体"/>
          <w:sz w:val="24"/>
          <w:highlight w:val="none"/>
        </w:rPr>
        <w:t>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评标委员会各成员应当独立对每个投标人的</w:t>
      </w:r>
      <w:r>
        <w:rPr>
          <w:rFonts w:hint="eastAsia" w:ascii="仿宋_GB2312" w:hAnsi="宋体" w:eastAsia="仿宋_GB2312" w:cs="宋体"/>
          <w:sz w:val="24"/>
          <w:highlight w:val="none"/>
        </w:rPr>
        <w:t>商务技术（资信）文件</w:t>
      </w:r>
      <w:r>
        <w:rPr>
          <w:rFonts w:ascii="仿宋_GB2312" w:hAnsi="宋体" w:eastAsia="仿宋_GB2312" w:cs="宋体"/>
          <w:sz w:val="24"/>
          <w:highlight w:val="none"/>
        </w:rPr>
        <w:t>进行评价，并汇总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6.7.3如需投标价格修正，按财政部87号令第五十九条的规定对投标价格进行修正。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6.8评标委员会依据招标文件规定的评标标准和方法，对投标文件进行评审和比较后，向</w:t>
      </w:r>
      <w:r>
        <w:rPr>
          <w:rFonts w:hint="eastAsia" w:ascii="仿宋_GB2312" w:hAnsi="宋体" w:eastAsia="仿宋_GB2312" w:cs="宋体"/>
          <w:sz w:val="24"/>
          <w:highlight w:val="none"/>
          <w:lang w:eastAsia="zh-CN"/>
        </w:rPr>
        <w:t>采购代理机构</w:t>
      </w:r>
      <w:r>
        <w:rPr>
          <w:rFonts w:hint="eastAsia" w:ascii="仿宋_GB2312" w:hAnsi="宋体" w:eastAsia="仿宋_GB2312" w:cs="宋体"/>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highlight w:val="none"/>
        </w:rPr>
      </w:pPr>
      <w:r>
        <w:rPr>
          <w:rFonts w:hint="eastAsia" w:ascii="仿宋_GB2312" w:hAnsi="宋体" w:eastAsia="仿宋_GB2312"/>
          <w:b/>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投标文件有下列情形之一的作无效投标处理：</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8.1未按照招标文件规定要求电子签章、签字或盖章的；</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w:t>
      </w:r>
      <w:r>
        <w:rPr>
          <w:rFonts w:ascii="仿宋_GB2312" w:hAnsi="宋体" w:eastAsia="仿宋_GB2312"/>
          <w:b/>
          <w:kern w:val="0"/>
          <w:sz w:val="24"/>
          <w:highlight w:val="none"/>
        </w:rPr>
        <w:t>社保证明</w:t>
      </w:r>
      <w:r>
        <w:rPr>
          <w:rFonts w:hint="eastAsia" w:ascii="仿宋_GB2312" w:hAnsi="宋体" w:eastAsia="仿宋_GB2312"/>
          <w:b/>
          <w:kern w:val="0"/>
          <w:sz w:val="24"/>
          <w:highlight w:val="none"/>
        </w:rPr>
        <w:t>为准，如授权代表为</w:t>
      </w:r>
      <w:r>
        <w:rPr>
          <w:rFonts w:ascii="仿宋_GB2312" w:hAnsi="宋体" w:eastAsia="仿宋_GB2312"/>
          <w:b/>
          <w:kern w:val="0"/>
          <w:sz w:val="24"/>
          <w:highlight w:val="none"/>
        </w:rPr>
        <w:t>离退休返聘人员的，</w:t>
      </w:r>
      <w:r>
        <w:rPr>
          <w:rFonts w:hint="eastAsia" w:ascii="仿宋_GB2312" w:hAnsi="宋体" w:eastAsia="仿宋_GB2312"/>
          <w:b/>
          <w:kern w:val="0"/>
          <w:sz w:val="24"/>
          <w:highlight w:val="none"/>
        </w:rPr>
        <w:t>需提供</w:t>
      </w:r>
      <w:r>
        <w:rPr>
          <w:rFonts w:ascii="仿宋_GB2312" w:hAnsi="宋体" w:eastAsia="仿宋_GB2312"/>
          <w:b/>
          <w:kern w:val="0"/>
          <w:sz w:val="24"/>
          <w:highlight w:val="none"/>
        </w:rPr>
        <w:t>退休证明及单位聘用证明</w:t>
      </w:r>
      <w:r>
        <w:rPr>
          <w:rFonts w:hint="eastAsia" w:ascii="仿宋_GB2312" w:hAnsi="宋体" w:eastAsia="仿宋_GB2312"/>
          <w:b/>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8.9报</w:t>
      </w:r>
      <w:r>
        <w:rPr>
          <w:rFonts w:hint="eastAsia" w:ascii="仿宋_GB2312" w:hAnsi="宋体" w:eastAsia="仿宋_GB2312"/>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8.10</w:t>
      </w:r>
      <w:r>
        <w:rPr>
          <w:rFonts w:hint="eastAsia" w:ascii="仿宋_GB2312" w:hAnsi="宋体" w:eastAsia="仿宋_GB2312"/>
          <w:b/>
          <w:sz w:val="24"/>
          <w:highlight w:val="none"/>
        </w:rPr>
        <w:t>未按招标文件规定的格式填写，或</w:t>
      </w:r>
      <w:r>
        <w:rPr>
          <w:rFonts w:hint="eastAsia" w:ascii="仿宋_GB2312" w:hAnsi="宋体" w:eastAsia="仿宋_GB2312"/>
          <w:b/>
          <w:sz w:val="24"/>
          <w:szCs w:val="20"/>
          <w:highlight w:val="none"/>
        </w:rPr>
        <w:t>对招标</w:t>
      </w:r>
      <w:r>
        <w:rPr>
          <w:rFonts w:hint="eastAsia" w:ascii="仿宋_GB2312" w:hAnsi="宋体" w:eastAsia="仿宋_GB2312"/>
          <w:b/>
          <w:sz w:val="24"/>
          <w:highlight w:val="none"/>
        </w:rPr>
        <w:t>服务或技术或产品等要求</w:t>
      </w:r>
      <w:r>
        <w:rPr>
          <w:rFonts w:hint="eastAsia" w:ascii="仿宋_GB2312" w:hAnsi="宋体" w:eastAsia="仿宋_GB2312"/>
          <w:b/>
          <w:sz w:val="24"/>
          <w:szCs w:val="20"/>
          <w:highlight w:val="none"/>
        </w:rPr>
        <w:t>未详细应答或应答</w:t>
      </w:r>
      <w:r>
        <w:rPr>
          <w:rFonts w:hint="eastAsia" w:ascii="仿宋_GB2312" w:hAnsi="宋体" w:eastAsia="仿宋_GB2312"/>
          <w:b/>
          <w:sz w:val="24"/>
          <w:highlight w:val="none"/>
        </w:rPr>
        <w:t>内容不全、有缺失的,经评标委员会认定为无法评审的；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8.11出现同一标的物或本次招标产品(服务)内的主要产品(重要组成部分)出现</w:t>
      </w:r>
      <w:r>
        <w:rPr>
          <w:rFonts w:hint="eastAsia" w:ascii="仿宋_GB2312" w:hAnsi="宋体" w:eastAsia="仿宋_GB2312"/>
          <w:b/>
          <w:sz w:val="24"/>
          <w:highlight w:val="none"/>
        </w:rPr>
        <w:t>商务技术（资信）文件资料</w:t>
      </w:r>
      <w:r>
        <w:rPr>
          <w:rFonts w:hint="eastAsia" w:ascii="仿宋_GB2312" w:hAnsi="宋体" w:eastAsia="仿宋_GB2312"/>
          <w:b/>
          <w:sz w:val="24"/>
          <w:szCs w:val="24"/>
          <w:highlight w:val="none"/>
        </w:rPr>
        <w:t>、</w:t>
      </w:r>
      <w:r>
        <w:rPr>
          <w:rFonts w:hint="eastAsia" w:ascii="仿宋_GB2312" w:hAnsi="宋体" w:eastAsia="仿宋_GB2312"/>
          <w:b/>
          <w:sz w:val="24"/>
          <w:highlight w:val="none"/>
        </w:rPr>
        <w:t>报价文件资料</w:t>
      </w:r>
      <w:r>
        <w:rPr>
          <w:rFonts w:hint="eastAsia" w:ascii="仿宋_GB2312" w:hAnsi="宋体" w:eastAsia="仿宋_GB2312"/>
          <w:b/>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8.12《技</w:t>
      </w:r>
      <w:r>
        <w:rPr>
          <w:rFonts w:hint="eastAsia" w:ascii="仿宋_GB2312" w:hAnsi="宋体" w:eastAsia="仿宋_GB2312"/>
          <w:b/>
          <w:sz w:val="24"/>
          <w:highlight w:val="none"/>
        </w:rPr>
        <w:t>术偏离说明表</w:t>
      </w:r>
      <w:r>
        <w:rPr>
          <w:rFonts w:hint="eastAsia" w:ascii="仿宋_GB2312" w:hAnsi="宋体" w:eastAsia="仿宋_GB2312"/>
          <w:b/>
          <w:sz w:val="24"/>
          <w:szCs w:val="24"/>
          <w:highlight w:val="none"/>
        </w:rPr>
        <w:t>》</w:t>
      </w:r>
      <w:r>
        <w:rPr>
          <w:rFonts w:hint="eastAsia" w:ascii="仿宋_GB2312" w:hAnsi="宋体" w:eastAsia="仿宋_GB2312"/>
          <w:b/>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sz w:val="24"/>
          <w:highlight w:val="none"/>
        </w:rPr>
        <w:t>8.13投</w:t>
      </w:r>
      <w:r>
        <w:rPr>
          <w:rFonts w:hint="eastAsia" w:ascii="仿宋_GB2312" w:hAnsi="宋体" w:eastAsia="仿宋_GB2312"/>
          <w:b/>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8.14评</w:t>
      </w:r>
      <w:r>
        <w:rPr>
          <w:rFonts w:hint="eastAsia" w:ascii="仿宋_GB2312" w:hAnsi="宋体" w:eastAsia="仿宋_GB2312"/>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highlight w:val="none"/>
        </w:rPr>
      </w:pPr>
      <w:r>
        <w:rPr>
          <w:rFonts w:hint="eastAsia" w:ascii="仿宋_GB2312" w:hAnsi="宋体" w:eastAsia="仿宋_GB2312"/>
          <w:b/>
          <w:sz w:val="24"/>
          <w:highlight w:val="none"/>
        </w:rPr>
        <w:t>8.15报</w:t>
      </w:r>
      <w:r>
        <w:rPr>
          <w:rFonts w:hint="eastAsia" w:ascii="仿宋_GB2312" w:eastAsia="仿宋_GB2312"/>
          <w:b/>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highlight w:val="none"/>
        </w:rPr>
      </w:pPr>
      <w:r>
        <w:rPr>
          <w:rFonts w:hint="eastAsia" w:ascii="仿宋_GB2312" w:hAnsi="仿宋" w:eastAsia="仿宋_GB2312" w:cs="仿宋_GB2312"/>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sz w:val="24"/>
          <w:highlight w:val="none"/>
        </w:rPr>
      </w:pPr>
      <w:r>
        <w:rPr>
          <w:rFonts w:hint="eastAsia" w:ascii="仿宋_GB2312" w:hAnsi="宋体" w:eastAsia="仿宋_GB2312"/>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8.22有下列情形之一的，属于恶意串通，其投标无效：</w:t>
      </w:r>
    </w:p>
    <w:p>
      <w:pPr>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sz w:val="24"/>
          <w:highlight w:val="none"/>
        </w:rPr>
        <w:t>8.22.1</w:t>
      </w:r>
      <w:r>
        <w:rPr>
          <w:rFonts w:hint="eastAsia" w:ascii="仿宋_GB2312" w:hAnsi="仿宋" w:eastAsia="仿宋_GB2312" w:cs="仿宋_GB2312"/>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8.22.5供应商之间事先约定由某一特定供应商中标、成交；</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仿宋_GB2312" w:eastAsia="仿宋_GB2312" w:cs="仿宋_GB2312"/>
          <w:b/>
          <w:sz w:val="24"/>
          <w:szCs w:val="21"/>
          <w:highlight w:val="none"/>
        </w:rPr>
        <w:t>8.23</w:t>
      </w:r>
      <w:r>
        <w:rPr>
          <w:rFonts w:hint="eastAsia" w:ascii="仿宋_GB2312" w:hAnsi="宋体" w:eastAsia="仿宋_GB2312"/>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8.24投标文件出现不是唯一的、有选择性投标报价的；</w:t>
      </w:r>
    </w:p>
    <w:p>
      <w:pPr>
        <w:spacing w:line="440" w:lineRule="exact"/>
        <w:rPr>
          <w:highlight w:val="none"/>
        </w:rPr>
      </w:pPr>
      <w:r>
        <w:rPr>
          <w:rFonts w:hint="eastAsia" w:ascii="仿宋_GB2312" w:eastAsia="仿宋_GB2312"/>
          <w:b/>
          <w:sz w:val="24"/>
          <w:highlight w:val="none"/>
        </w:rPr>
        <w:t>8.25</w:t>
      </w:r>
      <w:r>
        <w:rPr>
          <w:rFonts w:hint="eastAsia" w:ascii="仿宋_GB2312" w:hAnsi="宋体" w:eastAsia="仿宋_GB2312"/>
          <w:b/>
          <w:sz w:val="24"/>
          <w:highlight w:val="none"/>
        </w:rPr>
        <w:t>其他违反法律、法规的情形。</w:t>
      </w:r>
    </w:p>
    <w:p>
      <w:pPr>
        <w:snapToGrid w:val="0"/>
        <w:spacing w:line="440" w:lineRule="exact"/>
        <w:rPr>
          <w:rFonts w:ascii="仿宋_GB2312" w:hAnsi="宋体" w:eastAsia="仿宋_GB2312"/>
          <w:b/>
          <w:kern w:val="0"/>
          <w:sz w:val="24"/>
          <w:highlight w:val="none"/>
        </w:rPr>
      </w:pPr>
      <w:r>
        <w:rPr>
          <w:rFonts w:hint="eastAsia" w:ascii="仿宋_GB2312" w:hAnsi="宋体" w:eastAsia="仿宋_GB2312"/>
          <w:b/>
          <w:kern w:val="0"/>
          <w:sz w:val="24"/>
          <w:highlight w:val="none"/>
        </w:rPr>
        <w:t>9. 评标过程保密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9.1</w:t>
      </w:r>
      <w:r>
        <w:rPr>
          <w:rFonts w:hint="eastAsia" w:ascii="仿宋_GB2312" w:hAnsi="仿宋"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9.2 在评标期间，投标人企图影响招标人或</w:t>
      </w:r>
      <w:r>
        <w:rPr>
          <w:rFonts w:hint="eastAsia" w:ascii="仿宋_GB2312" w:hAnsi="宋体" w:eastAsia="仿宋_GB2312"/>
          <w:sz w:val="24"/>
          <w:highlight w:val="none"/>
        </w:rPr>
        <w:t>评标委员会</w:t>
      </w:r>
      <w:r>
        <w:rPr>
          <w:rFonts w:hint="eastAsia" w:ascii="仿宋_GB2312" w:hAnsi="宋体" w:eastAsia="仿宋_GB2312"/>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highlight w:val="none"/>
        </w:rPr>
      </w:pPr>
      <w:bookmarkStart w:id="4" w:name="_Toc81372776"/>
      <w:bookmarkStart w:id="5" w:name="_Toc84325929"/>
      <w:bookmarkStart w:id="6" w:name="_Toc81372953"/>
      <w:r>
        <w:rPr>
          <w:rFonts w:hint="eastAsia" w:ascii="仿宋_GB2312" w:hAnsi="宋体" w:eastAsia="仿宋_GB2312"/>
          <w:b/>
          <w:sz w:val="36"/>
          <w:szCs w:val="36"/>
          <w:highlight w:val="none"/>
        </w:rPr>
        <w:t>五、授予合同</w:t>
      </w:r>
    </w:p>
    <w:p>
      <w:pPr>
        <w:pStyle w:val="14"/>
        <w:tabs>
          <w:tab w:val="clear" w:pos="454"/>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1.中标条件</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1.4投标人能够提供质量技术、商务经济占综合优势的系统及服务。</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2.中标确认</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2.3采购人应在确认中标人前再次对资格条件和相关证件材料进一步查验核实。</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3．中标通知</w:t>
      </w:r>
    </w:p>
    <w:p>
      <w:pPr>
        <w:pStyle w:val="153"/>
        <w:tabs>
          <w:tab w:val="left" w:pos="0"/>
        </w:tabs>
        <w:spacing w:before="0" w:line="440" w:lineRule="exact"/>
        <w:ind w:firstLine="0" w:firstLineChars="0"/>
        <w:rPr>
          <w:rFonts w:ascii="仿宋_GB2312" w:hAnsi="宋体" w:eastAsia="仿宋_GB2312"/>
          <w:szCs w:val="24"/>
          <w:highlight w:val="none"/>
        </w:rPr>
      </w:pPr>
      <w:r>
        <w:rPr>
          <w:rFonts w:hint="eastAsia" w:ascii="仿宋_GB2312" w:hAnsi="宋体" w:eastAsia="仿宋_GB2312"/>
          <w:szCs w:val="24"/>
          <w:highlight w:val="none"/>
        </w:rPr>
        <w:t>3.1</w:t>
      </w:r>
      <w:r>
        <w:rPr>
          <w:rFonts w:hint="eastAsia" w:ascii="仿宋_GB2312" w:hAnsi="Helvetica" w:eastAsia="仿宋_GB2312" w:cs="Helvetica"/>
          <w:kern w:val="0"/>
          <w:highlight w:val="none"/>
        </w:rPr>
        <w:t>采购代理机构</w:t>
      </w:r>
      <w:r>
        <w:rPr>
          <w:rFonts w:hint="eastAsia" w:ascii="仿宋_GB2312" w:hAnsi="宋体" w:eastAsia="仿宋_GB2312"/>
          <w:highlight w:val="none"/>
        </w:rPr>
        <w:t>对中标结果在指定媒体</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ascii="仿宋_GB2312" w:hAnsi="Helvetica" w:eastAsia="仿宋_GB2312" w:cs="Helvetica"/>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color w:val="auto"/>
          <w:highlight w:val="none"/>
        </w:rPr>
        <w:t>http://ggb.sx.gov.cn</w:t>
      </w:r>
      <w:r>
        <w:rPr>
          <w:rStyle w:val="49"/>
          <w:rFonts w:hint="eastAsia" w:ascii="仿宋_GB2312"/>
          <w:color w:val="auto"/>
          <w:highlight w:val="none"/>
        </w:rPr>
        <w:fldChar w:fldCharType="end"/>
      </w:r>
      <w:r>
        <w:rPr>
          <w:rFonts w:hint="eastAsia" w:ascii="仿宋_GB2312" w:hAnsi="Helvetica" w:eastAsia="仿宋_GB2312" w:cs="Helvetica"/>
          <w:kern w:val="0"/>
          <w:highlight w:val="none"/>
        </w:rPr>
        <w:t>）发布中标公告，中标公告期限为1个工作日。</w:t>
      </w:r>
    </w:p>
    <w:p>
      <w:pPr>
        <w:tabs>
          <w:tab w:val="left" w:pos="0"/>
        </w:tabs>
        <w:spacing w:line="440" w:lineRule="exact"/>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3.2采购机构通过政采云平台向中标供应商签发中标通知书。请中标供应商自行登录政采云平台下载并打印中标通知书。在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4.2</w:t>
      </w:r>
      <w:r>
        <w:rPr>
          <w:rFonts w:ascii="仿宋_GB2312" w:hAnsi="宋体" w:eastAsia="仿宋_GB2312"/>
          <w:sz w:val="24"/>
          <w:highlight w:val="none"/>
        </w:rPr>
        <w:t>项目验收结束</w:t>
      </w:r>
      <w:r>
        <w:rPr>
          <w:rFonts w:hint="eastAsia" w:ascii="仿宋_GB2312" w:hAnsi="宋体" w:eastAsia="仿宋_GB2312"/>
          <w:sz w:val="24"/>
          <w:highlight w:val="none"/>
        </w:rPr>
        <w:t>后，采购人应及时退还履约保证金。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4.3供应商以银行、保险公司出具保函形式提交履约保证金的，采购人不得拒收。</w:t>
      </w:r>
    </w:p>
    <w:p>
      <w:pPr>
        <w:spacing w:line="440" w:lineRule="exact"/>
        <w:jc w:val="left"/>
        <w:rPr>
          <w:rFonts w:ascii="仿宋_GB2312" w:hAnsi="宋体" w:eastAsia="仿宋_GB2312"/>
          <w:sz w:val="24"/>
          <w:highlight w:val="none"/>
        </w:rPr>
      </w:pPr>
      <w:r>
        <w:rPr>
          <w:rFonts w:ascii="仿宋_GB2312" w:hAnsi="宋体" w:eastAsia="仿宋_GB2312"/>
          <w:sz w:val="24"/>
          <w:highlight w:val="none"/>
        </w:rPr>
        <w:t>4.4政府采购货物和服务项目不得收取质量保证金。</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5．合同签订及备案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5.1中标人应当在中标通知书发出之日起30天内与采购人签订合同，自采购合同签订之日起</w:t>
      </w:r>
      <w:r>
        <w:rPr>
          <w:rFonts w:hint="eastAsia" w:ascii="仿宋_GB2312" w:hAnsi="宋体" w:eastAsia="仿宋_GB2312"/>
          <w:b/>
          <w:sz w:val="24"/>
          <w:highlight w:val="none"/>
        </w:rPr>
        <w:t>3个工作日内</w:t>
      </w:r>
      <w:r>
        <w:rPr>
          <w:rFonts w:hint="eastAsia" w:ascii="仿宋_GB2312" w:hAnsi="宋体" w:eastAsia="仿宋_GB2312"/>
          <w:sz w:val="24"/>
          <w:highlight w:val="none"/>
        </w:rPr>
        <w:t>，通过电子交易平台进行备案。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6.验收</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售后服务考核</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六、质疑与投诉</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1.供应商询问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2.供应商质疑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（2）被质疑采购项目名称、编号及采购内容；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（3）具体、明确的质疑事项和与质疑事项相关的请求</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（4）事实依据；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（5）必要的法律依据；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（7）提出质疑的日期。</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w:t>
      </w:r>
      <w:r>
        <w:rPr>
          <w:rFonts w:hint="eastAsia" w:ascii="仿宋_GB2312" w:hAnsi="仿宋" w:eastAsia="仿宋_GB2312"/>
          <w:sz w:val="24"/>
          <w:highlight w:val="none"/>
        </w:rPr>
        <w:tab/>
      </w:r>
      <w:r>
        <w:rPr>
          <w:rFonts w:hint="eastAsia" w:ascii="仿宋_GB2312" w:hAnsi="仿宋" w:eastAsia="仿宋_GB2312"/>
          <w:sz w:val="24"/>
          <w:highlight w:val="none"/>
        </w:rPr>
        <w:t>原则上由采购人回复的质疑：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sz w:val="24"/>
          <w:highlight w:val="none"/>
        </w:rPr>
      </w:pPr>
      <w:r>
        <w:rPr>
          <w:rFonts w:hint="eastAsia" w:ascii="仿宋_GB2312" w:hAnsi="仿宋" w:eastAsia="仿宋_GB2312"/>
          <w:sz w:val="24"/>
          <w:highlight w:val="none"/>
        </w:rPr>
        <w:t>原则上由采购代理机构回复的质疑：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highlight w:val="none"/>
        </w:rPr>
      </w:pPr>
      <w:r>
        <w:rPr>
          <w:rFonts w:hint="eastAsia" w:ascii="仿宋_GB2312" w:hAnsi="宋体" w:eastAsia="仿宋_GB2312" w:cs="宋体"/>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5"/>
        <w:spacing w:line="440" w:lineRule="exact"/>
        <w:ind w:firstLine="0" w:firstLineChars="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sz w:val="24"/>
          <w:highlight w:val="none"/>
        </w:rPr>
      </w:pPr>
      <w:bookmarkStart w:id="7" w:name="_Toc151354173"/>
      <w:bookmarkStart w:id="8" w:name="_Toc81372964"/>
      <w:bookmarkStart w:id="9" w:name="_Toc81372787"/>
      <w:bookmarkStart w:id="10" w:name="_Toc80157775"/>
      <w:bookmarkStart w:id="11" w:name="_Toc84325981"/>
      <w:r>
        <w:rPr>
          <w:rFonts w:hint="eastAsia" w:ascii="仿宋_GB2312" w:hAnsi="宋体" w:eastAsia="仿宋_GB2312"/>
          <w:b/>
          <w:sz w:val="24"/>
          <w:highlight w:val="none"/>
        </w:rPr>
        <w:t>8.招标项目设备名称及数量：</w:t>
      </w:r>
    </w:p>
    <w:bookmarkEnd w:id="7"/>
    <w:p>
      <w:pPr>
        <w:spacing w:line="440" w:lineRule="exact"/>
        <w:ind w:right="420"/>
        <w:rPr>
          <w:rFonts w:ascii="仿宋_GB2312" w:hAnsi="新宋体" w:eastAsia="仿宋_GB2312" w:cs="Arial"/>
          <w:b/>
          <w:bCs/>
          <w:sz w:val="24"/>
          <w:highlight w:val="none"/>
        </w:rPr>
      </w:pPr>
      <w:r>
        <w:rPr>
          <w:rFonts w:hint="eastAsia" w:ascii="仿宋_GB2312" w:hAnsi="新宋体" w:eastAsia="仿宋_GB2312" w:cs="Arial"/>
          <w:b/>
          <w:bCs/>
          <w:sz w:val="24"/>
          <w:highlight w:val="none"/>
          <w:bdr w:val="single" w:color="auto" w:sz="4" w:space="0"/>
        </w:rPr>
        <w:t>01标</w:t>
      </w:r>
      <w:r>
        <w:rPr>
          <w:rFonts w:hint="eastAsia" w:ascii="仿宋_GB2312" w:hAnsi="新宋体" w:eastAsia="仿宋_GB2312" w:cs="Arial"/>
          <w:b/>
          <w:bCs/>
          <w:sz w:val="24"/>
          <w:highlight w:val="none"/>
          <w:lang w:eastAsia="zh-CN"/>
        </w:rPr>
        <w:t>全面预算管理系统项目（重招）</w:t>
      </w:r>
      <w:r>
        <w:rPr>
          <w:rFonts w:hint="eastAsia" w:ascii="仿宋_GB2312" w:hAnsi="新宋体" w:eastAsia="仿宋_GB2312" w:cs="Arial"/>
          <w:b/>
          <w:bCs/>
          <w:sz w:val="24"/>
          <w:highlight w:val="none"/>
        </w:rPr>
        <w:t>（预算：</w:t>
      </w:r>
      <w:r>
        <w:rPr>
          <w:rFonts w:hint="eastAsia" w:ascii="仿宋_GB2312" w:hAnsi="新宋体" w:eastAsia="仿宋_GB2312" w:cs="Arial"/>
          <w:b/>
          <w:bCs/>
          <w:sz w:val="24"/>
          <w:highlight w:val="none"/>
          <w:lang w:val="en-US" w:eastAsia="zh-CN"/>
        </w:rPr>
        <w:t>270</w:t>
      </w:r>
      <w:r>
        <w:rPr>
          <w:rFonts w:hint="eastAsia" w:ascii="仿宋_GB2312" w:hAnsi="新宋体" w:eastAsia="仿宋_GB2312" w:cs="Arial"/>
          <w:b/>
          <w:bCs/>
          <w:sz w:val="24"/>
          <w:highlight w:val="none"/>
        </w:rPr>
        <w:t>万元）</w:t>
      </w:r>
      <w:bookmarkStart w:id="12" w:name="_Toc7206"/>
      <w:bookmarkStart w:id="13" w:name="_Toc32678"/>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一、项目概况</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为规范公立医院经济运行，严格预算管理，强化预算约束，有效防范和管控内部运营风险，根据国家卫生健康委和国家中医药管理局关于《公立医院全面预算管理制度实施办法》（国卫财务发〔2020〕30号）以及《公立医院内部控制管理办法》（国卫财务发〔2020〕31号）等相关文件要求，建立全面预算内控管理一体化信息系统平台。</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本项目包括全面预算管理模块、费控模块、合同管理模块、</w:t>
      </w:r>
      <w:r>
        <w:rPr>
          <w:rFonts w:hint="eastAsia" w:ascii="仿宋" w:hAnsi="仿宋" w:eastAsia="仿宋"/>
          <w:sz w:val="24"/>
          <w:highlight w:val="none"/>
          <w:lang w:eastAsia="zh-CN"/>
        </w:rPr>
        <w:t>专项（</w:t>
      </w:r>
      <w:r>
        <w:rPr>
          <w:rFonts w:hint="eastAsia" w:ascii="仿宋" w:hAnsi="仿宋" w:eastAsia="仿宋"/>
          <w:sz w:val="24"/>
          <w:highlight w:val="none"/>
        </w:rPr>
        <w:t>科研</w:t>
      </w:r>
      <w:r>
        <w:rPr>
          <w:rFonts w:hint="eastAsia" w:ascii="仿宋" w:hAnsi="仿宋" w:eastAsia="仿宋"/>
          <w:sz w:val="24"/>
          <w:highlight w:val="none"/>
          <w:lang w:eastAsia="zh-CN"/>
        </w:rPr>
        <w:t>等）</w:t>
      </w:r>
      <w:r>
        <w:rPr>
          <w:rFonts w:hint="eastAsia" w:ascii="仿宋" w:hAnsi="仿宋" w:eastAsia="仿宋"/>
          <w:sz w:val="24"/>
          <w:highlight w:val="none"/>
        </w:rPr>
        <w:t>项目管理模块、核算中心模块、银医直联模块、招标进度管理模块共七大模块内容及符合该项目配置要求的服务器</w:t>
      </w:r>
      <w:r>
        <w:rPr>
          <w:rFonts w:hint="eastAsia" w:ascii="仿宋" w:hAnsi="仿宋" w:eastAsia="仿宋"/>
          <w:sz w:val="24"/>
          <w:highlight w:val="none"/>
          <w:lang w:val="en-US" w:eastAsia="zh-CN"/>
        </w:rPr>
        <w:t>2</w:t>
      </w:r>
      <w:r>
        <w:rPr>
          <w:rFonts w:hint="eastAsia" w:ascii="仿宋" w:hAnsi="仿宋" w:eastAsia="仿宋"/>
          <w:sz w:val="24"/>
          <w:highlight w:val="none"/>
        </w:rPr>
        <w:t>台。</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286"/>
        <w:gridCol w:w="887"/>
        <w:gridCol w:w="1841"/>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序号</w:t>
            </w:r>
          </w:p>
        </w:tc>
        <w:tc>
          <w:tcPr>
            <w:tcW w:w="3286"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项目明细</w:t>
            </w:r>
          </w:p>
        </w:tc>
        <w:tc>
          <w:tcPr>
            <w:tcW w:w="887"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数量</w:t>
            </w:r>
          </w:p>
        </w:tc>
        <w:tc>
          <w:tcPr>
            <w:tcW w:w="1841"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预算单价/万元</w:t>
            </w:r>
          </w:p>
        </w:tc>
        <w:tc>
          <w:tcPr>
            <w:tcW w:w="1800"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全面预算管理模块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44</w:t>
            </w:r>
          </w:p>
        </w:tc>
        <w:tc>
          <w:tcPr>
            <w:tcW w:w="1800"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2</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费控模块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11</w:t>
            </w:r>
          </w:p>
        </w:tc>
        <w:tc>
          <w:tcPr>
            <w:tcW w:w="1800"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3</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合同管理模块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8</w:t>
            </w:r>
          </w:p>
        </w:tc>
        <w:tc>
          <w:tcPr>
            <w:tcW w:w="1800"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4</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专项（科研等）项目管理模块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7</w:t>
            </w:r>
          </w:p>
        </w:tc>
        <w:tc>
          <w:tcPr>
            <w:tcW w:w="1800"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5</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核算中心模块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7</w:t>
            </w:r>
          </w:p>
        </w:tc>
        <w:tc>
          <w:tcPr>
            <w:tcW w:w="1800"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6</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银医直联模块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9</w:t>
            </w:r>
          </w:p>
        </w:tc>
        <w:tc>
          <w:tcPr>
            <w:tcW w:w="1800" w:type="dxa"/>
            <w:vAlign w:val="center"/>
          </w:tcPr>
          <w:p>
            <w:pPr>
              <w:keepNext w:val="0"/>
              <w:keepLines w:val="0"/>
              <w:widowControl/>
              <w:suppressLineNumbers w:val="0"/>
              <w:jc w:val="center"/>
              <w:textAlignment w:val="center"/>
              <w:rPr>
                <w:rFonts w:hint="default"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7</w:t>
            </w:r>
          </w:p>
        </w:tc>
        <w:tc>
          <w:tcPr>
            <w:tcW w:w="3286"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招标进度管理模块</w:t>
            </w:r>
          </w:p>
        </w:tc>
        <w:tc>
          <w:tcPr>
            <w:tcW w:w="887" w:type="dxa"/>
            <w:vAlign w:val="center"/>
          </w:tcPr>
          <w:p>
            <w:pPr>
              <w:jc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c>
          <w:tcPr>
            <w:tcW w:w="1800" w:type="dxa"/>
            <w:vAlign w:val="center"/>
          </w:tcPr>
          <w:p>
            <w:pPr>
              <w:keepNext w:val="0"/>
              <w:keepLines w:val="0"/>
              <w:widowControl/>
              <w:suppressLineNumbers w:val="0"/>
              <w:jc w:val="center"/>
              <w:textAlignment w:val="center"/>
              <w:rPr>
                <w:rFonts w:hint="eastAsia" w:ascii="仿宋" w:hAnsi="仿宋" w:eastAsia="仿宋" w:cs="仿宋"/>
                <w:b w:val="0"/>
                <w:bCs w:val="0"/>
                <w:sz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9" w:type="dxa"/>
            <w:vAlign w:val="center"/>
          </w:tcPr>
          <w:p>
            <w:pPr>
              <w:jc w:val="center"/>
              <w:rPr>
                <w:rFonts w:hint="eastAsia" w:ascii="仿宋" w:hAnsi="仿宋" w:eastAsia="仿宋" w:cs="仿宋"/>
                <w:b/>
                <w:bCs/>
                <w:sz w:val="24"/>
                <w:highlight w:val="none"/>
                <w:vertAlign w:val="baseline"/>
                <w:lang w:val="en-US" w:eastAsia="zh-CN"/>
              </w:rPr>
            </w:pPr>
          </w:p>
        </w:tc>
        <w:tc>
          <w:tcPr>
            <w:tcW w:w="3286" w:type="dxa"/>
            <w:vAlign w:val="center"/>
          </w:tcPr>
          <w:p>
            <w:pPr>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合计</w:t>
            </w:r>
          </w:p>
        </w:tc>
        <w:tc>
          <w:tcPr>
            <w:tcW w:w="887" w:type="dxa"/>
            <w:vAlign w:val="center"/>
          </w:tcPr>
          <w:p>
            <w:pPr>
              <w:jc w:val="center"/>
              <w:rPr>
                <w:rFonts w:hint="default"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1</w:t>
            </w:r>
          </w:p>
        </w:tc>
        <w:tc>
          <w:tcPr>
            <w:tcW w:w="1841" w:type="dxa"/>
            <w:vAlign w:val="center"/>
          </w:tcPr>
          <w:p>
            <w:pPr>
              <w:keepNext w:val="0"/>
              <w:keepLines w:val="0"/>
              <w:widowControl/>
              <w:suppressLineNumbers w:val="0"/>
              <w:jc w:val="center"/>
              <w:textAlignment w:val="center"/>
              <w:rPr>
                <w:rFonts w:hint="default" w:ascii="仿宋" w:hAnsi="仿宋" w:eastAsia="仿宋" w:cs="仿宋"/>
                <w:b/>
                <w:bCs/>
                <w:sz w:val="24"/>
                <w:highlight w:val="none"/>
                <w:vertAlign w:val="baseli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90</w:t>
            </w:r>
          </w:p>
        </w:tc>
        <w:tc>
          <w:tcPr>
            <w:tcW w:w="1800" w:type="dxa"/>
            <w:vAlign w:val="center"/>
          </w:tcPr>
          <w:p>
            <w:pPr>
              <w:keepNext w:val="0"/>
              <w:keepLines w:val="0"/>
              <w:widowControl/>
              <w:suppressLineNumbers w:val="0"/>
              <w:jc w:val="center"/>
              <w:textAlignment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90</w:t>
            </w: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lang w:eastAsia="zh-CN"/>
        </w:rPr>
        <w:t>以上为单个医院的招标预算，</w:t>
      </w:r>
      <w:r>
        <w:rPr>
          <w:rFonts w:hint="eastAsia" w:ascii="仿宋" w:hAnsi="仿宋" w:eastAsia="仿宋" w:cs="仿宋"/>
          <w:b/>
          <w:bCs/>
          <w:sz w:val="24"/>
          <w:highlight w:val="none"/>
        </w:rPr>
        <w:t>招标人有权任意选择以上模块，并按相应模块的价格支付采购款。</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二、系统要求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1.软件系统要求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1.1所建设系统的各个模块都是B/S架构，无并发站点限制。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1.2所建设系统支持Windows、Linux、Unix等多种操作系统，支持Oracle、Mysql、SQLServer等主要数据库。</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1.3</w:t>
      </w:r>
      <w:r>
        <w:rPr>
          <w:rFonts w:ascii="仿宋" w:hAnsi="仿宋" w:eastAsia="仿宋"/>
          <w:sz w:val="24"/>
          <w:highlight w:val="none"/>
        </w:rPr>
        <w:t>系统支持国产化操作系统，</w:t>
      </w:r>
      <w:r>
        <w:rPr>
          <w:rFonts w:hint="eastAsia" w:ascii="仿宋" w:hAnsi="仿宋" w:eastAsia="仿宋"/>
          <w:sz w:val="24"/>
          <w:highlight w:val="none"/>
        </w:rPr>
        <w:t>如上级部门有要求，</w:t>
      </w:r>
      <w:r>
        <w:rPr>
          <w:rFonts w:ascii="仿宋" w:hAnsi="仿宋" w:eastAsia="仿宋"/>
          <w:sz w:val="24"/>
          <w:highlight w:val="none"/>
        </w:rPr>
        <w:t>并</w:t>
      </w:r>
      <w:r>
        <w:rPr>
          <w:rFonts w:hint="eastAsia" w:ascii="仿宋" w:hAnsi="仿宋" w:eastAsia="仿宋"/>
          <w:sz w:val="24"/>
          <w:highlight w:val="none"/>
        </w:rPr>
        <w:t>能免费更新到国产化平台，如麒麟操作系统、国产化服务器、国产化中间件等。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1.4系统应满足国家和相关行业标准，保证与我国现行的有关法律、法规、规章制度相一致，并能满足各级卫生行政部门对信息的要求。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1.5系统提供灵活的、开放的软件平台，医院可根据自身业务特点和管理要求自行配置</w:t>
      </w:r>
      <w:r>
        <w:rPr>
          <w:rFonts w:ascii="仿宋" w:hAnsi="仿宋" w:eastAsia="仿宋"/>
          <w:sz w:val="24"/>
          <w:highlight w:val="none"/>
        </w:rPr>
        <w:t>。</w:t>
      </w:r>
    </w:p>
    <w:p>
      <w:pPr>
        <w:spacing w:line="360" w:lineRule="auto"/>
        <w:ind w:firstLine="480" w:firstLineChars="200"/>
        <w:rPr>
          <w:rFonts w:ascii="仿宋" w:hAnsi="仿宋" w:eastAsia="仿宋" w:cs="仿宋"/>
          <w:color w:val="000000"/>
          <w:highlight w:val="none"/>
        </w:rPr>
      </w:pPr>
      <w:r>
        <w:rPr>
          <w:rFonts w:ascii="宋体" w:hAnsi="宋体"/>
          <w:bCs/>
          <w:sz w:val="24"/>
          <w:highlight w:val="none"/>
        </w:rPr>
        <w:t>▲</w:t>
      </w:r>
      <w:r>
        <w:rPr>
          <w:rFonts w:hint="eastAsia" w:ascii="仿宋" w:hAnsi="仿宋" w:eastAsia="仿宋"/>
          <w:sz w:val="24"/>
          <w:highlight w:val="none"/>
        </w:rPr>
        <w:t>1.6系统支持移动端实现审批、事项提醒等功能</w:t>
      </w:r>
      <w:r>
        <w:rPr>
          <w:rFonts w:ascii="仿宋" w:hAnsi="仿宋" w:eastAsia="仿宋"/>
          <w:sz w:val="24"/>
          <w:highlight w:val="none"/>
        </w:rPr>
        <w:t xml:space="preserve">。  </w:t>
      </w:r>
      <w:r>
        <w:rPr>
          <w:rFonts w:ascii="仿宋" w:hAnsi="仿宋" w:eastAsia="仿宋" w:cs="仿宋"/>
          <w:color w:val="000000"/>
          <w:highlight w:val="none"/>
        </w:rPr>
        <w:t xml:space="preserve">                  </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2.系统安全性</w:t>
      </w:r>
    </w:p>
    <w:p>
      <w:pPr>
        <w:spacing w:line="360" w:lineRule="auto"/>
        <w:ind w:firstLine="480" w:firstLineChars="200"/>
        <w:rPr>
          <w:rFonts w:hint="eastAsia" w:eastAsia="仿宋"/>
          <w:highlight w:val="none"/>
          <w:lang w:eastAsia="zh-CN"/>
        </w:rPr>
      </w:pPr>
      <w:r>
        <w:rPr>
          <w:rFonts w:hint="eastAsia" w:ascii="仿宋" w:hAnsi="仿宋" w:eastAsia="仿宋"/>
          <w:sz w:val="24"/>
          <w:highlight w:val="none"/>
        </w:rPr>
        <w:t>包括系统安全、应用安全(工作站的权限验证)、操作员的权限验证、数据安全（包括数据的备份与恢复）等。</w:t>
      </w:r>
      <w:r>
        <w:rPr>
          <w:rFonts w:hint="eastAsia" w:ascii="仿宋" w:hAnsi="仿宋" w:eastAsia="仿宋"/>
          <w:sz w:val="24"/>
          <w:highlight w:val="none"/>
          <w:lang w:eastAsia="zh-CN"/>
        </w:rPr>
        <w:t>系统上线之前完成漏洞扫描，并提供第三方安全检测证明。</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三、项目内容及功能要求</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1.全面预算管理模块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1.1预算编制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要求系统中可进行预算编制功能，并支持三级预算编制管理，支持二上二下功能，预算编制业务中根据业务内容的不同可分为：收入预算、日常支出预算、项目经费预算、设备采购预算、工作量预算等。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要求系统在预算编制过程中可以对不同的部门进行预算编制内容的权限设置，可进行增加、修改、删除、查询、提交、退回、打印、增行、删行、添加附件等基本操作。</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（1）预算编制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可以根据不同的预算类型编制不同的预算，例如费用预算，可以选择费用的经费来源、预算科目、财务会计科目，录入预算申报金额、申报人和申报日期为系统默认为系统登录人和登录日期，可以上传附件，填写完成后保存送审，在送审前可以修改，修改完成后保存提交。</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（2）流程查看</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可看到每个审批流程，可以逐条审批或汇总审批，并可填写审批意见；可以退回到上一步或第一步，并可填写审批意见。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（3）预算申报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系统应具备一上、二上申报功能。一上是根据原始预算编制上报，二上是根据批复情况调整后上报。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.2</w:t>
      </w:r>
      <w:r>
        <w:rPr>
          <w:rFonts w:hint="eastAsia" w:ascii="仿宋" w:hAnsi="仿宋" w:eastAsia="仿宋"/>
          <w:sz w:val="24"/>
          <w:highlight w:val="none"/>
        </w:rPr>
        <w:t>预算审批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需对各个科室编制的预算进行审批，审批包含两个过程：一上审批、二上审批。两次审批通过后，预算编制即为通过。预算审批流程包含：科室审批、归口科室审批、财务审批、归口科室分管院长审批、分管财务院长审批、院长审批、全面预算管理委员会审批、院长办公会议审批、党委会会议审批。</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系统应支持按照部门汇总、按照项目汇总进行审批，在审批时，相关部门可以填写审批意见，供下一审批人参考。</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1.3预算批复下达</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系统支持可全额一次性下达至预算使用科室也可按百分比进行下达或者自定义下达。</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1.4预算执行</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系统支持预算执行单，并供预算执行科室进行预算执行申报，由财务预算管理岗位人员进行确认核销。</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预算执行时需要支持与合同管理系统相关联，合同在签订时对预算进行合同预算占用，在采购时需支持合同管理系统与采购系统进行关联，采购下单后对合同金额进行占用，实际付款时进行实时预算核销。</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w:t>
      </w:r>
      <w:r>
        <w:rPr>
          <w:rFonts w:hint="eastAsia" w:ascii="仿宋" w:hAnsi="仿宋" w:eastAsia="仿宋"/>
          <w:sz w:val="24"/>
          <w:highlight w:val="none"/>
        </w:rPr>
        <w:t>5预算控制</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系统支持对预算进行预警提示及控制，如果超出预算后具有预算调整或超预算审批流程等功能。</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w:t>
      </w:r>
      <w:r>
        <w:rPr>
          <w:rFonts w:hint="eastAsia" w:ascii="仿宋" w:hAnsi="仿宋" w:eastAsia="仿宋"/>
          <w:sz w:val="24"/>
          <w:highlight w:val="none"/>
        </w:rPr>
        <w:t>6预算调整</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预算调整支持多种调整方式，包括原有预算调整、预算追加以及预算调剂等多种调整方式，并记录预算调整的痕迹。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w:t>
      </w:r>
      <w:r>
        <w:rPr>
          <w:rFonts w:hint="eastAsia" w:ascii="仿宋" w:hAnsi="仿宋" w:eastAsia="仿宋"/>
          <w:sz w:val="24"/>
          <w:highlight w:val="none"/>
        </w:rPr>
        <w:t>7预算查询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界面显示包括预算项目名称、编号、申报科室、状态、经费类别、申报金额、申报日期、预算负责人、预算年份等基本信息。系统支持多种查询方式以满足不同部门的需求，包括按申报数据查询、按部门查询、按预算科目查询、按经费类别查询、按项目类别、按单据状态查询等。</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2.</w:t>
      </w:r>
      <w:r>
        <w:rPr>
          <w:rFonts w:ascii="仿宋" w:hAnsi="仿宋" w:eastAsia="仿宋"/>
          <w:b/>
          <w:bCs/>
          <w:sz w:val="24"/>
          <w:highlight w:val="none"/>
        </w:rPr>
        <w:t>费控管理</w:t>
      </w:r>
      <w:r>
        <w:rPr>
          <w:rFonts w:hint="eastAsia" w:ascii="仿宋" w:hAnsi="仿宋" w:eastAsia="仿宋"/>
          <w:b/>
          <w:bCs/>
          <w:sz w:val="24"/>
          <w:highlight w:val="none"/>
        </w:rPr>
        <w:t>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2.1经费报销</w:t>
      </w:r>
      <w:r>
        <w:rPr>
          <w:rFonts w:hint="eastAsia" w:ascii="仿宋" w:hAnsi="仿宋" w:eastAsia="仿宋"/>
          <w:sz w:val="24"/>
          <w:highlight w:val="none"/>
        </w:rPr>
        <w:cr/>
      </w:r>
      <w:r>
        <w:rPr>
          <w:rFonts w:hint="eastAsia" w:ascii="仿宋" w:hAnsi="仿宋" w:eastAsia="仿宋"/>
          <w:sz w:val="24"/>
          <w:highlight w:val="none"/>
        </w:rPr>
        <w:t xml:space="preserve">    系统支持各类日常支出业务及借款的在线填报与审核审批。费控管理中单据至少需要包括：费用报销单、出差申请单、差旅报销单、公务接待申请单、公务招待报销单、出国申请单、出国报销单预算执行单等单据，适用于医院内部各类费用的报销支出业务。支持报销单据的待办事项在首页展示。</w:t>
      </w:r>
      <w:r>
        <w:rPr>
          <w:rFonts w:hint="eastAsia" w:ascii="仿宋" w:hAnsi="仿宋" w:eastAsia="仿宋"/>
          <w:sz w:val="24"/>
          <w:highlight w:val="none"/>
        </w:rPr>
        <w:cr/>
      </w:r>
      <w:r>
        <w:rPr>
          <w:rFonts w:hint="eastAsia" w:ascii="仿宋" w:hAnsi="仿宋" w:eastAsia="仿宋"/>
          <w:sz w:val="24"/>
          <w:highlight w:val="none"/>
        </w:rPr>
        <w:t xml:space="preserve">    系统支持报销事项和预算关联，报销过程中需选择相关预算项目进行预算额度控制，报销结束后预算余额自动冻结、解冻、扣减等。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差旅事前申请加差旅事后报销模式；预置财政部规定的出差住宿控制标准和交通补贴、伙食补贴标准，报销差旅费时自动控制住宿费是否超标及补贴计算,财务审批时可以对报销单的部分内容进行修改，修改规则受到系统设定的控制。</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系统支持出国费用预制财政部下发的各国开支标准，自动控制出国费用及计算补贴。</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系统支持公务招待费相关的标准系统自动控制。</w:t>
      </w:r>
      <w:r>
        <w:rPr>
          <w:rFonts w:hint="eastAsia" w:ascii="仿宋" w:hAnsi="仿宋" w:eastAsia="仿宋"/>
          <w:sz w:val="24"/>
          <w:highlight w:val="none"/>
        </w:rPr>
        <w:cr/>
      </w:r>
      <w:r>
        <w:rPr>
          <w:rFonts w:hint="eastAsia" w:ascii="仿宋" w:hAnsi="仿宋" w:eastAsia="仿宋"/>
          <w:sz w:val="24"/>
          <w:highlight w:val="none"/>
        </w:rPr>
        <w:t xml:space="preserve">    系统实现借款与还款业务，系统自动提示报销时冲借款业务。</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系统支持药品、卫生材料报销。</w:t>
      </w:r>
      <w:r>
        <w:rPr>
          <w:rFonts w:hint="eastAsia" w:ascii="仿宋" w:hAnsi="仿宋" w:eastAsia="仿宋"/>
          <w:sz w:val="24"/>
          <w:highlight w:val="none"/>
        </w:rPr>
        <w:cr/>
      </w:r>
      <w:r>
        <w:rPr>
          <w:rFonts w:hint="eastAsia" w:ascii="仿宋" w:hAnsi="仿宋" w:eastAsia="仿宋"/>
          <w:sz w:val="24"/>
          <w:highlight w:val="none"/>
        </w:rPr>
        <w:t xml:space="preserve">    根据医院不同业务的实际业务管理要求自定义报销审批流程。</w:t>
      </w:r>
      <w:r>
        <w:rPr>
          <w:rFonts w:hint="eastAsia" w:ascii="仿宋" w:hAnsi="仿宋" w:eastAsia="仿宋"/>
          <w:sz w:val="24"/>
          <w:highlight w:val="none"/>
        </w:rPr>
        <w:cr/>
      </w:r>
      <w:r>
        <w:rPr>
          <w:rFonts w:hint="eastAsia" w:ascii="仿宋" w:hAnsi="仿宋" w:eastAsia="仿宋"/>
          <w:sz w:val="24"/>
          <w:highlight w:val="none"/>
        </w:rPr>
        <w:t xml:space="preserve">    报销提交时支持进行实时预算控制及预警，实现按照预算控制方式进行预算控制及超额预警。</w:t>
      </w:r>
      <w:r>
        <w:rPr>
          <w:rFonts w:hint="eastAsia" w:ascii="仿宋" w:hAnsi="仿宋" w:eastAsia="仿宋"/>
          <w:sz w:val="24"/>
          <w:highlight w:val="none"/>
        </w:rPr>
        <w:cr/>
      </w:r>
      <w:r>
        <w:rPr>
          <w:rFonts w:hint="eastAsia" w:ascii="仿宋" w:hAnsi="仿宋" w:eastAsia="仿宋"/>
          <w:sz w:val="24"/>
          <w:highlight w:val="none"/>
        </w:rPr>
        <w:t xml:space="preserve">    审批时可以查询单据对应的预算，根据报销业务进行审核，支持通过和驳回，可以进行审核意见填写。</w:t>
      </w:r>
      <w:r>
        <w:rPr>
          <w:rFonts w:hint="eastAsia" w:ascii="仿宋" w:hAnsi="仿宋" w:eastAsia="仿宋"/>
          <w:sz w:val="24"/>
          <w:highlight w:val="none"/>
        </w:rPr>
        <w:cr/>
      </w:r>
      <w:r>
        <w:rPr>
          <w:rFonts w:hint="eastAsia" w:ascii="仿宋" w:hAnsi="仿宋" w:eastAsia="仿宋"/>
          <w:sz w:val="24"/>
          <w:highlight w:val="none"/>
        </w:rPr>
        <w:t xml:space="preserve">    所有报销单据均可以上传附件，审批时可以预览和下载附件，同时审批中查看报销业务的预算情况、报销进度审批历史记录等。</w:t>
      </w:r>
      <w:r>
        <w:rPr>
          <w:rFonts w:hint="eastAsia" w:ascii="仿宋" w:hAnsi="仿宋" w:eastAsia="仿宋"/>
          <w:sz w:val="24"/>
          <w:highlight w:val="none"/>
        </w:rPr>
        <w:cr/>
      </w:r>
      <w:r>
        <w:rPr>
          <w:rFonts w:hint="eastAsia" w:ascii="仿宋" w:hAnsi="仿宋" w:eastAsia="仿宋"/>
          <w:sz w:val="24"/>
          <w:highlight w:val="none"/>
        </w:rPr>
        <w:t xml:space="preserve">    </w:t>
      </w:r>
      <w:r>
        <w:rPr>
          <w:rFonts w:ascii="宋体" w:hAnsi="宋体"/>
          <w:bCs/>
          <w:sz w:val="24"/>
          <w:szCs w:val="24"/>
          <w:highlight w:val="none"/>
        </w:rPr>
        <w:t>▲</w:t>
      </w:r>
      <w:r>
        <w:rPr>
          <w:rFonts w:hint="eastAsia" w:ascii="仿宋" w:hAnsi="仿宋" w:eastAsia="仿宋"/>
          <w:sz w:val="24"/>
          <w:highlight w:val="none"/>
        </w:rPr>
        <w:t>费控管理模块与合同系统、物资采购系统等关联，本次报销金额受到合同未付款金额的控制，报销结束后，可将报销的数据自动传递到合同执行数据中。</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2.2移动端智慧财务专栏</w:t>
      </w:r>
      <w:r>
        <w:rPr>
          <w:rFonts w:hint="eastAsia" w:ascii="仿宋" w:hAnsi="仿宋" w:eastAsia="仿宋"/>
          <w:sz w:val="24"/>
          <w:highlight w:val="none"/>
        </w:rPr>
        <w:cr/>
      </w:r>
      <w:r>
        <w:rPr>
          <w:rFonts w:hint="eastAsia" w:ascii="仿宋" w:hAnsi="仿宋" w:eastAsia="仿宋"/>
          <w:sz w:val="24"/>
          <w:highlight w:val="none"/>
        </w:rPr>
        <w:t xml:space="preserve">    建设医院移动端智慧财务专栏，如钉钉，将所有的报销事项均纳入智慧财务专栏，报销经办人可在手机上填报报销业务，相关领导可在手机上审批报销单据，优化报销流程，让职工“最多跑一次”。</w:t>
      </w:r>
      <w:r>
        <w:rPr>
          <w:rFonts w:hint="eastAsia" w:ascii="仿宋" w:hAnsi="仿宋" w:eastAsia="仿宋"/>
          <w:sz w:val="24"/>
          <w:highlight w:val="none"/>
        </w:rPr>
        <w:cr/>
      </w:r>
      <w:r>
        <w:rPr>
          <w:rFonts w:hint="eastAsia" w:ascii="仿宋" w:hAnsi="仿宋" w:eastAsia="仿宋"/>
          <w:sz w:val="24"/>
          <w:highlight w:val="none"/>
        </w:rPr>
        <w:t xml:space="preserve">    2.3网银电子支付系统</w:t>
      </w:r>
      <w:r>
        <w:rPr>
          <w:rFonts w:hint="eastAsia" w:ascii="仿宋" w:hAnsi="仿宋" w:eastAsia="仿宋"/>
          <w:sz w:val="24"/>
          <w:highlight w:val="none"/>
        </w:rPr>
        <w:cr/>
      </w:r>
      <w:r>
        <w:rPr>
          <w:rFonts w:hint="eastAsia" w:ascii="仿宋" w:hAnsi="仿宋" w:eastAsia="仿宋"/>
          <w:sz w:val="24"/>
          <w:highlight w:val="none"/>
        </w:rPr>
        <w:t xml:space="preserve">    所有付款单自动挂入待支付页面，可实现审批完成后一键支付，实现医院和银行之间的银企直连，支付完成后系统会自动回传银行的电子回单信息，系统支持查询已付款和待付款的数据，支持生成银行汇款信息表。</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2.4票据管理</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发票识别：支持扫码识别、图像识别，系统可以通过OCR技术自动识别提取发票信息（含非税发票），形成电子发票档案。</w:t>
      </w:r>
      <w:r>
        <w:rPr>
          <w:rFonts w:hint="eastAsia" w:ascii="仿宋" w:hAnsi="仿宋" w:eastAsia="仿宋"/>
          <w:sz w:val="24"/>
          <w:highlight w:val="none"/>
        </w:rPr>
        <w:cr/>
      </w:r>
      <w:r>
        <w:rPr>
          <w:rFonts w:hint="eastAsia" w:ascii="仿宋" w:hAnsi="仿宋" w:eastAsia="仿宋"/>
          <w:sz w:val="24"/>
          <w:highlight w:val="none"/>
        </w:rPr>
        <w:t xml:space="preserve">    发票查验：系统识别成功后自动检查是否有重复发票，同时支持与税务系统 对接查验发票真伪。</w:t>
      </w:r>
      <w:r>
        <w:rPr>
          <w:rFonts w:hint="eastAsia" w:ascii="仿宋" w:hAnsi="仿宋" w:eastAsia="仿宋"/>
          <w:sz w:val="24"/>
          <w:highlight w:val="none"/>
        </w:rPr>
        <w:cr/>
      </w:r>
      <w:r>
        <w:rPr>
          <w:rFonts w:hint="eastAsia" w:ascii="仿宋" w:hAnsi="仿宋" w:eastAsia="仿宋"/>
          <w:sz w:val="24"/>
          <w:highlight w:val="none"/>
        </w:rPr>
        <w:t xml:space="preserve">    个人发票夹：管理所有个人上传的发票，便于查看发票详细信息。</w:t>
      </w:r>
      <w:r>
        <w:rPr>
          <w:rFonts w:hint="eastAsia" w:ascii="仿宋" w:hAnsi="仿宋" w:eastAsia="仿宋"/>
          <w:sz w:val="24"/>
          <w:highlight w:val="none"/>
        </w:rPr>
        <w:cr/>
      </w:r>
      <w:r>
        <w:rPr>
          <w:rFonts w:hint="eastAsia" w:ascii="仿宋" w:hAnsi="仿宋" w:eastAsia="仿宋"/>
          <w:sz w:val="24"/>
          <w:highlight w:val="none"/>
        </w:rPr>
        <w:t xml:space="preserve">    关联费用报销：查验正常的发票，支持关联费用报销，报销单可自动带出发票相关信息及附件。</w:t>
      </w:r>
      <w:r>
        <w:rPr>
          <w:rFonts w:hint="eastAsia" w:ascii="仿宋" w:hAnsi="仿宋" w:eastAsia="仿宋"/>
          <w:sz w:val="24"/>
          <w:highlight w:val="none"/>
        </w:rPr>
        <w:cr/>
      </w:r>
      <w:r>
        <w:rPr>
          <w:rFonts w:hint="eastAsia" w:ascii="仿宋" w:hAnsi="仿宋" w:eastAsia="仿宋"/>
          <w:sz w:val="24"/>
          <w:highlight w:val="none"/>
        </w:rPr>
        <w:t xml:space="preserve">    报销发票统计：系统将统计所有正常上传的发票及发生业务报销的相关信息，便于发票报销信息查询及阶段性复查等工作。</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2.5 报销业务财务处理</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生成预制凭证：出纳付款后，系统自动根据对照关系将报销单对应的会计科目和金额、附件张数、摘要信息生成预制凭证传递到财务核算系统。</w:t>
      </w:r>
    </w:p>
    <w:p>
      <w:pPr>
        <w:pStyle w:val="89"/>
        <w:spacing w:line="360" w:lineRule="auto"/>
        <w:ind w:left="0" w:firstLine="480" w:firstLineChars="200"/>
        <w:rPr>
          <w:rFonts w:ascii="仿宋" w:hAnsi="仿宋" w:eastAsia="仿宋"/>
          <w:sz w:val="24"/>
          <w:highlight w:val="none"/>
        </w:rPr>
      </w:pPr>
      <w:r>
        <w:rPr>
          <w:rFonts w:hint="eastAsia" w:ascii="仿宋" w:hAnsi="仿宋" w:eastAsia="仿宋"/>
          <w:sz w:val="24"/>
          <w:highlight w:val="none"/>
        </w:rPr>
        <w:t>生成凭证时系统支持按照2019年新政府会计制度要求生成预算会计凭证和财务会计凭证。</w:t>
      </w:r>
      <w:r>
        <w:rPr>
          <w:rFonts w:hint="eastAsia" w:ascii="仿宋" w:hAnsi="仿宋" w:eastAsia="仿宋"/>
          <w:sz w:val="24"/>
          <w:highlight w:val="none"/>
        </w:rPr>
        <w:cr/>
      </w:r>
      <w:r>
        <w:rPr>
          <w:rFonts w:hint="eastAsia" w:ascii="仿宋" w:hAnsi="仿宋" w:eastAsia="仿宋"/>
          <w:sz w:val="24"/>
          <w:highlight w:val="none"/>
        </w:rPr>
        <w:t xml:space="preserve">    2.6统计分析</w:t>
      </w:r>
      <w:r>
        <w:rPr>
          <w:rFonts w:hint="eastAsia" w:ascii="仿宋" w:hAnsi="仿宋" w:eastAsia="仿宋"/>
          <w:sz w:val="24"/>
          <w:highlight w:val="none"/>
        </w:rPr>
        <w:cr/>
      </w:r>
      <w:r>
        <w:rPr>
          <w:rFonts w:hint="eastAsia" w:ascii="仿宋" w:hAnsi="仿宋" w:eastAsia="仿宋"/>
          <w:sz w:val="24"/>
          <w:highlight w:val="none"/>
        </w:rPr>
        <w:t xml:space="preserve">    统计分析支持对单据中的数据进行多维度的组合与分解，生成汇总报表、明细报表、对比分析报表。部门负责人可以直观地看到本部门的支出情况，有预算数据的情况下能够看到预算执行的情况、经费余额，可以有效的安排预算执行工作。</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3.合同管理模块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合同管理实现合同全生命周期流程，管理合同的申请、审批、修改、签订、执行、变更、分期收付款</w:t>
      </w:r>
      <w:r>
        <w:rPr>
          <w:rFonts w:hint="eastAsia" w:ascii="仿宋" w:hAnsi="仿宋" w:eastAsia="仿宋"/>
          <w:sz w:val="24"/>
          <w:highlight w:val="none"/>
          <w:lang w:eastAsia="zh-CN"/>
        </w:rPr>
        <w:t>、全过程审计和</w:t>
      </w:r>
      <w:r>
        <w:rPr>
          <w:rFonts w:hint="eastAsia" w:ascii="仿宋" w:hAnsi="仿宋" w:eastAsia="仿宋"/>
          <w:sz w:val="24"/>
          <w:highlight w:val="none"/>
        </w:rPr>
        <w:t>统计分析等过程，实现合同全生命周期的一体化管理。</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3.1合同签订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合同档案</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合同管理系统支持建立合同专用的基础档案，除了填制合同基本要素外，还可以根据不同合同类型灵活设置，比如服务类合同、设备类、工程类合同，满足医院多种合同类型的管理要求。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合同填制完后申请，按照医院内控审批流程进行审核，若有问题退回申请人修改后往后流转，各审批环节都需签署审批意见。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合同申请时，需要录入合同的关键信息，并且支持与预算额度进行关联，合同申请时，系统自动判断是否超预算，超预算时无法进行提交。</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合同修改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合同审批过程中，可以直接在合同附件中点击修改按钮，系统会留下修改痕迹，保存修改稿，并把修改意见自动带出到表单上，方便下一个流程审批。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合同定稿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合同在最终审批完成之后，由医院合同归档管理部门从系统打印最终版合同（带有医院的水印）进行打印、盖章，防止签批的合同与双章版合同不一致。</w:t>
      </w:r>
    </w:p>
    <w:p>
      <w:pPr>
        <w:spacing w:line="360" w:lineRule="auto"/>
        <w:ind w:firstLine="480" w:firstLineChars="200"/>
        <w:rPr>
          <w:rFonts w:ascii="仿宋" w:hAnsi="仿宋" w:eastAsia="仿宋"/>
          <w:sz w:val="24"/>
          <w:highlight w:val="none"/>
        </w:rPr>
      </w:pPr>
      <w:r>
        <w:rPr>
          <w:rFonts w:hint="eastAsia" w:ascii="仿宋" w:hAnsi="仿宋" w:eastAsia="仿宋"/>
          <w:bCs/>
          <w:sz w:val="24"/>
          <w:highlight w:val="none"/>
        </w:rPr>
        <w:t>合同签订后，支持将签订版的合同文本及其附件上传至合同管理系统，支持实时查询合同的基本信息及电子版合同文本。</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3.2合同执行</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合同分期付款</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合同付款时可挂接相关合同编号，根据唯一编号，自动带出合同总金额、累计已支付金额（系统自动带出且无法修改），系统可以严格控制不允许超合同付款，出纳付款确认后，系统自动核减预算。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履约保证金</w:t>
      </w:r>
      <w:r>
        <w:rPr>
          <w:rFonts w:hint="eastAsia" w:ascii="仿宋" w:hAnsi="仿宋" w:eastAsia="仿宋"/>
          <w:sz w:val="24"/>
          <w:highlight w:val="none"/>
        </w:rPr>
        <w:cr/>
      </w:r>
      <w:r>
        <w:rPr>
          <w:rFonts w:hint="eastAsia" w:ascii="仿宋" w:hAnsi="仿宋" w:eastAsia="仿宋"/>
          <w:sz w:val="24"/>
          <w:highlight w:val="none"/>
        </w:rPr>
        <w:t xml:space="preserve">    收到合同履约保证金后在合同系统进行登记，确认收到的方式（银行汇款、保函、保证保险保单），可以设置退回时间提醒，关联合同生成退履约保证金单，在合同履约完成后，跳出保证金退还确认单，并及时进行闭环登记。</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3.3合同预警</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可进行自定义设置合同预警提示功能，包括：合同到期预警、合同计划收款预警、合同计划付款预警等。同时可配置预警人员，系统支持实时推送合同收/付预警信息，并提示相关人员，达到实时监控合同的执行情况，并根据信息作出相应的决策。能实现对全合同的执行率有预警作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3.4合同归档管理</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系统支持合同统一的归档管理，由经办人发起合同归档申请流程，合同归档管理部门进行合同的归档确认/驳回，已归档的合同系统支持实时生成合同归档编号，便于纸质合同与线上合同统一管理，同时支持实时查询合同的归档状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3.5合同变更</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在合同执行的过程中，若合同发生变更，可在系统提交变更申请流程，并上传相关的补充协议。变更流程完成后，可实时查询合同的变更明细记录，包括：变更字段、变更前、变更后、变更人、变更时间等。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3.6 合同统计分析</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（1）合同评价</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对合同的履约情况进行绩效评价，可以按不同性质的合同进行不同的评价方案，如每月的服务类可以按季度评价，评价结果会影响到最后结算金额，同时为后续选择优质供应商提供参考。</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（2）合同统计报表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合同执行表可以查看权限范围内的所有合同执行情况，并可点击穿透某份合同查看明细。包括并不限于：合同基本台账、收付款合同执行汇总统计、收付款合同执行明细统计、应付/付账龄分析等。</w:t>
      </w:r>
    </w:p>
    <w:p>
      <w:pPr>
        <w:spacing w:line="360" w:lineRule="auto"/>
        <w:ind w:left="479" w:leftChars="228"/>
        <w:rPr>
          <w:rFonts w:ascii="仿宋" w:hAnsi="仿宋" w:eastAsia="仿宋"/>
          <w:b/>
          <w:bCs/>
          <w:sz w:val="24"/>
          <w:highlight w:val="none"/>
        </w:rPr>
      </w:pPr>
      <w:r>
        <w:rPr>
          <w:rFonts w:hint="eastAsia" w:ascii="仿宋" w:hAnsi="仿宋" w:eastAsia="仿宋"/>
          <w:b/>
          <w:bCs/>
          <w:sz w:val="24"/>
          <w:highlight w:val="none"/>
        </w:rPr>
        <w:t>4.</w:t>
      </w:r>
      <w:r>
        <w:rPr>
          <w:rFonts w:hint="eastAsia" w:ascii="仿宋" w:hAnsi="仿宋" w:eastAsia="仿宋"/>
          <w:b/>
          <w:bCs/>
          <w:sz w:val="24"/>
          <w:highlight w:val="none"/>
          <w:lang w:eastAsia="zh-CN"/>
        </w:rPr>
        <w:t>专项（</w:t>
      </w:r>
      <w:r>
        <w:rPr>
          <w:rFonts w:hint="eastAsia" w:ascii="仿宋" w:hAnsi="仿宋" w:eastAsia="仿宋"/>
          <w:b/>
          <w:bCs/>
          <w:sz w:val="24"/>
          <w:highlight w:val="none"/>
        </w:rPr>
        <w:t>科研</w:t>
      </w:r>
      <w:r>
        <w:rPr>
          <w:rFonts w:hint="eastAsia" w:ascii="仿宋" w:hAnsi="仿宋" w:eastAsia="仿宋"/>
          <w:b/>
          <w:bCs/>
          <w:sz w:val="24"/>
          <w:highlight w:val="none"/>
          <w:lang w:eastAsia="zh-CN"/>
        </w:rPr>
        <w:t>等）</w:t>
      </w:r>
      <w:r>
        <w:rPr>
          <w:rFonts w:hint="eastAsia" w:ascii="仿宋" w:hAnsi="仿宋" w:eastAsia="仿宋"/>
          <w:b/>
          <w:bCs/>
          <w:sz w:val="24"/>
          <w:highlight w:val="none"/>
        </w:rPr>
        <w:t>项目管理模块</w:t>
      </w:r>
    </w:p>
    <w:p>
      <w:pPr>
        <w:spacing w:line="360" w:lineRule="auto"/>
        <w:ind w:firstLine="480" w:firstLineChars="200"/>
        <w:rPr>
          <w:rFonts w:hint="eastAsia" w:ascii="仿宋" w:hAnsi="仿宋" w:eastAsia="仿宋"/>
          <w:sz w:val="24"/>
          <w:highlight w:val="none"/>
          <w:lang w:eastAsia="zh-CN"/>
        </w:rPr>
      </w:pPr>
      <w:r>
        <w:rPr>
          <w:rFonts w:hint="eastAsia" w:ascii="仿宋" w:hAnsi="仿宋" w:eastAsia="仿宋"/>
          <w:sz w:val="24"/>
          <w:highlight w:val="none"/>
        </w:rPr>
        <w:t>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从申报、论证、立项、预算、到账、认领、分账、报销支出、控制、监督、结题等全过程管</w:t>
      </w:r>
      <w:r>
        <w:rPr>
          <w:rFonts w:hint="eastAsia" w:ascii="仿宋" w:hAnsi="仿宋" w:eastAsia="仿宋" w:cs="Times New Roman"/>
          <w:sz w:val="24"/>
          <w:highlight w:val="none"/>
        </w:rPr>
        <w:t>理。</w:t>
      </w:r>
      <w:r>
        <w:rPr>
          <w:rFonts w:hint="eastAsia" w:ascii="仿宋" w:hAnsi="仿宋" w:eastAsia="仿宋" w:cs="Times New Roman"/>
          <w:sz w:val="24"/>
          <w:highlight w:val="none"/>
          <w:lang w:eastAsia="zh-CN"/>
        </w:rPr>
        <w:t>（招标人可根据工作需要选择起始步骤，即开始项）</w:t>
      </w:r>
    </w:p>
    <w:p>
      <w:pPr>
        <w:spacing w:line="360" w:lineRule="auto"/>
        <w:ind w:firstLine="480" w:firstLineChars="200"/>
        <w:rPr>
          <w:rFonts w:ascii="仿宋" w:hAnsi="仿宋" w:eastAsia="仿宋"/>
          <w:sz w:val="24"/>
          <w:highlight w:val="none"/>
        </w:rPr>
      </w:pP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szCs w:val="20"/>
          <w:highlight w:val="none"/>
        </w:rPr>
        <w:t>管理模块包括但不限于如下功能：</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sz w:val="24"/>
          <w:szCs w:val="20"/>
          <w:highlight w:val="none"/>
        </w:rPr>
        <w:t>档案、权限管理、项目立项、项目经费收支、项目经费预算调整、项目结题与审计、统计分析与查询等</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4.1</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sz w:val="24"/>
          <w:highlight w:val="none"/>
        </w:rPr>
        <w:t>档案管理</w:t>
      </w:r>
    </w:p>
    <w:p>
      <w:pPr>
        <w:spacing w:line="360" w:lineRule="auto"/>
        <w:ind w:firstLine="480" w:firstLineChars="200"/>
        <w:rPr>
          <w:rFonts w:ascii="仿宋" w:hAnsi="仿宋" w:eastAsia="仿宋"/>
          <w:sz w:val="24"/>
          <w:szCs w:val="20"/>
          <w:highlight w:val="none"/>
        </w:rPr>
      </w:pPr>
      <w:r>
        <w:rPr>
          <w:rFonts w:hint="eastAsia" w:ascii="仿宋" w:hAnsi="仿宋" w:eastAsia="仿宋"/>
          <w:sz w:val="24"/>
          <w:highlight w:val="none"/>
        </w:rPr>
        <w:t>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库管理与权限维护，包括项目基本信息及项目申报信息等内容。</w:t>
      </w:r>
      <w:r>
        <w:rPr>
          <w:rFonts w:hint="eastAsia" w:ascii="仿宋" w:hAnsi="仿宋" w:eastAsia="仿宋"/>
          <w:sz w:val="24"/>
          <w:szCs w:val="20"/>
          <w:highlight w:val="none"/>
        </w:rPr>
        <w:t>档案管理中可进行档案的添加，修改，删除，查看等功能，需要可根据一定条件进行搜索查询和数据分析。</w:t>
      </w:r>
    </w:p>
    <w:p>
      <w:pPr>
        <w:spacing w:line="360" w:lineRule="auto"/>
        <w:ind w:firstLine="480" w:firstLineChars="200"/>
        <w:rPr>
          <w:rFonts w:ascii="仿宋" w:hAnsi="仿宋" w:eastAsia="仿宋"/>
          <w:sz w:val="24"/>
          <w:szCs w:val="20"/>
          <w:highlight w:val="none"/>
        </w:rPr>
      </w:pPr>
      <w:r>
        <w:rPr>
          <w:rFonts w:hint="eastAsia" w:ascii="仿宋" w:hAnsi="仿宋" w:eastAsia="仿宋"/>
          <w:sz w:val="24"/>
          <w:szCs w:val="20"/>
          <w:highlight w:val="none"/>
        </w:rPr>
        <w:t>4.2权限管理</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按照</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sz w:val="24"/>
          <w:highlight w:val="none"/>
        </w:rPr>
        <w:t>管理的要求，对科研项目相关人员不同的角色设置不同的权限。</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4.3项目立项</w:t>
      </w:r>
    </w:p>
    <w:p>
      <w:pPr>
        <w:spacing w:line="360" w:lineRule="auto"/>
        <w:ind w:firstLine="480" w:firstLineChars="200"/>
        <w:rPr>
          <w:rFonts w:ascii="仿宋" w:hAnsi="仿宋" w:eastAsia="仿宋"/>
          <w:sz w:val="24"/>
          <w:szCs w:val="20"/>
          <w:highlight w:val="none"/>
        </w:rPr>
      </w:pPr>
      <w:r>
        <w:rPr>
          <w:rFonts w:hint="eastAsia" w:ascii="仿宋" w:hAnsi="仿宋" w:eastAsia="仿宋"/>
          <w:sz w:val="24"/>
          <w:szCs w:val="20"/>
          <w:highlight w:val="none"/>
        </w:rPr>
        <w:t>包括项目申报、审核、提交项目材料、提交项目预算、实时查询项目进度、附件预览等功能。</w:t>
      </w:r>
    </w:p>
    <w:p>
      <w:pPr>
        <w:spacing w:line="360" w:lineRule="auto"/>
        <w:ind w:firstLine="480" w:firstLineChars="200"/>
        <w:rPr>
          <w:rFonts w:ascii="仿宋" w:hAnsi="仿宋" w:eastAsia="仿宋"/>
          <w:sz w:val="24"/>
          <w:highlight w:val="none"/>
        </w:rPr>
      </w:pPr>
      <w:r>
        <w:rPr>
          <w:rFonts w:hint="eastAsia" w:ascii="仿宋" w:hAnsi="仿宋" w:eastAsia="仿宋"/>
          <w:sz w:val="24"/>
          <w:szCs w:val="20"/>
          <w:highlight w:val="none"/>
        </w:rPr>
        <w:t>4.4项目经费收支</w:t>
      </w:r>
    </w:p>
    <w:p>
      <w:pPr>
        <w:spacing w:line="360" w:lineRule="auto"/>
        <w:ind w:firstLine="480" w:firstLineChars="200"/>
        <w:rPr>
          <w:rFonts w:ascii="仿宋" w:hAnsi="仿宋" w:eastAsia="仿宋"/>
          <w:sz w:val="24"/>
          <w:highlight w:val="none"/>
        </w:rPr>
      </w:pPr>
      <w:r>
        <w:rPr>
          <w:rFonts w:hint="eastAsia" w:ascii="仿宋" w:hAnsi="仿宋" w:eastAsia="仿宋"/>
          <w:sz w:val="24"/>
          <w:szCs w:val="20"/>
          <w:highlight w:val="none"/>
        </w:rPr>
        <w:t>实现项目经费到账、项目经费使用申请、审核、项目预算控制、项目经费收支查询、作废、提交、进度查询等相关功能。</w:t>
      </w:r>
      <w:r>
        <w:rPr>
          <w:rFonts w:hint="eastAsia" w:ascii="仿宋" w:hAnsi="仿宋" w:eastAsia="仿宋"/>
          <w:sz w:val="24"/>
          <w:highlight w:val="none"/>
        </w:rPr>
        <w:t>科研项目与项目组成员关联，实现专人专项报销，杜绝非项目成员错报、误报。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按照经费的不同来源分别进行预算编制与报销执行。</w:t>
      </w:r>
      <w:r>
        <w:rPr>
          <w:rFonts w:hint="eastAsia" w:ascii="仿宋" w:hAnsi="仿宋" w:eastAsia="仿宋"/>
          <w:sz w:val="24"/>
          <w:highlight w:val="none"/>
        </w:rPr>
        <w:cr/>
      </w:r>
      <w:r>
        <w:rPr>
          <w:rFonts w:hint="eastAsia" w:ascii="仿宋" w:hAnsi="仿宋" w:eastAsia="仿宋"/>
          <w:sz w:val="24"/>
          <w:highlight w:val="none"/>
        </w:rPr>
        <w:t xml:space="preserve">    支持科教项目的到款登记与在线认领，通过项目到款控制项目支出，避免项目经费没到账就支出的情况。</w:t>
      </w:r>
      <w:r>
        <w:rPr>
          <w:rFonts w:hint="eastAsia" w:ascii="仿宋" w:hAnsi="仿宋" w:eastAsia="仿宋"/>
          <w:sz w:val="24"/>
          <w:highlight w:val="none"/>
        </w:rPr>
        <w:cr/>
      </w:r>
      <w:r>
        <w:rPr>
          <w:rFonts w:hint="eastAsia" w:ascii="仿宋" w:hAnsi="仿宋" w:eastAsia="仿宋"/>
          <w:sz w:val="24"/>
          <w:highlight w:val="none"/>
        </w:rPr>
        <w:t xml:space="preserve">    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的在线报销与审核，并按照到账金额控制报销支出额度。</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实现项目负责人及各角色在线查询经费的支出及执行情况，方便实时掌握经费情况。</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关联资产物资管理系统，可按科研项目名称筛选、归集相关材料费用，相关材料费用可自动归集到相应科研项目经费中，并作为费用类别中的一类进行归集统计。</w:t>
      </w:r>
      <w:r>
        <w:rPr>
          <w:rFonts w:hint="eastAsia" w:ascii="仿宋" w:hAnsi="仿宋" w:eastAsia="仿宋"/>
          <w:sz w:val="24"/>
          <w:highlight w:val="none"/>
        </w:rPr>
        <w:cr/>
      </w:r>
      <w:r>
        <w:rPr>
          <w:rFonts w:hint="eastAsia" w:ascii="仿宋" w:hAnsi="仿宋" w:eastAsia="仿宋"/>
          <w:sz w:val="24"/>
          <w:highlight w:val="none"/>
        </w:rPr>
        <w:t xml:space="preserve">    4.5项目经费预算调整</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总体预算及分类支出预算的管理，支持预算调整，支持附件上传功能，保留调整痕迹。</w:t>
      </w:r>
      <w:r>
        <w:rPr>
          <w:rFonts w:hint="eastAsia" w:ascii="仿宋" w:hAnsi="仿宋" w:eastAsia="仿宋"/>
          <w:sz w:val="24"/>
          <w:highlight w:val="none"/>
        </w:rPr>
        <w:cr/>
      </w:r>
      <w:r>
        <w:rPr>
          <w:rFonts w:hint="eastAsia" w:ascii="仿宋" w:hAnsi="仿宋" w:eastAsia="仿宋"/>
          <w:sz w:val="24"/>
          <w:highlight w:val="none"/>
        </w:rPr>
        <w:t xml:space="preserve">    4.6实现项目及课题一键结题，及课题审计的相关功能。</w:t>
      </w:r>
      <w:r>
        <w:rPr>
          <w:rFonts w:hint="eastAsia" w:ascii="仿宋" w:hAnsi="仿宋" w:eastAsia="仿宋"/>
          <w:sz w:val="24"/>
          <w:highlight w:val="none"/>
        </w:rPr>
        <w:cr/>
      </w:r>
      <w:r>
        <w:rPr>
          <w:rFonts w:hint="eastAsia" w:ascii="仿宋" w:hAnsi="仿宋" w:eastAsia="仿宋"/>
          <w:sz w:val="24"/>
          <w:highlight w:val="none"/>
        </w:rPr>
        <w:t xml:space="preserve">    4.7</w:t>
      </w:r>
      <w:r>
        <w:rPr>
          <w:rFonts w:hint="eastAsia" w:ascii="仿宋" w:hAnsi="仿宋" w:eastAsia="仿宋"/>
          <w:sz w:val="24"/>
          <w:szCs w:val="20"/>
          <w:highlight w:val="none"/>
        </w:rPr>
        <w:t>统计分析与查询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实现项目经费收支明细情况表的查询和输出，并支持通过项目名称、资金来源、费用类别等筛选条件来归集、统计数据，方便相关负责人随时掌握项目经费的支出构成及使用情况等。</w:t>
      </w:r>
      <w:r>
        <w:rPr>
          <w:rFonts w:hint="eastAsia" w:ascii="仿宋" w:hAnsi="仿宋" w:eastAsia="仿宋"/>
          <w:sz w:val="24"/>
          <w:highlight w:val="none"/>
        </w:rPr>
        <w:cr/>
      </w:r>
      <w:r>
        <w:rPr>
          <w:rFonts w:hint="eastAsia" w:ascii="仿宋" w:hAnsi="仿宋" w:eastAsia="仿宋"/>
          <w:sz w:val="24"/>
          <w:highlight w:val="none"/>
        </w:rPr>
        <w:t xml:space="preserve">    实现</w:t>
      </w:r>
      <w:r>
        <w:rPr>
          <w:rFonts w:hint="eastAsia" w:ascii="仿宋" w:hAnsi="仿宋" w:eastAsia="仿宋"/>
          <w:b w:val="0"/>
          <w:bCs w:val="0"/>
          <w:sz w:val="24"/>
          <w:highlight w:val="none"/>
          <w:lang w:eastAsia="zh-CN"/>
        </w:rPr>
        <w:t>专项（</w:t>
      </w:r>
      <w:r>
        <w:rPr>
          <w:rFonts w:hint="eastAsia" w:ascii="仿宋" w:hAnsi="仿宋" w:eastAsia="仿宋"/>
          <w:b w:val="0"/>
          <w:bCs w:val="0"/>
          <w:sz w:val="24"/>
          <w:highlight w:val="none"/>
        </w:rPr>
        <w:t>科研</w:t>
      </w:r>
      <w:r>
        <w:rPr>
          <w:rFonts w:hint="eastAsia" w:ascii="仿宋" w:hAnsi="仿宋" w:eastAsia="仿宋"/>
          <w:b w:val="0"/>
          <w:bCs w:val="0"/>
          <w:sz w:val="24"/>
          <w:highlight w:val="none"/>
          <w:lang w:eastAsia="zh-CN"/>
        </w:rPr>
        <w:t>等）</w:t>
      </w:r>
      <w:r>
        <w:rPr>
          <w:rFonts w:hint="eastAsia" w:ascii="仿宋" w:hAnsi="仿宋" w:eastAsia="仿宋"/>
          <w:b w:val="0"/>
          <w:bCs w:val="0"/>
          <w:sz w:val="24"/>
          <w:highlight w:val="none"/>
        </w:rPr>
        <w:t>项目</w:t>
      </w:r>
      <w:r>
        <w:rPr>
          <w:rFonts w:hint="eastAsia" w:ascii="仿宋" w:hAnsi="仿宋" w:eastAsia="仿宋"/>
          <w:sz w:val="24"/>
          <w:highlight w:val="none"/>
        </w:rPr>
        <w:t>的预算统计与执行，支持预算执行情况表的查询和输出。</w:t>
      </w:r>
      <w:r>
        <w:rPr>
          <w:rFonts w:hint="eastAsia" w:ascii="仿宋" w:hAnsi="仿宋" w:eastAsia="仿宋"/>
          <w:sz w:val="24"/>
          <w:highlight w:val="none"/>
        </w:rPr>
        <w:cr/>
      </w:r>
      <w:r>
        <w:rPr>
          <w:rFonts w:hint="eastAsia" w:ascii="仿宋" w:hAnsi="仿宋" w:eastAsia="仿宋"/>
          <w:sz w:val="24"/>
          <w:highlight w:val="none"/>
        </w:rPr>
        <w:t xml:space="preserve">    </w:t>
      </w:r>
      <w:r>
        <w:rPr>
          <w:rFonts w:hint="eastAsia" w:ascii="仿宋" w:hAnsi="仿宋" w:eastAsia="仿宋"/>
          <w:b/>
          <w:bCs/>
          <w:sz w:val="24"/>
          <w:highlight w:val="none"/>
        </w:rPr>
        <w:t>5.核算中心模块</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5.1与相关系统对接，财务凭证自动生成</w:t>
      </w:r>
    </w:p>
    <w:p>
      <w:pPr>
        <w:spacing w:line="360" w:lineRule="auto"/>
        <w:ind w:firstLine="480" w:firstLineChars="200"/>
        <w:rPr>
          <w:rFonts w:ascii="仿宋" w:hAnsi="仿宋" w:eastAsia="仿宋"/>
          <w:sz w:val="24"/>
          <w:highlight w:val="none"/>
        </w:rPr>
      </w:pPr>
      <w:r>
        <w:rPr>
          <w:rFonts w:ascii="仿宋" w:hAnsi="仿宋" w:eastAsia="仿宋"/>
          <w:sz w:val="24"/>
          <w:highlight w:val="none"/>
        </w:rPr>
        <w:t>自动生成收入、支出、非收非付</w:t>
      </w:r>
      <w:r>
        <w:rPr>
          <w:rFonts w:hint="eastAsia" w:ascii="仿宋" w:hAnsi="仿宋" w:eastAsia="仿宋"/>
          <w:sz w:val="24"/>
          <w:highlight w:val="none"/>
        </w:rPr>
        <w:t>等相关</w:t>
      </w:r>
      <w:r>
        <w:rPr>
          <w:rFonts w:ascii="仿宋" w:hAnsi="仿宋" w:eastAsia="仿宋"/>
          <w:sz w:val="24"/>
          <w:highlight w:val="none"/>
        </w:rPr>
        <w:t>业务对应的政府会计凭证，提高财务工作效率，并确保业务与财务核算的一致性</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5.1.1与门诊挂号住院系统形成接口，自动获取每日收入数据，自动生成每日收入凭证；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5.1.2与药库系统形成接口，自动生成凭证；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5.1.3与物资系统形成接口，自动生成凭证；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5.1.4与薪资系统形成接口，自动生成工资凭证;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5.1.5与银联系统形成接口，自动生成支付凭证;</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5.2</w:t>
      </w:r>
      <w:r>
        <w:rPr>
          <w:rFonts w:ascii="仿宋" w:hAnsi="仿宋" w:eastAsia="仿宋"/>
          <w:sz w:val="24"/>
          <w:highlight w:val="none"/>
        </w:rPr>
        <w:t>实现生成的政府会计会计凭证内容包括凭证摘要、借贷方会计科目、现金流量项目、本年盈余差异、以及其他如部门、医院项目、其他拨款项目、个人、客商、银行账户、经费性质、政府指令性任务等</w:t>
      </w:r>
      <w:r>
        <w:rPr>
          <w:rFonts w:hint="eastAsia" w:ascii="仿宋" w:hAnsi="仿宋" w:eastAsia="仿宋"/>
          <w:sz w:val="24"/>
          <w:highlight w:val="none"/>
        </w:rPr>
        <w:t>相关</w:t>
      </w:r>
      <w:r>
        <w:rPr>
          <w:rFonts w:ascii="仿宋" w:hAnsi="仿宋" w:eastAsia="仿宋"/>
          <w:sz w:val="24"/>
          <w:highlight w:val="none"/>
        </w:rPr>
        <w:t>辅助核算，</w:t>
      </w:r>
      <w:r>
        <w:rPr>
          <w:rFonts w:hint="eastAsia" w:ascii="仿宋" w:hAnsi="仿宋" w:eastAsia="仿宋"/>
          <w:sz w:val="24"/>
          <w:highlight w:val="none"/>
        </w:rPr>
        <w:t>支持对生成的相关信息进行修改。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5.3</w:t>
      </w:r>
      <w:r>
        <w:rPr>
          <w:rFonts w:ascii="仿宋" w:hAnsi="仿宋" w:eastAsia="仿宋"/>
          <w:sz w:val="24"/>
          <w:highlight w:val="none"/>
        </w:rPr>
        <w:t>实现财务对当月凭证总量的预计查询，</w:t>
      </w:r>
      <w:r>
        <w:rPr>
          <w:rFonts w:hint="eastAsia" w:ascii="仿宋" w:hAnsi="仿宋" w:eastAsia="仿宋"/>
          <w:sz w:val="24"/>
          <w:highlight w:val="none"/>
        </w:rPr>
        <w:t>支持按照各种不同维度组合查询。</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5.4</w:t>
      </w:r>
      <w:r>
        <w:rPr>
          <w:rFonts w:ascii="仿宋" w:hAnsi="仿宋" w:eastAsia="仿宋"/>
          <w:sz w:val="24"/>
          <w:highlight w:val="none"/>
        </w:rPr>
        <w:t>实现政府会计凭证与业务单据信息、业务单据附件的之间联查</w:t>
      </w:r>
      <w:r>
        <w:rPr>
          <w:rFonts w:hint="eastAsia" w:ascii="仿宋" w:hAnsi="仿宋" w:eastAsia="仿宋"/>
          <w:sz w:val="24"/>
          <w:highlight w:val="none"/>
        </w:rPr>
        <w:t>功能</w:t>
      </w:r>
      <w:r>
        <w:rPr>
          <w:rFonts w:ascii="仿宋" w:hAnsi="仿宋" w:eastAsia="仿宋"/>
          <w:sz w:val="24"/>
          <w:highlight w:val="none"/>
        </w:rPr>
        <w:t>。</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6.</w:t>
      </w:r>
      <w:r>
        <w:rPr>
          <w:rFonts w:ascii="仿宋" w:hAnsi="仿宋" w:eastAsia="仿宋"/>
          <w:b/>
          <w:bCs/>
          <w:sz w:val="24"/>
          <w:highlight w:val="none"/>
        </w:rPr>
        <w:t>银医直连</w:t>
      </w:r>
      <w:r>
        <w:rPr>
          <w:rFonts w:hint="eastAsia" w:ascii="仿宋" w:hAnsi="仿宋" w:eastAsia="仿宋"/>
          <w:b/>
          <w:bCs/>
          <w:sz w:val="24"/>
          <w:highlight w:val="none"/>
        </w:rPr>
        <w:t>模块</w:t>
      </w:r>
    </w:p>
    <w:p>
      <w:pPr>
        <w:spacing w:line="360" w:lineRule="auto"/>
        <w:ind w:firstLine="480" w:firstLineChars="200"/>
        <w:rPr>
          <w:rFonts w:ascii="仿宋" w:hAnsi="仿宋" w:eastAsia="仿宋"/>
          <w:sz w:val="24"/>
          <w:highlight w:val="none"/>
        </w:rPr>
      </w:pPr>
      <w:r>
        <w:rPr>
          <w:rFonts w:ascii="宋体" w:hAnsi="宋体"/>
          <w:bCs/>
          <w:sz w:val="24"/>
          <w:highlight w:val="none"/>
        </w:rPr>
        <w:t>▲</w:t>
      </w:r>
      <w:r>
        <w:rPr>
          <w:rFonts w:hint="eastAsia" w:ascii="仿宋" w:hAnsi="仿宋" w:eastAsia="仿宋"/>
          <w:sz w:val="24"/>
          <w:highlight w:val="none"/>
        </w:rPr>
        <w:t>通过银医系统的对接，可实现业务系统自动对外付款，减少出错、保障安全。根据来款数据和付款记录，进行资金与业务匹配对账，系统对接高效便捷。</w:t>
      </w:r>
    </w:p>
    <w:p>
      <w:pPr>
        <w:spacing w:line="360" w:lineRule="auto"/>
        <w:ind w:firstLine="480" w:firstLineChars="200"/>
        <w:rPr>
          <w:rFonts w:ascii="仿宋" w:hAnsi="仿宋" w:eastAsia="仿宋"/>
          <w:sz w:val="24"/>
          <w:highlight w:val="none"/>
        </w:rPr>
      </w:pPr>
      <w:r>
        <w:rPr>
          <w:rFonts w:ascii="仿宋" w:hAnsi="仿宋" w:eastAsia="仿宋"/>
          <w:sz w:val="24"/>
          <w:highlight w:val="none"/>
        </w:rPr>
        <w:t>实现账户与账户权限管理；</w:t>
      </w:r>
    </w:p>
    <w:p>
      <w:pPr>
        <w:spacing w:line="360" w:lineRule="auto"/>
        <w:ind w:firstLine="480" w:firstLineChars="200"/>
        <w:rPr>
          <w:rFonts w:ascii="仿宋" w:hAnsi="仿宋" w:eastAsia="仿宋"/>
          <w:sz w:val="24"/>
          <w:highlight w:val="none"/>
        </w:rPr>
      </w:pPr>
      <w:r>
        <w:rPr>
          <w:rFonts w:ascii="仿宋" w:hAnsi="仿宋" w:eastAsia="仿宋"/>
          <w:sz w:val="24"/>
          <w:highlight w:val="none"/>
        </w:rPr>
        <w:t>按照付款流程支持银医互联支付和手动支付流程</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支持批量支付和单笔支付场景；</w:t>
      </w:r>
    </w:p>
    <w:p>
      <w:pPr>
        <w:spacing w:line="360" w:lineRule="auto"/>
        <w:ind w:firstLine="480" w:firstLineChars="200"/>
        <w:rPr>
          <w:rFonts w:ascii="仿宋" w:hAnsi="仿宋" w:eastAsia="仿宋"/>
          <w:sz w:val="24"/>
          <w:highlight w:val="none"/>
        </w:rPr>
      </w:pPr>
      <w:r>
        <w:rPr>
          <w:rFonts w:ascii="仿宋" w:hAnsi="仿宋" w:eastAsia="仿宋"/>
          <w:sz w:val="24"/>
          <w:highlight w:val="none"/>
        </w:rPr>
        <w:t>支付记录中需要记录付款的全部信息，并关联付款单据；</w:t>
      </w:r>
    </w:p>
    <w:p>
      <w:pPr>
        <w:spacing w:line="360" w:lineRule="auto"/>
        <w:ind w:firstLine="480" w:firstLineChars="200"/>
        <w:rPr>
          <w:rFonts w:ascii="仿宋" w:hAnsi="仿宋" w:eastAsia="仿宋"/>
          <w:sz w:val="24"/>
          <w:highlight w:val="none"/>
        </w:rPr>
      </w:pPr>
      <w:r>
        <w:rPr>
          <w:rFonts w:ascii="仿宋" w:hAnsi="仿宋" w:eastAsia="仿宋"/>
          <w:sz w:val="24"/>
          <w:highlight w:val="none"/>
        </w:rPr>
        <w:t>付款单据的申请付款和确认付款均应记录支付操作日志；</w:t>
      </w:r>
    </w:p>
    <w:p>
      <w:pPr>
        <w:spacing w:line="360" w:lineRule="auto"/>
        <w:ind w:firstLine="480" w:firstLineChars="200"/>
        <w:rPr>
          <w:rFonts w:ascii="仿宋" w:hAnsi="仿宋" w:eastAsia="仿宋"/>
          <w:sz w:val="24"/>
          <w:highlight w:val="none"/>
        </w:rPr>
      </w:pPr>
      <w:r>
        <w:rPr>
          <w:rFonts w:ascii="仿宋" w:hAnsi="仿宋" w:eastAsia="仿宋"/>
          <w:sz w:val="24"/>
          <w:highlight w:val="none"/>
        </w:rPr>
        <w:t>支持导出相应付款记录的表格；</w:t>
      </w:r>
    </w:p>
    <w:p>
      <w:pPr>
        <w:spacing w:line="360" w:lineRule="auto"/>
        <w:ind w:firstLine="480" w:firstLineChars="200"/>
        <w:rPr>
          <w:rFonts w:ascii="仿宋" w:hAnsi="仿宋" w:eastAsia="仿宋"/>
          <w:sz w:val="24"/>
          <w:highlight w:val="none"/>
        </w:rPr>
      </w:pPr>
      <w:r>
        <w:rPr>
          <w:rFonts w:ascii="仿宋" w:hAnsi="仿宋" w:eastAsia="仿宋"/>
          <w:sz w:val="24"/>
          <w:highlight w:val="none"/>
        </w:rPr>
        <w:t>申请付款、银医付款、确认付款均有权限相关的要求，仅有权限的人可操作。</w:t>
      </w:r>
    </w:p>
    <w:p>
      <w:pPr>
        <w:spacing w:line="360" w:lineRule="auto"/>
        <w:ind w:firstLine="482" w:firstLineChars="200"/>
        <w:rPr>
          <w:rFonts w:ascii="仿宋" w:hAnsi="仿宋" w:eastAsia="仿宋"/>
          <w:b/>
          <w:bCs/>
          <w:sz w:val="24"/>
          <w:highlight w:val="none"/>
        </w:rPr>
      </w:pPr>
      <w:r>
        <w:rPr>
          <w:rFonts w:hint="eastAsia" w:ascii="仿宋" w:hAnsi="仿宋" w:eastAsia="仿宋"/>
          <w:b/>
          <w:bCs/>
          <w:sz w:val="24"/>
          <w:highlight w:val="none"/>
        </w:rPr>
        <w:t>7.招标进度管理模块</w:t>
      </w:r>
    </w:p>
    <w:p>
      <w:pPr>
        <w:spacing w:line="360" w:lineRule="auto"/>
        <w:ind w:firstLine="480" w:firstLineChars="200"/>
        <w:rPr>
          <w:rFonts w:ascii="宋体" w:hAnsi="宋体"/>
          <w:bCs/>
          <w:sz w:val="24"/>
          <w:highlight w:val="none"/>
        </w:rPr>
      </w:pPr>
      <w:r>
        <w:rPr>
          <w:rFonts w:hint="eastAsia" w:ascii="仿宋" w:hAnsi="仿宋" w:eastAsia="仿宋"/>
          <w:sz w:val="24"/>
          <w:highlight w:val="none"/>
        </w:rPr>
        <w:t>通过对医院各类招标项目的进度管理，提升医院招标工作效率。流程如下：</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7.1申请科室：招标项目名称、招标预算金额、招标要素</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7.2采购科室：采购方式、招标预算金额、招标要素、院内或第三方代理招标确认</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7.3业务分管院长审批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7.4招标办：意见征求稿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7.5采购科室：确认意见征求稿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7.6招标办：招标分管院长，监察室报备（项目推进）</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7.7招标办：开标时间通知（采购科室、业务分管院长、招标分管院长，监察室），分三次自动提醒：开标时间确定、开标前一天和开标当天</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7.8招标办：中标结果通知（采购科室、业务分管院长、招标分管院长）</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7.9采购科室：采购合同上传</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四、项目管理、实施、验收、培训要求</w:t>
      </w:r>
    </w:p>
    <w:p>
      <w:pPr>
        <w:spacing w:line="360" w:lineRule="auto"/>
        <w:ind w:firstLine="480" w:firstLineChars="200"/>
        <w:rPr>
          <w:rFonts w:ascii="仿宋" w:hAnsi="仿宋" w:eastAsia="仿宋"/>
          <w:sz w:val="24"/>
          <w:highlight w:val="none"/>
        </w:rPr>
      </w:pPr>
      <w:r>
        <w:rPr>
          <w:rFonts w:hint="eastAsia" w:ascii="仿宋" w:hAnsi="仿宋" w:eastAsia="仿宋"/>
          <w:bCs/>
          <w:sz w:val="24"/>
          <w:highlight w:val="none"/>
        </w:rPr>
        <w:t>本项目建设周期为4个月，具体进度要求如下：</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1.中标人应充分考虑满足投标项目的建设要求。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2中标人应书面明确实施投标项目的人员配置管理计划，包括组织结构、项目负责人、组成人员及分工职责。中标人应派经招标人认可的有经验和能力、具有相应资质的技术人员，负责系统、设备安装工作。</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3.本项目为“一揽子工程”， 中标人应充分理解与满足招标文件中的需求与目标，如中标人对本项目理解有误或方案设计存在偏差等，导致项目在实施过程中发现遗漏工程的，弥补的项目费用全部由中标人承担，招标人不再另行支付其他费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4.由原厂技术人员实地完成本项目实施。根据招标人要求与招标人现有的系统做好无缝对接，接口产生的所有费用全部由中标人承担。</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5.中标人须负责完成与本次实施系统相关的所有第三方软件产品的系统接口集成工作，并在合同实施期内完成。本系统需满足（包含不仅限于采购文件所列的接口要求），所产生的全部接口费用(包括第三方软件产品</w:t>
      </w:r>
      <w:r>
        <w:rPr>
          <w:rFonts w:ascii="仿宋" w:hAnsi="仿宋" w:eastAsia="仿宋"/>
          <w:sz w:val="24"/>
          <w:highlight w:val="none"/>
        </w:rPr>
        <w:t>)</w:t>
      </w:r>
      <w:r>
        <w:rPr>
          <w:rFonts w:hint="eastAsia" w:ascii="仿宋" w:hAnsi="仿宋" w:eastAsia="仿宋"/>
          <w:sz w:val="24"/>
          <w:highlight w:val="none"/>
        </w:rPr>
        <w:t>由中标方承担。</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6.中标人提供的产品必须达到国家医疗健康信息互联互通标准化成熟度四级甲等相关标准，所产生的全部费用由中标方承担。</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7.中标人提供的产品要求免费提供接口标准，以便医院第三方系统接入或提取数据。</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8.中标人应按招标相关要求签订合同，在接到招标人要求安装的通知后，中标人应根据实际情况制定项目进度安排，</w:t>
      </w:r>
      <w:r>
        <w:rPr>
          <w:rFonts w:ascii="仿宋" w:hAnsi="仿宋" w:eastAsia="仿宋"/>
          <w:sz w:val="24"/>
          <w:highlight w:val="none"/>
        </w:rPr>
        <w:t>4</w:t>
      </w:r>
      <w:r>
        <w:rPr>
          <w:rFonts w:hint="eastAsia" w:ascii="仿宋" w:hAnsi="仿宋" w:eastAsia="仿宋"/>
          <w:sz w:val="24"/>
          <w:highlight w:val="none"/>
        </w:rPr>
        <w:t>个月完成全部项目实施工作。中标人不能在规定的时间完成项目的，每延误1天,交纳投标价的</w:t>
      </w:r>
      <w:r>
        <w:rPr>
          <w:rFonts w:ascii="仿宋" w:hAnsi="仿宋" w:eastAsia="仿宋"/>
          <w:sz w:val="24"/>
          <w:highlight w:val="none"/>
        </w:rPr>
        <w:t>1</w:t>
      </w:r>
      <w:r>
        <w:rPr>
          <w:rFonts w:hint="eastAsia" w:ascii="仿宋" w:hAnsi="仿宋" w:eastAsia="仿宋"/>
          <w:sz w:val="24"/>
          <w:highlight w:val="none"/>
        </w:rPr>
        <w:t>%违约金。</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9.投入试运行后正常运行1个月后，提请正式验收，验收合格，提交全部报告材料，出具终验报告，正式交付使用，进入维护期。</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10.中标人应在投标文件中提供详细的培训方案，其内容包括培训目标、内容、方式、计划等。中标人须在招标人指定的地点为招标人提供项目的操作、使用及维护的技术培训服务。中标人应将所有培训费用（含培训教材费）计入投标总价。</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五、售后服务要求</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1.中标人应为本项目配备技术服务团队，并提供一年免费维保服务和永久技术支持，包括各种突发事件采取应急措施等</w:t>
      </w:r>
      <w:r>
        <w:rPr>
          <w:rFonts w:hint="eastAsia" w:ascii="仿宋" w:hAnsi="仿宋" w:eastAsia="仿宋"/>
          <w:sz w:val="24"/>
          <w:highlight w:val="none"/>
          <w:lang w:eastAsia="zh-CN"/>
        </w:rPr>
        <w:t>，承诺后期年服务费不超过中标价的</w:t>
      </w:r>
      <w:r>
        <w:rPr>
          <w:rFonts w:hint="eastAsia" w:ascii="仿宋" w:hAnsi="仿宋" w:eastAsia="仿宋"/>
          <w:sz w:val="24"/>
          <w:highlight w:val="none"/>
          <w:lang w:val="en-US" w:eastAsia="zh-CN"/>
        </w:rPr>
        <w:t>10%</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2.在质保期满时，中标人的工程师和招标人代表对所有产品进行一次测试，任何故障须由中标人自费解决并取得招标人的认可。</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3.招标人保留对中标产品进行一次免费的重做接口、异地搬迁、安装、调试的权利。</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六、付款方式</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根据《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w:t>
      </w:r>
      <w:r>
        <w:rPr>
          <w:rFonts w:hint="eastAsia" w:ascii="仿宋" w:hAnsi="仿宋" w:eastAsia="仿宋"/>
          <w:sz w:val="24"/>
          <w:highlight w:val="none"/>
          <w:lang w:eastAsia="zh-CN"/>
        </w:rPr>
        <w:t>具体双方协商决定</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七、其他要求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本项目的监理单位为绍兴市中医院、绍兴市第七人民医院、绍兴市口腔医院</w:t>
      </w:r>
      <w:r>
        <w:rPr>
          <w:rFonts w:hint="eastAsia" w:ascii="仿宋" w:hAnsi="仿宋" w:eastAsia="仿宋"/>
          <w:sz w:val="24"/>
          <w:highlight w:val="none"/>
          <w:lang w:eastAsia="zh-CN"/>
        </w:rPr>
        <w:t>分别自行确定</w:t>
      </w:r>
      <w:r>
        <w:rPr>
          <w:rFonts w:hint="eastAsia" w:ascii="仿宋" w:hAnsi="仿宋" w:eastAsia="仿宋"/>
          <w:sz w:val="24"/>
          <w:highlight w:val="none"/>
        </w:rPr>
        <w:t>。</w:t>
      </w:r>
    </w:p>
    <w:p>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sz w:val="24"/>
          <w:highlight w:val="none"/>
          <w:lang w:eastAsia="zh-CN"/>
        </w:rPr>
        <w:t>中标人需免费提供每家医院配套</w:t>
      </w:r>
      <w:r>
        <w:rPr>
          <w:rFonts w:hint="eastAsia" w:ascii="仿宋" w:hAnsi="仿宋" w:eastAsia="仿宋" w:cs="Times New Roman"/>
          <w:sz w:val="24"/>
          <w:highlight w:val="none"/>
          <w:lang w:eastAsia="zh-CN"/>
        </w:rPr>
        <w:t>服务器</w:t>
      </w:r>
      <w:r>
        <w:rPr>
          <w:rFonts w:hint="eastAsia" w:ascii="仿宋" w:hAnsi="仿宋" w:eastAsia="仿宋" w:cs="Times New Roman"/>
          <w:sz w:val="24"/>
          <w:highlight w:val="none"/>
          <w:lang w:val="en-US" w:eastAsia="zh-CN"/>
        </w:rPr>
        <w:t>2</w:t>
      </w:r>
      <w:r>
        <w:rPr>
          <w:rFonts w:hint="eastAsia" w:ascii="仿宋" w:hAnsi="仿宋" w:eastAsia="仿宋" w:cs="Times New Roman"/>
          <w:sz w:val="24"/>
          <w:highlight w:val="none"/>
          <w:lang w:eastAsia="zh-CN"/>
        </w:rPr>
        <w:t>台</w:t>
      </w:r>
      <w:r>
        <w:rPr>
          <w:rFonts w:hint="eastAsia" w:ascii="仿宋" w:hAnsi="仿宋" w:eastAsia="仿宋" w:cs="Times New Roman"/>
          <w:color w:val="FF0000"/>
          <w:sz w:val="24"/>
          <w:highlight w:val="none"/>
          <w:lang w:eastAsia="zh-CN"/>
        </w:rPr>
        <w:t>（</w:t>
      </w:r>
      <w:r>
        <w:rPr>
          <w:rFonts w:hint="eastAsia" w:ascii="仿宋" w:hAnsi="仿宋" w:eastAsia="仿宋" w:cs="Times New Roman"/>
          <w:b/>
          <w:bCs/>
          <w:color w:val="FF0000"/>
          <w:sz w:val="24"/>
          <w:highlight w:val="none"/>
          <w:lang w:eastAsia="zh-CN"/>
        </w:rPr>
        <w:t>必备且按招标文件中投标产品规格配置清单要求提供相关证明资料。</w:t>
      </w:r>
      <w:r>
        <w:rPr>
          <w:rFonts w:hint="eastAsia" w:ascii="仿宋" w:hAnsi="仿宋" w:eastAsia="仿宋" w:cs="Times New Roman"/>
          <w:color w:val="FF0000"/>
          <w:sz w:val="24"/>
          <w:highlight w:val="none"/>
          <w:lang w:eastAsia="zh-CN"/>
        </w:rPr>
        <w:t>）</w:t>
      </w:r>
      <w:r>
        <w:rPr>
          <w:rFonts w:hint="eastAsia" w:ascii="仿宋" w:hAnsi="仿宋" w:eastAsia="仿宋" w:cs="Times New Roman"/>
          <w:sz w:val="24"/>
          <w:highlight w:val="none"/>
          <w:lang w:eastAsia="zh-CN"/>
        </w:rPr>
        <w:t>：内存</w:t>
      </w:r>
      <w:r>
        <w:rPr>
          <w:rFonts w:hint="eastAsia" w:ascii="仿宋" w:hAnsi="仿宋" w:eastAsia="仿宋" w:cs="Times New Roman"/>
          <w:sz w:val="24"/>
          <w:highlight w:val="none"/>
          <w:lang w:val="en-US" w:eastAsia="zh-CN"/>
        </w:rPr>
        <w:t>256</w:t>
      </w:r>
      <w:r>
        <w:rPr>
          <w:rFonts w:hint="eastAsia" w:ascii="仿宋" w:hAnsi="仿宋" w:eastAsia="仿宋" w:cs="Times New Roman"/>
          <w:sz w:val="24"/>
          <w:highlight w:val="none"/>
          <w:lang w:eastAsia="zh-CN"/>
        </w:rPr>
        <w:t>G、</w:t>
      </w:r>
      <w:r>
        <w:rPr>
          <w:rFonts w:hint="eastAsia" w:ascii="仿宋" w:hAnsi="仿宋" w:eastAsia="仿宋" w:cs="Times New Roman"/>
          <w:sz w:val="24"/>
          <w:highlight w:val="none"/>
          <w:lang w:val="en-US" w:eastAsia="zh-CN"/>
        </w:rPr>
        <w:t>32G*8、配置双端口HBA卡、</w:t>
      </w:r>
      <w:r>
        <w:rPr>
          <w:rFonts w:hint="eastAsia" w:ascii="仿宋" w:hAnsi="仿宋" w:eastAsia="仿宋" w:cs="Times New Roman"/>
          <w:sz w:val="24"/>
          <w:highlight w:val="none"/>
          <w:lang w:eastAsia="zh-CN"/>
        </w:rPr>
        <w:t>双口万兆网口、</w:t>
      </w:r>
      <w:r>
        <w:rPr>
          <w:rFonts w:hint="eastAsia" w:ascii="仿宋" w:hAnsi="仿宋" w:eastAsia="仿宋" w:cs="Times New Roman"/>
          <w:sz w:val="24"/>
          <w:highlight w:val="none"/>
          <w:lang w:val="en-US" w:eastAsia="zh-CN"/>
        </w:rPr>
        <w:t>960GSSD*5</w:t>
      </w:r>
      <w:r>
        <w:rPr>
          <w:rFonts w:hint="eastAsia" w:ascii="仿宋" w:hAnsi="仿宋" w:eastAsia="仿宋" w:cs="Times New Roman"/>
          <w:sz w:val="24"/>
          <w:highlight w:val="none"/>
          <w:lang w:eastAsia="zh-CN"/>
        </w:rPr>
        <w:t>。</w:t>
      </w:r>
    </w:p>
    <w:p>
      <w:pPr>
        <w:spacing w:line="360" w:lineRule="auto"/>
        <w:ind w:firstLine="480" w:firstLineChars="200"/>
        <w:rPr>
          <w:rFonts w:ascii="仿宋" w:hAnsi="仿宋" w:eastAsia="仿宋"/>
          <w:sz w:val="24"/>
          <w:highlight w:val="none"/>
        </w:rPr>
      </w:pPr>
    </w:p>
    <w:p>
      <w:pPr>
        <w:spacing w:line="400" w:lineRule="exact"/>
        <w:ind w:firstLine="480" w:firstLineChars="200"/>
        <w:rPr>
          <w:rFonts w:ascii="仿宋_GB2312" w:hAnsi="新宋体" w:eastAsia="仿宋_GB2312" w:cs="Arial"/>
          <w:bCs/>
          <w:sz w:val="24"/>
          <w:highlight w:val="none"/>
        </w:rPr>
      </w:pPr>
    </w:p>
    <w:bookmarkEnd w:id="12"/>
    <w:bookmarkEnd w:id="13"/>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rPr>
      </w:pP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82"/>
        <w:rPr>
          <w:rFonts w:ascii="仿宋" w:hAnsi="仿宋" w:eastAsia="仿宋"/>
          <w:szCs w:val="24"/>
          <w:highlight w:val="none"/>
        </w:rPr>
      </w:pPr>
    </w:p>
    <w:p>
      <w:pPr>
        <w:pStyle w:val="282"/>
        <w:rPr>
          <w:rFonts w:ascii="仿宋" w:hAnsi="仿宋" w:eastAsia="仿宋"/>
          <w:szCs w:val="24"/>
          <w:highlight w:val="none"/>
        </w:rPr>
      </w:pPr>
    </w:p>
    <w:p>
      <w:pPr>
        <w:pStyle w:val="282"/>
        <w:jc w:val="center"/>
        <w:rPr>
          <w:rFonts w:ascii="仿宋" w:hAnsi="仿宋" w:eastAsia="仿宋"/>
          <w:szCs w:val="24"/>
          <w:highlight w:val="none"/>
        </w:rPr>
      </w:pPr>
    </w:p>
    <w:p>
      <w:pPr>
        <w:pStyle w:val="282"/>
        <w:ind w:firstLine="2843" w:firstLineChars="1180"/>
        <w:rPr>
          <w:rFonts w:ascii="仿宋" w:hAnsi="仿宋" w:eastAsia="仿宋"/>
          <w:b/>
          <w:szCs w:val="24"/>
          <w:highlight w:val="none"/>
        </w:rPr>
      </w:pPr>
      <w:r>
        <w:rPr>
          <w:rFonts w:hint="eastAsia" w:ascii="仿宋" w:hAnsi="仿宋" w:eastAsia="仿宋"/>
          <w:b/>
          <w:szCs w:val="24"/>
          <w:highlight w:val="none"/>
        </w:rPr>
        <w:t xml:space="preserve">第一部分  </w:t>
      </w:r>
      <w:r>
        <w:rPr>
          <w:rFonts w:ascii="仿宋" w:hAnsi="仿宋" w:eastAsia="仿宋"/>
          <w:b/>
          <w:szCs w:val="24"/>
          <w:highlight w:val="none"/>
        </w:rPr>
        <w:t xml:space="preserve"> </w:t>
      </w:r>
      <w:r>
        <w:rPr>
          <w:rFonts w:hint="eastAsia" w:ascii="仿宋" w:hAnsi="仿宋" w:eastAsia="仿宋"/>
          <w:b/>
          <w:szCs w:val="24"/>
          <w:highlight w:val="none"/>
        </w:rPr>
        <w:t>合同书</w:t>
      </w:r>
    </w:p>
    <w:p>
      <w:pPr>
        <w:pStyle w:val="282"/>
        <w:rPr>
          <w:rFonts w:ascii="仿宋" w:hAnsi="仿宋" w:eastAsia="仿宋"/>
          <w:szCs w:val="24"/>
          <w:highlight w:val="none"/>
        </w:rPr>
      </w:pPr>
    </w:p>
    <w:p>
      <w:pPr>
        <w:pStyle w:val="282"/>
        <w:rPr>
          <w:rFonts w:ascii="仿宋" w:hAnsi="仿宋" w:eastAsia="仿宋"/>
          <w:szCs w:val="24"/>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81"/>
        <w:spacing w:before="120" w:line="22" w:lineRule="atLeast"/>
        <w:rPr>
          <w:rFonts w:ascii="仿宋" w:hAnsi="仿宋" w:eastAsia="仿宋"/>
          <w:szCs w:val="24"/>
          <w:highlight w:val="none"/>
        </w:rPr>
      </w:pPr>
    </w:p>
    <w:p>
      <w:pPr>
        <w:pStyle w:val="281"/>
        <w:spacing w:before="120" w:line="22" w:lineRule="atLeast"/>
        <w:rPr>
          <w:rFonts w:ascii="仿宋" w:hAnsi="仿宋" w:eastAsia="仿宋"/>
          <w:szCs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（中标供应商名称）</w:t>
      </w:r>
      <w:r>
        <w:rPr>
          <w:rFonts w:hint="eastAsia" w:ascii="仿宋" w:hAnsi="仿宋" w:eastAsia="仿宋"/>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（中标供应商名称）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4" w:name="_Toc3029"/>
      <w:bookmarkStart w:id="15" w:name="_Toc24059"/>
      <w:bookmarkStart w:id="16" w:name="_Toc2232"/>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4"/>
      <w:bookmarkEnd w:id="15"/>
      <w:bookmarkEnd w:id="1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17" w:name="_Toc27126"/>
      <w:bookmarkStart w:id="18" w:name="_Toc21295"/>
      <w:bookmarkStart w:id="19" w:name="_Toc24300"/>
      <w:r>
        <w:rPr>
          <w:rFonts w:ascii="仿宋" w:hAnsi="仿宋" w:eastAsia="仿宋"/>
          <w:b/>
          <w:sz w:val="24"/>
          <w:highlight w:val="none"/>
        </w:rPr>
        <w:t xml:space="preserve">1.2 </w:t>
      </w:r>
      <w:r>
        <w:rPr>
          <w:rFonts w:hint="eastAsia" w:ascii="仿宋" w:hAnsi="仿宋" w:eastAsia="仿宋"/>
          <w:b/>
          <w:sz w:val="24"/>
          <w:highlight w:val="none"/>
        </w:rPr>
        <w:t>货物</w:t>
      </w:r>
      <w:bookmarkEnd w:id="17"/>
      <w:bookmarkEnd w:id="18"/>
      <w:bookmarkEnd w:id="19"/>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0" w:name="_Toc21631"/>
      <w:bookmarkStart w:id="21" w:name="_Toc21551"/>
      <w:bookmarkStart w:id="22" w:name="_Toc23292"/>
      <w:r>
        <w:rPr>
          <w:rFonts w:ascii="仿宋" w:hAnsi="仿宋" w:eastAsia="仿宋"/>
          <w:b/>
          <w:sz w:val="24"/>
          <w:highlight w:val="none"/>
        </w:rPr>
        <w:t xml:space="preserve">1.3 </w:t>
      </w:r>
      <w:r>
        <w:rPr>
          <w:rFonts w:hint="eastAsia" w:ascii="仿宋" w:hAnsi="仿宋" w:eastAsia="仿宋"/>
          <w:b/>
          <w:sz w:val="24"/>
          <w:highlight w:val="none"/>
        </w:rPr>
        <w:t>价款</w:t>
      </w:r>
      <w:bookmarkEnd w:id="20"/>
      <w:bookmarkEnd w:id="21"/>
      <w:bookmarkEnd w:id="2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23" w:name="_Toc10340"/>
      <w:bookmarkStart w:id="24" w:name="_Toc22618"/>
      <w:bookmarkStart w:id="25" w:name="_Toc1814"/>
      <w:r>
        <w:rPr>
          <w:rFonts w:ascii="仿宋" w:hAnsi="仿宋" w:eastAsia="仿宋"/>
          <w:b/>
          <w:sz w:val="24"/>
          <w:highlight w:val="none"/>
        </w:rPr>
        <w:t xml:space="preserve">1.4 </w:t>
      </w:r>
      <w:r>
        <w:rPr>
          <w:rFonts w:hint="eastAsia" w:ascii="仿宋" w:hAnsi="仿宋" w:eastAsia="仿宋"/>
          <w:b/>
          <w:sz w:val="24"/>
          <w:highlight w:val="none"/>
        </w:rPr>
        <w:t>付款</w:t>
      </w:r>
      <w:bookmarkEnd w:id="23"/>
      <w:bookmarkEnd w:id="24"/>
      <w:bookmarkEnd w:id="25"/>
      <w:r>
        <w:rPr>
          <w:rFonts w:hint="eastAsia" w:ascii="仿宋" w:hAnsi="仿宋" w:eastAsia="仿宋"/>
          <w:b/>
          <w:sz w:val="24"/>
          <w:highlight w:val="none"/>
        </w:rPr>
        <w:t>方式、时间和条件</w:t>
      </w:r>
    </w:p>
    <w:p>
      <w:pPr>
        <w:pStyle w:val="283"/>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2" w:firstLineChars="200"/>
        <w:outlineLvl w:val="0"/>
        <w:rPr>
          <w:rFonts w:ascii="仿宋" w:hAnsi="仿宋" w:eastAsia="仿宋"/>
          <w:b/>
          <w:sz w:val="24"/>
          <w:highlight w:val="none"/>
        </w:rPr>
      </w:pPr>
      <w:bookmarkStart w:id="26" w:name="_Toc2846"/>
      <w:bookmarkStart w:id="27" w:name="_Toc32071"/>
      <w:bookmarkStart w:id="28" w:name="_Toc19304"/>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26"/>
      <w:bookmarkEnd w:id="27"/>
      <w:bookmarkEnd w:id="28"/>
    </w:p>
    <w:p>
      <w:pPr>
        <w:spacing w:line="44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9" w:name="_Toc19554"/>
      <w:bookmarkStart w:id="30" w:name="_Toc21423"/>
      <w:bookmarkStart w:id="31" w:name="_Toc27250"/>
      <w:r>
        <w:rPr>
          <w:rFonts w:ascii="仿宋" w:hAnsi="仿宋" w:eastAsia="仿宋"/>
          <w:b/>
          <w:sz w:val="24"/>
          <w:highlight w:val="none"/>
        </w:rPr>
        <w:t xml:space="preserve">1.6 </w:t>
      </w:r>
      <w:r>
        <w:rPr>
          <w:rFonts w:hint="eastAsia" w:ascii="仿宋" w:hAnsi="仿宋" w:eastAsia="仿宋"/>
          <w:b/>
          <w:sz w:val="24"/>
          <w:highlight w:val="none"/>
        </w:rPr>
        <w:t>违约责任</w:t>
      </w:r>
      <w:bookmarkEnd w:id="29"/>
      <w:bookmarkEnd w:id="30"/>
      <w:bookmarkEnd w:id="31"/>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32" w:name="_Toc16021"/>
      <w:bookmarkStart w:id="33" w:name="_Toc15583"/>
      <w:bookmarkStart w:id="34" w:name="_Toc28375"/>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32"/>
      <w:bookmarkEnd w:id="33"/>
      <w:bookmarkEnd w:id="34"/>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5" w:name="_Toc15322"/>
      <w:bookmarkStart w:id="36" w:name="_Toc7245"/>
      <w:bookmarkStart w:id="37" w:name="_Toc11173"/>
      <w:r>
        <w:rPr>
          <w:rFonts w:ascii="仿宋" w:hAnsi="仿宋" w:eastAsia="仿宋"/>
          <w:b/>
          <w:sz w:val="24"/>
          <w:highlight w:val="none"/>
        </w:rPr>
        <w:t xml:space="preserve">1.8 </w:t>
      </w:r>
      <w:r>
        <w:rPr>
          <w:rFonts w:hint="eastAsia" w:ascii="仿宋" w:hAnsi="仿宋" w:eastAsia="仿宋"/>
          <w:b/>
          <w:sz w:val="24"/>
          <w:highlight w:val="none"/>
        </w:rPr>
        <w:t>合同生效</w:t>
      </w:r>
      <w:bookmarkEnd w:id="35"/>
      <w:bookmarkEnd w:id="36"/>
      <w:bookmarkEnd w:id="37"/>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38" w:name="_Toc331685783"/>
    </w:p>
    <w:p>
      <w:pPr>
        <w:pStyle w:val="282"/>
        <w:pageBreakBefore/>
        <w:spacing w:line="560" w:lineRule="exact"/>
        <w:ind w:firstLine="723"/>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bookmarkEnd w:id="38"/>
    </w:p>
    <w:p>
      <w:pPr>
        <w:spacing w:line="560" w:lineRule="exact"/>
        <w:ind w:firstLine="482" w:firstLineChars="200"/>
        <w:outlineLvl w:val="0"/>
        <w:rPr>
          <w:rFonts w:ascii="仿宋" w:hAnsi="仿宋" w:eastAsia="仿宋"/>
          <w:b/>
          <w:sz w:val="24"/>
          <w:highlight w:val="none"/>
        </w:rPr>
      </w:pPr>
      <w:bookmarkStart w:id="39" w:name="_Ref467378404"/>
      <w:bookmarkStart w:id="40" w:name="_Toc487900349"/>
      <w:bookmarkStart w:id="41" w:name="_Ref467378463"/>
      <w:bookmarkStart w:id="42" w:name="_Toc259093669"/>
      <w:bookmarkStart w:id="43" w:name="_Ref467379109"/>
      <w:bookmarkStart w:id="44" w:name="_Ref467379205"/>
      <w:bookmarkStart w:id="45" w:name="_Ref467379225"/>
      <w:bookmarkStart w:id="46" w:name="_Toc28763"/>
      <w:bookmarkStart w:id="47" w:name="_Toc19614"/>
      <w:bookmarkStart w:id="48" w:name="_Ref467379101"/>
      <w:bookmarkStart w:id="49" w:name="_Ref467379214"/>
      <w:bookmarkStart w:id="50" w:name="_Ref467378499"/>
      <w:bookmarkStart w:id="51" w:name="_Toc279701240"/>
      <w:bookmarkStart w:id="52" w:name="_Toc16917"/>
      <w:bookmarkStart w:id="53" w:name="_Ref467379094"/>
      <w:bookmarkStart w:id="54" w:name="_Ref467379195"/>
      <w:r>
        <w:rPr>
          <w:rFonts w:ascii="仿宋" w:hAnsi="仿宋" w:eastAsia="仿宋"/>
          <w:b/>
          <w:sz w:val="24"/>
          <w:highlight w:val="none"/>
        </w:rPr>
        <w:t xml:space="preserve">2.1 </w:t>
      </w:r>
      <w:r>
        <w:rPr>
          <w:rFonts w:hint="eastAsia" w:ascii="仿宋" w:hAnsi="仿宋" w:eastAsia="仿宋"/>
          <w:b/>
          <w:sz w:val="24"/>
          <w:highlight w:val="none"/>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5" w:name="_Ref467378840"/>
      <w:r>
        <w:rPr>
          <w:rFonts w:ascii="仿宋" w:hAnsi="仿宋" w:eastAsia="仿宋"/>
          <w:sz w:val="24"/>
          <w:highlight w:val="none"/>
        </w:rPr>
        <w:t xml:space="preserve">2.1.4 </w:t>
      </w:r>
      <w:r>
        <w:rPr>
          <w:rFonts w:hint="eastAsia" w:ascii="仿宋" w:hAnsi="仿宋" w:eastAsia="仿宋"/>
          <w:sz w:val="24"/>
          <w:highlight w:val="none"/>
        </w:rPr>
        <w:t>“甲方”系指与中标供应商签署合同的采购人</w:t>
      </w:r>
      <w:bookmarkEnd w:id="55"/>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6"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“乙方”系指根据合同约定交付货物的中标供应商</w:t>
      </w:r>
      <w:bookmarkEnd w:id="56"/>
      <w:r>
        <w:rPr>
          <w:rFonts w:hint="eastAsia" w:ascii="仿宋" w:hAnsi="仿宋" w:eastAsia="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57"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57"/>
    </w:p>
    <w:p>
      <w:pPr>
        <w:spacing w:line="560" w:lineRule="exact"/>
        <w:ind w:firstLine="482" w:firstLineChars="200"/>
        <w:outlineLvl w:val="0"/>
        <w:rPr>
          <w:rFonts w:ascii="仿宋" w:hAnsi="仿宋" w:eastAsia="仿宋"/>
          <w:b/>
          <w:sz w:val="24"/>
          <w:highlight w:val="none"/>
        </w:rPr>
      </w:pPr>
      <w:bookmarkStart w:id="58" w:name="_Toc32504"/>
      <w:bookmarkStart w:id="59" w:name="_Toc259093670"/>
      <w:bookmarkStart w:id="60" w:name="_Toc13336"/>
      <w:bookmarkStart w:id="61" w:name="_Toc279701241"/>
      <w:bookmarkStart w:id="62" w:name="_Toc487900350"/>
      <w:bookmarkStart w:id="63" w:name="_Toc27635"/>
      <w:r>
        <w:rPr>
          <w:rFonts w:ascii="仿宋" w:hAnsi="仿宋" w:eastAsia="仿宋"/>
          <w:b/>
          <w:sz w:val="24"/>
          <w:highlight w:val="none"/>
        </w:rPr>
        <w:t xml:space="preserve">2.2 </w:t>
      </w:r>
      <w:r>
        <w:rPr>
          <w:rFonts w:hint="eastAsia" w:ascii="仿宋" w:hAnsi="仿宋" w:eastAsia="仿宋"/>
          <w:b/>
          <w:sz w:val="24"/>
          <w:highlight w:val="none"/>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4" w:name="_Toc487900351"/>
      <w:bookmarkStart w:id="65" w:name="_Toc9829"/>
      <w:bookmarkStart w:id="66" w:name="_Toc31634"/>
      <w:bookmarkStart w:id="67" w:name="_Toc259093671"/>
      <w:bookmarkStart w:id="68" w:name="_Toc279701242"/>
      <w:bookmarkStart w:id="69" w:name="_Toc27853"/>
      <w:r>
        <w:rPr>
          <w:rFonts w:ascii="仿宋" w:hAnsi="仿宋" w:eastAsia="仿宋"/>
          <w:b/>
          <w:sz w:val="24"/>
          <w:highlight w:val="none"/>
        </w:rPr>
        <w:t xml:space="preserve">2.3 </w:t>
      </w:r>
      <w:r>
        <w:rPr>
          <w:rFonts w:hint="eastAsia" w:ascii="仿宋" w:hAnsi="仿宋" w:eastAsia="仿宋"/>
          <w:b/>
          <w:sz w:val="24"/>
          <w:highlight w:val="none"/>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0" w:name="_Toc11932"/>
      <w:bookmarkStart w:id="71" w:name="_Toc4194"/>
      <w:bookmarkStart w:id="72" w:name="_Toc29149"/>
      <w:r>
        <w:rPr>
          <w:rFonts w:ascii="仿宋" w:hAnsi="仿宋" w:eastAsia="仿宋"/>
          <w:b/>
          <w:sz w:val="24"/>
          <w:highlight w:val="none"/>
        </w:rPr>
        <w:t xml:space="preserve">2.4 </w:t>
      </w:r>
      <w:r>
        <w:rPr>
          <w:rFonts w:hint="eastAsia" w:ascii="仿宋" w:hAnsi="仿宋" w:eastAsia="仿宋"/>
          <w:b/>
          <w:sz w:val="24"/>
          <w:highlight w:val="none"/>
        </w:rPr>
        <w:t>包装和装运</w:t>
      </w:r>
      <w:bookmarkEnd w:id="70"/>
      <w:bookmarkEnd w:id="71"/>
      <w:bookmarkEnd w:id="72"/>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3" w:name="_Toc259093674"/>
      <w:bookmarkStart w:id="74" w:name="_Toc279701245"/>
      <w:bookmarkStart w:id="75" w:name="_Ref467379536"/>
      <w:bookmarkStart w:id="76" w:name="_Ref467378541"/>
      <w:bookmarkStart w:id="77" w:name="_Ref467378591"/>
      <w:bookmarkStart w:id="78" w:name="_Toc487900354"/>
      <w:bookmarkStart w:id="79" w:name="_Ref467379542"/>
      <w:bookmarkStart w:id="80" w:name="_Ref467379527"/>
      <w:bookmarkStart w:id="81" w:name="_Toc19074"/>
      <w:bookmarkStart w:id="82" w:name="_Toc30272"/>
      <w:bookmarkStart w:id="83" w:name="_Toc26182"/>
      <w:r>
        <w:rPr>
          <w:rFonts w:ascii="仿宋" w:hAnsi="仿宋" w:eastAsia="仿宋"/>
          <w:b/>
          <w:sz w:val="24"/>
          <w:highlight w:val="none"/>
        </w:rPr>
        <w:t>2.</w:t>
      </w:r>
      <w:bookmarkEnd w:id="73"/>
      <w:bookmarkEnd w:id="74"/>
      <w:bookmarkEnd w:id="75"/>
      <w:bookmarkEnd w:id="76"/>
      <w:bookmarkEnd w:id="77"/>
      <w:bookmarkEnd w:id="78"/>
      <w:bookmarkEnd w:id="79"/>
      <w:bookmarkEnd w:id="80"/>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81"/>
      <w:bookmarkEnd w:id="82"/>
      <w:bookmarkEnd w:id="83"/>
    </w:p>
    <w:p>
      <w:pPr>
        <w:spacing w:line="560" w:lineRule="exact"/>
        <w:ind w:firstLine="480" w:firstLineChars="200"/>
        <w:rPr>
          <w:rFonts w:ascii="仿宋" w:hAnsi="仿宋" w:eastAsia="仿宋"/>
          <w:sz w:val="24"/>
          <w:highlight w:val="none"/>
        </w:rPr>
      </w:pPr>
      <w:bookmarkStart w:id="84" w:name="_Ref467379657"/>
      <w:r>
        <w:rPr>
          <w:rFonts w:ascii="仿宋" w:hAnsi="仿宋" w:eastAsia="仿宋"/>
          <w:sz w:val="24"/>
          <w:highlight w:val="none"/>
        </w:rPr>
        <w:t>2.5.1</w:t>
      </w:r>
      <w:bookmarkEnd w:id="84"/>
      <w:bookmarkStart w:id="85" w:name="_Toc186431854"/>
      <w:bookmarkStart w:id="86" w:name="_Toc487900357"/>
      <w:bookmarkStart w:id="87" w:name="_Ref467379793"/>
      <w:bookmarkStart w:id="88" w:name="_Toc279701247"/>
      <w:bookmarkStart w:id="89" w:name="_Toc259093676"/>
      <w:bookmarkStart w:id="90" w:name="_Ref467379807"/>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highlight w:val="none"/>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highlight w:val="none"/>
        </w:rPr>
      </w:pPr>
      <w:bookmarkStart w:id="92" w:name="_Ref467379852"/>
      <w:bookmarkStart w:id="93" w:name="_Toc487900358"/>
      <w:bookmarkStart w:id="94" w:name="_Ref467379863"/>
      <w:bookmarkStart w:id="95" w:name="_Toc279701248"/>
      <w:bookmarkStart w:id="96" w:name="_Toc259093677"/>
      <w:bookmarkStart w:id="97" w:name="_Ref467379923"/>
      <w:bookmarkStart w:id="98" w:name="_Toc16110"/>
      <w:bookmarkStart w:id="99" w:name="_Toc3225"/>
      <w:bookmarkStart w:id="100" w:name="_Toc774"/>
      <w:r>
        <w:rPr>
          <w:rFonts w:ascii="仿宋" w:hAnsi="仿宋" w:eastAsia="仿宋"/>
          <w:b/>
          <w:sz w:val="24"/>
          <w:highlight w:val="none"/>
        </w:rPr>
        <w:t xml:space="preserve">2.6 </w:t>
      </w:r>
      <w:r>
        <w:rPr>
          <w:rFonts w:hint="eastAsia" w:ascii="仿宋" w:hAnsi="仿宋" w:eastAsia="仿宋"/>
          <w:b/>
          <w:sz w:val="24"/>
          <w:highlight w:val="none"/>
        </w:rPr>
        <w:t>技术资料</w:t>
      </w:r>
      <w:bookmarkEnd w:id="92"/>
      <w:bookmarkEnd w:id="93"/>
      <w:bookmarkEnd w:id="94"/>
      <w:bookmarkEnd w:id="95"/>
      <w:bookmarkEnd w:id="96"/>
      <w:bookmarkEnd w:id="97"/>
      <w:r>
        <w:rPr>
          <w:rFonts w:hint="eastAsia" w:ascii="仿宋" w:hAnsi="仿宋" w:eastAsia="仿宋"/>
          <w:b/>
          <w:sz w:val="24"/>
          <w:highlight w:val="none"/>
        </w:rPr>
        <w:t>和保密义务</w:t>
      </w:r>
      <w:bookmarkEnd w:id="98"/>
      <w:bookmarkEnd w:id="99"/>
      <w:bookmarkEnd w:id="10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101"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101"/>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102" w:name="_Toc17244"/>
      <w:bookmarkStart w:id="103" w:name="_Toc259093681"/>
      <w:bookmarkStart w:id="104" w:name="_Toc279701252"/>
      <w:bookmarkStart w:id="105" w:name="_Toc487900362"/>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102"/>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6"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103"/>
      <w:bookmarkEnd w:id="104"/>
      <w:bookmarkEnd w:id="105"/>
      <w:bookmarkEnd w:id="10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07" w:name="_Toc7502"/>
      <w:bookmarkStart w:id="108" w:name="_Toc487900364"/>
      <w:bookmarkStart w:id="109" w:name="_Ref467378121"/>
      <w:bookmarkStart w:id="110" w:name="_Toc259093683"/>
      <w:bookmarkStart w:id="111" w:name="_Toc279701254"/>
      <w:r>
        <w:rPr>
          <w:rFonts w:ascii="仿宋" w:hAnsi="仿宋" w:eastAsia="仿宋"/>
          <w:b/>
          <w:sz w:val="24"/>
          <w:highlight w:val="none"/>
        </w:rPr>
        <w:t xml:space="preserve">2.10 </w:t>
      </w:r>
      <w:r>
        <w:rPr>
          <w:rFonts w:hint="eastAsia" w:ascii="仿宋" w:hAnsi="仿宋" w:eastAsia="仿宋"/>
          <w:b/>
          <w:sz w:val="24"/>
          <w:highlight w:val="none"/>
        </w:rPr>
        <w:t>合同变更</w:t>
      </w:r>
      <w:bookmarkEnd w:id="10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487900369"/>
      <w:bookmarkStart w:id="114" w:name="_Toc279701259"/>
    </w:p>
    <w:p>
      <w:pPr>
        <w:spacing w:line="560" w:lineRule="exact"/>
        <w:ind w:firstLine="482" w:firstLineChars="200"/>
        <w:outlineLvl w:val="0"/>
        <w:rPr>
          <w:rFonts w:ascii="仿宋" w:hAnsi="仿宋" w:eastAsia="仿宋"/>
          <w:b/>
          <w:sz w:val="24"/>
          <w:highlight w:val="none"/>
        </w:rPr>
      </w:pPr>
      <w:bookmarkStart w:id="115" w:name="_Toc10366"/>
      <w:bookmarkStart w:id="116" w:name="_Toc22955"/>
      <w:bookmarkStart w:id="117" w:name="_Toc15237"/>
      <w:r>
        <w:rPr>
          <w:rFonts w:ascii="仿宋" w:hAnsi="仿宋" w:eastAsia="仿宋"/>
          <w:b/>
          <w:sz w:val="24"/>
          <w:highlight w:val="none"/>
        </w:rPr>
        <w:t xml:space="preserve">2.11 </w:t>
      </w:r>
      <w:r>
        <w:rPr>
          <w:rFonts w:hint="eastAsia" w:ascii="仿宋" w:hAnsi="仿宋" w:eastAsia="仿宋"/>
          <w:b/>
          <w:sz w:val="24"/>
          <w:highlight w:val="none"/>
        </w:rPr>
        <w:t>合同转让</w:t>
      </w:r>
      <w:bookmarkEnd w:id="112"/>
      <w:bookmarkEnd w:id="113"/>
      <w:bookmarkEnd w:id="114"/>
      <w:r>
        <w:rPr>
          <w:rFonts w:hint="eastAsia" w:ascii="仿宋" w:hAnsi="仿宋" w:eastAsia="仿宋"/>
          <w:b/>
          <w:sz w:val="24"/>
          <w:highlight w:val="none"/>
        </w:rPr>
        <w:t>和分包</w:t>
      </w:r>
      <w:bookmarkEnd w:id="115"/>
      <w:bookmarkEnd w:id="116"/>
      <w:bookmarkEnd w:id="117"/>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rPr>
      </w:pPr>
      <w:bookmarkStart w:id="118" w:name="_Toc13566"/>
      <w:bookmarkStart w:id="119" w:name="_Toc14066"/>
      <w:bookmarkStart w:id="120" w:name="_Toc16508"/>
      <w:r>
        <w:rPr>
          <w:rFonts w:ascii="仿宋" w:hAnsi="仿宋" w:eastAsia="仿宋"/>
          <w:b/>
          <w:sz w:val="24"/>
          <w:highlight w:val="none"/>
        </w:rPr>
        <w:t xml:space="preserve">2.12 </w:t>
      </w:r>
      <w:r>
        <w:rPr>
          <w:rFonts w:hint="eastAsia" w:ascii="仿宋" w:hAnsi="仿宋" w:eastAsia="仿宋"/>
          <w:b/>
          <w:sz w:val="24"/>
          <w:highlight w:val="none"/>
        </w:rPr>
        <w:t>不可抗力</w:t>
      </w:r>
      <w:bookmarkEnd w:id="118"/>
      <w:bookmarkEnd w:id="119"/>
      <w:bookmarkEnd w:id="120"/>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21" w:name="_Toc6969"/>
      <w:bookmarkStart w:id="122" w:name="_Toc30676"/>
      <w:bookmarkStart w:id="123" w:name="_Toc279701255"/>
      <w:bookmarkStart w:id="124" w:name="_Toc487900365"/>
      <w:bookmarkStart w:id="125" w:name="_Toc259093684"/>
      <w:bookmarkStart w:id="126" w:name="_Toc689"/>
      <w:r>
        <w:rPr>
          <w:rFonts w:ascii="仿宋" w:hAnsi="仿宋" w:eastAsia="仿宋"/>
          <w:b/>
          <w:sz w:val="24"/>
          <w:highlight w:val="none"/>
        </w:rPr>
        <w:t xml:space="preserve">2.13 </w:t>
      </w:r>
      <w:r>
        <w:rPr>
          <w:rFonts w:hint="eastAsia" w:ascii="仿宋" w:hAnsi="仿宋" w:eastAsia="仿宋"/>
          <w:b/>
          <w:sz w:val="24"/>
          <w:highlight w:val="none"/>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27" w:name="_Toc16959"/>
      <w:bookmarkStart w:id="128" w:name="_Toc8298"/>
      <w:bookmarkStart w:id="129" w:name="_Toc279701258"/>
      <w:bookmarkStart w:id="130" w:name="_Toc259093687"/>
      <w:bookmarkStart w:id="131" w:name="_Toc487900368"/>
      <w:bookmarkStart w:id="132" w:name="_Toc7102"/>
      <w:r>
        <w:rPr>
          <w:rFonts w:ascii="仿宋" w:hAnsi="仿宋" w:eastAsia="仿宋"/>
          <w:b/>
          <w:sz w:val="24"/>
          <w:highlight w:val="none"/>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33" w:name="_Toc29333"/>
      <w:bookmarkStart w:id="134" w:name="_Toc6134"/>
      <w:bookmarkStart w:id="135" w:name="_Toc15387"/>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33"/>
      <w:bookmarkEnd w:id="134"/>
      <w:bookmarkEnd w:id="135"/>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6" w:name="_Toc1125"/>
      <w:bookmarkStart w:id="137" w:name="_Toc6596"/>
      <w:bookmarkStart w:id="138" w:name="_Toc14563"/>
      <w:r>
        <w:rPr>
          <w:rFonts w:ascii="仿宋" w:hAnsi="仿宋" w:eastAsia="仿宋"/>
          <w:b/>
          <w:sz w:val="24"/>
          <w:highlight w:val="none"/>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08"/>
    <w:bookmarkEnd w:id="109"/>
    <w:bookmarkEnd w:id="110"/>
    <w:bookmarkEnd w:id="111"/>
    <w:p>
      <w:pPr>
        <w:spacing w:line="560" w:lineRule="exact"/>
        <w:ind w:firstLine="482" w:firstLineChars="200"/>
        <w:outlineLvl w:val="0"/>
        <w:rPr>
          <w:rFonts w:ascii="仿宋" w:hAnsi="仿宋" w:eastAsia="仿宋"/>
          <w:b/>
          <w:sz w:val="24"/>
          <w:highlight w:val="none"/>
        </w:rPr>
      </w:pPr>
      <w:bookmarkStart w:id="139" w:name="_Toc279701261"/>
      <w:bookmarkStart w:id="140" w:name="_Toc487900371"/>
      <w:bookmarkStart w:id="141" w:name="_Toc259093690"/>
      <w:bookmarkStart w:id="142" w:name="_Toc19604"/>
      <w:bookmarkStart w:id="143" w:name="_Toc25182"/>
      <w:bookmarkStart w:id="144" w:name="_Toc11284"/>
      <w:r>
        <w:rPr>
          <w:rFonts w:ascii="仿宋" w:hAnsi="仿宋" w:eastAsia="仿宋"/>
          <w:b/>
          <w:sz w:val="24"/>
          <w:highlight w:val="none"/>
        </w:rPr>
        <w:t xml:space="preserve">2.17 </w:t>
      </w:r>
      <w:r>
        <w:rPr>
          <w:rFonts w:hint="eastAsia" w:ascii="仿宋" w:hAnsi="仿宋" w:eastAsia="仿宋"/>
          <w:b/>
          <w:sz w:val="24"/>
          <w:highlight w:val="none"/>
        </w:rPr>
        <w:t>通知</w:t>
      </w:r>
      <w:bookmarkEnd w:id="139"/>
      <w:bookmarkEnd w:id="140"/>
      <w:bookmarkEnd w:id="141"/>
      <w:r>
        <w:rPr>
          <w:rFonts w:hint="eastAsia" w:ascii="仿宋" w:hAnsi="仿宋" w:eastAsia="仿宋"/>
          <w:b/>
          <w:sz w:val="24"/>
          <w:highlight w:val="none"/>
        </w:rPr>
        <w:t>和送达</w:t>
      </w:r>
      <w:bookmarkEnd w:id="142"/>
      <w:bookmarkEnd w:id="143"/>
      <w:bookmarkEnd w:id="144"/>
    </w:p>
    <w:p>
      <w:pPr>
        <w:spacing w:line="560" w:lineRule="exact"/>
        <w:ind w:firstLine="480" w:firstLineChars="200"/>
        <w:rPr>
          <w:rFonts w:ascii="仿宋" w:hAnsi="仿宋" w:eastAsia="仿宋"/>
          <w:sz w:val="24"/>
          <w:highlight w:val="none"/>
        </w:rPr>
      </w:pPr>
      <w:bookmarkStart w:id="145" w:name="_Toc6698"/>
      <w:bookmarkStart w:id="146" w:name="_Toc3135"/>
      <w:bookmarkStart w:id="147" w:name="_Toc259093691"/>
      <w:bookmarkStart w:id="148" w:name="_Toc279701262"/>
      <w:bookmarkStart w:id="149" w:name="_Toc487900372"/>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highlight w:val="none"/>
        </w:rPr>
      </w:pPr>
      <w:bookmarkStart w:id="150" w:name="_Toc23128"/>
      <w:bookmarkStart w:id="151" w:name="_Toc23294"/>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highlight w:val="none"/>
        </w:rPr>
      </w:pPr>
      <w:bookmarkStart w:id="152" w:name="_Toc30599"/>
      <w:bookmarkStart w:id="153" w:name="_Toc18540"/>
      <w:bookmarkStart w:id="154" w:name="_Toc4355"/>
      <w:r>
        <w:rPr>
          <w:rFonts w:ascii="仿宋" w:hAnsi="仿宋" w:eastAsia="仿宋"/>
          <w:b/>
          <w:sz w:val="24"/>
          <w:highlight w:val="none"/>
        </w:rPr>
        <w:t xml:space="preserve">2.18 </w:t>
      </w:r>
      <w:r>
        <w:rPr>
          <w:rFonts w:hint="eastAsia" w:ascii="仿宋" w:hAnsi="仿宋" w:eastAsia="仿宋"/>
          <w:b/>
          <w:sz w:val="24"/>
          <w:highlight w:val="none"/>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5" w:name="_Toc12773"/>
      <w:bookmarkStart w:id="156" w:name="_Toc18567"/>
      <w:bookmarkStart w:id="157" w:name="_Toc259093692"/>
      <w:bookmarkStart w:id="158" w:name="_Toc10330"/>
      <w:bookmarkStart w:id="159" w:name="_Toc279701263"/>
      <w:bookmarkStart w:id="160" w:name="_Toc487900373"/>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61" w:name="_Toc12004"/>
      <w:bookmarkStart w:id="162" w:name="_Toc259093693"/>
      <w:bookmarkStart w:id="163" w:name="_Toc16673"/>
      <w:bookmarkStart w:id="164" w:name="_Toc3148"/>
      <w:bookmarkStart w:id="165" w:name="_Toc279701264"/>
      <w:bookmarkStart w:id="166"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61"/>
      <w:bookmarkEnd w:id="162"/>
      <w:bookmarkEnd w:id="163"/>
      <w:bookmarkEnd w:id="164"/>
      <w:bookmarkEnd w:id="165"/>
    </w:p>
    <w:p>
      <w:pPr>
        <w:pStyle w:val="283"/>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约定的方式，以支票、汇票、本票或者金融机构、担保机构出具的保函等非现金形式，提交不超过合同金额1</w:t>
      </w:r>
      <w:r>
        <w:rPr>
          <w:rFonts w:ascii="仿宋" w:hAnsi="仿宋" w:eastAsia="仿宋"/>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b/>
          <w:sz w:val="24"/>
          <w:highlight w:val="none"/>
        </w:rPr>
      </w:pPr>
      <w:bookmarkStart w:id="167" w:name="_Toc19890"/>
      <w:bookmarkStart w:id="168" w:name="_Toc14001"/>
      <w:bookmarkStart w:id="169" w:name="_Toc6885"/>
      <w:r>
        <w:rPr>
          <w:rFonts w:ascii="仿宋" w:hAnsi="仿宋" w:eastAsia="仿宋"/>
          <w:b/>
          <w:sz w:val="24"/>
          <w:highlight w:val="none"/>
        </w:rPr>
        <w:t>2.2</w:t>
      </w:r>
      <w:r>
        <w:rPr>
          <w:rFonts w:hint="eastAsia" w:ascii="仿宋" w:hAnsi="仿宋" w:eastAsia="仿宋"/>
          <w:b/>
          <w:sz w:val="24"/>
          <w:highlight w:val="none"/>
        </w:rPr>
        <w:t>2合同份数</w:t>
      </w:r>
      <w:bookmarkEnd w:id="167"/>
      <w:bookmarkEnd w:id="168"/>
      <w:bookmarkEnd w:id="16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2.23本项目涉及柴油动力移动源的，该移动源应当符合低排放要求。</w:t>
      </w:r>
    </w:p>
    <w:p>
      <w:pPr>
        <w:pStyle w:val="282"/>
        <w:spacing w:line="560" w:lineRule="exact"/>
        <w:jc w:val="center"/>
        <w:rPr>
          <w:rFonts w:ascii="仿宋" w:hAnsi="仿宋" w:eastAsia="仿宋"/>
          <w:b/>
          <w:szCs w:val="24"/>
          <w:highlight w:val="none"/>
        </w:rPr>
      </w:pPr>
      <w:r>
        <w:rPr>
          <w:rFonts w:ascii="仿宋" w:hAnsi="仿宋" w:eastAsia="仿宋" w:cstheme="minorBidi"/>
          <w:kern w:val="0"/>
          <w:szCs w:val="24"/>
          <w:highlight w:val="none"/>
        </w:rPr>
        <w:br w:type="page"/>
      </w:r>
      <w:bookmarkStart w:id="170" w:name="_Toc331685784"/>
      <w:r>
        <w:rPr>
          <w:rFonts w:hint="eastAsia" w:ascii="仿宋" w:hAnsi="仿宋" w:eastAsia="仿宋"/>
          <w:b/>
          <w:szCs w:val="24"/>
          <w:highlight w:val="none"/>
        </w:rPr>
        <w:t xml:space="preserve"> </w:t>
      </w:r>
      <w:bookmarkEnd w:id="170"/>
      <w:r>
        <w:rPr>
          <w:rFonts w:hint="eastAsia" w:ascii="仿宋" w:hAnsi="仿宋" w:eastAsia="仿宋"/>
          <w:b/>
          <w:szCs w:val="24"/>
          <w:highlight w:val="none"/>
        </w:rPr>
        <w:t>第三部分</w:t>
      </w:r>
      <w:r>
        <w:rPr>
          <w:rFonts w:ascii="仿宋" w:hAnsi="仿宋" w:eastAsia="仿宋"/>
          <w:b/>
          <w:szCs w:val="24"/>
          <w:highlight w:val="none"/>
        </w:rPr>
        <w:t xml:space="preserve">  </w:t>
      </w:r>
      <w:r>
        <w:rPr>
          <w:rFonts w:hint="eastAsia" w:ascii="仿宋" w:hAnsi="仿宋" w:eastAsia="仿宋"/>
          <w:b/>
          <w:szCs w:val="24"/>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8275" w:type="dxa"/>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8275"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8275"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r>
              <w:rPr>
                <w:rFonts w:ascii="仿宋" w:hAnsi="仿宋" w:eastAsia="仿宋"/>
                <w:sz w:val="24"/>
                <w:highlight w:val="none"/>
              </w:rPr>
              <w:t xml:space="preserve"> </w:t>
            </w:r>
          </w:p>
        </w:tc>
        <w:tc>
          <w:tcPr>
            <w:tcW w:w="8275" w:type="dxa"/>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spacing w:line="800" w:lineRule="exact"/>
        <w:ind w:firstLine="723"/>
        <w:jc w:val="center"/>
        <w:rPr>
          <w:rFonts w:ascii="仿宋_GB2312" w:hAnsi="宋体" w:eastAsia="仿宋_GB2312"/>
          <w:b/>
          <w:sz w:val="36"/>
          <w:szCs w:val="36"/>
          <w:highlight w:val="none"/>
        </w:rPr>
      </w:pPr>
    </w:p>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numPr>
          <w:ilvl w:val="0"/>
          <w:numId w:val="5"/>
        </w:numPr>
        <w:spacing w:line="440" w:lineRule="exact"/>
        <w:ind w:left="360" w:leftChars="0" w:hanging="360" w:firstLineChars="0"/>
        <w:rPr>
          <w:rFonts w:hint="eastAsia" w:ascii="仿宋_GB2312" w:hAnsi="宋体" w:eastAsia="仿宋_GB2312"/>
          <w:sz w:val="24"/>
          <w:highlight w:val="none"/>
        </w:rPr>
      </w:pPr>
      <w:r>
        <w:rPr>
          <w:rFonts w:hint="eastAsia" w:ascii="仿宋_GB2312" w:hAnsi="宋体" w:eastAsia="仿宋_GB2312"/>
          <w:b/>
          <w:sz w:val="24"/>
          <w:highlight w:val="none"/>
        </w:rPr>
        <w:t>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0分，价格分</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0分。评分依下述所列为评标打分依据，分值如下（计算分值时，按其算术平均值保留小数2位）。</w:t>
      </w:r>
    </w:p>
    <w:p>
      <w:pPr>
        <w:numPr>
          <w:ilvl w:val="0"/>
          <w:numId w:val="0"/>
        </w:numPr>
        <w:spacing w:line="440" w:lineRule="exact"/>
        <w:ind w:leftChars="0"/>
        <w:rPr>
          <w:rFonts w:ascii="仿宋_GB2312" w:hAnsi="宋体" w:eastAsia="仿宋_GB2312"/>
          <w:sz w:val="24"/>
          <w:highlight w:val="none"/>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w:t>
      </w:r>
      <w:r>
        <w:rPr>
          <w:rFonts w:hint="eastAsia" w:ascii="仿宋_GB2312" w:hAnsi="宋体" w:eastAsia="仿宋_GB2312"/>
          <w:b/>
          <w:bCs/>
          <w:iCs/>
          <w:sz w:val="24"/>
          <w:highlight w:val="none"/>
        </w:rPr>
        <w:t>0分）</w:t>
      </w:r>
    </w:p>
    <w:tbl>
      <w:tblPr>
        <w:tblStyle w:val="42"/>
        <w:tblW w:w="9345" w:type="dxa"/>
        <w:jc w:val="center"/>
        <w:tblLayout w:type="fixed"/>
        <w:tblCellMar>
          <w:top w:w="0" w:type="dxa"/>
          <w:left w:w="0" w:type="dxa"/>
          <w:bottom w:w="0" w:type="dxa"/>
          <w:right w:w="0" w:type="dxa"/>
        </w:tblCellMar>
      </w:tblPr>
      <w:tblGrid>
        <w:gridCol w:w="615"/>
        <w:gridCol w:w="1636"/>
        <w:gridCol w:w="7094"/>
      </w:tblGrid>
      <w:tr>
        <w:tblPrEx>
          <w:tblCellMar>
            <w:top w:w="0" w:type="dxa"/>
            <w:left w:w="0" w:type="dxa"/>
            <w:bottom w:w="0" w:type="dxa"/>
            <w:right w:w="0" w:type="dxa"/>
          </w:tblCellMar>
        </w:tblPrEx>
        <w:trPr>
          <w:trHeight w:val="62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spacing w:line="440" w:lineRule="exact"/>
              <w:ind w:left="-5" w:leftChars="-6" w:hanging="8" w:hangingChars="4"/>
              <w:jc w:val="center"/>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序号</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评分项目</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spacing w:line="440" w:lineRule="exact"/>
              <w:ind w:left="-5" w:leftChars="-6" w:hanging="8" w:hangingChars="4"/>
              <w:jc w:val="center"/>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评分标准</w:t>
            </w:r>
          </w:p>
        </w:tc>
      </w:tr>
      <w:tr>
        <w:tblPrEx>
          <w:tblCellMar>
            <w:top w:w="0" w:type="dxa"/>
            <w:left w:w="0" w:type="dxa"/>
            <w:bottom w:w="0" w:type="dxa"/>
            <w:right w:w="0" w:type="dxa"/>
          </w:tblCellMar>
        </w:tblPrEx>
        <w:trPr>
          <w:trHeight w:val="79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对投标人整体服务方案的合理性、针对性评价（</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根据投标人对项目需求的理解、解决方案的成熟度、功能设计、实施方案等的完整性、可行性、合理性和技术方案的务实性，要求方案设计总体思想及整体架构能充分满足项目方案。依据本期项目建设内容要求，结合投标人在类似项目中的建设经验，对本期项目建设重点及难点进行分析，充分考虑系统建设现状，对本期项目制定详尽的产品功能方案。由评标委员会进行综合评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方案合理、针对性强得分</w:t>
            </w:r>
            <w:r>
              <w:rPr>
                <w:rFonts w:hint="eastAsia" w:ascii="仿宋" w:hAnsi="仿宋" w:eastAsia="仿宋" w:cs="仿宋"/>
                <w:sz w:val="21"/>
                <w:szCs w:val="21"/>
                <w:highlight w:val="none"/>
                <w:lang w:val="en-US" w:eastAsia="zh-CN"/>
              </w:rPr>
              <w:t>1.6</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方案合理、针对性较强得分1.1-</w:t>
            </w:r>
            <w:r>
              <w:rPr>
                <w:rFonts w:hint="eastAsia" w:ascii="仿宋" w:hAnsi="仿宋" w:eastAsia="仿宋" w:cs="仿宋"/>
                <w:sz w:val="21"/>
                <w:szCs w:val="21"/>
                <w:highlight w:val="none"/>
                <w:lang w:val="en-US" w:eastAsia="zh-CN"/>
              </w:rPr>
              <w:t>1.5</w:t>
            </w:r>
            <w:r>
              <w:rPr>
                <w:rFonts w:hint="eastAsia" w:ascii="仿宋" w:hAnsi="仿宋" w:eastAsia="仿宋" w:cs="仿宋"/>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color w:val="000000"/>
                <w:sz w:val="21"/>
                <w:szCs w:val="21"/>
                <w:highlight w:val="none"/>
              </w:rPr>
            </w:pPr>
            <w:r>
              <w:rPr>
                <w:rFonts w:hint="eastAsia" w:ascii="仿宋" w:hAnsi="仿宋" w:eastAsia="仿宋" w:cs="仿宋"/>
                <w:sz w:val="21"/>
                <w:szCs w:val="21"/>
                <w:highlight w:val="none"/>
              </w:rPr>
              <w:t>方案合理、针对性不强得0.1-1.0分。</w:t>
            </w:r>
          </w:p>
        </w:tc>
      </w:tr>
      <w:tr>
        <w:tblPrEx>
          <w:tblCellMar>
            <w:top w:w="0" w:type="dxa"/>
            <w:left w:w="0" w:type="dxa"/>
            <w:bottom w:w="0" w:type="dxa"/>
            <w:right w:w="0" w:type="dxa"/>
          </w:tblCellMar>
        </w:tblPrEx>
        <w:trPr>
          <w:trHeight w:val="90" w:hRule="atLeast"/>
          <w:jc w:val="center"/>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sz w:val="21"/>
                <w:szCs w:val="21"/>
                <w:highlight w:val="none"/>
              </w:rPr>
            </w:pPr>
            <w:r>
              <w:rPr>
                <w:rFonts w:hint="eastAsia" w:ascii="仿宋" w:hAnsi="仿宋" w:eastAsia="仿宋" w:cs="仿宋"/>
                <w:sz w:val="21"/>
                <w:szCs w:val="21"/>
                <w:highlight w:val="none"/>
              </w:rPr>
              <w:t>对投标人整体技术方案的评价（1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根据项目组织实施方案，包括软件开发、安装调试、系统集成、试运行、测试、调优等内容，以及组织机构、实施场所、工作时间进度表、工作程序和步骤、管理和协调方法等。由评标委员会进行综合评分。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方案合理、针对性强得分</w:t>
            </w:r>
            <w:r>
              <w:rPr>
                <w:rFonts w:hint="eastAsia" w:ascii="仿宋" w:hAnsi="仿宋" w:eastAsia="仿宋" w:cs="仿宋"/>
                <w:sz w:val="21"/>
                <w:szCs w:val="21"/>
                <w:highlight w:val="none"/>
                <w:lang w:val="en-US" w:eastAsia="zh-CN"/>
              </w:rPr>
              <w:t>1.6</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方案合理、针对性较强得分1.1-</w:t>
            </w:r>
            <w:r>
              <w:rPr>
                <w:rFonts w:hint="eastAsia" w:ascii="仿宋" w:hAnsi="仿宋" w:eastAsia="仿宋" w:cs="仿宋"/>
                <w:sz w:val="21"/>
                <w:szCs w:val="21"/>
                <w:highlight w:val="none"/>
                <w:lang w:val="en-US" w:eastAsia="zh-CN"/>
              </w:rPr>
              <w:t>1.5</w:t>
            </w:r>
            <w:r>
              <w:rPr>
                <w:rFonts w:hint="eastAsia" w:ascii="仿宋" w:hAnsi="仿宋" w:eastAsia="仿宋" w:cs="仿宋"/>
                <w:sz w:val="21"/>
                <w:szCs w:val="21"/>
                <w:highlight w:val="none"/>
              </w:rPr>
              <w:t>分；</w:t>
            </w:r>
          </w:p>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sz w:val="21"/>
                <w:szCs w:val="21"/>
                <w:highlight w:val="none"/>
              </w:rPr>
            </w:pPr>
            <w:r>
              <w:rPr>
                <w:rFonts w:hint="eastAsia" w:ascii="仿宋" w:hAnsi="仿宋" w:eastAsia="仿宋" w:cs="仿宋"/>
                <w:sz w:val="21"/>
                <w:szCs w:val="21"/>
                <w:highlight w:val="none"/>
              </w:rPr>
              <w:t>方案合理、针对性不强得0.1-1.0分。</w:t>
            </w:r>
          </w:p>
        </w:tc>
      </w:tr>
      <w:tr>
        <w:tblPrEx>
          <w:tblCellMar>
            <w:top w:w="0" w:type="dxa"/>
            <w:left w:w="0" w:type="dxa"/>
            <w:bottom w:w="0" w:type="dxa"/>
            <w:right w:w="0" w:type="dxa"/>
          </w:tblCellMar>
        </w:tblPrEx>
        <w:trPr>
          <w:trHeight w:val="90" w:hRule="atLeast"/>
          <w:jc w:val="center"/>
        </w:trPr>
        <w:tc>
          <w:tcPr>
            <w:tcW w:w="615" w:type="dxa"/>
            <w:vMerge w:val="continue"/>
            <w:tcBorders>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sz w:val="21"/>
                <w:szCs w:val="21"/>
                <w:highlight w:val="none"/>
              </w:rPr>
              <w:t>招标文件产品功能要求及实施要求中完全满足得满分12分，“▲”项出现负偏离的每项扣2分，其他一般性指标出现负偏离的每项扣1分，扣完为止。</w:t>
            </w:r>
          </w:p>
        </w:tc>
      </w:tr>
      <w:tr>
        <w:tblPrEx>
          <w:tblCellMar>
            <w:top w:w="0" w:type="dxa"/>
            <w:left w:w="0" w:type="dxa"/>
            <w:bottom w:w="0" w:type="dxa"/>
            <w:right w:w="0" w:type="dxa"/>
          </w:tblCellMar>
        </w:tblPrEx>
        <w:trPr>
          <w:trHeight w:val="1125" w:hRule="atLeast"/>
          <w:jc w:val="center"/>
        </w:trPr>
        <w:tc>
          <w:tcPr>
            <w:tcW w:w="615" w:type="dxa"/>
            <w:tcBorders>
              <w:top w:val="single" w:color="auto"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1636" w:type="dxa"/>
            <w:tcBorders>
              <w:top w:val="single" w:color="auto"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bCs/>
                <w:color w:val="000000"/>
                <w:sz w:val="21"/>
                <w:szCs w:val="21"/>
                <w:highlight w:val="none"/>
              </w:rPr>
              <w:t>对投标人整体实施解决方案(包括</w:t>
            </w:r>
            <w:r>
              <w:rPr>
                <w:rFonts w:hint="eastAsia" w:ascii="仿宋" w:hAnsi="仿宋" w:eastAsia="仿宋" w:cs="仿宋"/>
                <w:bCs/>
                <w:sz w:val="21"/>
                <w:szCs w:val="21"/>
                <w:highlight w:val="none"/>
              </w:rPr>
              <w:t>对采购需求的理解，及系统平台架构等</w:t>
            </w:r>
            <w:r>
              <w:rPr>
                <w:rFonts w:hint="eastAsia" w:ascii="仿宋" w:hAnsi="仿宋" w:eastAsia="仿宋" w:cs="仿宋"/>
                <w:bCs/>
                <w:color w:val="000000"/>
                <w:sz w:val="21"/>
                <w:szCs w:val="21"/>
                <w:highlight w:val="none"/>
              </w:rPr>
              <w:t>)的评价（</w:t>
            </w:r>
            <w:r>
              <w:rPr>
                <w:rFonts w:hint="eastAsia" w:ascii="仿宋" w:hAnsi="仿宋" w:eastAsia="仿宋" w:cs="仿宋"/>
                <w:bCs/>
                <w:color w:val="000000"/>
                <w:sz w:val="21"/>
                <w:szCs w:val="21"/>
                <w:highlight w:val="none"/>
                <w:lang w:val="en-US" w:eastAsia="zh-CN"/>
              </w:rPr>
              <w:t>2</w:t>
            </w:r>
            <w:r>
              <w:rPr>
                <w:rFonts w:hint="eastAsia" w:ascii="仿宋" w:hAnsi="仿宋" w:eastAsia="仿宋" w:cs="仿宋"/>
                <w:bCs/>
                <w:color w:val="000000"/>
                <w:sz w:val="21"/>
                <w:szCs w:val="21"/>
                <w:highlight w:val="none"/>
              </w:rPr>
              <w:t>分)</w:t>
            </w:r>
          </w:p>
        </w:tc>
        <w:tc>
          <w:tcPr>
            <w:tcW w:w="7094" w:type="dxa"/>
            <w:tcBorders>
              <w:top w:val="single" w:color="auto"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bCs/>
                <w:sz w:val="21"/>
                <w:szCs w:val="21"/>
                <w:highlight w:val="none"/>
              </w:rPr>
            </w:pPr>
            <w:r>
              <w:rPr>
                <w:rFonts w:hint="eastAsia" w:ascii="仿宋" w:hAnsi="仿宋" w:eastAsia="仿宋" w:cs="仿宋"/>
                <w:bCs/>
                <w:sz w:val="21"/>
                <w:szCs w:val="21"/>
                <w:highlight w:val="none"/>
              </w:rPr>
              <w:t>投标人提供的实施解决方案</w:t>
            </w:r>
            <w:r>
              <w:rPr>
                <w:rFonts w:hint="eastAsia" w:ascii="仿宋" w:hAnsi="仿宋" w:eastAsia="仿宋" w:cs="仿宋"/>
                <w:color w:val="000000"/>
                <w:sz w:val="21"/>
                <w:szCs w:val="21"/>
                <w:highlight w:val="none"/>
              </w:rPr>
              <w:t>流程清晰、标准明确、技术措施具体、有针对性，得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6</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.0分</w:t>
            </w:r>
            <w:r>
              <w:rPr>
                <w:rFonts w:hint="eastAsia" w:ascii="仿宋" w:hAnsi="仿宋" w:eastAsia="仿宋" w:cs="仿宋"/>
                <w:bCs/>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bCs/>
                <w:sz w:val="21"/>
                <w:szCs w:val="21"/>
                <w:highlight w:val="none"/>
              </w:rPr>
            </w:pPr>
            <w:r>
              <w:rPr>
                <w:rFonts w:hint="eastAsia" w:ascii="仿宋" w:hAnsi="仿宋" w:eastAsia="仿宋" w:cs="仿宋"/>
                <w:bCs/>
                <w:sz w:val="21"/>
                <w:szCs w:val="21"/>
                <w:highlight w:val="none"/>
              </w:rPr>
              <w:t>投标人提供的实施解决方案</w:t>
            </w:r>
            <w:r>
              <w:rPr>
                <w:rFonts w:hint="eastAsia" w:ascii="仿宋" w:hAnsi="仿宋" w:eastAsia="仿宋" w:cs="仿宋"/>
                <w:color w:val="000000"/>
                <w:sz w:val="21"/>
                <w:szCs w:val="21"/>
                <w:highlight w:val="none"/>
              </w:rPr>
              <w:t>流程较清晰、标准较明确、技术措施较具体、较有针对性，得1.1-</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rPr>
              <w:t>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sz w:val="21"/>
                <w:szCs w:val="21"/>
                <w:highlight w:val="none"/>
              </w:rPr>
            </w:pPr>
            <w:r>
              <w:rPr>
                <w:rFonts w:hint="eastAsia" w:ascii="仿宋" w:hAnsi="仿宋" w:eastAsia="仿宋" w:cs="仿宋"/>
                <w:bCs/>
                <w:sz w:val="21"/>
                <w:szCs w:val="21"/>
                <w:highlight w:val="none"/>
              </w:rPr>
              <w:t>投标人提供的实施解决方案</w:t>
            </w:r>
            <w:r>
              <w:rPr>
                <w:rFonts w:hint="eastAsia" w:ascii="仿宋" w:hAnsi="仿宋" w:eastAsia="仿宋" w:cs="仿宋"/>
                <w:color w:val="000000"/>
                <w:sz w:val="21"/>
                <w:szCs w:val="21"/>
                <w:highlight w:val="none"/>
              </w:rPr>
              <w:t>很简单，方案内容不清晰、不明确，得0.1-1.0分；</w:t>
            </w:r>
          </w:p>
        </w:tc>
      </w:tr>
      <w:tr>
        <w:tblPrEx>
          <w:tblCellMar>
            <w:top w:w="0" w:type="dxa"/>
            <w:left w:w="0" w:type="dxa"/>
            <w:bottom w:w="0" w:type="dxa"/>
            <w:right w:w="0" w:type="dxa"/>
          </w:tblCellMar>
        </w:tblPrEx>
        <w:trPr>
          <w:trHeight w:val="90" w:hRule="atLeast"/>
          <w:jc w:val="center"/>
        </w:trPr>
        <w:tc>
          <w:tcPr>
            <w:tcW w:w="615" w:type="dxa"/>
            <w:tcBorders>
              <w:top w:val="single" w:color="auto" w:sz="4" w:space="0"/>
              <w:left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1636" w:type="dxa"/>
            <w:tcBorders>
              <w:top w:val="single" w:color="auto" w:sz="4" w:space="0"/>
              <w:left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sz w:val="21"/>
                <w:szCs w:val="21"/>
                <w:highlight w:val="none"/>
              </w:rPr>
              <w:t>功</w:t>
            </w:r>
            <w:r>
              <w:rPr>
                <w:rFonts w:hint="eastAsia" w:ascii="仿宋" w:hAnsi="仿宋" w:eastAsia="仿宋" w:cs="仿宋"/>
                <w:color w:val="000000"/>
                <w:kern w:val="2"/>
                <w:sz w:val="21"/>
                <w:szCs w:val="21"/>
                <w:highlight w:val="none"/>
                <w:lang w:val="en-US" w:eastAsia="zh-CN" w:bidi="ar-SA"/>
              </w:rPr>
              <w:t>能演示</w:t>
            </w:r>
          </w:p>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lang w:val="en-US" w:eastAsia="zh-CN" w:bidi="ar-SA"/>
              </w:rPr>
              <w:t>（30分）</w:t>
            </w:r>
          </w:p>
        </w:tc>
        <w:tc>
          <w:tcPr>
            <w:tcW w:w="7094" w:type="dxa"/>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sz w:val="21"/>
                <w:szCs w:val="21"/>
                <w:highlight w:val="none"/>
              </w:rPr>
              <w:t>投</w:t>
            </w:r>
            <w:r>
              <w:rPr>
                <w:rFonts w:hint="eastAsia" w:ascii="仿宋" w:hAnsi="仿宋" w:eastAsia="仿宋" w:cs="仿宋"/>
                <w:color w:val="000000"/>
                <w:sz w:val="21"/>
                <w:szCs w:val="21"/>
                <w:highlight w:val="none"/>
              </w:rPr>
              <w:t>标人须对以下相关功能进行</w:t>
            </w:r>
            <w:r>
              <w:rPr>
                <w:rFonts w:hint="eastAsia" w:ascii="仿宋" w:hAnsi="仿宋" w:eastAsia="仿宋" w:cs="仿宋"/>
                <w:b/>
                <w:bCs/>
                <w:color w:val="000000"/>
                <w:sz w:val="21"/>
                <w:szCs w:val="21"/>
                <w:highlight w:val="none"/>
                <w:lang w:val="zh-CN"/>
              </w:rPr>
              <w:t>现场演示</w:t>
            </w:r>
            <w:r>
              <w:rPr>
                <w:rFonts w:hint="eastAsia" w:ascii="仿宋" w:hAnsi="仿宋" w:eastAsia="仿宋" w:cs="仿宋"/>
                <w:b/>
                <w:bCs/>
                <w:color w:val="000000"/>
                <w:sz w:val="21"/>
                <w:szCs w:val="21"/>
                <w:highlight w:val="none"/>
              </w:rPr>
              <w:t>，</w:t>
            </w:r>
            <w:r>
              <w:rPr>
                <w:rFonts w:hint="eastAsia" w:ascii="仿宋" w:hAnsi="仿宋" w:eastAsia="仿宋" w:cs="仿宋"/>
                <w:color w:val="000000"/>
                <w:sz w:val="21"/>
                <w:szCs w:val="21"/>
                <w:highlight w:val="none"/>
              </w:rPr>
              <w:t>演示时间不超过</w:t>
            </w:r>
            <w:r>
              <w:rPr>
                <w:rFonts w:hint="eastAsia" w:ascii="仿宋" w:hAnsi="仿宋" w:eastAsia="仿宋" w:cs="仿宋"/>
                <w:color w:val="000000"/>
                <w:sz w:val="21"/>
                <w:szCs w:val="21"/>
                <w:highlight w:val="none"/>
                <w:lang w:val="en-US" w:eastAsia="zh-CN"/>
              </w:rPr>
              <w:t>30</w:t>
            </w:r>
            <w:r>
              <w:rPr>
                <w:rFonts w:hint="eastAsia" w:ascii="仿宋" w:hAnsi="仿宋" w:eastAsia="仿宋" w:cs="仿宋"/>
                <w:color w:val="000000"/>
                <w:sz w:val="21"/>
                <w:szCs w:val="21"/>
                <w:highlight w:val="none"/>
              </w:rPr>
              <w:t>分钟，采用ppt，图片彩页形式不得分，完整完成1项功能演示，该项演示得分，否则该项演示不得分：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（1）要求系统中可进行预算编制功能，并支持三级预算编制管理，支持二上二下功能，预算编制业务中根据业务内容的不同可分为：收入预算、日常支出预算、项目经费预算、设备采购预算、工作量预算等。</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预算审批时，系统应支持按照部门汇总、按照项目汇总进行审批，在审批时，相关部门可以填写审批意见，供下一审批人参考；同时可以设置自动审批，比如上下级负责人是同一个人，则自动通过，且预算审批时院领导可以在钉钉收到待办以及消息，并在钉钉直接进行审批。</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（3）预算执行时需要支持与合同管理系统相关联，合同在签订时对预算进行合同预算占用，在采购时需支持合同管理系统与采购系统进行关联，采购下单后对合同金额进行占用，实际付款时进行实时预算核销。</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系统支持报销事项和预算关联，报销过程中需选择相关预算项目进行预算额度控制，报销结束后预算余额自动冻结、解冻、扣减等。支持一次报销选择多个预算项目；支持报销的时候能使用科室预算也支持能使用科研（项目）经费。</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（5）系统实现借款与还款业务，系统自动提示报销时冲借款业务。</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（6）费控管理与合同系统、物资采购系统等关联，本次报销金额受到合同未付款金额的控制，报销结束后，可将报销的数据自动传递到合同执行数据中。</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（7）建设医院移动端智慧财务</w:t>
            </w:r>
            <w:r>
              <w:rPr>
                <w:rFonts w:hint="eastAsia" w:ascii="仿宋" w:hAnsi="仿宋" w:eastAsia="仿宋" w:cs="仿宋"/>
                <w:color w:val="000000"/>
                <w:sz w:val="21"/>
                <w:szCs w:val="21"/>
                <w:highlight w:val="none"/>
                <w:lang w:eastAsia="zh-CN"/>
              </w:rPr>
              <w:t>门户</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（8）支持扫码识别、图像识别，系统可以通过OCR技术自动识别提取发票信息（含非税发票），包括：增值税发票、火车票、飞机行程单等图片格式/PDF格式/及多图连拍的自动识别，提取发票信息，</w:t>
            </w:r>
            <w:r>
              <w:rPr>
                <w:rFonts w:hint="eastAsia" w:ascii="仿宋" w:hAnsi="仿宋" w:eastAsia="仿宋" w:cs="仿宋"/>
                <w:color w:val="000000"/>
                <w:sz w:val="21"/>
                <w:szCs w:val="21"/>
                <w:highlight w:val="none"/>
                <w:lang w:eastAsia="zh-CN"/>
              </w:rPr>
              <w:t>支持发票多张连拍，</w:t>
            </w:r>
            <w:r>
              <w:rPr>
                <w:rFonts w:hint="eastAsia" w:ascii="仿宋" w:hAnsi="仿宋" w:eastAsia="仿宋" w:cs="仿宋"/>
                <w:color w:val="000000"/>
                <w:sz w:val="21"/>
                <w:szCs w:val="21"/>
                <w:highlight w:val="none"/>
              </w:rPr>
              <w:t>形成电子发票档案。并根据识别的火车票/飞机行程单等信息自动计算伙食补助天数和金额以及公杂补助天数及金额；并根据住宿发票的相关信息自动计算最高住宿标准，并进行控制，超出住宿标准予以警示。</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（9）系统识别成功后自动检查是否有重复发票，同时支持与税务系统 对接查验发票真伪。针对发票跨年报销（比如今年报销时上传去年的发票），在报销和审批时预警提醒给报销人和审批人。</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（10）出纳付款后，系统自动根据对照关系将报销单对应的会计科目和金额、附件张数、摘要信息生成预制凭证传递到财务核算系统。</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合同付款时可挂接相关合同编号，根据唯一编号，自动带出合同总金额、累计已支付金额（系统自动带出且无法修改），系统可以严格控制不允许超合同付款，出纳付款确认后，系统自动核减预算。并在合同付款的时候，根据医院合同管理制度，审批人可以看到合同的履约保证金到账情况等相关信息。</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合同审批过程中，直接在合同附件中点击修改按钮，系统会留下修改痕迹，保存修改稿，并把修改意见自动带出到表单上，对有疑义内容实现振荡回复。合同签订后，支持将签订版的合同文本及其附件上传至合同管理系统，支持实时查询合同的基本信息及电子版合同文本。</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合同执行表可以查看权限范围内的所有合同执行情况，并可点击穿透某份合同查看明细。针对支出类合同可以查看履约保障金到账情况，并关联到账的银行回单和凭证号；针对收款类合同，可以查看每一笔收款明细对应的银行回单和发票详情。</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实现项目经费到账、项目经费使用申请、审核、项目预算控制、项目经费收支查询、作废、提交、进度查询等相关功能。科研项目与项目组成员关联，实现专人专项报销，杜绝非项目成员错报、误报。支持查看项目（如科研课题）多资金来源的具体情况，每个资金来源的到账情况、使用情况和执行情况。</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（15）关联资产物资管理系统，可按科研项目名称筛选、归集相关材料费用，相关材料费用可自动归集到相应科研项目经费中，并作为费用类别中的一类进行归集统计。</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自动生成收入、支出、非收非付等相关业务对应的政府会计凭证，通过财务核算系统凭证联查原始单据并穿透查询发票，提高财务工作效率，并确保业务与财务核算的一致性。针对物资消耗/门诊收入/住院收入等类型的预算，支持从物资系统/HIS系统取数并自动关联预算科目和核算科目，核销预算的同时自动生成凭证。</w:t>
            </w:r>
            <w:r>
              <w:rPr>
                <w:rFonts w:hint="eastAsia" w:ascii="仿宋" w:hAnsi="仿宋" w:eastAsia="仿宋" w:cs="仿宋"/>
                <w:color w:val="000000"/>
                <w:sz w:val="21"/>
                <w:szCs w:val="21"/>
                <w:highlight w:val="none"/>
                <w:lang w:eastAsia="zh-CN"/>
              </w:rPr>
              <w:t>通过财务核算凭证，联查原始单据，并穿透查询发票。得0-1.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实现生成的政府会计会计凭证内容包括凭证摘要、借贷方会计科目、现金流量项目、本年盈余差异、以及其他如部门、医院项目、其他拨款项目、个人、客商、银行账户、经费性质等相关辅助核算，支持对生成的相关信息进行修改：</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（18）通过银医系统的对接，可实现业务系统自动对外付款，减少出错、保障安全。根据来款数据和付款记录，进行资金与业务匹配对账，系统对接高效便捷</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 xml:space="preserve">（19）支持从通过银医系统的对接，可实现业务系统自动对外付款，减少出错、保障安全。根据来款数据和付款记录，进行资金与业务匹配对账，系统对接高效便捷，所有报销等审批归档后数据自动流转到待付款池，出纳可以进行在线制单，制单后把相关支付数据自动对接给银行系统。出纳付款后，系统自动根据对照关系将报销单对应的会计科目和金额、附件张数、摘要信息生成预制凭证传递到财务核算系统。 </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（20）支持对医院各类招标项目的进度管理。</w:t>
            </w:r>
            <w:r>
              <w:rPr>
                <w:rFonts w:hint="eastAsia" w:ascii="仿宋" w:hAnsi="仿宋" w:eastAsia="仿宋" w:cs="仿宋"/>
                <w:color w:val="000000"/>
                <w:sz w:val="21"/>
                <w:szCs w:val="21"/>
                <w:highlight w:val="none"/>
                <w:lang w:eastAsia="zh-CN"/>
              </w:rPr>
              <w:t>得0-1.</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lang w:eastAsia="zh-CN"/>
              </w:rPr>
              <w:t>分</w:t>
            </w:r>
            <w:r>
              <w:rPr>
                <w:rFonts w:hint="eastAsia" w:ascii="仿宋" w:hAnsi="仿宋" w:eastAsia="仿宋" w:cs="仿宋"/>
                <w:color w:val="000000"/>
                <w:sz w:val="21"/>
                <w:szCs w:val="21"/>
                <w:highlight w:val="none"/>
              </w:rPr>
              <w:t>。</w:t>
            </w:r>
          </w:p>
        </w:tc>
      </w:tr>
      <w:tr>
        <w:tblPrEx>
          <w:tblCellMar>
            <w:top w:w="0" w:type="dxa"/>
            <w:left w:w="0" w:type="dxa"/>
            <w:bottom w:w="0" w:type="dxa"/>
            <w:right w:w="0" w:type="dxa"/>
          </w:tblCellMar>
        </w:tblPrEx>
        <w:trPr>
          <w:trHeight w:val="1412" w:hRule="atLeast"/>
          <w:jc w:val="center"/>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对投标人拟投入项目人员的评价（</w:t>
            </w: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项目负责人具备有效的中华人民共和国人社部和工业信息化部联合颁发的国内统一软考证书，如：</w:t>
            </w:r>
            <w:r>
              <w:rPr>
                <w:sz w:val="21"/>
                <w:szCs w:val="21"/>
                <w:highlight w:val="none"/>
              </w:rPr>
              <w:fldChar w:fldCharType="begin"/>
            </w:r>
            <w:r>
              <w:rPr>
                <w:sz w:val="21"/>
                <w:szCs w:val="21"/>
                <w:highlight w:val="none"/>
              </w:rPr>
              <w:instrText xml:space="preserve"> HYPERLINK "https://www.ruankao.org.cn/platform/details?code=03_01" \o "信息系统项目管理师" </w:instrText>
            </w:r>
            <w:r>
              <w:rPr>
                <w:sz w:val="21"/>
                <w:szCs w:val="21"/>
                <w:highlight w:val="none"/>
              </w:rPr>
              <w:fldChar w:fldCharType="separate"/>
            </w:r>
            <w:r>
              <w:rPr>
                <w:rFonts w:hint="eastAsia" w:ascii="仿宋" w:hAnsi="仿宋" w:eastAsia="仿宋" w:cs="仿宋"/>
                <w:color w:val="000000"/>
                <w:sz w:val="21"/>
                <w:szCs w:val="21"/>
                <w:highlight w:val="none"/>
              </w:rPr>
              <w:t>信息系统项目管理师</w:t>
            </w:r>
            <w:r>
              <w:rPr>
                <w:rFonts w:hint="eastAsia" w:ascii="仿宋" w:hAnsi="仿宋" w:eastAsia="仿宋" w:cs="仿宋"/>
                <w:color w:val="000000"/>
                <w:sz w:val="21"/>
                <w:szCs w:val="21"/>
                <w:highlight w:val="none"/>
              </w:rPr>
              <w:fldChar w:fldCharType="end"/>
            </w:r>
            <w:r>
              <w:rPr>
                <w:rFonts w:hint="eastAsia" w:ascii="仿宋" w:hAnsi="仿宋" w:eastAsia="仿宋" w:cs="仿宋"/>
                <w:color w:val="000000"/>
                <w:sz w:val="21"/>
                <w:szCs w:val="21"/>
                <w:highlight w:val="none"/>
              </w:rPr>
              <w:t>、</w:t>
            </w:r>
            <w:r>
              <w:rPr>
                <w:sz w:val="21"/>
                <w:szCs w:val="21"/>
                <w:highlight w:val="none"/>
              </w:rPr>
              <w:fldChar w:fldCharType="begin"/>
            </w:r>
            <w:r>
              <w:rPr>
                <w:sz w:val="21"/>
                <w:szCs w:val="21"/>
                <w:highlight w:val="none"/>
              </w:rPr>
              <w:instrText xml:space="preserve"> HYPERLINK "https://www.ruankao.org.cn/platform/details?code=02_43" \o "系统集成项目管理工程师" </w:instrText>
            </w:r>
            <w:r>
              <w:rPr>
                <w:sz w:val="21"/>
                <w:szCs w:val="21"/>
                <w:highlight w:val="none"/>
              </w:rPr>
              <w:fldChar w:fldCharType="separate"/>
            </w:r>
            <w:r>
              <w:rPr>
                <w:rFonts w:hint="eastAsia" w:ascii="仿宋" w:hAnsi="仿宋" w:eastAsia="仿宋" w:cs="仿宋"/>
                <w:color w:val="000000"/>
                <w:sz w:val="21"/>
                <w:szCs w:val="21"/>
                <w:highlight w:val="none"/>
              </w:rPr>
              <w:t>系统集成项目管理工程师</w:t>
            </w:r>
            <w:r>
              <w:rPr>
                <w:rFonts w:hint="eastAsia" w:ascii="仿宋" w:hAnsi="仿宋" w:eastAsia="仿宋" w:cs="仿宋"/>
                <w:color w:val="000000"/>
                <w:sz w:val="21"/>
                <w:szCs w:val="21"/>
                <w:highlight w:val="none"/>
              </w:rPr>
              <w:fldChar w:fldCharType="end"/>
            </w:r>
            <w:r>
              <w:rPr>
                <w:rFonts w:hint="eastAsia" w:ascii="仿宋" w:hAnsi="仿宋" w:eastAsia="仿宋" w:cs="仿宋"/>
                <w:color w:val="000000"/>
                <w:sz w:val="21"/>
                <w:szCs w:val="21"/>
                <w:highlight w:val="none"/>
              </w:rPr>
              <w:t>、软件设计师证书。每提供1个得0.5分，最高1分，不提供不得分。（需提供证书复印件加盖投标人公章）</w:t>
            </w:r>
          </w:p>
        </w:tc>
      </w:tr>
      <w:tr>
        <w:tblPrEx>
          <w:tblCellMar>
            <w:top w:w="0" w:type="dxa"/>
            <w:left w:w="0" w:type="dxa"/>
            <w:bottom w:w="0" w:type="dxa"/>
            <w:right w:w="0" w:type="dxa"/>
          </w:tblCellMar>
        </w:tblPrEx>
        <w:trPr>
          <w:trHeight w:val="1067" w:hRule="atLeast"/>
          <w:jc w:val="center"/>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项目负责人具有相关市级及以上医院财务全面预算管理系统建设经验。提供医院出具的证明材料。每提供一份得0.5分，最高得1分。不提供者不得分。（需提供相关证明材料加盖投标人公章）</w:t>
            </w:r>
          </w:p>
        </w:tc>
      </w:tr>
      <w:tr>
        <w:tblPrEx>
          <w:tblCellMar>
            <w:top w:w="0" w:type="dxa"/>
            <w:left w:w="0" w:type="dxa"/>
            <w:bottom w:w="0" w:type="dxa"/>
            <w:right w:w="0" w:type="dxa"/>
          </w:tblCellMar>
        </w:tblPrEx>
        <w:trPr>
          <w:trHeight w:val="90" w:hRule="atLeast"/>
          <w:jc w:val="center"/>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项目实施团队主要实施人员有注册信息安全工程师证书、PMP证书、IPMP证书等相关职业证书，每一项得0.5分，最高得分1分，不提供不得分；（需提供相关证明材料加盖投标人公章）</w:t>
            </w:r>
          </w:p>
        </w:tc>
      </w:tr>
      <w:tr>
        <w:tblPrEx>
          <w:tblCellMar>
            <w:top w:w="0" w:type="dxa"/>
            <w:left w:w="0" w:type="dxa"/>
            <w:bottom w:w="0" w:type="dxa"/>
            <w:right w:w="0" w:type="dxa"/>
          </w:tblCellMar>
        </w:tblPrEx>
        <w:trPr>
          <w:trHeight w:val="1362" w:hRule="atLeast"/>
          <w:jc w:val="center"/>
        </w:trPr>
        <w:tc>
          <w:tcPr>
            <w:tcW w:w="615" w:type="dxa"/>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1636" w:type="dxa"/>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sz w:val="21"/>
                <w:szCs w:val="21"/>
                <w:highlight w:val="none"/>
              </w:rPr>
            </w:pPr>
            <w:r>
              <w:rPr>
                <w:rFonts w:hint="eastAsia" w:ascii="仿宋" w:hAnsi="仿宋" w:eastAsia="仿宋" w:cs="仿宋"/>
                <w:color w:val="000000"/>
                <w:sz w:val="21"/>
                <w:szCs w:val="21"/>
                <w:highlight w:val="none"/>
              </w:rPr>
              <w:t>对投标人资质及技术能力的评价（9分）</w:t>
            </w: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具有相关ISO27001信息安全管理体系认证、ISO20000信息技术服务管理体系认证、ISO45001职业健康管理体系认证、ISO9001质量管理体系认证。每提供1个得0.5分，最高2分，不提供不得分。（需提供证书复印件加盖投标人公章）</w:t>
            </w:r>
          </w:p>
        </w:tc>
      </w:tr>
      <w:tr>
        <w:tblPrEx>
          <w:tblCellMar>
            <w:top w:w="0" w:type="dxa"/>
            <w:left w:w="0" w:type="dxa"/>
            <w:bottom w:w="0" w:type="dxa"/>
            <w:right w:w="0" w:type="dxa"/>
          </w:tblCellMar>
        </w:tblPrEx>
        <w:trPr>
          <w:trHeight w:val="458" w:hRule="atLeast"/>
          <w:jc w:val="center"/>
        </w:trPr>
        <w:tc>
          <w:tcPr>
            <w:tcW w:w="615" w:type="dxa"/>
            <w:vMerge w:val="continue"/>
            <w:tcBorders>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投标人需要具有医院全面预算、费控管理、</w:t>
            </w:r>
            <w:r>
              <w:rPr>
                <w:rFonts w:hint="eastAsia" w:ascii="仿宋" w:hAnsi="仿宋" w:eastAsia="仿宋" w:cs="仿宋"/>
                <w:color w:val="000000"/>
                <w:sz w:val="21"/>
                <w:szCs w:val="21"/>
                <w:highlight w:val="none"/>
                <w:lang w:eastAsia="zh-CN"/>
              </w:rPr>
              <w:t>专项（</w:t>
            </w:r>
            <w:r>
              <w:rPr>
                <w:rFonts w:hint="eastAsia" w:ascii="仿宋" w:hAnsi="仿宋" w:eastAsia="仿宋" w:cs="仿宋"/>
                <w:color w:val="000000"/>
                <w:sz w:val="21"/>
                <w:szCs w:val="21"/>
                <w:highlight w:val="none"/>
              </w:rPr>
              <w:t>科研</w:t>
            </w:r>
            <w:r>
              <w:rPr>
                <w:rFonts w:hint="eastAsia" w:ascii="仿宋" w:hAnsi="仿宋" w:eastAsia="仿宋" w:cs="仿宋"/>
                <w:color w:val="000000"/>
                <w:sz w:val="21"/>
                <w:szCs w:val="21"/>
                <w:highlight w:val="none"/>
                <w:lang w:eastAsia="zh-CN"/>
              </w:rPr>
              <w:t>等）</w:t>
            </w:r>
            <w:r>
              <w:rPr>
                <w:rFonts w:hint="eastAsia" w:ascii="仿宋" w:hAnsi="仿宋" w:eastAsia="仿宋" w:cs="仿宋"/>
                <w:color w:val="000000"/>
                <w:sz w:val="21"/>
                <w:szCs w:val="21"/>
                <w:highlight w:val="none"/>
              </w:rPr>
              <w:t>项目、合同管理、银医直连、财务核算、业财一体化的7个项目相关软件著作权，提供证书复印件并加盖投标人公章，每有一项得1分，最高得7分。</w:t>
            </w:r>
          </w:p>
        </w:tc>
      </w:tr>
      <w:tr>
        <w:tblPrEx>
          <w:tblCellMar>
            <w:top w:w="0" w:type="dxa"/>
            <w:left w:w="0" w:type="dxa"/>
            <w:bottom w:w="0" w:type="dxa"/>
            <w:right w:w="0" w:type="dxa"/>
          </w:tblCellMar>
        </w:tblPrEx>
        <w:trPr>
          <w:trHeight w:val="2179" w:hRule="atLeast"/>
          <w:jc w:val="center"/>
        </w:trPr>
        <w:tc>
          <w:tcPr>
            <w:tcW w:w="615"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1636"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项目培训方案（</w:t>
            </w:r>
            <w:r>
              <w:rPr>
                <w:rFonts w:hint="eastAsia" w:ascii="仿宋" w:hAnsi="仿宋" w:eastAsia="仿宋" w:cs="仿宋"/>
                <w:color w:val="000000"/>
                <w:sz w:val="21"/>
                <w:szCs w:val="21"/>
                <w:highlight w:val="none"/>
                <w:lang w:val="en-US" w:eastAsia="zh-CN"/>
              </w:rPr>
              <w:t>1.5</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系统计算机管理人员培训，重点培训为软件的安装、维护、调试、配置及使用技能；业务人员培训，重点对相应应用的操作、使用。根据投标人提供的培训方案的先进性、科学性、可行性等进行综合评分。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由评标委员会进行综合评分。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方案合理性、针对性较强得分1.1-</w:t>
            </w:r>
            <w:r>
              <w:rPr>
                <w:rFonts w:hint="eastAsia" w:ascii="仿宋" w:hAnsi="仿宋" w:eastAsia="仿宋" w:cs="仿宋"/>
                <w:color w:val="000000"/>
                <w:sz w:val="21"/>
                <w:szCs w:val="21"/>
                <w:highlight w:val="none"/>
                <w:lang w:val="en-US" w:eastAsia="zh-CN"/>
              </w:rPr>
              <w:t>1.5</w:t>
            </w:r>
            <w:r>
              <w:rPr>
                <w:rFonts w:hint="eastAsia" w:ascii="仿宋" w:hAnsi="仿宋" w:eastAsia="仿宋" w:cs="仿宋"/>
                <w:color w:val="000000"/>
                <w:sz w:val="21"/>
                <w:szCs w:val="21"/>
                <w:highlight w:val="none"/>
              </w:rPr>
              <w:t>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方案合理性、针对性不强得0.1-1.0分。</w:t>
            </w:r>
          </w:p>
        </w:tc>
      </w:tr>
      <w:tr>
        <w:tblPrEx>
          <w:tblCellMar>
            <w:top w:w="0" w:type="dxa"/>
            <w:left w:w="0" w:type="dxa"/>
            <w:bottom w:w="0" w:type="dxa"/>
            <w:right w:w="0" w:type="dxa"/>
          </w:tblCellMar>
        </w:tblPrEx>
        <w:trPr>
          <w:trHeight w:val="1480" w:hRule="atLeast"/>
          <w:jc w:val="center"/>
        </w:trPr>
        <w:tc>
          <w:tcPr>
            <w:tcW w:w="615" w:type="dxa"/>
            <w:vMerge w:val="restart"/>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1636" w:type="dxa"/>
            <w:vMerge w:val="restart"/>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售后（维保）服务（</w:t>
            </w:r>
            <w:r>
              <w:rPr>
                <w:rFonts w:hint="eastAsia" w:ascii="仿宋" w:hAnsi="仿宋" w:eastAsia="仿宋" w:cs="仿宋"/>
                <w:color w:val="000000"/>
                <w:sz w:val="21"/>
                <w:szCs w:val="21"/>
                <w:highlight w:val="none"/>
                <w:lang w:val="en-US" w:eastAsia="zh-CN"/>
              </w:rPr>
              <w:t>4.5</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根据投标人提供的售后服务方案、售后服务承诺、保障措施可行、完整，维护期内外的后续技术支持和维护能力。由评标委员会进行综合评分。</w:t>
            </w:r>
          </w:p>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方案合理性、针对性较强得分1.1-</w:t>
            </w:r>
            <w:r>
              <w:rPr>
                <w:rFonts w:hint="eastAsia" w:ascii="仿宋" w:hAnsi="仿宋" w:eastAsia="仿宋" w:cs="仿宋"/>
                <w:color w:val="000000"/>
                <w:sz w:val="21"/>
                <w:szCs w:val="21"/>
                <w:highlight w:val="none"/>
                <w:lang w:val="en-US" w:eastAsia="zh-CN"/>
              </w:rPr>
              <w:t>1.5</w:t>
            </w:r>
            <w:r>
              <w:rPr>
                <w:rFonts w:hint="eastAsia" w:ascii="仿宋" w:hAnsi="仿宋" w:eastAsia="仿宋" w:cs="仿宋"/>
                <w:color w:val="000000"/>
                <w:sz w:val="21"/>
                <w:szCs w:val="21"/>
                <w:highlight w:val="none"/>
              </w:rPr>
              <w:t>分；</w:t>
            </w:r>
          </w:p>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方案合理性、针对性不强得0.1-1.0分。</w:t>
            </w:r>
          </w:p>
        </w:tc>
      </w:tr>
      <w:tr>
        <w:tblPrEx>
          <w:tblCellMar>
            <w:top w:w="0" w:type="dxa"/>
            <w:left w:w="0" w:type="dxa"/>
            <w:bottom w:w="0" w:type="dxa"/>
            <w:right w:w="0" w:type="dxa"/>
          </w:tblCellMar>
        </w:tblPrEx>
        <w:trPr>
          <w:trHeight w:val="526" w:hRule="atLeast"/>
          <w:jc w:val="center"/>
        </w:trPr>
        <w:tc>
          <w:tcPr>
            <w:tcW w:w="615" w:type="dxa"/>
            <w:vMerge w:val="continue"/>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p>
        </w:tc>
        <w:tc>
          <w:tcPr>
            <w:tcW w:w="1636" w:type="dxa"/>
            <w:vMerge w:val="continue"/>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p>
        </w:tc>
        <w:tc>
          <w:tcPr>
            <w:tcW w:w="7094" w:type="dxa"/>
            <w:tcBorders>
              <w:top w:val="single" w:color="000000" w:sz="4" w:space="0"/>
              <w:left w:val="single" w:color="000000" w:sz="4" w:space="0"/>
              <w:bottom w:val="single" w:color="auto" w:sz="4" w:space="0"/>
              <w:right w:val="single" w:color="000000" w:sz="4" w:space="0"/>
            </w:tcBorders>
            <w:shd w:val="clear" w:color="auto" w:fill="FFFFFF"/>
            <w:noWrap/>
            <w:tcMar>
              <w:top w:w="12" w:type="dxa"/>
              <w:left w:w="12" w:type="dxa"/>
              <w:right w:w="12" w:type="dxa"/>
            </w:tcMar>
            <w:vAlign w:val="center"/>
          </w:tcPr>
          <w:p>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rPr>
              <w:t>投标人在1年质保期的基础上，每增加1年得1分，最高得3分。</w:t>
            </w:r>
          </w:p>
        </w:tc>
      </w:tr>
      <w:tr>
        <w:tblPrEx>
          <w:tblCellMar>
            <w:top w:w="0" w:type="dxa"/>
            <w:left w:w="0" w:type="dxa"/>
            <w:bottom w:w="0" w:type="dxa"/>
            <w:right w:w="0" w:type="dxa"/>
          </w:tblCellMar>
        </w:tblPrEx>
        <w:trPr>
          <w:trHeight w:val="106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投标人在市场近三年销售业绩的评价（</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ascii="仿宋" w:hAnsi="仿宋" w:eastAsia="仿宋" w:cs="仿宋"/>
                <w:strike/>
                <w:color w:val="000000"/>
                <w:sz w:val="21"/>
                <w:szCs w:val="21"/>
                <w:highlight w:val="none"/>
              </w:rPr>
            </w:pPr>
            <w:r>
              <w:rPr>
                <w:rFonts w:hint="eastAsia" w:ascii="仿宋" w:hAnsi="仿宋" w:eastAsia="仿宋" w:cs="仿宋"/>
                <w:color w:val="000000"/>
                <w:sz w:val="21"/>
                <w:szCs w:val="21"/>
                <w:highlight w:val="none"/>
              </w:rPr>
              <w:t>根据投标人提供20</w:t>
            </w:r>
            <w:r>
              <w:rPr>
                <w:rFonts w:hint="eastAsia" w:ascii="仿宋" w:hAnsi="仿宋" w:eastAsia="仿宋" w:cs="仿宋"/>
                <w:color w:val="000000"/>
                <w:sz w:val="21"/>
                <w:szCs w:val="21"/>
                <w:highlight w:val="none"/>
                <w:lang w:val="en-US" w:eastAsia="zh-CN"/>
              </w:rPr>
              <w:t>20</w:t>
            </w:r>
            <w:r>
              <w:rPr>
                <w:rFonts w:hint="eastAsia" w:ascii="仿宋" w:hAnsi="仿宋" w:eastAsia="仿宋" w:cs="仿宋"/>
                <w:color w:val="000000"/>
                <w:sz w:val="21"/>
                <w:szCs w:val="21"/>
                <w:highlight w:val="none"/>
              </w:rPr>
              <w:t>年1月1日至今（时间以合同时间为准）的同类项目业绩案例，每提供1个得</w:t>
            </w:r>
            <w:r>
              <w:rPr>
                <w:rFonts w:hint="eastAsia" w:ascii="仿宋" w:hAnsi="仿宋" w:eastAsia="仿宋" w:cs="仿宋"/>
                <w:color w:val="000000"/>
                <w:sz w:val="21"/>
                <w:szCs w:val="21"/>
                <w:highlight w:val="none"/>
                <w:lang w:val="en-US" w:eastAsia="zh-CN"/>
              </w:rPr>
              <w:t>0.5</w:t>
            </w:r>
            <w:r>
              <w:rPr>
                <w:rFonts w:hint="eastAsia" w:ascii="仿宋" w:hAnsi="仿宋" w:eastAsia="仿宋" w:cs="仿宋"/>
                <w:color w:val="000000"/>
                <w:sz w:val="21"/>
                <w:szCs w:val="21"/>
                <w:highlight w:val="none"/>
              </w:rPr>
              <w:t>分，最高得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分，不提供不得分。在投标文件中提供合同复印件并加盖投标人公章。</w:t>
            </w:r>
          </w:p>
        </w:tc>
      </w:tr>
      <w:tr>
        <w:tblPrEx>
          <w:tblCellMar>
            <w:top w:w="0" w:type="dxa"/>
            <w:left w:w="0" w:type="dxa"/>
            <w:bottom w:w="0" w:type="dxa"/>
            <w:right w:w="0" w:type="dxa"/>
          </w:tblCellMar>
        </w:tblPrEx>
        <w:trPr>
          <w:trHeight w:val="198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60" w:lineRule="exact"/>
              <w:ind w:left="-5" w:leftChars="-6" w:hanging="8" w:hangingChars="4"/>
              <w:jc w:val="center"/>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2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产品信息安全等保评分（2分）</w:t>
            </w:r>
          </w:p>
        </w:tc>
        <w:tc>
          <w:tcPr>
            <w:tcW w:w="7094"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pStyle w:val="19"/>
              <w:keepNext w:val="0"/>
              <w:keepLines w:val="0"/>
              <w:pageBreakBefore w:val="0"/>
              <w:widowControl w:val="0"/>
              <w:kinsoku/>
              <w:wordWrap/>
              <w:overflowPunct/>
              <w:topLinePunct w:val="0"/>
              <w:autoSpaceDE/>
              <w:autoSpaceDN/>
              <w:bidi w:val="0"/>
              <w:adjustRightInd/>
              <w:snapToGrid/>
              <w:spacing w:line="32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系统安全要满足国家信息安全中心要求，要求公安局出具的信息系统安全等级保护三级备案证明得1分，否则不得分。</w:t>
            </w:r>
          </w:p>
          <w:p>
            <w:pPr>
              <w:pStyle w:val="19"/>
              <w:keepNext w:val="0"/>
              <w:keepLines w:val="0"/>
              <w:pageBreakBefore w:val="0"/>
              <w:widowControl w:val="0"/>
              <w:tabs>
                <w:tab w:val="left" w:pos="3502"/>
              </w:tabs>
              <w:kinsoku/>
              <w:wordWrap/>
              <w:overflowPunct/>
              <w:topLinePunct w:val="0"/>
              <w:autoSpaceDE/>
              <w:autoSpaceDN/>
              <w:bidi w:val="0"/>
              <w:adjustRightInd/>
              <w:snapToGrid/>
              <w:spacing w:line="320" w:lineRule="exact"/>
              <w:ind w:left="0" w:leftChars="0"/>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平台提供完整的安全体系，从底层架构、数据存储、数据传输访问机制、应用使用等层面，提供符合国家规范，满足国家等保、分保、国密的规定，保障企业组织机构的安全运营。满足者得1分；否则得0分。</w:t>
            </w:r>
          </w:p>
          <w:p>
            <w:pPr>
              <w:pStyle w:val="19"/>
              <w:keepNext w:val="0"/>
              <w:keepLines w:val="0"/>
              <w:pageBreakBefore w:val="0"/>
              <w:widowControl w:val="0"/>
              <w:kinsoku/>
              <w:wordWrap/>
              <w:overflowPunct/>
              <w:topLinePunct w:val="0"/>
              <w:autoSpaceDE/>
              <w:autoSpaceDN/>
              <w:bidi w:val="0"/>
              <w:adjustRightInd/>
              <w:snapToGrid/>
              <w:spacing w:line="320" w:lineRule="exact"/>
              <w:ind w:left="-5" w:leftChars="-6" w:hanging="8" w:hangingChars="4"/>
              <w:textAlignment w:val="auto"/>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（需提供有效证明材料并加盖投标人公章）</w:t>
            </w:r>
          </w:p>
        </w:tc>
      </w:tr>
    </w:tbl>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即：投标报价得分=(评标基准价／投标报价)×</w:t>
      </w:r>
      <w:r>
        <w:rPr>
          <w:rFonts w:hint="eastAsia" w:ascii="仿宋_GB2312" w:hAnsi="宋体" w:eastAsia="仿宋_GB2312"/>
          <w:bCs/>
          <w:iCs/>
          <w:sz w:val="24"/>
          <w:highlight w:val="none"/>
          <w:lang w:val="en-US" w:eastAsia="zh-CN"/>
        </w:rPr>
        <w:t>3</w:t>
      </w:r>
      <w:r>
        <w:rPr>
          <w:rFonts w:hint="eastAsia" w:ascii="仿宋_GB2312" w:hAnsi="宋体" w:eastAsia="仿宋_GB2312"/>
          <w:bCs/>
          <w:iCs/>
          <w:sz w:val="24"/>
          <w:highlight w:val="none"/>
        </w:rPr>
        <w:t>0</w:t>
      </w:r>
    </w:p>
    <w:p>
      <w:pPr>
        <w:snapToGrid w:val="0"/>
        <w:rPr>
          <w:rFonts w:ascii="仿宋_GB2312" w:hAnsi="宋体" w:eastAsia="仿宋_GB2312"/>
          <w:b/>
          <w:sz w:val="24"/>
          <w:highlight w:val="none"/>
          <w:u w:val="single"/>
        </w:rPr>
      </w:pPr>
    </w:p>
    <w:bookmarkEnd w:id="8"/>
    <w:bookmarkEnd w:id="9"/>
    <w:bookmarkEnd w:id="10"/>
    <w:bookmarkEnd w:id="11"/>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第六部分</w:t>
      </w:r>
      <w:r>
        <w:rPr>
          <w:rFonts w:hint="eastAsia" w:ascii="仿宋_GB2312" w:hAnsi="宋体" w:eastAsia="仿宋_GB2312"/>
          <w:b/>
          <w:sz w:val="36"/>
          <w:szCs w:val="36"/>
          <w:highlight w:val="none"/>
        </w:rPr>
        <w:t>投标文件</w:t>
      </w:r>
      <w:r>
        <w:rPr>
          <w:rFonts w:hint="eastAsia" w:ascii="仿宋_GB2312" w:hAnsi="仿宋_GB2312" w:eastAsia="仿宋_GB2312" w:cs="仿宋_GB2312"/>
          <w:b/>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报价文件部分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目录</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（1）投标响应函……………………………………………………（页码）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（2）开标一览表……………………………………………………（页码）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（3）中小企业声明函………………………………………………（页码）</w:t>
      </w:r>
    </w:p>
    <w:p>
      <w:pPr>
        <w:spacing w:line="360" w:lineRule="auto"/>
        <w:outlineLvl w:val="0"/>
        <w:rPr>
          <w:rFonts w:ascii="仿宋_GB2312" w:hAnsi="宋体" w:eastAsia="仿宋_GB2312"/>
          <w:b/>
          <w:sz w:val="36"/>
          <w:szCs w:val="36"/>
          <w:highlight w:val="none"/>
        </w:rPr>
      </w:pPr>
      <w:r>
        <w:rPr>
          <w:rFonts w:hint="eastAsia" w:ascii="仿宋_GB2312" w:hAnsi="仿宋_GB2312" w:eastAsia="仿宋_GB2312" w:cs="仿宋_GB2312"/>
          <w:sz w:val="24"/>
          <w:highlight w:val="none"/>
        </w:rPr>
        <w:t>（4）残疾人福利性单位声明函</w:t>
      </w:r>
      <w:r>
        <w:rPr>
          <w:rFonts w:hint="eastAsia" w:ascii="仿宋_GB2312" w:hAnsi="仿宋_GB2312" w:eastAsia="仿宋_GB2312" w:cs="仿宋_GB2312"/>
          <w:kern w:val="0"/>
          <w:sz w:val="24"/>
          <w:highlight w:val="none"/>
        </w:rPr>
        <w:t>……………………………………（页码）</w:t>
      </w: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pageBreakBefore/>
        <w:rPr>
          <w:rFonts w:ascii="仿宋_GB2312" w:hAnsi="宋体" w:eastAsia="仿宋_GB2312"/>
          <w:b/>
          <w:sz w:val="30"/>
          <w:szCs w:val="30"/>
          <w:highlight w:val="none"/>
        </w:rPr>
      </w:pPr>
      <w:r>
        <w:rPr>
          <w:rFonts w:hint="eastAsia" w:ascii="仿宋_GB2312" w:hAnsi="宋体" w:eastAsia="仿宋_GB2312"/>
          <w:b/>
          <w:sz w:val="30"/>
          <w:szCs w:val="30"/>
          <w:highlight w:val="none"/>
        </w:rPr>
        <w:t>1、投标响应函（格式）</w:t>
      </w:r>
    </w:p>
    <w:p>
      <w:pPr>
        <w:pStyle w:val="69"/>
        <w:spacing w:afterLines="0" w:line="440" w:lineRule="exact"/>
        <w:ind w:firstLine="0" w:firstLineChars="0"/>
        <w:rPr>
          <w:rFonts w:ascii="仿宋_GB2312" w:hAnsi="宋体" w:eastAsia="仿宋_GB2312"/>
          <w:szCs w:val="24"/>
          <w:highlight w:val="none"/>
        </w:rPr>
      </w:pPr>
    </w:p>
    <w:p>
      <w:pPr>
        <w:pStyle w:val="69"/>
        <w:spacing w:afterLines="0" w:line="440" w:lineRule="exact"/>
        <w:ind w:firstLine="0" w:firstLineChars="0"/>
        <w:rPr>
          <w:rFonts w:hint="eastAsia" w:ascii="仿宋_GB2312" w:hAnsi="宋体" w:eastAsia="仿宋_GB2312"/>
          <w:szCs w:val="24"/>
          <w:highlight w:val="none"/>
          <w:lang w:eastAsia="zh-CN"/>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lang w:eastAsia="zh-CN"/>
        </w:rPr>
        <w:t>绍兴市中医院、绍兴市第七人民医院、绍兴市口腔医院</w:t>
      </w:r>
      <w:r>
        <w:rPr>
          <w:rFonts w:hint="eastAsia" w:ascii="仿宋_GB2312" w:hAnsi="宋体" w:eastAsia="仿宋_GB2312"/>
          <w:szCs w:val="24"/>
          <w:highlight w:val="none"/>
          <w:u w:val="single"/>
        </w:rPr>
        <w:t>、</w:t>
      </w:r>
      <w:r>
        <w:rPr>
          <w:rFonts w:hint="eastAsia" w:ascii="仿宋_GB2312" w:hAnsi="宋体" w:eastAsia="仿宋_GB2312"/>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根据贵方招标文件（</w:t>
      </w:r>
      <w:r>
        <w:rPr>
          <w:rFonts w:hint="eastAsia" w:ascii="仿宋_GB2312" w:hAnsi="宋体" w:eastAsia="仿宋_GB2312"/>
          <w:b/>
          <w:szCs w:val="24"/>
          <w:highlight w:val="none"/>
          <w:u w:val="single"/>
        </w:rPr>
        <w:t>填写招标编号：</w:t>
      </w:r>
      <w:r>
        <w:rPr>
          <w:rFonts w:hint="eastAsia" w:ascii="仿宋_GB2312" w:hAnsi="宋体" w:eastAsia="仿宋_GB2312"/>
          <w:szCs w:val="24"/>
          <w:highlight w:val="none"/>
        </w:rPr>
        <w:t>）的要求，正式授权</w:t>
      </w:r>
      <w:r>
        <w:rPr>
          <w:rFonts w:hint="eastAsia" w:ascii="仿宋_GB2312" w:hAnsi="宋体" w:eastAsia="仿宋_GB2312"/>
          <w:b/>
          <w:szCs w:val="24"/>
          <w:highlight w:val="none"/>
          <w:u w:val="single"/>
        </w:rPr>
        <w:t>（全权代表姓名    、单位    、职务   ）</w:t>
      </w:r>
      <w:r>
        <w:rPr>
          <w:rFonts w:hint="eastAsia" w:ascii="仿宋_GB2312" w:hAnsi="宋体" w:eastAsia="仿宋_GB2312"/>
          <w:szCs w:val="24"/>
          <w:highlight w:val="none"/>
        </w:rPr>
        <w:t>代表投标人</w:t>
      </w:r>
      <w:r>
        <w:rPr>
          <w:rFonts w:hint="eastAsia" w:ascii="仿宋_GB2312" w:hAnsi="宋体" w:eastAsia="仿宋_GB2312"/>
          <w:szCs w:val="24"/>
          <w:highlight w:val="none"/>
          <w:u w:val="single"/>
        </w:rPr>
        <w:t>（</w:t>
      </w:r>
      <w:r>
        <w:rPr>
          <w:rFonts w:hint="eastAsia" w:ascii="仿宋_GB2312" w:hAnsi="宋体" w:eastAsia="仿宋_GB2312"/>
          <w:b/>
          <w:szCs w:val="24"/>
          <w:highlight w:val="none"/>
          <w:u w:val="single"/>
        </w:rPr>
        <w:t xml:space="preserve">填写单位    、地址   </w:t>
      </w:r>
      <w:r>
        <w:rPr>
          <w:rFonts w:hint="eastAsia" w:ascii="仿宋_GB2312" w:hAnsi="宋体" w:eastAsia="仿宋_GB2312"/>
          <w:szCs w:val="24"/>
          <w:highlight w:val="none"/>
          <w:u w:val="single"/>
        </w:rPr>
        <w:t>）</w:t>
      </w:r>
      <w:r>
        <w:rPr>
          <w:rFonts w:hint="eastAsia" w:ascii="仿宋_GB2312" w:hAnsi="宋体" w:eastAsia="仿宋_GB2312"/>
          <w:szCs w:val="24"/>
          <w:highlight w:val="none"/>
        </w:rPr>
        <w:t>提交投标文件。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我方同意在投标人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泰宇建筑工程技术咨询有限公司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法定代表人或其授权代表(签字或盖章)：</w:t>
      </w:r>
    </w:p>
    <w:p>
      <w:pPr>
        <w:pStyle w:val="69"/>
        <w:spacing w:afterLines="0" w:line="440" w:lineRule="exact"/>
        <w:ind w:firstLine="480"/>
        <w:rPr>
          <w:rFonts w:ascii="仿宋_GB2312" w:hAnsi="宋体" w:eastAsia="仿宋_GB2312"/>
          <w:b/>
          <w:sz w:val="30"/>
          <w:szCs w:val="30"/>
          <w:highlight w:val="none"/>
        </w:rPr>
      </w:pPr>
      <w:r>
        <w:rPr>
          <w:rFonts w:hint="eastAsia" w:ascii="仿宋_GB2312" w:hAnsi="宋体" w:eastAsia="仿宋_GB2312"/>
          <w:szCs w:val="24"/>
          <w:highlight w:val="none"/>
        </w:rPr>
        <w:t xml:space="preserve">投标人(电子签章)：　　　　　　　　　日期：   </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2、开标一览表（格式）</w:t>
      </w:r>
    </w:p>
    <w:p>
      <w:pPr>
        <w:spacing w:line="400" w:lineRule="exact"/>
        <w:rPr>
          <w:rFonts w:ascii="仿宋_GB2312" w:hAnsi="宋体" w:eastAsia="仿宋_GB2312"/>
          <w:sz w:val="24"/>
          <w:highlight w:val="none"/>
        </w:rPr>
      </w:pP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投标人名称：</w:t>
      </w:r>
    </w:p>
    <w:p>
      <w:pPr>
        <w:snapToGrid w:val="0"/>
        <w:spacing w:line="400" w:lineRule="exact"/>
        <w:rPr>
          <w:rFonts w:ascii="仿宋_GB2312" w:hAnsi="宋体" w:eastAsia="仿宋_GB2312"/>
          <w:sz w:val="24"/>
          <w:highlight w:val="none"/>
        </w:rPr>
      </w:pPr>
      <w:r>
        <w:rPr>
          <w:rFonts w:hint="eastAsia" w:ascii="仿宋_GB2312" w:hAnsi="宋体" w:eastAsia="仿宋_GB2312"/>
          <w:sz w:val="24"/>
          <w:highlight w:val="none"/>
        </w:rPr>
        <w:t>标    项：</w:t>
      </w:r>
    </w:p>
    <w:p>
      <w:pPr>
        <w:snapToGrid w:val="0"/>
        <w:spacing w:line="400" w:lineRule="exact"/>
        <w:rPr>
          <w:rFonts w:ascii="仿宋_GB2312" w:hAnsi="宋体" w:eastAsia="仿宋_GB2312"/>
          <w:sz w:val="24"/>
          <w:highlight w:val="none"/>
          <w:u w:val="single"/>
        </w:rPr>
      </w:pPr>
      <w:r>
        <w:rPr>
          <w:rFonts w:hint="eastAsia" w:ascii="仿宋_GB2312" w:hAnsi="宋体" w:eastAsia="仿宋_GB2312"/>
          <w:sz w:val="24"/>
          <w:highlight w:val="none"/>
        </w:rPr>
        <w:t>招标编号：</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highlight w:val="none"/>
              </w:rPr>
            </w:pPr>
            <w:r>
              <w:rPr>
                <w:rFonts w:hint="eastAsia" w:ascii="宋体" w:hAnsi="宋体"/>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highlight w:val="none"/>
              </w:rPr>
            </w:pPr>
            <w:r>
              <w:rPr>
                <w:rFonts w:hint="eastAsia" w:ascii="宋体" w:hAnsi="宋体"/>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highlight w:val="none"/>
              </w:rPr>
            </w:pPr>
            <w:r>
              <w:rPr>
                <w:rFonts w:hint="eastAsia" w:ascii="宋体" w:hAnsi="宋体"/>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highlight w:val="none"/>
              </w:rPr>
            </w:pPr>
            <w:r>
              <w:rPr>
                <w:rFonts w:hint="eastAsia" w:ascii="宋体" w:hAnsi="宋体"/>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highlight w:val="none"/>
              </w:rPr>
            </w:pPr>
            <w:r>
              <w:rPr>
                <w:rFonts w:hint="eastAsia" w:ascii="宋体" w:hAnsi="宋体"/>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型号和规格</w:t>
            </w:r>
            <w:r>
              <w:rPr>
                <w:rFonts w:hint="eastAsia" w:ascii="宋体" w:hAnsi="宋体"/>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highlight w:val="none"/>
              </w:rPr>
            </w:pPr>
            <w:r>
              <w:rPr>
                <w:rFonts w:hint="eastAsia" w:ascii="宋体" w:hAnsi="宋体"/>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spacing w:val="20"/>
                <w:sz w:val="18"/>
                <w:szCs w:val="18"/>
                <w:highlight w:val="none"/>
              </w:rPr>
            </w:pPr>
            <w:r>
              <w:rPr>
                <w:rFonts w:hint="eastAsia" w:ascii="宋体" w:hAnsi="宋体"/>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r>
              <w:rPr>
                <w:rFonts w:hint="eastAsia" w:ascii="宋体" w:hAnsi="宋体"/>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大写：</w:t>
            </w:r>
          </w:p>
        </w:tc>
      </w:tr>
    </w:tbl>
    <w:p>
      <w:pPr>
        <w:snapToGrid w:val="0"/>
        <w:jc w:val="left"/>
        <w:rPr>
          <w:rFonts w:ascii="仿宋_GB2312" w:hAnsi="宋体" w:eastAsia="仿宋_GB2312"/>
          <w:sz w:val="24"/>
          <w:highlight w:val="none"/>
        </w:rPr>
      </w:pPr>
      <w:r>
        <w:rPr>
          <w:rFonts w:hint="eastAsia" w:ascii="仿宋_GB2312" w:hAnsi="宋体" w:eastAsia="仿宋_GB2312"/>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3.投标人需按本表格式填写，如无对应内容，则填写：“无或/”。</w:t>
      </w:r>
    </w:p>
    <w:p>
      <w:pPr>
        <w:snapToGrid w:val="0"/>
        <w:ind w:left="48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sz w:val="24"/>
          <w:highlight w:val="none"/>
        </w:rPr>
      </w:pPr>
      <w:r>
        <w:rPr>
          <w:rFonts w:hint="eastAsia" w:ascii="仿宋_GB2312" w:hAnsi="仿宋_GB2312" w:eastAsia="仿宋_GB2312" w:cs="仿宋_GB2312"/>
          <w:kern w:val="0"/>
          <w:sz w:val="24"/>
          <w:highlight w:val="none"/>
          <w:lang w:val="zh-CN"/>
        </w:rPr>
        <w:t>5.</w:t>
      </w:r>
      <w:r>
        <w:rPr>
          <w:rFonts w:hint="eastAsia" w:ascii="仿宋_GB2312" w:hAnsi="宋体" w:eastAsia="仿宋_GB2312"/>
          <w:kern w:val="0"/>
          <w:sz w:val="24"/>
          <w:highlight w:val="none"/>
          <w:lang w:val="zh-CN"/>
        </w:rPr>
        <w:t>以上表格要求细分项目及报价，</w:t>
      </w:r>
      <w:r>
        <w:rPr>
          <w:rFonts w:hint="eastAsia" w:ascii="仿宋_GB2312" w:hAnsi="仿宋" w:eastAsia="仿宋_GB2312" w:cs="Arial"/>
          <w:b/>
          <w:kern w:val="0"/>
          <w:sz w:val="24"/>
          <w:highlight w:val="none"/>
        </w:rPr>
        <w:t>在“规格型号（或具体服务）”一栏中，货物类项目填写规格型号，服务类项目填写具体服务。</w:t>
      </w:r>
      <w:r>
        <w:rPr>
          <w:rFonts w:hint="eastAsia" w:ascii="仿宋_GB2312" w:hAnsi="宋体" w:eastAsia="仿宋_GB2312"/>
          <w:b/>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highlight w:val="none"/>
          <w:lang w:val="zh-CN"/>
        </w:rPr>
      </w:pPr>
      <w:r>
        <w:rPr>
          <w:rFonts w:hint="eastAsia" w:ascii="仿宋_GB2312" w:hAnsi="宋体" w:eastAsia="仿宋_GB2312"/>
          <w:b/>
          <w:sz w:val="24"/>
          <w:highlight w:val="none"/>
        </w:rPr>
        <w:t>6</w:t>
      </w:r>
      <w:r>
        <w:rPr>
          <w:rFonts w:hint="eastAsia" w:ascii="仿宋_GB2312" w:hAnsi="宋体" w:eastAsia="仿宋_GB2312"/>
          <w:b/>
          <w:kern w:val="0"/>
          <w:sz w:val="24"/>
          <w:highlight w:val="none"/>
          <w:lang w:val="zh-CN"/>
        </w:rPr>
        <w:t>.特别提示：采购机构将对</w:t>
      </w:r>
      <w:r>
        <w:rPr>
          <w:rFonts w:hint="eastAsia" w:ascii="仿宋_GB2312" w:hAnsi="仿宋" w:eastAsia="仿宋_GB2312" w:cs="宋体"/>
          <w:b/>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highlight w:val="none"/>
        </w:rPr>
      </w:pPr>
    </w:p>
    <w:p>
      <w:pPr>
        <w:spacing w:line="360" w:lineRule="auto"/>
        <w:ind w:left="-4" w:leftChars="-2" w:right="-817" w:rightChars="-389" w:firstLine="2"/>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auto"/>
        <w:outlineLvl w:val="0"/>
        <w:rPr>
          <w:rFonts w:ascii="仿宋_GB2312" w:hAnsi="宋体" w:eastAsia="仿宋_GB2312"/>
          <w:sz w:val="24"/>
          <w:highlight w:val="none"/>
        </w:rPr>
      </w:pPr>
      <w:r>
        <w:rPr>
          <w:rFonts w:hint="eastAsia" w:ascii="仿宋_GB2312" w:hAnsi="宋体" w:eastAsia="仿宋_GB2312"/>
          <w:sz w:val="24"/>
          <w:highlight w:val="none"/>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商务技术（资信）文件部分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目录</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（1）法定代表人授权书 …………………………………………………………（页码）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（2）授权代表社保证明（复印件）………………………………………………（页码）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（3）法定代表人及其授权代表的身份证（复印件）……………………………（页码）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3"/>
        <w:spacing w:line="360" w:lineRule="auto"/>
        <w:ind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（7）</w:t>
      </w:r>
      <w:r>
        <w:rPr>
          <w:rFonts w:hint="eastAsia" w:hAnsi="仿宋_GB2312" w:cs="仿宋_GB2312"/>
          <w:snapToGrid w:val="0"/>
          <w:highlight w:val="none"/>
        </w:rPr>
        <w:t>投标人售后服务证明材料</w:t>
      </w:r>
      <w:r>
        <w:rPr>
          <w:rFonts w:hint="eastAsia" w:hAnsi="仿宋_GB2312" w:cs="仿宋_GB2312"/>
          <w:highlight w:val="none"/>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（10）技术解决方案…………………………………………………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（12）组织实施方案……………………………………………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（13）售后服务方案……………………………………………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（14）项目小组人员名单………………………………………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优惠条件及特殊承诺……………………………………</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备品备件及供选择的配套零部件清单………………………</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培训计划………………………………………………………</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验收方案…………………………………………………………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（19）</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（页码）（20）</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（21）</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（22）中小企业声明函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注：以上目录是基本格式要求，各投标人可根据自身情况和评分标准进一步细化。</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本授权委托书声明：我</w:t>
      </w:r>
      <w:r>
        <w:rPr>
          <w:rFonts w:hint="eastAsia" w:ascii="仿宋_GB2312" w:hAnsi="宋体" w:eastAsia="仿宋_GB2312"/>
          <w:sz w:val="24"/>
          <w:highlight w:val="none"/>
          <w:u w:val="single"/>
        </w:rPr>
        <w:t xml:space="preserve">         (填写姓名)</w:t>
      </w: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（填写投标人单位全称）</w:t>
      </w:r>
      <w:r>
        <w:rPr>
          <w:rFonts w:hint="eastAsia" w:ascii="仿宋_GB2312" w:hAnsi="宋体" w:eastAsia="仿宋_GB2312"/>
          <w:sz w:val="24"/>
          <w:highlight w:val="none"/>
        </w:rPr>
        <w:t>的法定代表人，现授权委托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的（填写姓名）为我公司授权代表，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。以本公司的名义参加</w:t>
      </w:r>
      <w:r>
        <w:rPr>
          <w:rFonts w:hint="eastAsia" w:ascii="仿宋_GB2312" w:hAnsi="宋体" w:eastAsia="仿宋_GB2312"/>
          <w:sz w:val="24"/>
          <w:highlight w:val="none"/>
          <w:u w:val="single"/>
          <w:lang w:eastAsia="zh-CN"/>
        </w:rPr>
        <w:t>绍兴市中医院、绍兴市第七人民医院、绍兴市口腔医院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全面预算管理系统项目（重招）</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法定代表人（签字或盖章）：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ind w:firstLine="5280" w:firstLineChars="2200"/>
        <w:jc w:val="left"/>
        <w:rPr>
          <w:rFonts w:ascii="仿宋_GB2312" w:hAnsi="宋体" w:eastAsia="仿宋_GB2312"/>
          <w:sz w:val="24"/>
          <w:highlight w:val="none"/>
        </w:rPr>
      </w:pPr>
      <w:r>
        <w:rPr>
          <w:rFonts w:hint="eastAsia" w:ascii="仿宋_GB2312" w:hAnsi="宋体" w:eastAsia="仿宋_GB2312"/>
          <w:sz w:val="24"/>
          <w:highlight w:val="none"/>
        </w:rPr>
        <w:t>日期：    年   月   日</w:t>
      </w:r>
    </w:p>
    <w:p>
      <w:pPr>
        <w:ind w:firstLine="4920" w:firstLineChars="2050"/>
        <w:jc w:val="left"/>
        <w:rPr>
          <w:rFonts w:ascii="仿宋_GB2312" w:hAnsi="宋体" w:eastAsia="仿宋_GB2312"/>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的（填写姓名）为我方授权代表，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。以我方的名义参加</w:t>
      </w:r>
      <w:r>
        <w:rPr>
          <w:rFonts w:hint="eastAsia" w:ascii="仿宋_GB2312" w:hAnsi="宋体" w:eastAsia="仿宋_GB2312"/>
          <w:sz w:val="24"/>
          <w:highlight w:val="none"/>
          <w:u w:val="single"/>
          <w:lang w:eastAsia="zh-CN"/>
        </w:rPr>
        <w:t>绍兴市中医院、绍兴市第七人民医院、绍兴市口腔医院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全面预算管理系统项目（重招）</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spacing w:line="800" w:lineRule="exact"/>
        <w:ind w:firstLine="4320" w:firstLineChars="1800"/>
        <w:rPr>
          <w:rFonts w:ascii="仿宋_GB2312" w:hAnsi="宋体" w:eastAsia="仿宋_GB2312"/>
          <w:sz w:val="24"/>
          <w:highlight w:val="none"/>
        </w:rPr>
      </w:pPr>
    </w:p>
    <w:p>
      <w:pPr>
        <w:spacing w:line="800" w:lineRule="exact"/>
        <w:ind w:firstLine="4337" w:firstLineChars="1800"/>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3、法定代表人及其授权代表身份证复印件（正反面）</w:t>
      </w: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4、法定代表人身份证明书(格式)</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 标 人：</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地    址：</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姓    名：</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身份证号码：</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rPr>
      </w:pPr>
      <w:r>
        <w:rPr>
          <w:rFonts w:hint="eastAsia" w:ascii="仿宋_GB2312" w:hAnsi="宋体" w:eastAsia="仿宋_GB2312"/>
          <w:sz w:val="24"/>
          <w:highlight w:val="none"/>
        </w:rPr>
        <w:t>职   务：</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（填写投标人名称）</w:t>
      </w:r>
      <w:r>
        <w:rPr>
          <w:rFonts w:hint="eastAsia" w:ascii="仿宋_GB2312" w:hAnsi="宋体" w:eastAsia="仿宋_GB2312"/>
          <w:sz w:val="24"/>
          <w:highlight w:val="none"/>
        </w:rPr>
        <w:t>的法定代表人。</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特此证明。</w:t>
      </w:r>
    </w:p>
    <w:p>
      <w:pPr>
        <w:spacing w:line="440" w:lineRule="exact"/>
        <w:rPr>
          <w:rFonts w:ascii="仿宋_GB2312" w:hAnsi="宋体" w:eastAsia="仿宋_GB2312"/>
          <w:sz w:val="24"/>
          <w:highlight w:val="none"/>
        </w:rPr>
      </w:pP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投标人：                             （电子签章）</w:t>
      </w:r>
    </w:p>
    <w:p>
      <w:pPr>
        <w:spacing w:line="440" w:lineRule="exact"/>
        <w:ind w:right="480"/>
        <w:rPr>
          <w:rFonts w:ascii="仿宋_GB2312" w:hAnsi="宋体" w:eastAsia="仿宋_GB2312"/>
          <w:sz w:val="24"/>
          <w:highlight w:val="none"/>
        </w:rPr>
      </w:pPr>
    </w:p>
    <w:p>
      <w:pPr>
        <w:spacing w:line="440" w:lineRule="exact"/>
        <w:ind w:right="720"/>
        <w:jc w:val="right"/>
        <w:rPr>
          <w:rFonts w:ascii="仿宋_GB2312" w:hAnsi="宋体" w:eastAsia="仿宋_GB2312"/>
          <w:sz w:val="24"/>
          <w:highlight w:val="none"/>
        </w:rPr>
      </w:pPr>
      <w:r>
        <w:rPr>
          <w:rFonts w:hint="eastAsia" w:ascii="仿宋_GB2312" w:hAnsi="宋体" w:eastAsia="仿宋_GB2312"/>
          <w:sz w:val="24"/>
          <w:highlight w:val="none"/>
        </w:rPr>
        <w:t>年   月   日</w:t>
      </w:r>
    </w:p>
    <w:p>
      <w:pPr>
        <w:pageBreakBefore/>
        <w:spacing w:afterLines="100"/>
        <w:rPr>
          <w:rFonts w:ascii="仿宋_GB2312" w:hAnsi="仿宋_GB2312" w:eastAsia="仿宋_GB2312" w:cs="仿宋_GB2312"/>
          <w:b/>
          <w:kern w:val="0"/>
          <w:sz w:val="32"/>
          <w:szCs w:val="32"/>
          <w:highlight w:val="none"/>
        </w:rPr>
      </w:pPr>
      <w:r>
        <w:rPr>
          <w:rFonts w:hint="eastAsia" w:ascii="仿宋_GB2312" w:hAnsi="宋体" w:eastAsia="仿宋_GB2312"/>
          <w:b/>
          <w:sz w:val="30"/>
          <w:szCs w:val="30"/>
          <w:highlight w:val="none"/>
        </w:rPr>
        <w:t>5、资格审查有关的书面承诺函</w:t>
      </w:r>
    </w:p>
    <w:p>
      <w:pPr>
        <w:snapToGrid w:val="0"/>
        <w:spacing w:line="440" w:lineRule="exact"/>
        <w:rPr>
          <w:rFonts w:ascii="仿宋" w:hAnsi="仿宋" w:eastAsia="仿宋" w:cs="仿宋_GB2312"/>
          <w:sz w:val="24"/>
          <w:highlight w:val="none"/>
        </w:rPr>
      </w:pPr>
      <w:r>
        <w:rPr>
          <w:rFonts w:hint="eastAsia" w:ascii="仿宋_GB2312" w:hAnsi="仿宋_GB2312" w:eastAsia="仿宋_GB2312" w:cs="仿宋_GB2312"/>
          <w:sz w:val="24"/>
          <w:highlight w:val="none"/>
          <w:lang w:eastAsia="zh-CN"/>
        </w:rPr>
        <w:t>绍兴市中医院、绍兴市第七人民医院、绍兴市口腔医院</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kern w:val="0"/>
          <w:sz w:val="24"/>
          <w:highlight w:val="none"/>
          <w:lang w:val="zh-CN"/>
        </w:rPr>
        <w:t>：</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lang w:eastAsia="zh-CN"/>
        </w:rPr>
        <w:t>绍兴市中医院、绍兴市第七人民医院、绍兴市口腔医院全面预算管理系统项目（重招）</w:t>
      </w:r>
      <w:r>
        <w:rPr>
          <w:rFonts w:hint="eastAsia" w:ascii="仿宋_GB2312" w:hAnsi="仿宋" w:eastAsia="仿宋_GB2312" w:cs="仿宋_GB2312"/>
          <w:sz w:val="24"/>
          <w:highlight w:val="none"/>
        </w:rPr>
        <w:t>（招标编号:</w:t>
      </w:r>
      <w:r>
        <w:rPr>
          <w:rFonts w:hint="eastAsia" w:ascii="仿宋_GB2312" w:hAnsi="仿宋" w:eastAsia="仿宋_GB2312" w:cs="仿宋_GB2312"/>
          <w:sz w:val="24"/>
          <w:highlight w:val="none"/>
          <w:lang w:eastAsia="zh-CN"/>
        </w:rPr>
        <w:t>TYJZ2023011</w:t>
      </w:r>
      <w:r>
        <w:rPr>
          <w:rFonts w:hint="eastAsia" w:ascii="仿宋_GB2312" w:hAnsi="仿宋" w:eastAsia="仿宋_GB2312" w:cs="仿宋_GB2312"/>
          <w:sz w:val="24"/>
          <w:highlight w:val="none"/>
        </w:rPr>
        <w:t>）招标文件中关于申请人资格要求的下列条件：</w:t>
      </w:r>
    </w:p>
    <w:p>
      <w:pPr>
        <w:pStyle w:val="69"/>
        <w:widowControl w:val="0"/>
        <w:spacing w:afterLines="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r>
        <w:rPr>
          <w:rFonts w:ascii="仿宋_GB2312" w:hAnsi="仿宋" w:eastAsia="仿宋_GB2312" w:cs="仿宋_GB2312"/>
          <w:highlight w:val="none"/>
        </w:rPr>
        <w:t xml:space="preserve"> </w:t>
      </w:r>
    </w:p>
    <w:p>
      <w:pPr>
        <w:pStyle w:val="23"/>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napToGrid w:val="0"/>
        <w:spacing w:line="360" w:lineRule="auto"/>
        <w:rPr>
          <w:rFonts w:ascii="仿宋_GB2312" w:hAnsi="仿宋_GB2312" w:eastAsia="仿宋_GB2312" w:cs="仿宋_GB2312"/>
          <w:b/>
          <w:sz w:val="30"/>
          <w:szCs w:val="30"/>
          <w:highlight w:val="none"/>
        </w:rPr>
      </w:pP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（由投标人根据招标公告合格的投标人应具备的特定资格条件要求编制）</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7、投标人售后服务能力证明材料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8、</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Style w:val="194"/>
        <w:pageBreakBefore/>
        <w:ind w:firstLine="0"/>
        <w:jc w:val="both"/>
        <w:rPr>
          <w:rFonts w:hAnsi="仿宋_GB2312" w:cs="仿宋_GB2312"/>
          <w:highlight w:val="none"/>
        </w:rPr>
      </w:pPr>
      <w:r>
        <w:rPr>
          <w:rFonts w:hint="eastAsia" w:hAnsi="仿宋_GB2312" w:cs="仿宋_GB2312"/>
          <w:highlight w:val="none"/>
        </w:rPr>
        <w:t>9、廉政承诺书</w:t>
      </w:r>
    </w:p>
    <w:p>
      <w:pPr>
        <w:autoSpaceDE w:val="0"/>
        <w:autoSpaceDN w:val="0"/>
        <w:spacing w:line="360" w:lineRule="auto"/>
        <w:ind w:left="2"/>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eastAsia="zh-CN"/>
        </w:rPr>
        <w:t>绍兴市中医院、绍兴市第七人民医院、绍兴市口腔医院</w:t>
      </w:r>
      <w:r>
        <w:rPr>
          <w:rFonts w:hint="eastAsia"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10、技术解决方案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95pt;width:442.6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ascii="仿宋_GB2312" w:hAnsi="仿宋_GB2312" w:eastAsia="仿宋_GB2312" w:cs="仿宋_GB2312"/>
          <w:b/>
          <w:kern w:val="0"/>
          <w:sz w:val="28"/>
          <w:szCs w:val="28"/>
          <w:highlight w:val="none"/>
        </w:rPr>
        <w:object>
          <v:shape id="_x0000_i1026" o:spt="75" type="#_x0000_t75" style="height:41.95pt;width:441.4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11、技术偏离说明表</w:t>
      </w: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招标文件技术要求</w:t>
            </w:r>
          </w:p>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bl>
    <w:p>
      <w:pPr>
        <w:tabs>
          <w:tab w:val="left" w:pos="570"/>
        </w:tabs>
        <w:spacing w:line="440" w:lineRule="exact"/>
        <w:ind w:firstLine="120" w:firstLineChars="50"/>
        <w:jc w:val="left"/>
        <w:rPr>
          <w:rFonts w:ascii="仿宋_GB2312" w:hAnsi="宋体" w:eastAsia="仿宋_GB2312"/>
          <w:sz w:val="24"/>
          <w:highlight w:val="none"/>
        </w:rPr>
      </w:pPr>
      <w:r>
        <w:rPr>
          <w:rFonts w:hint="eastAsia" w:ascii="仿宋_GB2312" w:hAnsi="宋体" w:eastAsia="仿宋_GB2312"/>
          <w:sz w:val="24"/>
          <w:highlight w:val="none"/>
        </w:rPr>
        <w:t>注：1.此表须与</w:t>
      </w:r>
      <w:r>
        <w:rPr>
          <w:rFonts w:hint="eastAsia" w:ascii="仿宋_GB2312" w:hAnsi="宋体" w:eastAsia="仿宋_GB2312"/>
          <w:kern w:val="0"/>
          <w:sz w:val="24"/>
          <w:highlight w:val="none"/>
        </w:rPr>
        <w:t>招标文件“</w:t>
      </w:r>
      <w:r>
        <w:rPr>
          <w:rFonts w:hint="eastAsia" w:ascii="仿宋_GB2312" w:hAnsi="宋体" w:eastAsia="仿宋_GB2312"/>
          <w:sz w:val="24"/>
          <w:highlight w:val="none"/>
        </w:rPr>
        <w:t>招标项目说明及要求</w:t>
      </w:r>
      <w:r>
        <w:rPr>
          <w:rFonts w:hint="eastAsia" w:ascii="仿宋_GB2312" w:hAnsi="宋体" w:eastAsia="仿宋_GB2312"/>
          <w:kern w:val="0"/>
          <w:sz w:val="24"/>
          <w:highlight w:val="none"/>
        </w:rPr>
        <w:t>”</w:t>
      </w:r>
      <w:r>
        <w:rPr>
          <w:rFonts w:hint="eastAsia" w:ascii="仿宋_GB2312" w:hAnsi="宋体" w:eastAsia="仿宋_GB2312"/>
          <w:sz w:val="24"/>
          <w:highlight w:val="none"/>
        </w:rPr>
        <w:t>相应标项内的所有技术规格相比较且一一对应</w:t>
      </w:r>
      <w:r>
        <w:rPr>
          <w:rFonts w:hint="eastAsia" w:ascii="仿宋_GB2312" w:hAnsi="宋体" w:eastAsia="仿宋_GB2312" w:cs="宋体"/>
          <w:sz w:val="24"/>
          <w:highlight w:val="none"/>
        </w:rPr>
        <w:t>真实逐条</w:t>
      </w:r>
      <w:r>
        <w:rPr>
          <w:rFonts w:hint="eastAsia" w:ascii="仿宋_GB2312" w:hAnsi="宋体" w:eastAsia="仿宋_GB2312"/>
          <w:sz w:val="24"/>
          <w:highlight w:val="none"/>
        </w:rPr>
        <w:t>填列。</w:t>
      </w:r>
    </w:p>
    <w:p>
      <w:pPr>
        <w:tabs>
          <w:tab w:val="left" w:pos="570"/>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cs="宋体"/>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13、售后服务方案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14、项目小组人员名单</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15、</w:t>
      </w:r>
      <w:r>
        <w:rPr>
          <w:rFonts w:hint="eastAsia" w:ascii="仿宋_GB2312" w:hAnsi="仿宋_GB2312" w:eastAsia="仿宋_GB2312" w:cs="仿宋_GB2312"/>
          <w:b/>
          <w:kern w:val="0"/>
          <w:sz w:val="32"/>
          <w:szCs w:val="32"/>
          <w:highlight w:val="none"/>
          <w:lang w:val="zh-CN"/>
        </w:rPr>
        <w:t>优惠条件及特殊承诺</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16、</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napToGrid w:val="0"/>
        <w:spacing w:line="360" w:lineRule="auto"/>
        <w:ind w:right="1440"/>
        <w:jc w:val="righ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17、</w:t>
      </w:r>
      <w:r>
        <w:rPr>
          <w:rFonts w:hint="eastAsia" w:ascii="仿宋_GB2312" w:hAnsi="仿宋_GB2312" w:eastAsia="仿宋_GB2312" w:cs="仿宋_GB2312"/>
          <w:b/>
          <w:kern w:val="0"/>
          <w:sz w:val="32"/>
          <w:szCs w:val="32"/>
          <w:highlight w:val="none"/>
          <w:lang w:val="zh-CN"/>
        </w:rPr>
        <w:t>培训计划</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18、验收方案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19、认为需要的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pStyle w:val="2"/>
        <w:rPr>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napToGrid w:val="0"/>
        <w:spacing w:line="360" w:lineRule="auto"/>
        <w:ind w:right="480"/>
        <w:rPr>
          <w:rFonts w:ascii="仿宋_GB2312" w:hAnsi="仿宋" w:eastAsia="仿宋_GB2312" w:cs="仿宋_GB2312"/>
          <w:b/>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576"/>
        <w:rPr>
          <w:highlight w:val="none"/>
        </w:rPr>
      </w:pPr>
      <w:r>
        <w:rPr>
          <w:rFonts w:hint="eastAsia" w:cs="仿宋_GB2312"/>
          <w:kern w:val="0"/>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highlight w:val="none"/>
          <w:lang w:val="zh-CN"/>
        </w:rPr>
        <w:t>30%以上</w:t>
      </w:r>
      <w:r>
        <w:rPr>
          <w:rFonts w:hint="eastAsia" w:ascii="仿宋_GB2312" w:hAnsi="仿宋" w:eastAsia="仿宋_GB2312" w:cs="仿宋_GB2312"/>
          <w:b/>
          <w:kern w:val="0"/>
          <w:sz w:val="24"/>
          <w:highlight w:val="none"/>
          <w:lang w:val="zh-CN"/>
        </w:rPr>
        <w:t>的，对大中型企业的报价给予6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22、落实政府采购政策需满足的资格要求</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spacing w:line="360" w:lineRule="auto"/>
        <w:ind w:firstLine="480" w:firstLineChars="200"/>
        <w:rPr>
          <w:rFonts w:ascii="仿宋_GB2312" w:hAnsi="仿宋" w:eastAsia="仿宋_GB2312" w:cs="仿宋_GB2312"/>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pageBreakBefore/>
        <w:spacing w:line="360" w:lineRule="auto"/>
        <w:ind w:firstLine="482" w:firstLineChars="200"/>
        <w:rPr>
          <w:rFonts w:ascii="仿宋_GB2312" w:hAnsi="仿宋" w:eastAsia="仿宋_GB2312" w:cs="仿宋_GB2312"/>
          <w:b/>
          <w:kern w:val="0"/>
          <w:sz w:val="32"/>
          <w:szCs w:val="32"/>
          <w:highlight w:val="none"/>
        </w:rPr>
      </w:pPr>
      <w:r>
        <w:rPr>
          <w:rFonts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w:t>
      </w:r>
      <w:r>
        <w:rPr>
          <w:rFonts w:hint="eastAsia" w:ascii="仿宋_GB2312" w:hAnsi="仿宋" w:eastAsia="仿宋_GB2312" w:cs="仿宋_GB2312"/>
          <w:kern w:val="0"/>
          <w:sz w:val="24"/>
          <w:highlight w:val="none"/>
          <w:lang w:val="zh-CN"/>
        </w:rPr>
        <w:t>应商名称），具备承担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6000" w:firstLineChars="2500"/>
        <w:rPr>
          <w:highlight w:val="none"/>
        </w:rPr>
      </w:pP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（采购人）、（采购代理机构）</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rPr>
          <w:rFonts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ascii="仿宋_GB2312" w:eastAsia="仿宋_GB2312"/>
          <w:b/>
          <w:sz w:val="32"/>
          <w:szCs w:val="32"/>
          <w:highlight w:val="none"/>
        </w:rPr>
      </w:pPr>
      <w:r>
        <w:rPr>
          <w:rFonts w:hint="eastAsia" w:ascii="仿宋_GB2312" w:hAnsi="仿宋" w:eastAsia="仿宋_GB2312" w:cs="仿宋_GB2312"/>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highlight w:val="none"/>
        </w:rPr>
        <w:t>。</w:t>
      </w:r>
      <w:r>
        <w:rPr>
          <w:rFonts w:hint="eastAsia" w:ascii="仿宋_GB2312" w:hAnsi="仿宋" w:eastAsia="仿宋_GB2312" w:cs="仿宋_GB2312"/>
          <w:b/>
          <w:sz w:val="24"/>
          <w:highlight w:val="none"/>
        </w:rPr>
        <w:t>]</w:t>
      </w:r>
    </w:p>
    <w:p>
      <w:pPr>
        <w:pageBreakBefore/>
        <w:rPr>
          <w:rFonts w:ascii="仿宋_GB2312" w:hAnsi="仿宋_GB2312" w:eastAsia="仿宋_GB2312" w:cs="仿宋_GB2312"/>
          <w:b/>
          <w:sz w:val="32"/>
          <w:szCs w:val="32"/>
          <w:highlight w:val="none"/>
        </w:rPr>
      </w:pPr>
    </w:p>
    <w:p>
      <w:pPr>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中小企业声明函（货物）</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jc w:val="center"/>
        <w:rPr>
          <w:rFonts w:ascii="仿宋_GB2312" w:hAnsi="仿宋_GB2312" w:eastAsia="仿宋_GB2312" w:cs="仿宋_GB2312"/>
          <w:b/>
          <w:sz w:val="18"/>
          <w:highlight w:val="none"/>
        </w:rPr>
      </w:pPr>
    </w:p>
    <w:p>
      <w:pPr>
        <w:jc w:val="center"/>
        <w:rPr>
          <w:rFonts w:ascii="仿宋_GB2312" w:hAnsi="仿宋_GB2312" w:eastAsia="仿宋_GB2312" w:cs="仿宋_GB2312"/>
          <w:b/>
          <w:sz w:val="32"/>
          <w:highlight w:val="none"/>
        </w:rPr>
      </w:pPr>
    </w:p>
    <w:p>
      <w:pPr>
        <w:jc w:val="center"/>
        <w:rPr>
          <w:rFonts w:ascii="仿宋_GB2312" w:hAnsi="仿宋_GB2312" w:eastAsia="仿宋_GB2312" w:cs="仿宋_GB2312"/>
          <w:b/>
          <w:sz w:val="32"/>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r>
        <w:rPr>
          <w:rFonts w:ascii="仿宋_GB2312" w:hAnsi="仿宋_GB2312" w:eastAsia="仿宋_GB2312" w:cs="仿宋_GB2312"/>
          <w:sz w:val="24"/>
          <w:highlight w:val="none"/>
        </w:rPr>
        <w:t xml:space="preserve"> </w:t>
      </w:r>
    </w:p>
    <w:p>
      <w:pPr>
        <w:pageBreakBefore/>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中小企业声明函（工程、服务）</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 ，属于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sz w:val="24"/>
          <w:highlight w:val="none"/>
        </w:rPr>
      </w:pPr>
    </w:p>
    <w:p>
      <w:pPr>
        <w:pageBreakBefore/>
        <w:spacing w:line="588" w:lineRule="exact"/>
        <w:jc w:val="center"/>
        <w:rPr>
          <w:rFonts w:ascii="仿宋_GB2312" w:eastAsia="仿宋_GB2312"/>
          <w:b/>
          <w:spacing w:val="6"/>
          <w:sz w:val="32"/>
          <w:szCs w:val="32"/>
          <w:highlight w:val="none"/>
        </w:rPr>
      </w:pPr>
      <w:r>
        <w:rPr>
          <w:rFonts w:hint="eastAsia" w:ascii="仿宋_GB2312" w:eastAsia="仿宋_GB2312"/>
          <w:b/>
          <w:spacing w:val="6"/>
          <w:sz w:val="32"/>
          <w:szCs w:val="32"/>
          <w:highlight w:val="none"/>
        </w:rPr>
        <w:t>残疾人福利性单位声明函</w:t>
      </w:r>
    </w:p>
    <w:p>
      <w:pPr>
        <w:spacing w:line="588" w:lineRule="exact"/>
        <w:rPr>
          <w:rFonts w:ascii="仿宋_GB2312" w:eastAsia="仿宋_GB2312"/>
          <w:b/>
          <w:spacing w:val="6"/>
          <w:sz w:val="30"/>
          <w:szCs w:val="30"/>
          <w:highlight w:val="none"/>
        </w:rPr>
      </w:pP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 xml:space="preserve">                 项目</w:t>
      </w:r>
      <w:r>
        <w:rPr>
          <w:rFonts w:hint="eastAsia" w:ascii="仿宋_GB2312" w:hAnsi="仿宋_GB2312" w:eastAsia="仿宋_GB2312" w:cs="仿宋_GB2312"/>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highlight w:val="none"/>
        </w:rPr>
      </w:pPr>
    </w:p>
    <w:p>
      <w:pPr>
        <w:spacing w:line="588" w:lineRule="exact"/>
        <w:ind w:firstLine="480" w:firstLineChars="200"/>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声明单位（盖章）：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w:t>
      </w:r>
      <w:r>
        <w:rPr>
          <w:rFonts w:hint="eastAsia" w:ascii="仿宋_GB2312" w:hAnsi="仿宋" w:eastAsia="仿宋_GB2312"/>
          <w:sz w:val="24"/>
          <w:highlight w:val="none"/>
        </w:rPr>
        <w:t>根据《财政部 民政部 中国残疾人联合会关于促进残疾人就业政府采购政策的通知》（财库〔2017〕141号）规定填报。</w:t>
      </w:r>
    </w:p>
    <w:p>
      <w:pPr>
        <w:rPr>
          <w:rFonts w:ascii="仿宋_GB2312" w:eastAsia="仿宋_GB2312"/>
          <w:highlight w:val="none"/>
        </w:rPr>
      </w:pPr>
    </w:p>
    <w:p>
      <w:pPr>
        <w:tabs>
          <w:tab w:val="left" w:pos="4860"/>
        </w:tabs>
        <w:ind w:right="1559" w:firstLine="480" w:firstLineChars="200"/>
        <w:jc w:val="left"/>
        <w:rPr>
          <w:rFonts w:ascii="仿宋_GB2312" w:hAnsi="仿宋_GB2312" w:eastAsia="仿宋_GB2312" w:cs="仿宋_GB2312"/>
          <w:sz w:val="24"/>
          <w:highlight w:val="none"/>
        </w:rPr>
      </w:pPr>
      <w:r>
        <w:rPr>
          <w:rFonts w:ascii="仿宋_GB2312" w:hAnsi="仿宋_GB2312" w:eastAsia="仿宋_GB2312" w:cs="仿宋_GB2312"/>
          <w:sz w:val="24"/>
          <w:highlight w:val="none"/>
        </w:rPr>
        <w:object>
          <v:shape id="_x0000_i1027"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rPr>
          <w:rFonts w:ascii="仿宋_GB2312" w:hAnsi="仿宋_GB2312" w:eastAsia="仿宋_GB2312" w:cs="仿宋_GB2312"/>
          <w:b/>
          <w:sz w:val="24"/>
          <w:highlight w:val="none"/>
        </w:rPr>
      </w:pPr>
    </w:p>
    <w:p>
      <w:pPr>
        <w:spacing w:line="400" w:lineRule="exact"/>
        <w:rPr>
          <w:rFonts w:ascii="仿宋_GB2312" w:hAnsi="宋体" w:eastAsia="仿宋_GB2312"/>
          <w:b/>
          <w:sz w:val="24"/>
          <w:highlight w:val="none"/>
        </w:rPr>
      </w:pPr>
      <w:r>
        <w:rPr>
          <w:rFonts w:ascii="仿宋_GB2312" w:hAnsi="宋体" w:eastAsia="仿宋_GB2312"/>
          <w:b/>
          <w:sz w:val="24"/>
          <w:highlight w:val="none"/>
        </w:rPr>
        <w:t>注</w:t>
      </w:r>
      <w:r>
        <w:rPr>
          <w:rFonts w:hint="eastAsia" w:ascii="仿宋_GB2312" w:hAnsi="宋体" w:eastAsia="仿宋_GB2312"/>
          <w:b/>
          <w:sz w:val="24"/>
          <w:highlight w:val="none"/>
        </w:rPr>
        <w:t>：</w:t>
      </w:r>
      <w:r>
        <w:rPr>
          <w:rFonts w:hint="eastAsia" w:ascii="仿宋_GB2312" w:hAnsi="仿宋_GB2312" w:eastAsia="仿宋_GB2312" w:cs="仿宋_GB2312"/>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highlight w:val="none"/>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一、质疑供应商基本信息</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质疑供应商：</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ascii="仿宋" w:hAnsi="仿宋" w:eastAsia="仿宋" w:cs="仿宋"/>
          <w:sz w:val="32"/>
          <w:szCs w:val="32"/>
          <w:highlight w:val="none"/>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ascii="仿宋" w:hAnsi="仿宋" w:eastAsia="仿宋" w:cs="仿宋"/>
          <w:sz w:val="32"/>
          <w:szCs w:val="32"/>
          <w:highlight w:val="none"/>
        </w:rPr>
        <w:t xml:space="preserve">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二、质疑项目基本情况</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三、质疑事项具体内容</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四、与质疑事项相关的质疑请求</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ascii="仿宋_GB2312" w:eastAsia="仿宋_GB2312"/>
          <w:sz w:val="30"/>
          <w:szCs w:val="30"/>
          <w:highlight w:val="none"/>
        </w:rPr>
      </w:pPr>
      <w:r>
        <w:rPr>
          <w:rFonts w:hint="eastAsia" w:ascii="仿宋_GB2312" w:eastAsia="仿宋_GB2312"/>
          <w:sz w:val="30"/>
          <w:szCs w:val="30"/>
          <w:highlight w:val="none"/>
        </w:rPr>
        <w:t xml:space="preserve">签字(签章)：                   公章：                      </w:t>
      </w:r>
    </w:p>
    <w:p>
      <w:pPr>
        <w:rPr>
          <w:rFonts w:ascii="仿宋_GB2312" w:eastAsia="仿宋_GB2312"/>
          <w:sz w:val="30"/>
          <w:szCs w:val="30"/>
          <w:highlight w:val="none"/>
        </w:rPr>
      </w:pPr>
      <w:r>
        <w:rPr>
          <w:rFonts w:hint="eastAsia" w:ascii="仿宋_GB2312" w:eastAsia="仿宋_GB2312"/>
          <w:sz w:val="30"/>
          <w:szCs w:val="30"/>
          <w:highlight w:val="none"/>
        </w:rPr>
        <w:t xml:space="preserve">日期：    </w:t>
      </w:r>
    </w:p>
    <w:p>
      <w:pPr>
        <w:adjustRightInd w:val="0"/>
        <w:snapToGrid w:val="0"/>
        <w:spacing w:line="360" w:lineRule="auto"/>
        <w:rPr>
          <w:rFonts w:ascii="仿宋" w:hAnsi="仿宋" w:eastAsia="仿宋" w:cs="仿宋"/>
          <w:sz w:val="32"/>
          <w:szCs w:val="32"/>
          <w:highlight w:val="none"/>
        </w:rPr>
      </w:pPr>
    </w:p>
    <w:p>
      <w:pPr>
        <w:adjustRightInd w:val="0"/>
        <w:snapToGrid w:val="0"/>
        <w:spacing w:line="360" w:lineRule="auto"/>
        <w:rPr>
          <w:rFonts w:ascii="仿宋" w:hAnsi="仿宋" w:eastAsia="仿宋" w:cs="仿宋"/>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rPr>
          <w:rFonts w:ascii="黑体" w:hAnsi="黑体" w:eastAsia="黑体"/>
          <w:b/>
          <w:sz w:val="32"/>
          <w:szCs w:val="32"/>
          <w:highlight w:val="none"/>
        </w:rPr>
      </w:pPr>
      <w:r>
        <w:rPr>
          <w:rFonts w:hint="eastAsia" w:ascii="黑体" w:hAnsi="黑体" w:eastAsia="黑体"/>
          <w:b/>
          <w:sz w:val="32"/>
          <w:szCs w:val="32"/>
          <w:highlight w:val="none"/>
        </w:rPr>
        <w:t>质疑函制作说明：</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1.供应商提出质疑时，应提交质疑函和必要的证明材料。</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4.质疑函的质疑事项应具体、明确，并有必要的事实依据和法律依据。</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5.质疑函的质疑请求应与质疑事项相关。</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国家统计局关于印发《统计上</w:t>
      </w:r>
      <w:r>
        <w:rPr>
          <w:rFonts w:ascii="宋体" w:hAnsi="宋体" w:cs="宋体"/>
          <w:b/>
          <w:bCs/>
          <w:kern w:val="0"/>
          <w:sz w:val="36"/>
          <w:szCs w:val="36"/>
          <w:highlight w:val="none"/>
        </w:rPr>
        <w:br w:type="textWrapping"/>
      </w:r>
      <w:r>
        <w:rPr>
          <w:rFonts w:ascii="宋体" w:hAnsi="宋体" w:cs="宋体"/>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highlight w:val="none"/>
        </w:rPr>
      </w:pPr>
      <w:r>
        <w:rPr>
          <w:rFonts w:ascii="宋体" w:hAnsi="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highlight w:val="none"/>
        </w:rPr>
      </w:pPr>
      <w:r>
        <w:rPr>
          <w:rFonts w:ascii="宋体" w:hAnsi="宋体" w:cs="宋体"/>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2017年12月28日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附表：统计上大中小微型企业划分标准</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农、林、牧、渔业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工业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建筑业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6000≤Y＜80000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300≤Y＜6000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批发业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5≤X＜20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零售业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10≤X＜50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交通运输业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200≤Y＜3000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仓储业*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邮政业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住宿业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餐饮业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信息传输业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软件和信息技术服务业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房地产开发经营</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1000≤Y＜200000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物业管理</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Y≥5000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租赁和商务服务业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8000≤Z＜120000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100≤Z＜8000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其他未列明行业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bl>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说明： 　　</w:t>
      </w:r>
      <w:r>
        <w:rPr>
          <w:rFonts w:ascii="宋体" w:hAnsi="宋体" w:cs="宋体"/>
          <w:kern w:val="0"/>
          <w:szCs w:val="21"/>
          <w:highlight w:val="none"/>
        </w:rPr>
        <w:br w:type="textWrapping"/>
      </w:r>
      <w:r>
        <w:rPr>
          <w:rFonts w:ascii="宋体" w:hAnsi="宋体" w:cs="宋体"/>
          <w:kern w:val="0"/>
          <w:szCs w:val="21"/>
          <w:highlight w:val="none"/>
        </w:rPr>
        <w:t>    1.大型、中型和小型企业须同时满足所列指标的下限，否则下划一档；微型企业只须满足所列指标中的一项即可。 　　</w:t>
      </w:r>
      <w:r>
        <w:rPr>
          <w:rFonts w:ascii="宋体" w:hAnsi="宋体" w:cs="宋体"/>
          <w:kern w:val="0"/>
          <w:szCs w:val="21"/>
          <w:highlight w:val="none"/>
        </w:rPr>
        <w:br w:type="textWrapping"/>
      </w:r>
      <w:r>
        <w:rPr>
          <w:rFonts w:ascii="宋体" w:hAnsi="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highlight w:val="none"/>
        </w:rPr>
        <w:br w:type="textWrapping"/>
      </w:r>
      <w:r>
        <w:rPr>
          <w:rFonts w:ascii="宋体" w:hAnsi="宋体" w:cs="宋体"/>
          <w:kern w:val="0"/>
          <w:szCs w:val="21"/>
          <w:highlight w:val="none"/>
        </w:rPr>
        <w:t>    3.企业划分指标以现行统计制度为准。</w:t>
      </w:r>
      <w:r>
        <w:rPr>
          <w:rFonts w:ascii="宋体" w:hAnsi="宋体" w:cs="宋体"/>
          <w:kern w:val="0"/>
          <w:szCs w:val="21"/>
          <w:highlight w:val="none"/>
        </w:rPr>
        <w:br w:type="textWrapping"/>
      </w:r>
      <w:r>
        <w:rPr>
          <w:rFonts w:ascii="宋体" w:hAnsi="宋体" w:cs="宋体"/>
          <w:kern w:val="0"/>
          <w:szCs w:val="21"/>
          <w:highlight w:val="none"/>
        </w:rPr>
        <w:t>    （1）从业人员，是指期末从业人员数，没有期末从业人员数的，采用全年平均人员数代替。</w:t>
      </w:r>
      <w:r>
        <w:rPr>
          <w:rFonts w:ascii="宋体" w:hAnsi="宋体" w:cs="宋体"/>
          <w:kern w:val="0"/>
          <w:szCs w:val="21"/>
          <w:highlight w:val="none"/>
        </w:rPr>
        <w:br w:type="textWrapping"/>
      </w:r>
      <w:r>
        <w:rPr>
          <w:rFonts w:ascii="宋体" w:hAnsi="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highlight w:val="none"/>
        </w:rPr>
        <w:br w:type="textWrapping"/>
      </w:r>
      <w:r>
        <w:rPr>
          <w:rFonts w:ascii="宋体" w:hAnsi="宋体" w:cs="宋体"/>
          <w:kern w:val="0"/>
          <w:szCs w:val="21"/>
          <w:highlight w:val="none"/>
        </w:rPr>
        <w:t>    （3）资产总额，采用资产总计代替。</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一、修订背景</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r>
        <w:rPr>
          <w:rFonts w:ascii="宋体" w:hAnsi="宋体" w:cs="宋体"/>
          <w:kern w:val="0"/>
          <w:sz w:val="18"/>
          <w:szCs w:val="18"/>
          <w:highlight w:val="none"/>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中国人民银行中国银行业监督管理委员会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中国证券监督管理委员会中国保险监督管理委员会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highlight w:val="none"/>
        </w:rPr>
        <w:br w:type="textWrapping"/>
      </w:r>
      <w:r>
        <w:rPr>
          <w:rFonts w:ascii="宋体" w:hAnsi="宋体" w:cs="宋体"/>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highlight w:val="none"/>
        </w:rPr>
        <w:br w:type="textWrapping"/>
      </w:r>
      <w:r>
        <w:rPr>
          <w:rFonts w:ascii="宋体" w:hAnsi="宋体" w:cs="宋体"/>
          <w:kern w:val="0"/>
          <w:szCs w:val="21"/>
          <w:highlight w:val="none"/>
        </w:rPr>
        <w:t>    二、 适用范围。本规定适用于从事《国民经济行业分类》(GB/T4754-2011)中J门类（金融业）活动的企业。</w:t>
      </w:r>
      <w:r>
        <w:rPr>
          <w:rFonts w:ascii="宋体" w:hAnsi="宋体" w:cs="宋体"/>
          <w:kern w:val="0"/>
          <w:szCs w:val="21"/>
          <w:highlight w:val="none"/>
        </w:rPr>
        <w:br w:type="textWrapping"/>
      </w:r>
      <w:r>
        <w:rPr>
          <w:rFonts w:ascii="宋体" w:hAnsi="宋体" w:cs="宋体"/>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highlight w:val="none"/>
        </w:rPr>
        <w:br w:type="textWrapping"/>
      </w:r>
      <w:r>
        <w:rPr>
          <w:rFonts w:ascii="宋体" w:hAnsi="宋体" w:cs="宋体"/>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highlight w:val="none"/>
        </w:rPr>
        <w:br w:type="textWrapping"/>
      </w:r>
      <w:r>
        <w:rPr>
          <w:rFonts w:ascii="宋体" w:hAnsi="宋体" w:cs="宋体"/>
          <w:kern w:val="0"/>
          <w:szCs w:val="21"/>
          <w:highlight w:val="none"/>
        </w:rPr>
        <w:t>    五、指标标准值。依据指标标准值，将各类金融业企业划分为大、中、小、微四个规模类型，中型企业标准上限及以上的为大型企业。</w:t>
      </w:r>
      <w:r>
        <w:rPr>
          <w:rFonts w:ascii="宋体" w:hAnsi="宋体" w:cs="宋体"/>
          <w:kern w:val="0"/>
          <w:szCs w:val="21"/>
          <w:highlight w:val="none"/>
        </w:rPr>
        <w:br w:type="textWrapping"/>
      </w:r>
      <w:r>
        <w:rPr>
          <w:rFonts w:ascii="宋体" w:hAnsi="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highlight w:val="none"/>
        </w:rPr>
        <w:br w:type="textWrapping"/>
      </w:r>
      <w:r>
        <w:rPr>
          <w:rFonts w:ascii="宋体" w:hAnsi="宋体" w:cs="宋体"/>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highlight w:val="none"/>
        </w:rPr>
        <w:br w:type="textWrapping"/>
      </w:r>
      <w:r>
        <w:rPr>
          <w:rFonts w:ascii="宋体" w:hAnsi="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highlight w:val="none"/>
        </w:rPr>
        <w:br w:type="textWrapping"/>
      </w:r>
      <w:r>
        <w:rPr>
          <w:rFonts w:ascii="宋体" w:hAnsi="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highlight w:val="none"/>
        </w:rPr>
        <w:br w:type="textWrapping"/>
      </w:r>
      <w:r>
        <w:rPr>
          <w:rFonts w:ascii="宋体" w:hAnsi="宋体" w:cs="宋体"/>
          <w:kern w:val="0"/>
          <w:szCs w:val="21"/>
          <w:highlight w:val="none"/>
        </w:rPr>
        <w:t>    七、 标准值的评估和调整。金融业企业划型标准工作组毎五年对划型标准值受经济发展与通货膨胀等因素的响程度进行评估和调整。</w:t>
      </w:r>
      <w:r>
        <w:rPr>
          <w:rFonts w:ascii="宋体" w:hAnsi="宋体" w:cs="宋体"/>
          <w:kern w:val="0"/>
          <w:szCs w:val="21"/>
          <w:highlight w:val="none"/>
        </w:rPr>
        <w:br w:type="textWrapping"/>
      </w:r>
      <w:r>
        <w:rPr>
          <w:rFonts w:ascii="宋体" w:hAnsi="宋体" w:cs="宋体"/>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highlight w:val="none"/>
        </w:rPr>
        <w:br w:type="textWrapping"/>
      </w:r>
      <w:r>
        <w:rPr>
          <w:rFonts w:ascii="宋体" w:hAnsi="宋体" w:cs="宋体"/>
          <w:kern w:val="0"/>
          <w:szCs w:val="21"/>
          <w:highlight w:val="none"/>
        </w:rPr>
        <w:t>    九、 融资担保公司参照本规定中“除贷款公司、小额贷款公司、典当行以外的其他金融机构”标准划型。</w:t>
      </w:r>
      <w:r>
        <w:rPr>
          <w:rFonts w:ascii="宋体" w:hAnsi="宋体" w:cs="宋体"/>
          <w:kern w:val="0"/>
          <w:szCs w:val="21"/>
          <w:highlight w:val="none"/>
        </w:rPr>
        <w:br w:type="textWrapping"/>
      </w:r>
      <w:r>
        <w:rPr>
          <w:rFonts w:ascii="宋体" w:hAnsi="宋体" w:cs="宋体"/>
          <w:kern w:val="0"/>
          <w:szCs w:val="21"/>
          <w:highlight w:val="none"/>
        </w:rPr>
        <w:t>    十、本规定由人民银行会同银监会，证监会、保监会和统计局负责解释。</w:t>
      </w:r>
      <w:r>
        <w:rPr>
          <w:rFonts w:ascii="宋体" w:hAnsi="宋体" w:cs="宋体"/>
          <w:kern w:val="0"/>
          <w:szCs w:val="21"/>
          <w:highlight w:val="none"/>
        </w:rPr>
        <w:br w:type="textWrapping"/>
      </w:r>
      <w:r>
        <w:rPr>
          <w:rFonts w:ascii="宋体" w:hAnsi="宋体" w:cs="宋体"/>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货币金融服务</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非货币银行服务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银行业非存款类金融机构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贷款公司、小额贷款公司及典当行</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资本市场服务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证券业金融机构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其他金融业</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金融信托与管理服务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信托公司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控股公司服务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金融控股公司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其他未包括的金融业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除贷款公司、小额贷款公司及典当行以外的其他金融机构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07ED6"/>
    <w:rsid w:val="00010C9A"/>
    <w:rsid w:val="00010FC1"/>
    <w:rsid w:val="0001278F"/>
    <w:rsid w:val="0002045E"/>
    <w:rsid w:val="00021D87"/>
    <w:rsid w:val="0002203D"/>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106789B"/>
    <w:rsid w:val="0259053C"/>
    <w:rsid w:val="02F555E7"/>
    <w:rsid w:val="033D06CB"/>
    <w:rsid w:val="038D0615"/>
    <w:rsid w:val="0563079F"/>
    <w:rsid w:val="05F60437"/>
    <w:rsid w:val="08361077"/>
    <w:rsid w:val="098B21E0"/>
    <w:rsid w:val="09AE462C"/>
    <w:rsid w:val="0A056682"/>
    <w:rsid w:val="0B44607A"/>
    <w:rsid w:val="0B472137"/>
    <w:rsid w:val="0CFB39DE"/>
    <w:rsid w:val="0D2D3283"/>
    <w:rsid w:val="0E33107D"/>
    <w:rsid w:val="0E695EE3"/>
    <w:rsid w:val="0F163F19"/>
    <w:rsid w:val="0FAE221E"/>
    <w:rsid w:val="101813C7"/>
    <w:rsid w:val="107C0AD5"/>
    <w:rsid w:val="12AD444B"/>
    <w:rsid w:val="14073CA3"/>
    <w:rsid w:val="151B70E4"/>
    <w:rsid w:val="153425F7"/>
    <w:rsid w:val="155A6881"/>
    <w:rsid w:val="19F421C0"/>
    <w:rsid w:val="1CF91D8D"/>
    <w:rsid w:val="1EA92284"/>
    <w:rsid w:val="1F181CCA"/>
    <w:rsid w:val="20457135"/>
    <w:rsid w:val="208813C1"/>
    <w:rsid w:val="21940870"/>
    <w:rsid w:val="22326B0B"/>
    <w:rsid w:val="22957731"/>
    <w:rsid w:val="247053D4"/>
    <w:rsid w:val="269A0E6A"/>
    <w:rsid w:val="2B5D447A"/>
    <w:rsid w:val="30BE3B47"/>
    <w:rsid w:val="30DC71B7"/>
    <w:rsid w:val="34274E3D"/>
    <w:rsid w:val="34C71170"/>
    <w:rsid w:val="37722193"/>
    <w:rsid w:val="38D138F4"/>
    <w:rsid w:val="3A0243FB"/>
    <w:rsid w:val="3A7A76AB"/>
    <w:rsid w:val="3B187A66"/>
    <w:rsid w:val="3CE66B72"/>
    <w:rsid w:val="3CFB4A5E"/>
    <w:rsid w:val="3D006466"/>
    <w:rsid w:val="3D833677"/>
    <w:rsid w:val="3FE15171"/>
    <w:rsid w:val="415573DE"/>
    <w:rsid w:val="41584ECE"/>
    <w:rsid w:val="44311EA4"/>
    <w:rsid w:val="44F560AC"/>
    <w:rsid w:val="451748C8"/>
    <w:rsid w:val="46BF7C41"/>
    <w:rsid w:val="472166F7"/>
    <w:rsid w:val="4CF800B6"/>
    <w:rsid w:val="4CFA2CC5"/>
    <w:rsid w:val="4DAA5965"/>
    <w:rsid w:val="5009458A"/>
    <w:rsid w:val="518A5EA7"/>
    <w:rsid w:val="5243101B"/>
    <w:rsid w:val="53486CE7"/>
    <w:rsid w:val="538B6EEB"/>
    <w:rsid w:val="539B2513"/>
    <w:rsid w:val="56A23B05"/>
    <w:rsid w:val="582C11FC"/>
    <w:rsid w:val="58C00B28"/>
    <w:rsid w:val="592D28B1"/>
    <w:rsid w:val="593F281A"/>
    <w:rsid w:val="5A3A090E"/>
    <w:rsid w:val="5E3D6F4B"/>
    <w:rsid w:val="5E886D27"/>
    <w:rsid w:val="60DA577D"/>
    <w:rsid w:val="61F9532F"/>
    <w:rsid w:val="62E46286"/>
    <w:rsid w:val="642B73A7"/>
    <w:rsid w:val="65A55955"/>
    <w:rsid w:val="66A0338B"/>
    <w:rsid w:val="6BFC3E4D"/>
    <w:rsid w:val="6C8D4D71"/>
    <w:rsid w:val="6DEF55B7"/>
    <w:rsid w:val="6F2778E5"/>
    <w:rsid w:val="6F5222A2"/>
    <w:rsid w:val="6FAB30CA"/>
    <w:rsid w:val="70A42B64"/>
    <w:rsid w:val="72032C3C"/>
    <w:rsid w:val="722A15EB"/>
    <w:rsid w:val="725C0A50"/>
    <w:rsid w:val="72E87C49"/>
    <w:rsid w:val="75192A2A"/>
    <w:rsid w:val="769136B0"/>
    <w:rsid w:val="78193359"/>
    <w:rsid w:val="7A94350A"/>
    <w:rsid w:val="7AFB17D0"/>
    <w:rsid w:val="7C5A0516"/>
    <w:rsid w:val="7C89343F"/>
    <w:rsid w:val="7D2571EE"/>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99"/>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next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1"/>
    <w:semiHidden/>
    <w:qFormat/>
    <w:uiPriority w:val="0"/>
    <w:pPr>
      <w:widowControl/>
      <w:spacing w:afterLines="50"/>
    </w:pPr>
    <w:rPr>
      <w:b/>
      <w:bCs/>
      <w:kern w:val="0"/>
      <w:sz w:val="24"/>
      <w:szCs w:val="20"/>
    </w:rPr>
  </w:style>
  <w:style w:type="paragraph" w:styleId="40">
    <w:name w:val="Body Text First Indent"/>
    <w:basedOn w:val="18"/>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8"/>
    <w:link w:val="39"/>
    <w:semiHidden/>
    <w:qFormat/>
    <w:uiPriority w:val="0"/>
    <w:rPr>
      <w:rFonts w:eastAsia="宋体"/>
      <w:b/>
      <w:bCs/>
      <w:kern w:val="2"/>
      <w:sz w:val="24"/>
      <w:szCs w:val="24"/>
      <w:lang w:val="en-US" w:eastAsia="zh-CN" w:bidi="ar-SA"/>
    </w:rPr>
  </w:style>
  <w:style w:type="character" w:customStyle="1" w:styleId="202">
    <w:name w:val="正文首行缩进 Char"/>
    <w:basedOn w:val="163"/>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BEB14-E618-4B5F-9281-7FF7FF26978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54631</Words>
  <Characters>57980</Characters>
  <Lines>429</Lines>
  <Paragraphs>120</Paragraphs>
  <TotalTime>147</TotalTime>
  <ScaleCrop>false</ScaleCrop>
  <LinksUpToDate>false</LinksUpToDate>
  <CharactersWithSpaces>65027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2022-10-17T07:13:00Z</cp:lastPrinted>
  <dcterms:modified xsi:type="dcterms:W3CDTF">2023-04-03T04:20:48Z</dcterms:modified>
  <dc:title>绍兴文理学院计算机机房设备及录播系统供货项目</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863FD131DBAB468885E4F9603BA6748C</vt:lpwstr>
  </property>
</Properties>
</file>