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284"/>
        </w:tabs>
        <w:snapToGrid w:val="0"/>
        <w:spacing w:after="100" w:afterAutospacing="1" w:line="240" w:lineRule="auto"/>
        <w:ind w:right="-334" w:rightChars="-159"/>
        <w:jc w:val="center"/>
        <w:rPr>
          <w:rFonts w:ascii="华文中宋" w:hAnsi="华文中宋" w:eastAsia="华文中宋"/>
          <w:b/>
          <w:bCs/>
          <w:color w:val="000000"/>
          <w:sz w:val="52"/>
          <w:szCs w:val="52"/>
          <w:highlight w:val="none"/>
        </w:rPr>
      </w:pPr>
      <w:bookmarkStart w:id="0" w:name="B00_采购代理机构名称"/>
      <w:r>
        <w:rPr>
          <w:rFonts w:hint="eastAsia" w:ascii="华文中宋" w:hAnsi="华文中宋" w:eastAsia="华文中宋"/>
          <w:b/>
          <w:bCs/>
          <w:color w:val="000000"/>
          <w:sz w:val="52"/>
          <w:szCs w:val="52"/>
          <w:highlight w:val="none"/>
        </w:rPr>
        <w:t>杭州市江干区全科医生技能培训中心建设项目</w:t>
      </w:r>
    </w:p>
    <w:p>
      <w:pPr>
        <w:adjustRightInd w:val="0"/>
        <w:snapToGrid w:val="0"/>
        <w:spacing w:after="100" w:afterAutospacing="1" w:line="240" w:lineRule="auto"/>
        <w:ind w:firstLine="482"/>
        <w:jc w:val="center"/>
        <w:rPr>
          <w:rFonts w:ascii="宋体"/>
          <w:b/>
          <w:bCs/>
          <w:color w:val="000000"/>
          <w:sz w:val="32"/>
          <w:szCs w:val="32"/>
          <w:highlight w:val="none"/>
        </w:rPr>
      </w:pPr>
      <w:r>
        <w:rPr>
          <w:rFonts w:hint="eastAsia" w:ascii="宋体" w:hAnsi="宋体" w:cs="宋体"/>
          <w:b/>
          <w:bCs/>
          <w:color w:val="000000"/>
          <w:sz w:val="32"/>
          <w:szCs w:val="32"/>
          <w:highlight w:val="none"/>
        </w:rPr>
        <w:t>招标编号：JGCG2019-GK-16号</w:t>
      </w:r>
    </w:p>
    <w:p>
      <w:pPr>
        <w:spacing w:after="100" w:afterAutospacing="1" w:line="240" w:lineRule="auto"/>
        <w:jc w:val="center"/>
        <w:rPr>
          <w:rFonts w:ascii="宋体" w:hAnsi="宋体" w:cs="宋体"/>
          <w:b/>
          <w:bCs/>
          <w:color w:val="000000"/>
          <w:sz w:val="96"/>
          <w:szCs w:val="96"/>
          <w:highlight w:val="none"/>
        </w:rPr>
      </w:pPr>
      <w:r>
        <w:rPr>
          <w:rFonts w:hint="eastAsia" w:ascii="宋体" w:hAnsi="宋体" w:cs="宋体"/>
          <w:b/>
          <w:bCs/>
          <w:color w:val="000000"/>
          <w:sz w:val="96"/>
          <w:szCs w:val="96"/>
          <w:highlight w:val="none"/>
        </w:rPr>
        <w:t>公</w:t>
      </w:r>
    </w:p>
    <w:p>
      <w:pPr>
        <w:spacing w:after="100" w:afterAutospacing="1" w:line="240" w:lineRule="auto"/>
        <w:jc w:val="center"/>
        <w:rPr>
          <w:rFonts w:ascii="宋体" w:hAnsi="宋体" w:cs="宋体"/>
          <w:b/>
          <w:bCs/>
          <w:color w:val="000000"/>
          <w:sz w:val="96"/>
          <w:szCs w:val="96"/>
          <w:highlight w:val="none"/>
        </w:rPr>
      </w:pPr>
      <w:r>
        <w:rPr>
          <w:rFonts w:hint="eastAsia" w:ascii="宋体" w:hAnsi="宋体" w:cs="宋体"/>
          <w:b/>
          <w:bCs/>
          <w:color w:val="000000"/>
          <w:sz w:val="96"/>
          <w:szCs w:val="96"/>
          <w:highlight w:val="none"/>
        </w:rPr>
        <w:t>开</w:t>
      </w:r>
    </w:p>
    <w:p>
      <w:pPr>
        <w:spacing w:after="100" w:afterAutospacing="1" w:line="240" w:lineRule="auto"/>
        <w:jc w:val="center"/>
        <w:rPr>
          <w:rFonts w:ascii="宋体" w:hAnsi="宋体" w:cs="宋体"/>
          <w:b/>
          <w:bCs/>
          <w:color w:val="000000"/>
          <w:sz w:val="96"/>
          <w:szCs w:val="96"/>
          <w:highlight w:val="none"/>
        </w:rPr>
      </w:pPr>
      <w:r>
        <w:rPr>
          <w:rFonts w:hint="eastAsia" w:ascii="宋体" w:hAnsi="宋体" w:cs="宋体"/>
          <w:b/>
          <w:bCs/>
          <w:color w:val="000000"/>
          <w:sz w:val="96"/>
          <w:szCs w:val="96"/>
          <w:highlight w:val="none"/>
        </w:rPr>
        <w:t>招</w:t>
      </w:r>
    </w:p>
    <w:p>
      <w:pPr>
        <w:spacing w:after="100" w:afterAutospacing="1" w:line="240" w:lineRule="auto"/>
        <w:jc w:val="center"/>
        <w:rPr>
          <w:rFonts w:ascii="宋体" w:hAnsi="宋体" w:cs="宋体"/>
          <w:b/>
          <w:bCs/>
          <w:color w:val="000000"/>
          <w:sz w:val="96"/>
          <w:szCs w:val="96"/>
          <w:highlight w:val="none"/>
        </w:rPr>
      </w:pPr>
      <w:r>
        <w:rPr>
          <w:rFonts w:hint="eastAsia" w:ascii="宋体" w:hAnsi="宋体" w:cs="宋体"/>
          <w:b/>
          <w:bCs/>
          <w:color w:val="000000"/>
          <w:sz w:val="96"/>
          <w:szCs w:val="96"/>
          <w:highlight w:val="none"/>
        </w:rPr>
        <w:t>标</w:t>
      </w:r>
    </w:p>
    <w:p>
      <w:pPr>
        <w:spacing w:after="100" w:afterAutospacing="1" w:line="240" w:lineRule="auto"/>
        <w:jc w:val="center"/>
        <w:rPr>
          <w:rFonts w:ascii="宋体" w:hAnsi="宋体" w:cs="宋体"/>
          <w:b/>
          <w:bCs/>
          <w:color w:val="000000"/>
          <w:sz w:val="96"/>
          <w:szCs w:val="96"/>
          <w:highlight w:val="none"/>
        </w:rPr>
      </w:pPr>
      <w:r>
        <w:rPr>
          <w:rFonts w:hint="eastAsia" w:ascii="宋体" w:hAnsi="宋体" w:cs="宋体"/>
          <w:b/>
          <w:bCs/>
          <w:color w:val="000000"/>
          <w:sz w:val="96"/>
          <w:szCs w:val="96"/>
          <w:highlight w:val="none"/>
        </w:rPr>
        <w:t>文</w:t>
      </w:r>
    </w:p>
    <w:p>
      <w:pPr>
        <w:spacing w:after="100" w:afterAutospacing="1" w:line="240" w:lineRule="auto"/>
        <w:jc w:val="center"/>
        <w:rPr>
          <w:rFonts w:ascii="宋体" w:hAnsi="宋体" w:cs="宋体"/>
          <w:b/>
          <w:bCs/>
          <w:color w:val="000000"/>
          <w:sz w:val="96"/>
          <w:szCs w:val="96"/>
          <w:highlight w:val="none"/>
        </w:rPr>
      </w:pPr>
      <w:r>
        <w:rPr>
          <w:rFonts w:hint="eastAsia" w:ascii="宋体" w:hAnsi="宋体" w:cs="宋体"/>
          <w:b/>
          <w:bCs/>
          <w:color w:val="000000"/>
          <w:sz w:val="96"/>
          <w:szCs w:val="96"/>
          <w:highlight w:val="none"/>
        </w:rPr>
        <w:t>件</w:t>
      </w:r>
    </w:p>
    <w:p>
      <w:pPr>
        <w:adjustRightInd w:val="0"/>
        <w:snapToGrid w:val="0"/>
        <w:spacing w:after="100" w:afterAutospacing="1" w:line="240" w:lineRule="auto"/>
        <w:jc w:val="center"/>
        <w:rPr>
          <w:rFonts w:ascii="宋体"/>
          <w:b/>
          <w:bCs/>
          <w:color w:val="000000"/>
          <w:sz w:val="30"/>
          <w:szCs w:val="30"/>
          <w:highlight w:val="none"/>
        </w:rPr>
      </w:pPr>
      <w:r>
        <w:rPr>
          <w:rFonts w:hint="eastAsia" w:ascii="宋体" w:hAnsi="宋体" w:cs="宋体"/>
          <w:b/>
          <w:bCs/>
          <w:color w:val="000000"/>
          <w:sz w:val="30"/>
          <w:szCs w:val="30"/>
          <w:highlight w:val="none"/>
        </w:rPr>
        <w:t>杭州市公共资源交易中心江干分中心</w:t>
      </w:r>
    </w:p>
    <w:p>
      <w:pPr>
        <w:adjustRightInd w:val="0"/>
        <w:snapToGrid w:val="0"/>
        <w:spacing w:after="100" w:afterAutospacing="1" w:line="240" w:lineRule="auto"/>
        <w:jc w:val="center"/>
        <w:rPr>
          <w:rFonts w:ascii="宋体" w:hAnsi="宋体" w:cs="宋体"/>
          <w:b/>
          <w:bCs/>
          <w:color w:val="000000"/>
          <w:sz w:val="30"/>
          <w:szCs w:val="30"/>
          <w:highlight w:val="none"/>
        </w:rPr>
      </w:pPr>
      <w:r>
        <w:rPr>
          <w:rFonts w:hint="eastAsia" w:ascii="宋体" w:hAnsi="宋体" w:cs="宋体"/>
          <w:b/>
          <w:bCs/>
          <w:color w:val="000000"/>
          <w:sz w:val="30"/>
          <w:szCs w:val="30"/>
          <w:highlight w:val="none"/>
        </w:rPr>
        <w:t>二〇一九年七月</w:t>
      </w:r>
    </w:p>
    <w:p>
      <w:pPr>
        <w:adjustRightInd w:val="0"/>
        <w:snapToGrid w:val="0"/>
        <w:spacing w:line="560" w:lineRule="exact"/>
        <w:jc w:val="center"/>
        <w:rPr>
          <w:rFonts w:ascii="宋体"/>
          <w:b/>
          <w:bCs/>
          <w:color w:val="000000"/>
          <w:sz w:val="30"/>
          <w:szCs w:val="30"/>
          <w:highlight w:val="none"/>
        </w:rPr>
      </w:pPr>
      <w:r>
        <w:rPr>
          <w:rFonts w:hint="eastAsia" w:ascii="华文中宋" w:hAnsi="华文中宋" w:eastAsia="华文中宋" w:cs="宋体"/>
          <w:color w:val="000000"/>
          <w:sz w:val="48"/>
          <w:szCs w:val="48"/>
          <w:highlight w:val="none"/>
        </w:rPr>
        <w:t>招标文件目录</w:t>
      </w:r>
    </w:p>
    <w:p>
      <w:pPr>
        <w:adjustRightInd w:val="0"/>
        <w:snapToGrid w:val="0"/>
        <w:spacing w:line="560" w:lineRule="exact"/>
        <w:rPr>
          <w:rFonts w:ascii="宋体"/>
          <w:color w:val="000000"/>
          <w:sz w:val="32"/>
          <w:szCs w:val="32"/>
          <w:highlight w:val="none"/>
        </w:rPr>
      </w:pPr>
    </w:p>
    <w:p>
      <w:pPr>
        <w:adjustRightInd w:val="0"/>
        <w:snapToGrid w:val="0"/>
        <w:spacing w:line="560" w:lineRule="exact"/>
        <w:rPr>
          <w:rFonts w:ascii="宋体"/>
          <w:color w:val="000000"/>
          <w:sz w:val="32"/>
          <w:szCs w:val="32"/>
          <w:highlight w:val="none"/>
        </w:rPr>
      </w:pPr>
    </w:p>
    <w:p>
      <w:pPr>
        <w:tabs>
          <w:tab w:val="left" w:pos="0"/>
        </w:tabs>
        <w:spacing w:line="276" w:lineRule="auto"/>
        <w:ind w:firstLine="600" w:firstLineChars="200"/>
        <w:rPr>
          <w:rFonts w:ascii="仿宋_GB2312" w:hAnsi="宋体" w:eastAsia="仿宋_GB2312" w:cs="宋体"/>
          <w:color w:val="000000"/>
          <w:sz w:val="30"/>
          <w:szCs w:val="30"/>
          <w:highlight w:val="none"/>
        </w:rPr>
      </w:pPr>
      <w:r>
        <w:rPr>
          <w:rFonts w:hint="eastAsia" w:ascii="仿宋_GB2312" w:hAnsi="宋体" w:eastAsia="仿宋_GB2312" w:cs="宋体"/>
          <w:color w:val="000000"/>
          <w:sz w:val="30"/>
          <w:szCs w:val="30"/>
          <w:highlight w:val="none"/>
        </w:rPr>
        <w:t>第一部分   招标公告</w:t>
      </w:r>
    </w:p>
    <w:p>
      <w:pPr>
        <w:tabs>
          <w:tab w:val="left" w:pos="0"/>
        </w:tabs>
        <w:spacing w:after="100" w:afterAutospacing="1" w:line="276" w:lineRule="auto"/>
        <w:ind w:firstLine="600" w:firstLineChars="200"/>
        <w:rPr>
          <w:rFonts w:ascii="仿宋_GB2312" w:hAnsi="宋体" w:eastAsia="仿宋_GB2312" w:cs="宋体"/>
          <w:color w:val="000000"/>
          <w:sz w:val="30"/>
          <w:szCs w:val="30"/>
          <w:highlight w:val="none"/>
        </w:rPr>
      </w:pPr>
    </w:p>
    <w:p>
      <w:pPr>
        <w:tabs>
          <w:tab w:val="left" w:pos="0"/>
        </w:tabs>
        <w:spacing w:line="276" w:lineRule="auto"/>
        <w:ind w:firstLine="600" w:firstLineChars="200"/>
        <w:rPr>
          <w:rFonts w:ascii="仿宋_GB2312" w:hAnsi="宋体" w:eastAsia="仿宋_GB2312" w:cs="宋体"/>
          <w:color w:val="000000"/>
          <w:sz w:val="30"/>
          <w:szCs w:val="30"/>
          <w:highlight w:val="none"/>
        </w:rPr>
      </w:pPr>
      <w:r>
        <w:rPr>
          <w:rFonts w:hint="eastAsia" w:ascii="仿宋_GB2312" w:hAnsi="宋体" w:eastAsia="仿宋_GB2312" w:cs="宋体"/>
          <w:color w:val="000000"/>
          <w:sz w:val="30"/>
          <w:szCs w:val="30"/>
          <w:highlight w:val="none"/>
        </w:rPr>
        <w:t>第二部分   投标须知前附表及投标须知</w:t>
      </w:r>
    </w:p>
    <w:p>
      <w:pPr>
        <w:tabs>
          <w:tab w:val="left" w:pos="0"/>
        </w:tabs>
        <w:spacing w:line="276" w:lineRule="auto"/>
        <w:ind w:firstLine="600" w:firstLineChars="200"/>
        <w:rPr>
          <w:rFonts w:ascii="仿宋_GB2312" w:hAnsi="宋体" w:eastAsia="仿宋_GB2312" w:cs="宋体"/>
          <w:color w:val="000000"/>
          <w:sz w:val="30"/>
          <w:szCs w:val="30"/>
          <w:highlight w:val="none"/>
        </w:rPr>
      </w:pPr>
    </w:p>
    <w:p>
      <w:pPr>
        <w:tabs>
          <w:tab w:val="left" w:pos="0"/>
        </w:tabs>
        <w:spacing w:line="276" w:lineRule="auto"/>
        <w:ind w:firstLine="600" w:firstLineChars="200"/>
        <w:rPr>
          <w:rFonts w:ascii="仿宋_GB2312" w:hAnsi="宋体" w:eastAsia="仿宋_GB2312" w:cs="宋体"/>
          <w:color w:val="000000"/>
          <w:sz w:val="30"/>
          <w:szCs w:val="30"/>
          <w:highlight w:val="none"/>
        </w:rPr>
      </w:pPr>
      <w:r>
        <w:rPr>
          <w:rFonts w:hint="eastAsia" w:ascii="仿宋_GB2312" w:hAnsi="宋体" w:eastAsia="仿宋_GB2312" w:cs="宋体"/>
          <w:color w:val="000000"/>
          <w:sz w:val="30"/>
          <w:szCs w:val="30"/>
          <w:highlight w:val="none"/>
        </w:rPr>
        <w:t>第三部分   招标内容及项目要求</w:t>
      </w:r>
    </w:p>
    <w:p>
      <w:pPr>
        <w:tabs>
          <w:tab w:val="left" w:pos="0"/>
        </w:tabs>
        <w:spacing w:line="276" w:lineRule="auto"/>
        <w:ind w:firstLine="600" w:firstLineChars="200"/>
        <w:rPr>
          <w:rFonts w:ascii="仿宋_GB2312" w:hAnsi="宋体" w:eastAsia="仿宋_GB2312" w:cs="宋体"/>
          <w:color w:val="000000"/>
          <w:sz w:val="30"/>
          <w:szCs w:val="30"/>
          <w:highlight w:val="none"/>
        </w:rPr>
      </w:pPr>
    </w:p>
    <w:p>
      <w:pPr>
        <w:tabs>
          <w:tab w:val="left" w:pos="0"/>
        </w:tabs>
        <w:spacing w:line="276" w:lineRule="auto"/>
        <w:ind w:firstLine="600" w:firstLineChars="200"/>
        <w:rPr>
          <w:rFonts w:ascii="仿宋_GB2312" w:hAnsi="宋体" w:eastAsia="仿宋_GB2312" w:cs="宋体"/>
          <w:color w:val="000000"/>
          <w:sz w:val="30"/>
          <w:szCs w:val="30"/>
          <w:highlight w:val="none"/>
        </w:rPr>
      </w:pPr>
      <w:r>
        <w:rPr>
          <w:rFonts w:hint="eastAsia" w:ascii="仿宋_GB2312" w:hAnsi="宋体" w:eastAsia="仿宋_GB2312" w:cs="宋体"/>
          <w:color w:val="000000"/>
          <w:sz w:val="30"/>
          <w:szCs w:val="30"/>
          <w:highlight w:val="none"/>
        </w:rPr>
        <w:t>第四部分   评审原则及方法</w:t>
      </w:r>
    </w:p>
    <w:p>
      <w:pPr>
        <w:tabs>
          <w:tab w:val="left" w:pos="0"/>
        </w:tabs>
        <w:spacing w:line="276" w:lineRule="auto"/>
        <w:ind w:firstLine="600" w:firstLineChars="200"/>
        <w:rPr>
          <w:rFonts w:ascii="仿宋_GB2312" w:hAnsi="宋体" w:eastAsia="仿宋_GB2312" w:cs="宋体"/>
          <w:color w:val="000000"/>
          <w:sz w:val="30"/>
          <w:szCs w:val="30"/>
          <w:highlight w:val="none"/>
        </w:rPr>
      </w:pPr>
    </w:p>
    <w:p>
      <w:pPr>
        <w:tabs>
          <w:tab w:val="left" w:pos="0"/>
        </w:tabs>
        <w:spacing w:line="276" w:lineRule="auto"/>
        <w:ind w:firstLine="600" w:firstLineChars="200"/>
        <w:rPr>
          <w:rFonts w:ascii="仿宋_GB2312" w:hAnsi="宋体" w:eastAsia="仿宋_GB2312" w:cs="宋体"/>
          <w:color w:val="000000"/>
          <w:sz w:val="30"/>
          <w:szCs w:val="30"/>
          <w:highlight w:val="none"/>
        </w:rPr>
      </w:pPr>
      <w:r>
        <w:rPr>
          <w:rFonts w:hint="eastAsia" w:ascii="仿宋_GB2312" w:hAnsi="宋体" w:eastAsia="仿宋_GB2312" w:cs="宋体"/>
          <w:color w:val="000000"/>
          <w:sz w:val="30"/>
          <w:szCs w:val="30"/>
          <w:highlight w:val="none"/>
        </w:rPr>
        <w:t>第五部分   投标文件部分格式范例</w:t>
      </w:r>
    </w:p>
    <w:p>
      <w:pPr>
        <w:tabs>
          <w:tab w:val="left" w:pos="0"/>
        </w:tabs>
        <w:spacing w:line="276" w:lineRule="auto"/>
        <w:ind w:firstLine="600" w:firstLineChars="200"/>
        <w:rPr>
          <w:rFonts w:ascii="仿宋_GB2312" w:hAnsi="宋体" w:eastAsia="仿宋_GB2312" w:cs="宋体"/>
          <w:color w:val="000000"/>
          <w:sz w:val="30"/>
          <w:szCs w:val="30"/>
          <w:highlight w:val="none"/>
        </w:rPr>
      </w:pPr>
    </w:p>
    <w:p>
      <w:pPr>
        <w:tabs>
          <w:tab w:val="left" w:pos="0"/>
        </w:tabs>
        <w:spacing w:line="276" w:lineRule="auto"/>
        <w:ind w:firstLine="600" w:firstLineChars="200"/>
        <w:rPr>
          <w:rFonts w:ascii="仿宋_GB2312" w:hAnsi="宋体" w:eastAsia="仿宋_GB2312" w:cs="宋体"/>
          <w:color w:val="000000"/>
          <w:sz w:val="30"/>
          <w:szCs w:val="30"/>
          <w:highlight w:val="none"/>
        </w:rPr>
      </w:pPr>
      <w:r>
        <w:rPr>
          <w:rFonts w:hint="eastAsia" w:ascii="仿宋_GB2312" w:hAnsi="宋体" w:eastAsia="仿宋_GB2312" w:cs="宋体"/>
          <w:color w:val="000000"/>
          <w:sz w:val="30"/>
          <w:szCs w:val="30"/>
          <w:highlight w:val="none"/>
        </w:rPr>
        <w:t>第六部分   合同主要条款及特殊条款</w:t>
      </w:r>
    </w:p>
    <w:p>
      <w:pPr>
        <w:tabs>
          <w:tab w:val="left" w:pos="0"/>
        </w:tabs>
        <w:ind w:firstLine="600" w:firstLineChars="200"/>
        <w:rPr>
          <w:rFonts w:ascii="仿宋_GB2312" w:hAnsi="宋体" w:eastAsia="仿宋_GB2312" w:cs="宋体"/>
          <w:color w:val="000000"/>
          <w:sz w:val="30"/>
          <w:szCs w:val="30"/>
          <w:highlight w:val="none"/>
        </w:rPr>
      </w:pPr>
    </w:p>
    <w:bookmarkEnd w:id="0"/>
    <w:p>
      <w:pPr>
        <w:spacing w:line="360" w:lineRule="auto"/>
        <w:rPr>
          <w:rFonts w:ascii="华文中宋" w:hAnsi="华文中宋" w:eastAsia="华文中宋" w:cs="黑体"/>
          <w:b/>
          <w:bCs/>
          <w:color w:val="000000"/>
          <w:sz w:val="36"/>
          <w:szCs w:val="36"/>
          <w:highlight w:val="none"/>
        </w:rPr>
      </w:pPr>
      <w:r>
        <w:rPr>
          <w:rFonts w:ascii="华文中宋" w:hAnsi="华文中宋" w:eastAsia="华文中宋" w:cs="黑体"/>
          <w:color w:val="000000"/>
          <w:sz w:val="36"/>
          <w:szCs w:val="36"/>
          <w:highlight w:val="none"/>
        </w:rPr>
        <w:br w:type="page"/>
      </w:r>
    </w:p>
    <w:p>
      <w:pPr>
        <w:pStyle w:val="2"/>
        <w:snapToGrid w:val="0"/>
        <w:spacing w:line="500" w:lineRule="exact"/>
        <w:jc w:val="center"/>
        <w:rPr>
          <w:rFonts w:ascii="华文中宋" w:hAnsi="华文中宋" w:eastAsia="华文中宋" w:cs="黑体"/>
          <w:color w:val="000000"/>
          <w:sz w:val="36"/>
          <w:szCs w:val="36"/>
          <w:highlight w:val="none"/>
        </w:rPr>
      </w:pPr>
      <w:r>
        <w:rPr>
          <w:rFonts w:hint="eastAsia" w:ascii="华文中宋" w:hAnsi="华文中宋" w:eastAsia="华文中宋" w:cs="黑体"/>
          <w:color w:val="000000"/>
          <w:sz w:val="36"/>
          <w:szCs w:val="36"/>
          <w:highlight w:val="none"/>
        </w:rPr>
        <w:t>第一部分  招标公告</w:t>
      </w:r>
    </w:p>
    <w:p>
      <w:pPr>
        <w:adjustRightInd w:val="0"/>
        <w:snapToGrid w:val="0"/>
        <w:spacing w:line="500" w:lineRule="exac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 xml:space="preserve">    根据《中华人民共和国政府采购法》等有关规定，杭州市公共资源交易中心江干分中心受杭州市江干区四季青街道社区卫生服务中心的委托，就杭州市江干区全科医生技能培训中心建设项目进行公开招标，欢迎国内合格的供应商前来投标。</w:t>
      </w:r>
    </w:p>
    <w:p>
      <w:pPr>
        <w:adjustRightInd w:val="0"/>
        <w:snapToGrid w:val="0"/>
        <w:spacing w:line="500" w:lineRule="exact"/>
        <w:rPr>
          <w:rFonts w:ascii="仿宋_GB2312" w:eastAsia="仿宋_GB2312"/>
          <w:color w:val="000000"/>
          <w:kern w:val="0"/>
          <w:sz w:val="24"/>
          <w:szCs w:val="24"/>
          <w:highlight w:val="none"/>
        </w:rPr>
      </w:pPr>
      <w:r>
        <w:rPr>
          <w:rFonts w:hint="eastAsia" w:ascii="仿宋_GB2312" w:hAnsi="宋体" w:eastAsia="仿宋_GB2312" w:cs="宋体"/>
          <w:b/>
          <w:bCs/>
          <w:kern w:val="0"/>
          <w:sz w:val="24"/>
          <w:szCs w:val="24"/>
          <w:highlight w:val="none"/>
        </w:rPr>
        <w:t>一、招标项目编号:</w:t>
      </w:r>
      <w:r>
        <w:rPr>
          <w:rFonts w:ascii="仿宋_GB2312" w:hAnsi="宋体" w:eastAsia="仿宋_GB2312" w:cs="宋体"/>
          <w:color w:val="000000"/>
          <w:kern w:val="0"/>
          <w:sz w:val="24"/>
          <w:szCs w:val="24"/>
          <w:highlight w:val="none"/>
        </w:rPr>
        <w:t>JGCG2019-GK-16</w:t>
      </w:r>
    </w:p>
    <w:p>
      <w:pPr>
        <w:adjustRightInd w:val="0"/>
        <w:snapToGrid w:val="0"/>
        <w:spacing w:line="500" w:lineRule="exact"/>
        <w:rPr>
          <w:rFonts w:ascii="仿宋_GB2312" w:eastAsia="仿宋_GB2312"/>
          <w:color w:val="000000"/>
          <w:kern w:val="0"/>
          <w:sz w:val="24"/>
          <w:szCs w:val="24"/>
          <w:highlight w:val="none"/>
        </w:rPr>
      </w:pPr>
      <w:r>
        <w:rPr>
          <w:rFonts w:hint="eastAsia" w:ascii="仿宋_GB2312" w:hAnsi="宋体" w:eastAsia="仿宋_GB2312" w:cs="宋体"/>
          <w:b/>
          <w:bCs/>
          <w:kern w:val="0"/>
          <w:sz w:val="24"/>
          <w:szCs w:val="24"/>
          <w:highlight w:val="none"/>
        </w:rPr>
        <w:t>二、采购组织类型：</w:t>
      </w:r>
      <w:bookmarkStart w:id="1" w:name="B09_采购组织类型"/>
      <w:r>
        <w:rPr>
          <w:rFonts w:hint="eastAsia" w:ascii="仿宋_GB2312" w:hAnsi="宋体" w:eastAsia="仿宋_GB2312" w:cs="宋体"/>
          <w:color w:val="000000"/>
          <w:kern w:val="0"/>
          <w:sz w:val="24"/>
          <w:szCs w:val="24"/>
          <w:highlight w:val="none"/>
        </w:rPr>
        <w:t>政府集中采购</w:t>
      </w:r>
      <w:bookmarkEnd w:id="1"/>
    </w:p>
    <w:p>
      <w:pPr>
        <w:spacing w:before="60" w:after="60" w:line="560" w:lineRule="exact"/>
        <w:ind w:right="60"/>
        <w:rPr>
          <w:rFonts w:ascii="仿宋_GB2312" w:hAnsi="宋体" w:eastAsia="仿宋_GB2312" w:cs="宋体"/>
          <w:b/>
          <w:bCs/>
          <w:color w:val="000000"/>
          <w:kern w:val="0"/>
          <w:sz w:val="24"/>
          <w:szCs w:val="24"/>
          <w:highlight w:val="none"/>
        </w:rPr>
      </w:pPr>
      <w:r>
        <w:rPr>
          <w:rFonts w:hint="eastAsia" w:ascii="仿宋_GB2312" w:hAnsi="宋体" w:eastAsia="仿宋_GB2312" w:cs="宋体"/>
          <w:b/>
          <w:bCs/>
          <w:kern w:val="0"/>
          <w:sz w:val="24"/>
          <w:szCs w:val="24"/>
          <w:highlight w:val="none"/>
        </w:rPr>
        <w:t>三、</w:t>
      </w:r>
      <w:r>
        <w:rPr>
          <w:rFonts w:hint="eastAsia" w:ascii="仿宋_GB2312" w:hAnsi="宋体" w:eastAsia="仿宋_GB2312" w:cs="宋体"/>
          <w:b/>
          <w:bCs/>
          <w:color w:val="000000"/>
          <w:kern w:val="0"/>
          <w:sz w:val="24"/>
          <w:szCs w:val="24"/>
          <w:highlight w:val="none"/>
        </w:rPr>
        <w:t>招标项目概况（内容、用途、数量、简要技术要求等）:</w:t>
      </w:r>
    </w:p>
    <w:tbl>
      <w:tblPr>
        <w:tblStyle w:val="49"/>
        <w:tblW w:w="8113" w:type="dxa"/>
        <w:jc w:val="center"/>
        <w:tblInd w:w="-2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879"/>
        <w:gridCol w:w="822"/>
        <w:gridCol w:w="1305"/>
        <w:gridCol w:w="1565"/>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1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内容</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数量</w:t>
            </w:r>
          </w:p>
        </w:tc>
        <w:tc>
          <w:tcPr>
            <w:tcW w:w="82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单位</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预算金额</w:t>
            </w:r>
          </w:p>
          <w:p>
            <w:pPr>
              <w:spacing w:line="240" w:lineRule="auto"/>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(万元)</w:t>
            </w:r>
          </w:p>
        </w:tc>
        <w:tc>
          <w:tcPr>
            <w:tcW w:w="15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简要技术</w:t>
            </w:r>
          </w:p>
          <w:p>
            <w:pPr>
              <w:spacing w:line="240" w:lineRule="auto"/>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要求、用途</w:t>
            </w:r>
          </w:p>
        </w:tc>
        <w:tc>
          <w:tcPr>
            <w:tcW w:w="18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1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全科医生技能培训中心建设</w:t>
            </w:r>
          </w:p>
        </w:tc>
        <w:tc>
          <w:tcPr>
            <w:tcW w:w="879" w:type="dxa"/>
            <w:tcBorders>
              <w:top w:val="single" w:color="auto" w:sz="4" w:space="0"/>
              <w:left w:val="single" w:color="auto" w:sz="4" w:space="0"/>
              <w:bottom w:val="single" w:color="auto" w:sz="4" w:space="0"/>
              <w:right w:val="single" w:color="auto" w:sz="4" w:space="0"/>
            </w:tcBorders>
            <w:vAlign w:val="center"/>
          </w:tcPr>
          <w:p>
            <w:pPr>
              <w:spacing w:before="60" w:after="60" w:line="240" w:lineRule="auto"/>
              <w:ind w:left="60" w:right="60"/>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1</w:t>
            </w:r>
          </w:p>
        </w:tc>
        <w:tc>
          <w:tcPr>
            <w:tcW w:w="822" w:type="dxa"/>
            <w:tcBorders>
              <w:top w:val="single" w:color="auto" w:sz="4" w:space="0"/>
              <w:left w:val="single" w:color="auto" w:sz="4" w:space="0"/>
              <w:bottom w:val="single" w:color="auto" w:sz="4" w:space="0"/>
              <w:right w:val="single" w:color="auto" w:sz="4" w:space="0"/>
            </w:tcBorders>
            <w:vAlign w:val="center"/>
          </w:tcPr>
          <w:p>
            <w:pPr>
              <w:spacing w:before="60" w:after="60" w:line="240" w:lineRule="auto"/>
              <w:ind w:left="60" w:right="60"/>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项</w:t>
            </w:r>
          </w:p>
        </w:tc>
        <w:tc>
          <w:tcPr>
            <w:tcW w:w="1305" w:type="dxa"/>
            <w:tcBorders>
              <w:top w:val="single" w:color="auto" w:sz="4" w:space="0"/>
              <w:left w:val="single" w:color="auto" w:sz="4" w:space="0"/>
              <w:right w:val="single" w:color="auto" w:sz="4" w:space="0"/>
            </w:tcBorders>
            <w:vAlign w:val="center"/>
          </w:tcPr>
          <w:p>
            <w:pPr>
              <w:spacing w:before="60" w:after="60" w:line="240" w:lineRule="auto"/>
              <w:ind w:left="60" w:right="60"/>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102</w:t>
            </w:r>
          </w:p>
        </w:tc>
        <w:tc>
          <w:tcPr>
            <w:tcW w:w="1565" w:type="dxa"/>
            <w:tcBorders>
              <w:top w:val="single" w:color="auto" w:sz="4" w:space="0"/>
              <w:left w:val="single" w:color="auto" w:sz="4" w:space="0"/>
              <w:right w:val="single" w:color="auto" w:sz="4" w:space="0"/>
            </w:tcBorders>
            <w:vAlign w:val="center"/>
          </w:tcPr>
          <w:p>
            <w:pPr>
              <w:spacing w:before="60" w:after="60" w:line="240" w:lineRule="auto"/>
              <w:ind w:left="2" w:leftChars="-45" w:right="-32" w:hanging="96" w:hangingChars="40"/>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详见招标文件第三部分</w:t>
            </w:r>
          </w:p>
        </w:tc>
        <w:tc>
          <w:tcPr>
            <w:tcW w:w="1829" w:type="dxa"/>
            <w:tcBorders>
              <w:top w:val="single" w:color="auto" w:sz="4" w:space="0"/>
              <w:left w:val="single" w:color="auto" w:sz="4" w:space="0"/>
              <w:bottom w:val="single" w:color="auto" w:sz="4" w:space="0"/>
              <w:right w:val="single" w:color="auto" w:sz="4" w:space="0"/>
            </w:tcBorders>
            <w:vAlign w:val="center"/>
          </w:tcPr>
          <w:p>
            <w:pPr>
              <w:spacing w:before="60" w:after="60" w:line="240" w:lineRule="auto"/>
              <w:ind w:left="60" w:right="60"/>
              <w:jc w:val="center"/>
              <w:rPr>
                <w:rFonts w:ascii="仿宋_GB2312" w:hAnsi="宋体" w:eastAsia="仿宋_GB2312" w:cs="宋体"/>
                <w:kern w:val="0"/>
                <w:sz w:val="24"/>
                <w:szCs w:val="24"/>
                <w:highlight w:val="none"/>
              </w:rPr>
            </w:pPr>
            <w:bookmarkStart w:id="2" w:name="B17_备注"/>
            <w:bookmarkEnd w:id="2"/>
          </w:p>
        </w:tc>
      </w:tr>
    </w:tbl>
    <w:p>
      <w:pPr>
        <w:spacing w:before="60" w:after="60" w:line="560" w:lineRule="exact"/>
        <w:ind w:right="60"/>
        <w:rPr>
          <w:rFonts w:ascii="仿宋_GB2312" w:hAnsi="宋体" w:eastAsia="仿宋_GB2312" w:cs="宋体"/>
          <w:b/>
          <w:bCs/>
          <w:color w:val="000000"/>
          <w:kern w:val="0"/>
          <w:sz w:val="24"/>
          <w:szCs w:val="24"/>
          <w:highlight w:val="none"/>
        </w:rPr>
      </w:pPr>
      <w:r>
        <w:rPr>
          <w:rFonts w:hint="eastAsia" w:ascii="仿宋_GB2312" w:hAnsi="宋体" w:eastAsia="仿宋_GB2312" w:cs="宋体"/>
          <w:b/>
          <w:bCs/>
          <w:color w:val="000000"/>
          <w:kern w:val="0"/>
          <w:sz w:val="24"/>
          <w:szCs w:val="24"/>
          <w:highlight w:val="none"/>
        </w:rPr>
        <w:t>四、投标供应商资格要求:</w:t>
      </w:r>
    </w:p>
    <w:p>
      <w:pPr>
        <w:spacing w:line="500" w:lineRule="exact"/>
        <w:ind w:firstLine="480" w:firstLineChars="200"/>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符合《中华人民共和国政府采购法》第二十二条规定，凡有经验和能力提供本招标文件所述货物及服务的，具有法人资格的境内供货商或制造商均可能成为合格的投标人，投标人应为在中华人民共和国境内注册独立法人；</w:t>
      </w:r>
    </w:p>
    <w:p>
      <w:pPr>
        <w:spacing w:line="500" w:lineRule="exact"/>
        <w:rPr>
          <w:rFonts w:ascii="仿宋_GB2312" w:hAnsi="宋体" w:eastAsia="仿宋_GB2312" w:cs="宋体"/>
          <w:b/>
          <w:bCs/>
          <w:color w:val="000000"/>
          <w:kern w:val="0"/>
          <w:sz w:val="24"/>
          <w:szCs w:val="24"/>
          <w:highlight w:val="none"/>
        </w:rPr>
      </w:pPr>
      <w:r>
        <w:rPr>
          <w:rFonts w:hint="eastAsia" w:ascii="仿宋_GB2312" w:hAnsi="宋体" w:eastAsia="仿宋_GB2312" w:cs="宋体"/>
          <w:b/>
          <w:bCs/>
          <w:color w:val="000000"/>
          <w:kern w:val="0"/>
          <w:sz w:val="24"/>
          <w:szCs w:val="24"/>
          <w:highlight w:val="none"/>
        </w:rPr>
        <w:t>五、招标文件的报名</w:t>
      </w:r>
      <w:r>
        <w:rPr>
          <w:rFonts w:ascii="仿宋_GB2312" w:hAnsi="宋体" w:eastAsia="仿宋_GB2312" w:cs="宋体"/>
          <w:b/>
          <w:bCs/>
          <w:color w:val="000000"/>
          <w:kern w:val="0"/>
          <w:sz w:val="24"/>
          <w:szCs w:val="24"/>
          <w:highlight w:val="none"/>
        </w:rPr>
        <w:t>/</w:t>
      </w:r>
      <w:r>
        <w:rPr>
          <w:rFonts w:hint="eastAsia" w:ascii="仿宋_GB2312" w:hAnsi="宋体" w:eastAsia="仿宋_GB2312" w:cs="宋体"/>
          <w:b/>
          <w:bCs/>
          <w:color w:val="000000"/>
          <w:kern w:val="0"/>
          <w:sz w:val="24"/>
          <w:szCs w:val="24"/>
          <w:highlight w:val="none"/>
        </w:rPr>
        <w:t>发售时间、地址、售价</w:t>
      </w:r>
      <w:r>
        <w:rPr>
          <w:rFonts w:ascii="仿宋_GB2312" w:hAnsi="宋体" w:eastAsia="仿宋_GB2312" w:cs="宋体"/>
          <w:b/>
          <w:bCs/>
          <w:color w:val="000000"/>
          <w:kern w:val="0"/>
          <w:sz w:val="24"/>
          <w:szCs w:val="24"/>
          <w:highlight w:val="none"/>
        </w:rPr>
        <w:t>:</w:t>
      </w:r>
    </w:p>
    <w:p>
      <w:pPr>
        <w:spacing w:line="500" w:lineRule="exact"/>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1</w:t>
      </w:r>
      <w:r>
        <w:rPr>
          <w:rFonts w:hint="eastAsia" w:ascii="仿宋_GB2312" w:hAnsi="宋体" w:eastAsia="仿宋_GB2312" w:cs="宋体"/>
          <w:color w:val="000000"/>
          <w:kern w:val="0"/>
          <w:sz w:val="24"/>
          <w:szCs w:val="24"/>
          <w:highlight w:val="none"/>
        </w:rPr>
        <w:t>．供应商报名时间：2019年</w:t>
      </w:r>
      <w:r>
        <w:rPr>
          <w:rFonts w:hint="eastAsia" w:ascii="仿宋_GB2312" w:hAnsi="宋体" w:eastAsia="仿宋_GB2312" w:cs="宋体"/>
          <w:color w:val="000000"/>
          <w:kern w:val="0"/>
          <w:sz w:val="24"/>
          <w:szCs w:val="24"/>
          <w:highlight w:val="none"/>
          <w:lang w:val="en-US" w:eastAsia="zh-CN"/>
        </w:rPr>
        <w:t>7</w:t>
      </w:r>
      <w:r>
        <w:rPr>
          <w:rFonts w:hint="eastAsia" w:ascii="仿宋_GB2312" w:hAnsi="宋体" w:eastAsia="仿宋_GB2312" w:cs="宋体"/>
          <w:color w:val="000000"/>
          <w:kern w:val="0"/>
          <w:sz w:val="24"/>
          <w:szCs w:val="24"/>
          <w:highlight w:val="none"/>
        </w:rPr>
        <w:t>月</w:t>
      </w:r>
      <w:r>
        <w:rPr>
          <w:rFonts w:hint="eastAsia" w:ascii="仿宋_GB2312" w:hAnsi="宋体" w:eastAsia="仿宋_GB2312" w:cs="宋体"/>
          <w:color w:val="000000"/>
          <w:kern w:val="0"/>
          <w:sz w:val="24"/>
          <w:szCs w:val="24"/>
          <w:highlight w:val="none"/>
          <w:lang w:val="en-US" w:eastAsia="zh-CN"/>
        </w:rPr>
        <w:t>11</w:t>
      </w:r>
      <w:r>
        <w:rPr>
          <w:rFonts w:hint="eastAsia" w:ascii="仿宋_GB2312" w:hAnsi="宋体" w:eastAsia="仿宋_GB2312" w:cs="宋体"/>
          <w:color w:val="000000"/>
          <w:kern w:val="0"/>
          <w:sz w:val="24"/>
          <w:szCs w:val="24"/>
          <w:highlight w:val="none"/>
        </w:rPr>
        <w:t>日至2019年</w:t>
      </w:r>
      <w:r>
        <w:rPr>
          <w:rFonts w:hint="eastAsia" w:ascii="仿宋_GB2312" w:hAnsi="宋体" w:eastAsia="仿宋_GB2312" w:cs="宋体"/>
          <w:color w:val="000000"/>
          <w:kern w:val="0"/>
          <w:sz w:val="24"/>
          <w:szCs w:val="24"/>
          <w:highlight w:val="none"/>
          <w:lang w:val="en-US" w:eastAsia="zh-CN"/>
        </w:rPr>
        <w:t>7</w:t>
      </w:r>
      <w:r>
        <w:rPr>
          <w:rFonts w:hint="eastAsia" w:ascii="仿宋_GB2312" w:hAnsi="宋体" w:eastAsia="仿宋_GB2312" w:cs="宋体"/>
          <w:color w:val="000000"/>
          <w:kern w:val="0"/>
          <w:sz w:val="24"/>
          <w:szCs w:val="24"/>
          <w:highlight w:val="none"/>
        </w:rPr>
        <w:t>月</w:t>
      </w:r>
      <w:r>
        <w:rPr>
          <w:rFonts w:hint="eastAsia" w:ascii="仿宋_GB2312" w:hAnsi="宋体" w:eastAsia="仿宋_GB2312" w:cs="宋体"/>
          <w:color w:val="000000"/>
          <w:kern w:val="0"/>
          <w:sz w:val="24"/>
          <w:szCs w:val="24"/>
          <w:highlight w:val="none"/>
          <w:lang w:val="en-US" w:eastAsia="zh-CN"/>
        </w:rPr>
        <w:t>18</w:t>
      </w:r>
      <w:r>
        <w:rPr>
          <w:rFonts w:hint="eastAsia" w:ascii="仿宋_GB2312" w:hAnsi="宋体" w:eastAsia="仿宋_GB2312" w:cs="宋体"/>
          <w:color w:val="000000"/>
          <w:kern w:val="0"/>
          <w:sz w:val="24"/>
          <w:szCs w:val="24"/>
          <w:highlight w:val="none"/>
        </w:rPr>
        <w:t>日</w:t>
      </w:r>
      <w:r>
        <w:rPr>
          <w:rFonts w:ascii="仿宋_GB2312" w:hAnsi="宋体" w:eastAsia="仿宋_GB2312" w:cs="宋体"/>
          <w:color w:val="000000"/>
          <w:kern w:val="0"/>
          <w:sz w:val="24"/>
          <w:szCs w:val="24"/>
          <w:highlight w:val="none"/>
        </w:rPr>
        <w:t>(</w:t>
      </w:r>
      <w:r>
        <w:rPr>
          <w:rFonts w:hint="eastAsia" w:ascii="仿宋_GB2312" w:hAnsi="宋体" w:eastAsia="仿宋_GB2312" w:cs="宋体"/>
          <w:color w:val="000000"/>
          <w:kern w:val="0"/>
          <w:sz w:val="24"/>
          <w:szCs w:val="24"/>
          <w:highlight w:val="none"/>
        </w:rPr>
        <w:t>双休日及法定节假日除外</w:t>
      </w:r>
      <w:r>
        <w:rPr>
          <w:rFonts w:ascii="仿宋_GB2312" w:hAnsi="宋体" w:eastAsia="仿宋_GB2312" w:cs="宋体"/>
          <w:color w:val="000000"/>
          <w:kern w:val="0"/>
          <w:sz w:val="24"/>
          <w:szCs w:val="24"/>
          <w:highlight w:val="none"/>
        </w:rPr>
        <w:t>)</w:t>
      </w:r>
      <w:r>
        <w:rPr>
          <w:rFonts w:hint="eastAsia" w:ascii="仿宋_GB2312" w:hAnsi="宋体" w:eastAsia="仿宋_GB2312" w:cs="宋体"/>
          <w:color w:val="000000"/>
          <w:kern w:val="0"/>
          <w:sz w:val="24"/>
          <w:szCs w:val="24"/>
          <w:highlight w:val="none"/>
        </w:rPr>
        <w:t>;</w:t>
      </w:r>
    </w:p>
    <w:p>
      <w:pPr>
        <w:adjustRightInd w:val="0"/>
        <w:snapToGrid w:val="0"/>
        <w:spacing w:line="500" w:lineRule="exac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2．标书售价：免费;</w:t>
      </w:r>
    </w:p>
    <w:p>
      <w:pPr>
        <w:adjustRightInd w:val="0"/>
        <w:snapToGrid w:val="0"/>
        <w:spacing w:line="500" w:lineRule="exac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3．供应商报名方式：本项目实行网上报名，供应商登录浙江政府采购网（http://www.zjzfcg.gov.cn）进行报名，不接受现场报名。《供应商网上报名操作指南》网址：浙江政府采购网，位置：“首页-办事指南-省采中心-网上报名”</w:t>
      </w:r>
      <w:r>
        <w:rPr>
          <w:rFonts w:hint="eastAsia" w:ascii="仿宋_GB2312" w:hAnsi="宋体" w:eastAsia="仿宋_GB2312" w:cs="宋体"/>
          <w:kern w:val="0"/>
          <w:szCs w:val="24"/>
          <w:highlight w:val="none"/>
        </w:rPr>
        <w:t>（ http://www.zjzfcg.gov.cn/bs_other/2018-03-30/12002.html?_=2018-03-30 11:40:47）</w:t>
      </w:r>
      <w:r>
        <w:rPr>
          <w:rFonts w:hint="eastAsia" w:ascii="仿宋_GB2312" w:hAnsi="宋体" w:eastAsia="仿宋_GB2312" w:cs="宋体"/>
          <w:kern w:val="0"/>
          <w:sz w:val="24"/>
          <w:szCs w:val="24"/>
          <w:highlight w:val="none"/>
        </w:rPr>
        <w:t>；</w:t>
      </w:r>
    </w:p>
    <w:p>
      <w:pPr>
        <w:adjustRightInd w:val="0"/>
        <w:snapToGrid w:val="0"/>
        <w:spacing w:line="500" w:lineRule="exac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4.供应商报名时须提交的文件资料：无；</w:t>
      </w:r>
    </w:p>
    <w:p>
      <w:pPr>
        <w:adjustRightInd w:val="0"/>
        <w:snapToGrid w:val="0"/>
        <w:spacing w:line="500" w:lineRule="exac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5.提示：</w:t>
      </w:r>
    </w:p>
    <w:p>
      <w:pPr>
        <w:adjustRightInd w:val="0"/>
        <w:snapToGrid w:val="0"/>
        <w:spacing w:line="500" w:lineRule="exac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（1）采购机构将拒绝接受非报名供应商的投标文件。</w:t>
      </w:r>
    </w:p>
    <w:p>
      <w:pPr>
        <w:adjustRightInd w:val="0"/>
        <w:snapToGrid w:val="0"/>
        <w:spacing w:line="500" w:lineRule="exac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2）招标文件领取截止时间之后有潜在供应商提出要求获取招标文件的，采购机构将允许其获取，但该供应商如对招标文件有异议的，需报名成功后于招标文件领取截止时间之日起七个工作日内以书面形式向采购机构提出。</w:t>
      </w:r>
    </w:p>
    <w:p>
      <w:pPr>
        <w:adjustRightInd w:val="0"/>
        <w:snapToGrid w:val="0"/>
        <w:spacing w:line="500" w:lineRule="exact"/>
        <w:rPr>
          <w:rFonts w:ascii="仿宋_GB2312" w:hAnsi="宋体" w:eastAsia="仿宋_GB2312"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六、投标截止时间：</w:t>
      </w:r>
      <w:r>
        <w:rPr>
          <w:rFonts w:hint="eastAsia" w:ascii="仿宋_GB2312" w:hAnsi="宋体" w:eastAsia="仿宋_GB2312" w:cs="宋体"/>
          <w:color w:val="000000"/>
          <w:kern w:val="0"/>
          <w:sz w:val="24"/>
          <w:szCs w:val="24"/>
          <w:highlight w:val="none"/>
        </w:rPr>
        <w:t>2019年</w:t>
      </w:r>
      <w:r>
        <w:rPr>
          <w:rFonts w:hint="eastAsia" w:ascii="仿宋_GB2312" w:hAnsi="宋体" w:eastAsia="仿宋_GB2312" w:cs="宋体"/>
          <w:color w:val="000000"/>
          <w:kern w:val="0"/>
          <w:sz w:val="24"/>
          <w:szCs w:val="24"/>
          <w:highlight w:val="none"/>
          <w:lang w:val="en-US" w:eastAsia="zh-CN"/>
        </w:rPr>
        <w:t>8月2日</w:t>
      </w:r>
      <w:r>
        <w:rPr>
          <w:rFonts w:hint="eastAsia" w:ascii="仿宋_GB2312" w:hAnsi="宋体" w:eastAsia="仿宋_GB2312" w:cs="宋体"/>
          <w:color w:val="000000"/>
          <w:kern w:val="0"/>
          <w:sz w:val="24"/>
          <w:szCs w:val="24"/>
          <w:highlight w:val="none"/>
        </w:rPr>
        <w:t>10:00</w:t>
      </w:r>
    </w:p>
    <w:p>
      <w:pPr>
        <w:adjustRightInd w:val="0"/>
        <w:snapToGrid w:val="0"/>
        <w:spacing w:line="500" w:lineRule="exact"/>
        <w:rPr>
          <w:rFonts w:ascii="仿宋_GB2312" w:eastAsia="仿宋_GB2312"/>
          <w:color w:val="000000"/>
          <w:kern w:val="0"/>
          <w:sz w:val="24"/>
          <w:szCs w:val="24"/>
          <w:highlight w:val="none"/>
        </w:rPr>
      </w:pPr>
      <w:r>
        <w:rPr>
          <w:rFonts w:hint="eastAsia" w:ascii="仿宋_GB2312" w:hAnsi="宋体" w:eastAsia="仿宋_GB2312" w:cs="宋体"/>
          <w:b/>
          <w:bCs/>
          <w:color w:val="000000"/>
          <w:kern w:val="0"/>
          <w:sz w:val="24"/>
          <w:szCs w:val="24"/>
          <w:highlight w:val="none"/>
        </w:rPr>
        <w:t>七、投标地点：</w:t>
      </w:r>
      <w:r>
        <w:rPr>
          <w:rFonts w:hint="eastAsia" w:ascii="仿宋_GB2312" w:hAnsi="宋体" w:eastAsia="仿宋_GB2312" w:cs="宋体"/>
          <w:color w:val="000000"/>
          <w:kern w:val="0"/>
          <w:sz w:val="24"/>
          <w:szCs w:val="24"/>
          <w:highlight w:val="none"/>
        </w:rPr>
        <w:t>杭州市江干区凤起东路888号（运河东路200号）四楼杭州市公共资源交易中心江干分中心404室</w:t>
      </w:r>
    </w:p>
    <w:p>
      <w:pPr>
        <w:adjustRightInd w:val="0"/>
        <w:snapToGrid w:val="0"/>
        <w:spacing w:line="500" w:lineRule="exact"/>
        <w:rPr>
          <w:rFonts w:ascii="仿宋_GB2312" w:hAnsi="宋体" w:eastAsia="仿宋_GB2312" w:cs="宋体"/>
          <w:color w:val="000000"/>
          <w:kern w:val="0"/>
          <w:sz w:val="24"/>
          <w:szCs w:val="24"/>
          <w:highlight w:val="none"/>
        </w:rPr>
      </w:pPr>
      <w:r>
        <w:rPr>
          <w:rFonts w:hint="eastAsia" w:ascii="仿宋_GB2312" w:hAnsi="宋体" w:eastAsia="仿宋_GB2312" w:cs="宋体"/>
          <w:b/>
          <w:bCs/>
          <w:color w:val="000000"/>
          <w:kern w:val="0"/>
          <w:sz w:val="24"/>
          <w:szCs w:val="24"/>
          <w:highlight w:val="none"/>
        </w:rPr>
        <w:t>八、开标时间：</w:t>
      </w:r>
      <w:r>
        <w:rPr>
          <w:rFonts w:hint="eastAsia" w:ascii="仿宋_GB2312" w:hAnsi="宋体" w:eastAsia="仿宋_GB2312" w:cs="宋体"/>
          <w:color w:val="000000"/>
          <w:kern w:val="0"/>
          <w:sz w:val="24"/>
          <w:szCs w:val="24"/>
          <w:highlight w:val="none"/>
        </w:rPr>
        <w:t>2019年</w:t>
      </w:r>
      <w:r>
        <w:rPr>
          <w:rFonts w:hint="eastAsia" w:ascii="仿宋_GB2312" w:hAnsi="宋体" w:eastAsia="仿宋_GB2312" w:cs="宋体"/>
          <w:color w:val="000000"/>
          <w:kern w:val="0"/>
          <w:sz w:val="24"/>
          <w:szCs w:val="24"/>
          <w:highlight w:val="none"/>
          <w:lang w:eastAsia="zh-CN"/>
        </w:rPr>
        <w:t>8月2日</w:t>
      </w:r>
      <w:r>
        <w:rPr>
          <w:rFonts w:hint="eastAsia" w:ascii="仿宋_GB2312" w:hAnsi="宋体" w:eastAsia="仿宋_GB2312" w:cs="宋体"/>
          <w:color w:val="000000"/>
          <w:kern w:val="0"/>
          <w:sz w:val="24"/>
          <w:szCs w:val="24"/>
          <w:highlight w:val="none"/>
        </w:rPr>
        <w:t>10:00</w:t>
      </w:r>
    </w:p>
    <w:p>
      <w:pPr>
        <w:adjustRightInd w:val="0"/>
        <w:snapToGrid w:val="0"/>
        <w:spacing w:line="500" w:lineRule="exact"/>
        <w:rPr>
          <w:rFonts w:ascii="仿宋_GB2312" w:eastAsia="仿宋_GB2312"/>
          <w:color w:val="000000"/>
          <w:kern w:val="0"/>
          <w:sz w:val="24"/>
          <w:szCs w:val="24"/>
          <w:highlight w:val="none"/>
        </w:rPr>
      </w:pPr>
      <w:r>
        <w:rPr>
          <w:rFonts w:hint="eastAsia" w:ascii="仿宋_GB2312" w:hAnsi="宋体" w:eastAsia="仿宋_GB2312" w:cs="宋体"/>
          <w:b/>
          <w:bCs/>
          <w:color w:val="000000"/>
          <w:kern w:val="0"/>
          <w:sz w:val="24"/>
          <w:szCs w:val="24"/>
          <w:highlight w:val="none"/>
        </w:rPr>
        <w:t>九、开标地点</w:t>
      </w:r>
      <w:r>
        <w:rPr>
          <w:rFonts w:hint="eastAsia" w:ascii="仿宋_GB2312" w:hAnsi="宋体" w:eastAsia="仿宋_GB2312" w:cs="宋体"/>
          <w:color w:val="000000"/>
          <w:kern w:val="0"/>
          <w:sz w:val="24"/>
          <w:szCs w:val="24"/>
          <w:highlight w:val="none"/>
        </w:rPr>
        <w:t>：杭州市江干区凤起东路888号（运河东路200号）四楼杭州市公共资源交易中心江干分中心404室</w:t>
      </w:r>
    </w:p>
    <w:p>
      <w:pPr>
        <w:adjustRightInd w:val="0"/>
        <w:snapToGrid w:val="0"/>
        <w:spacing w:line="500" w:lineRule="exact"/>
        <w:rPr>
          <w:rFonts w:ascii="仿宋_GB2312" w:hAnsi="宋体" w:eastAsia="仿宋_GB2312" w:cs="宋体"/>
          <w:b/>
          <w:bCs/>
          <w:color w:val="000000"/>
          <w:kern w:val="0"/>
          <w:sz w:val="24"/>
          <w:szCs w:val="24"/>
          <w:highlight w:val="none"/>
        </w:rPr>
      </w:pPr>
      <w:r>
        <w:rPr>
          <w:rFonts w:hint="eastAsia" w:ascii="仿宋_GB2312" w:hAnsi="宋体" w:eastAsia="仿宋_GB2312" w:cs="宋体"/>
          <w:b/>
          <w:bCs/>
          <w:color w:val="000000"/>
          <w:kern w:val="0"/>
          <w:sz w:val="24"/>
          <w:szCs w:val="24"/>
          <w:highlight w:val="none"/>
        </w:rPr>
        <w:t>十、质疑和投诉：</w:t>
      </w:r>
      <w:bookmarkStart w:id="12" w:name="_GoBack"/>
      <w:bookmarkEnd w:id="12"/>
    </w:p>
    <w:p>
      <w:pPr>
        <w:adjustRightInd w:val="0"/>
        <w:snapToGrid w:val="0"/>
        <w:spacing w:line="500" w:lineRule="exact"/>
        <w:ind w:firstLine="480" w:firstLineChars="200"/>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报名成功的供应商认为采购文件使自己的权益受到损害的，可以自收到采购文件之日（发售截止日之后收到采购文件的，以发售截止日为准）或者采购文件公告期限届满之日（招标公告为公告发布后的第</w:t>
      </w:r>
      <w:r>
        <w:rPr>
          <w:rFonts w:ascii="仿宋_GB2312" w:hAnsi="宋体" w:eastAsia="仿宋_GB2312" w:cs="宋体"/>
          <w:color w:val="000000"/>
          <w:kern w:val="0"/>
          <w:sz w:val="24"/>
          <w:highlight w:val="none"/>
        </w:rPr>
        <w:t>6</w:t>
      </w:r>
      <w:r>
        <w:rPr>
          <w:rFonts w:hint="eastAsia" w:ascii="仿宋_GB2312" w:hAnsi="宋体" w:eastAsia="仿宋_GB2312" w:cs="宋体"/>
          <w:color w:val="000000"/>
          <w:kern w:val="0"/>
          <w:sz w:val="24"/>
          <w:highlight w:val="none"/>
        </w:rPr>
        <w:t>个工作日）起</w:t>
      </w:r>
      <w:r>
        <w:rPr>
          <w:rFonts w:ascii="仿宋_GB2312" w:hAnsi="宋体" w:eastAsia="仿宋_GB2312" w:cs="宋体"/>
          <w:color w:val="000000"/>
          <w:kern w:val="0"/>
          <w:sz w:val="24"/>
          <w:highlight w:val="none"/>
        </w:rPr>
        <w:t>7</w:t>
      </w:r>
      <w:r>
        <w:rPr>
          <w:rFonts w:hint="eastAsia" w:ascii="仿宋_GB2312" w:hAnsi="宋体" w:eastAsia="仿宋_GB2312" w:cs="宋体"/>
          <w:color w:val="000000"/>
          <w:kern w:val="0"/>
          <w:sz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500" w:lineRule="exact"/>
        <w:rPr>
          <w:rFonts w:ascii="仿宋_GB2312" w:eastAsia="仿宋_GB2312"/>
          <w:color w:val="000000"/>
          <w:kern w:val="0"/>
          <w:sz w:val="24"/>
          <w:szCs w:val="24"/>
          <w:highlight w:val="none"/>
        </w:rPr>
      </w:pPr>
      <w:r>
        <w:rPr>
          <w:rFonts w:hint="eastAsia" w:ascii="仿宋_GB2312" w:hAnsi="宋体" w:eastAsia="仿宋_GB2312" w:cs="宋体"/>
          <w:b/>
          <w:bCs/>
          <w:color w:val="000000"/>
          <w:kern w:val="0"/>
          <w:sz w:val="24"/>
          <w:szCs w:val="24"/>
          <w:highlight w:val="none"/>
        </w:rPr>
        <w:t>十一、联系方式</w:t>
      </w:r>
    </w:p>
    <w:p>
      <w:pPr>
        <w:adjustRightInd w:val="0"/>
        <w:snapToGrid w:val="0"/>
        <w:spacing w:line="500" w:lineRule="exact"/>
        <w:rPr>
          <w:rFonts w:ascii="仿宋_GB2312" w:eastAsia="仿宋_GB2312"/>
          <w:color w:val="000000"/>
          <w:kern w:val="0"/>
          <w:sz w:val="24"/>
          <w:szCs w:val="24"/>
          <w:highlight w:val="none"/>
        </w:rPr>
      </w:pPr>
      <w:r>
        <w:rPr>
          <w:rFonts w:hint="eastAsia" w:ascii="仿宋_GB2312" w:hAnsi="宋体" w:eastAsia="仿宋_GB2312" w:cs="宋体"/>
          <w:color w:val="000000"/>
          <w:kern w:val="0"/>
          <w:sz w:val="24"/>
          <w:szCs w:val="24"/>
          <w:highlight w:val="none"/>
        </w:rPr>
        <w:t>采购代理机构名称：杭州市公共资源交易中心江干分中心</w:t>
      </w:r>
    </w:p>
    <w:p>
      <w:pPr>
        <w:adjustRightInd w:val="0"/>
        <w:snapToGrid w:val="0"/>
        <w:spacing w:line="500" w:lineRule="exact"/>
        <w:rPr>
          <w:rFonts w:ascii="仿宋_GB2312" w:eastAsia="仿宋_GB2312"/>
          <w:color w:val="000000"/>
          <w:kern w:val="0"/>
          <w:sz w:val="24"/>
          <w:szCs w:val="24"/>
          <w:highlight w:val="none"/>
        </w:rPr>
      </w:pPr>
      <w:r>
        <w:rPr>
          <w:rFonts w:hint="eastAsia" w:ascii="仿宋_GB2312" w:hAnsi="宋体" w:eastAsia="仿宋_GB2312" w:cs="宋体"/>
          <w:color w:val="000000"/>
          <w:kern w:val="0"/>
          <w:sz w:val="24"/>
          <w:szCs w:val="24"/>
          <w:highlight w:val="none"/>
        </w:rPr>
        <w:t xml:space="preserve">地点：杭州市江干区凤起东路888号（运河东路200号）四楼杭州市公共资源交易中心江干分中心409室 </w:t>
      </w:r>
    </w:p>
    <w:p>
      <w:pPr>
        <w:adjustRightInd w:val="0"/>
        <w:snapToGrid w:val="0"/>
        <w:spacing w:line="500" w:lineRule="exact"/>
        <w:rPr>
          <w:rFonts w:ascii="仿宋_GB2312" w:eastAsia="仿宋_GB2312"/>
          <w:color w:val="000000"/>
          <w:kern w:val="0"/>
          <w:sz w:val="24"/>
          <w:szCs w:val="24"/>
          <w:highlight w:val="none"/>
        </w:rPr>
      </w:pPr>
      <w:r>
        <w:rPr>
          <w:rFonts w:hint="eastAsia" w:ascii="仿宋_GB2312" w:hAnsi="宋体" w:eastAsia="仿宋_GB2312" w:cs="宋体"/>
          <w:color w:val="000000"/>
          <w:kern w:val="0"/>
          <w:sz w:val="24"/>
          <w:szCs w:val="24"/>
          <w:highlight w:val="none"/>
        </w:rPr>
        <w:t>联 系 人：俞工联系电话：</w:t>
      </w:r>
      <w:bookmarkStart w:id="3" w:name="B42_联系电话"/>
      <w:r>
        <w:rPr>
          <w:rFonts w:hint="eastAsia" w:ascii="仿宋_GB2312" w:hAnsi="宋体" w:eastAsia="仿宋_GB2312" w:cs="宋体"/>
          <w:color w:val="000000"/>
          <w:kern w:val="0"/>
          <w:sz w:val="24"/>
          <w:szCs w:val="24"/>
          <w:highlight w:val="none"/>
        </w:rPr>
        <w:t>0571—</w:t>
      </w:r>
      <w:bookmarkEnd w:id="3"/>
      <w:r>
        <w:rPr>
          <w:rFonts w:hint="eastAsia" w:ascii="仿宋_GB2312" w:hAnsi="宋体" w:eastAsia="仿宋_GB2312" w:cs="宋体"/>
          <w:color w:val="000000"/>
          <w:kern w:val="0"/>
          <w:sz w:val="24"/>
          <w:szCs w:val="24"/>
          <w:highlight w:val="none"/>
        </w:rPr>
        <w:t>87654833传 真：</w:t>
      </w:r>
      <w:bookmarkStart w:id="4" w:name="B43_传真"/>
      <w:r>
        <w:rPr>
          <w:rFonts w:hint="eastAsia" w:ascii="仿宋_GB2312" w:hAnsi="宋体" w:eastAsia="仿宋_GB2312" w:cs="宋体"/>
          <w:color w:val="000000"/>
          <w:kern w:val="0"/>
          <w:sz w:val="24"/>
          <w:szCs w:val="24"/>
          <w:highlight w:val="none"/>
        </w:rPr>
        <w:t>0571—87654</w:t>
      </w:r>
      <w:bookmarkEnd w:id="4"/>
      <w:r>
        <w:rPr>
          <w:rFonts w:hint="eastAsia" w:ascii="仿宋_GB2312" w:hAnsi="宋体" w:eastAsia="仿宋_GB2312" w:cs="宋体"/>
          <w:color w:val="000000"/>
          <w:kern w:val="0"/>
          <w:sz w:val="24"/>
          <w:szCs w:val="24"/>
          <w:highlight w:val="none"/>
        </w:rPr>
        <w:t>242</w:t>
      </w:r>
    </w:p>
    <w:p>
      <w:pPr>
        <w:adjustRightInd w:val="0"/>
        <w:snapToGrid w:val="0"/>
        <w:spacing w:line="500" w:lineRule="exact"/>
        <w:rPr>
          <w:rFonts w:ascii="仿宋_GB2312" w:hAnsi="宋体" w:eastAsia="仿宋_GB2312" w:cs="宋体"/>
          <w:b/>
          <w:color w:val="000000"/>
          <w:kern w:val="0"/>
          <w:sz w:val="24"/>
          <w:szCs w:val="24"/>
          <w:highlight w:val="none"/>
        </w:rPr>
      </w:pPr>
      <w:r>
        <w:rPr>
          <w:rFonts w:hint="eastAsia" w:ascii="仿宋_GB2312" w:hAnsi="宋体" w:eastAsia="仿宋_GB2312" w:cs="宋体"/>
          <w:b/>
          <w:color w:val="000000"/>
          <w:kern w:val="0"/>
          <w:sz w:val="24"/>
          <w:szCs w:val="24"/>
          <w:highlight w:val="none"/>
        </w:rPr>
        <w:t>本公告相关信息在以下网站进行发布：</w:t>
      </w:r>
    </w:p>
    <w:p>
      <w:pPr>
        <w:adjustRightInd w:val="0"/>
        <w:snapToGrid w:val="0"/>
        <w:spacing w:line="500" w:lineRule="exac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浙江政府采购网（</w:t>
      </w:r>
      <w:r>
        <w:rPr>
          <w:highlight w:val="none"/>
        </w:rPr>
        <w:fldChar w:fldCharType="begin"/>
      </w:r>
      <w:r>
        <w:rPr>
          <w:highlight w:val="none"/>
        </w:rPr>
        <w:instrText xml:space="preserve"> HYPERLINK "http://www.zjzfcg.gov.cn" </w:instrText>
      </w:r>
      <w:r>
        <w:rPr>
          <w:highlight w:val="none"/>
        </w:rPr>
        <w:fldChar w:fldCharType="separate"/>
      </w:r>
      <w:r>
        <w:rPr>
          <w:rStyle w:val="46"/>
          <w:rFonts w:hint="eastAsia" w:ascii="仿宋_GB2312" w:hAnsi="宋体" w:eastAsia="仿宋_GB2312" w:cs="宋体"/>
          <w:b/>
          <w:kern w:val="0"/>
          <w:sz w:val="24"/>
          <w:highlight w:val="none"/>
        </w:rPr>
        <w:t>http://www.zjzfc</w:t>
      </w:r>
      <w:bookmarkStart w:id="5" w:name="_Hlt440440973"/>
      <w:bookmarkStart w:id="6" w:name="_Hlt440440974"/>
      <w:r>
        <w:rPr>
          <w:rStyle w:val="46"/>
          <w:rFonts w:hint="eastAsia" w:ascii="仿宋_GB2312" w:hAnsi="宋体" w:eastAsia="仿宋_GB2312" w:cs="宋体"/>
          <w:b/>
          <w:kern w:val="0"/>
          <w:sz w:val="24"/>
          <w:highlight w:val="none"/>
        </w:rPr>
        <w:t>g</w:t>
      </w:r>
      <w:bookmarkEnd w:id="5"/>
      <w:bookmarkEnd w:id="6"/>
      <w:r>
        <w:rPr>
          <w:rStyle w:val="46"/>
          <w:rFonts w:hint="eastAsia" w:ascii="仿宋_GB2312" w:hAnsi="宋体" w:eastAsia="仿宋_GB2312" w:cs="宋体"/>
          <w:b/>
          <w:kern w:val="0"/>
          <w:sz w:val="24"/>
          <w:highlight w:val="none"/>
        </w:rPr>
        <w:t>.gov.cn</w:t>
      </w:r>
      <w:r>
        <w:rPr>
          <w:rStyle w:val="46"/>
          <w:rFonts w:hint="eastAsia" w:ascii="仿宋_GB2312" w:hAnsi="宋体" w:eastAsia="仿宋_GB2312" w:cs="宋体"/>
          <w:b/>
          <w:kern w:val="0"/>
          <w:sz w:val="24"/>
          <w:highlight w:val="none"/>
        </w:rPr>
        <w:fldChar w:fldCharType="end"/>
      </w:r>
      <w:r>
        <w:rPr>
          <w:rFonts w:ascii="仿宋_GB2312" w:hAnsi="宋体" w:eastAsia="仿宋_GB2312" w:cs="宋体"/>
          <w:color w:val="000000"/>
          <w:kern w:val="0"/>
          <w:sz w:val="24"/>
          <w:szCs w:val="24"/>
          <w:highlight w:val="none"/>
        </w:rPr>
        <w:t>）</w:t>
      </w:r>
    </w:p>
    <w:p>
      <w:pPr>
        <w:adjustRightInd w:val="0"/>
        <w:snapToGrid w:val="0"/>
        <w:spacing w:line="500" w:lineRule="exac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杭州市公共资源交易网（</w:t>
      </w:r>
      <w:r>
        <w:rPr>
          <w:rStyle w:val="46"/>
          <w:rFonts w:ascii="仿宋_GB2312" w:hAnsi="宋体" w:cs="宋体"/>
          <w:b/>
          <w:highlight w:val="none"/>
        </w:rPr>
        <w:t>http://www.hzctc.cn/</w:t>
      </w:r>
      <w:r>
        <w:rPr>
          <w:rFonts w:hint="eastAsia" w:ascii="仿宋_GB2312" w:hAnsi="宋体" w:eastAsia="仿宋_GB2312" w:cs="宋体"/>
          <w:color w:val="000000"/>
          <w:kern w:val="0"/>
          <w:sz w:val="24"/>
          <w:szCs w:val="24"/>
          <w:highlight w:val="none"/>
        </w:rPr>
        <w:t>）</w:t>
      </w:r>
    </w:p>
    <w:p>
      <w:pPr>
        <w:spacing w:line="360" w:lineRule="auto"/>
        <w:jc w:val="center"/>
        <w:rPr>
          <w:rFonts w:hint="eastAsia" w:ascii="华文中宋" w:hAnsi="华文中宋" w:eastAsia="华文中宋" w:cs="黑体"/>
          <w:b/>
          <w:bCs/>
          <w:color w:val="000000"/>
          <w:kern w:val="2"/>
          <w:sz w:val="36"/>
          <w:szCs w:val="36"/>
          <w:highlight w:val="none"/>
          <w:lang w:val="en-US" w:eastAsia="zh-CN" w:bidi="ar-SA"/>
        </w:rPr>
      </w:pPr>
      <w:r>
        <w:rPr>
          <w:rFonts w:ascii="仿宋_GB2312" w:hAnsi="宋体" w:eastAsia="仿宋_GB2312" w:cs="宋体"/>
          <w:color w:val="000000"/>
          <w:kern w:val="0"/>
          <w:sz w:val="24"/>
          <w:szCs w:val="24"/>
          <w:highlight w:val="none"/>
        </w:rPr>
        <w:br w:type="page"/>
      </w:r>
      <w:r>
        <w:rPr>
          <w:rFonts w:hint="eastAsia" w:ascii="华文中宋" w:hAnsi="华文中宋" w:eastAsia="华文中宋" w:cs="黑体"/>
          <w:b/>
          <w:bCs/>
          <w:color w:val="000000"/>
          <w:kern w:val="2"/>
          <w:sz w:val="36"/>
          <w:szCs w:val="36"/>
          <w:highlight w:val="none"/>
          <w:lang w:val="en-US" w:eastAsia="zh-CN" w:bidi="ar-SA"/>
        </w:rPr>
        <w:t>第二部分  投标须知前附表及投标须知</w:t>
      </w:r>
    </w:p>
    <w:p>
      <w:pPr>
        <w:adjustRightInd w:val="0"/>
        <w:snapToGrid w:val="0"/>
        <w:spacing w:line="560" w:lineRule="exact"/>
        <w:jc w:val="center"/>
        <w:rPr>
          <w:rFonts w:ascii="仿宋_GB2312" w:eastAsia="仿宋_GB2312"/>
          <w:b/>
          <w:bCs/>
          <w:color w:val="000000"/>
          <w:sz w:val="32"/>
          <w:szCs w:val="32"/>
          <w:highlight w:val="none"/>
        </w:rPr>
      </w:pPr>
      <w:r>
        <w:rPr>
          <w:rFonts w:hint="eastAsia" w:ascii="仿宋_GB2312" w:hAnsi="宋体" w:eastAsia="仿宋_GB2312" w:cs="宋体"/>
          <w:b/>
          <w:bCs/>
          <w:color w:val="000000"/>
          <w:sz w:val="32"/>
          <w:szCs w:val="32"/>
          <w:highlight w:val="none"/>
        </w:rPr>
        <w:t>一、投标须知前附表</w:t>
      </w:r>
    </w:p>
    <w:tbl>
      <w:tblPr>
        <w:tblStyle w:val="49"/>
        <w:tblW w:w="9230" w:type="dxa"/>
        <w:jc w:val="center"/>
        <w:tblCellSpacing w:w="7" w:type="dxa"/>
        <w:tblInd w:w="0" w:type="dxa"/>
        <w:tblLayout w:type="fixed"/>
        <w:tblCellMar>
          <w:top w:w="0" w:type="dxa"/>
          <w:left w:w="108" w:type="dxa"/>
          <w:bottom w:w="0" w:type="dxa"/>
          <w:right w:w="108" w:type="dxa"/>
        </w:tblCellMar>
      </w:tblPr>
      <w:tblGrid>
        <w:gridCol w:w="520"/>
        <w:gridCol w:w="1405"/>
        <w:gridCol w:w="4386"/>
        <w:gridCol w:w="1134"/>
        <w:gridCol w:w="1785"/>
      </w:tblGrid>
      <w:tr>
        <w:tblPrEx>
          <w:tblLayout w:type="fixed"/>
          <w:tblCellMar>
            <w:top w:w="0" w:type="dxa"/>
            <w:left w:w="108" w:type="dxa"/>
            <w:bottom w:w="0" w:type="dxa"/>
            <w:right w:w="108" w:type="dxa"/>
          </w:tblCellMar>
        </w:tblPrEx>
        <w:trPr>
          <w:trHeight w:val="475" w:hRule="atLeast"/>
          <w:tblCellSpacing w:w="7" w:type="dxa"/>
          <w:jc w:val="center"/>
        </w:trPr>
        <w:tc>
          <w:tcPr>
            <w:tcW w:w="499" w:type="dxa"/>
            <w:tcBorders>
              <w:top w:val="single" w:color="auto" w:sz="4" w:space="0"/>
              <w:left w:val="single" w:color="auto" w:sz="4" w:space="0"/>
            </w:tcBorders>
            <w:shd w:val="clear" w:color="auto" w:fill="E0E0E0"/>
            <w:tcMar>
              <w:top w:w="15" w:type="dxa"/>
              <w:left w:w="15" w:type="dxa"/>
              <w:bottom w:w="15" w:type="dxa"/>
              <w:right w:w="15" w:type="dxa"/>
            </w:tcMar>
            <w:vAlign w:val="center"/>
          </w:tcPr>
          <w:p>
            <w:pPr>
              <w:adjustRightInd w:val="0"/>
              <w:snapToGrid w:val="0"/>
              <w:spacing w:line="276" w:lineRule="auto"/>
              <w:jc w:val="center"/>
              <w:rPr>
                <w:rFonts w:ascii="仿宋_GB2312" w:eastAsia="仿宋_GB2312"/>
                <w:b/>
                <w:bCs/>
                <w:sz w:val="24"/>
                <w:szCs w:val="24"/>
                <w:highlight w:val="none"/>
              </w:rPr>
            </w:pPr>
            <w:r>
              <w:rPr>
                <w:rFonts w:hint="eastAsia" w:ascii="仿宋_GB2312" w:hAnsi="宋体" w:eastAsia="仿宋_GB2312" w:cs="宋体"/>
                <w:b/>
                <w:bCs/>
                <w:sz w:val="22"/>
                <w:szCs w:val="24"/>
                <w:highlight w:val="none"/>
              </w:rPr>
              <w:t>序号</w:t>
            </w:r>
          </w:p>
        </w:tc>
        <w:tc>
          <w:tcPr>
            <w:tcW w:w="8689" w:type="dxa"/>
            <w:gridSpan w:val="4"/>
            <w:tcBorders>
              <w:top w:val="single" w:color="auto" w:sz="4" w:space="0"/>
              <w:left w:val="single" w:color="auto" w:sz="4" w:space="0"/>
              <w:right w:val="single" w:color="auto" w:sz="4" w:space="0"/>
            </w:tcBorders>
            <w:shd w:val="clear" w:color="auto" w:fill="E0E0E0"/>
            <w:tcMar>
              <w:top w:w="15" w:type="dxa"/>
              <w:left w:w="15" w:type="dxa"/>
              <w:bottom w:w="15" w:type="dxa"/>
              <w:right w:w="15" w:type="dxa"/>
            </w:tcMar>
            <w:vAlign w:val="center"/>
          </w:tcPr>
          <w:p>
            <w:pPr>
              <w:adjustRightInd w:val="0"/>
              <w:snapToGrid w:val="0"/>
              <w:spacing w:line="276" w:lineRule="auto"/>
              <w:jc w:val="center"/>
              <w:rPr>
                <w:rFonts w:ascii="仿宋_GB2312" w:eastAsia="仿宋_GB2312"/>
                <w:b/>
                <w:bCs/>
                <w:sz w:val="24"/>
                <w:szCs w:val="24"/>
                <w:highlight w:val="none"/>
              </w:rPr>
            </w:pPr>
            <w:r>
              <w:rPr>
                <w:rFonts w:hint="eastAsia" w:ascii="仿宋_GB2312" w:hAnsi="宋体" w:eastAsia="仿宋_GB2312" w:cs="宋体"/>
                <w:b/>
                <w:bCs/>
                <w:sz w:val="24"/>
                <w:szCs w:val="24"/>
                <w:highlight w:val="none"/>
              </w:rPr>
              <w:t>内容说明及要求</w:t>
            </w:r>
          </w:p>
        </w:tc>
      </w:tr>
      <w:tr>
        <w:tblPrEx>
          <w:tblLayout w:type="fixed"/>
          <w:tblCellMar>
            <w:top w:w="0" w:type="dxa"/>
            <w:left w:w="108" w:type="dxa"/>
            <w:bottom w:w="0" w:type="dxa"/>
            <w:right w:w="108" w:type="dxa"/>
          </w:tblCellMar>
        </w:tblPrEx>
        <w:trPr>
          <w:trHeight w:val="448" w:hRule="atLeast"/>
          <w:tblCellSpacing w:w="7" w:type="dxa"/>
          <w:jc w:val="center"/>
        </w:trPr>
        <w:tc>
          <w:tcPr>
            <w:tcW w:w="499" w:type="dxa"/>
            <w:tcBorders>
              <w:top w:val="single" w:color="auto" w:sz="4" w:space="0"/>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jc w:val="cente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1</w:t>
            </w:r>
          </w:p>
        </w:tc>
        <w:tc>
          <w:tcPr>
            <w:tcW w:w="1391" w:type="dxa"/>
            <w:tcBorders>
              <w:top w:val="single" w:color="auto" w:sz="4" w:space="0"/>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jc w:val="cente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项目名称</w:t>
            </w:r>
          </w:p>
        </w:tc>
        <w:tc>
          <w:tcPr>
            <w:tcW w:w="43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杭州市江干区全科医生技能培训中心建设项目</w:t>
            </w:r>
          </w:p>
        </w:tc>
        <w:tc>
          <w:tcPr>
            <w:tcW w:w="1120" w:type="dxa"/>
            <w:tcBorders>
              <w:top w:val="single" w:color="auto" w:sz="4" w:space="0"/>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jc w:val="center"/>
              <w:rPr>
                <w:rFonts w:ascii="仿宋_GB2312" w:hAnsi="宋体" w:eastAsia="仿宋_GB2312" w:cs="宋体"/>
                <w:sz w:val="24"/>
                <w:szCs w:val="24"/>
                <w:highlight w:val="none"/>
              </w:rPr>
            </w:pPr>
            <w:r>
              <w:rPr>
                <w:rFonts w:hint="eastAsia" w:ascii="仿宋_GB2312" w:hAnsi="宋体" w:eastAsia="仿宋_GB2312" w:cs="宋体"/>
                <w:b/>
                <w:sz w:val="24"/>
                <w:szCs w:val="24"/>
                <w:highlight w:val="none"/>
              </w:rPr>
              <w:t>招标编号</w:t>
            </w:r>
          </w:p>
        </w:tc>
        <w:tc>
          <w:tcPr>
            <w:tcW w:w="17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rPr>
                <w:rFonts w:ascii="仿宋_GB2312" w:hAnsi="宋体" w:eastAsia="仿宋_GB2312" w:cs="宋体"/>
                <w:szCs w:val="24"/>
                <w:highlight w:val="none"/>
              </w:rPr>
            </w:pPr>
            <w:r>
              <w:rPr>
                <w:rFonts w:hint="eastAsia" w:ascii="仿宋_GB2312" w:hAnsi="宋体" w:eastAsia="仿宋_GB2312" w:cs="宋体"/>
                <w:szCs w:val="24"/>
                <w:highlight w:val="none"/>
              </w:rPr>
              <w:t>JGCG2019-GK-16号</w:t>
            </w:r>
          </w:p>
        </w:tc>
      </w:tr>
      <w:tr>
        <w:tblPrEx>
          <w:tblLayout w:type="fixed"/>
          <w:tblCellMar>
            <w:top w:w="0" w:type="dxa"/>
            <w:left w:w="108" w:type="dxa"/>
            <w:bottom w:w="0" w:type="dxa"/>
            <w:right w:w="108" w:type="dxa"/>
          </w:tblCellMar>
        </w:tblPrEx>
        <w:trPr>
          <w:trHeight w:val="356" w:hRule="atLeast"/>
          <w:tblCellSpacing w:w="7" w:type="dxa"/>
          <w:jc w:val="center"/>
        </w:trPr>
        <w:tc>
          <w:tcPr>
            <w:tcW w:w="499" w:type="dxa"/>
            <w:tcBorders>
              <w:top w:val="single" w:color="auto" w:sz="4" w:space="0"/>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jc w:val="cente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2</w:t>
            </w:r>
          </w:p>
        </w:tc>
        <w:tc>
          <w:tcPr>
            <w:tcW w:w="1391" w:type="dxa"/>
            <w:tcBorders>
              <w:top w:val="single" w:color="auto" w:sz="4" w:space="0"/>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jc w:val="cente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采购人名称</w:t>
            </w:r>
          </w:p>
        </w:tc>
        <w:tc>
          <w:tcPr>
            <w:tcW w:w="728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杭州市江干区四季青街道社区卫生服务中心</w:t>
            </w:r>
          </w:p>
        </w:tc>
      </w:tr>
      <w:tr>
        <w:tblPrEx>
          <w:tblLayout w:type="fixed"/>
          <w:tblCellMar>
            <w:top w:w="0" w:type="dxa"/>
            <w:left w:w="108" w:type="dxa"/>
            <w:bottom w:w="0" w:type="dxa"/>
            <w:right w:w="108" w:type="dxa"/>
          </w:tblCellMar>
        </w:tblPrEx>
        <w:trPr>
          <w:trHeight w:val="375" w:hRule="atLeast"/>
          <w:tblCellSpacing w:w="7" w:type="dxa"/>
          <w:jc w:val="center"/>
        </w:trPr>
        <w:tc>
          <w:tcPr>
            <w:tcW w:w="499" w:type="dxa"/>
            <w:tcBorders>
              <w:top w:val="single" w:color="auto" w:sz="4" w:space="0"/>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adjustRightInd w:val="0"/>
              <w:snapToGrid w:val="0"/>
              <w:spacing w:line="560" w:lineRule="exact"/>
              <w:jc w:val="center"/>
              <w:rPr>
                <w:rFonts w:ascii="仿宋_GB2312" w:eastAsia="仿宋_GB2312"/>
                <w:b/>
                <w:bCs/>
                <w:sz w:val="24"/>
                <w:szCs w:val="24"/>
                <w:highlight w:val="none"/>
              </w:rPr>
            </w:pPr>
            <w:r>
              <w:rPr>
                <w:rFonts w:hint="eastAsia" w:ascii="仿宋_GB2312" w:hAnsi="宋体" w:eastAsia="仿宋_GB2312" w:cs="宋体"/>
                <w:b/>
                <w:bCs/>
                <w:sz w:val="24"/>
                <w:szCs w:val="24"/>
                <w:highlight w:val="none"/>
              </w:rPr>
              <w:t>3</w:t>
            </w:r>
          </w:p>
        </w:tc>
        <w:tc>
          <w:tcPr>
            <w:tcW w:w="1391" w:type="dxa"/>
            <w:tcBorders>
              <w:top w:val="single" w:color="auto" w:sz="4" w:space="0"/>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adjustRightInd w:val="0"/>
              <w:snapToGrid w:val="0"/>
              <w:spacing w:line="560" w:lineRule="exact"/>
              <w:jc w:val="center"/>
              <w:rPr>
                <w:rFonts w:ascii="仿宋_GB2312" w:eastAsia="仿宋_GB2312"/>
                <w:b/>
                <w:bCs/>
                <w:sz w:val="24"/>
                <w:szCs w:val="24"/>
                <w:highlight w:val="none"/>
              </w:rPr>
            </w:pPr>
            <w:r>
              <w:rPr>
                <w:rFonts w:hint="eastAsia" w:ascii="仿宋_GB2312" w:hAnsi="宋体" w:eastAsia="仿宋_GB2312" w:cs="宋体"/>
                <w:b/>
                <w:bCs/>
                <w:sz w:val="24"/>
                <w:szCs w:val="24"/>
                <w:highlight w:val="none"/>
              </w:rPr>
              <w:t>采购内容</w:t>
            </w:r>
          </w:p>
        </w:tc>
        <w:tc>
          <w:tcPr>
            <w:tcW w:w="728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spacing w:line="276" w:lineRule="auto"/>
              <w:rPr>
                <w:rFonts w:ascii="仿宋_GB2312" w:eastAsia="仿宋_GB2312"/>
                <w:sz w:val="24"/>
                <w:szCs w:val="24"/>
                <w:highlight w:val="none"/>
              </w:rPr>
            </w:pPr>
            <w:r>
              <w:rPr>
                <w:rFonts w:hint="eastAsia" w:ascii="仿宋_GB2312" w:hAnsi="宋体" w:eastAsia="仿宋_GB2312" w:cs="宋体"/>
                <w:sz w:val="24"/>
                <w:szCs w:val="24"/>
                <w:highlight w:val="none"/>
              </w:rPr>
              <w:t>杭州市江干区全科医生技能培训中心建设项目（具体技术参数及要求见招标文件第三部分提供的招标需求）</w:t>
            </w:r>
          </w:p>
        </w:tc>
      </w:tr>
      <w:tr>
        <w:tblPrEx>
          <w:tblLayout w:type="fixed"/>
          <w:tblCellMar>
            <w:top w:w="0" w:type="dxa"/>
            <w:left w:w="108" w:type="dxa"/>
            <w:bottom w:w="0" w:type="dxa"/>
            <w:right w:w="108" w:type="dxa"/>
          </w:tblCellMar>
        </w:tblPrEx>
        <w:trPr>
          <w:trHeight w:val="1517" w:hRule="atLeast"/>
          <w:tblCellSpacing w:w="7" w:type="dxa"/>
          <w:jc w:val="center"/>
        </w:trPr>
        <w:tc>
          <w:tcPr>
            <w:tcW w:w="499" w:type="dxa"/>
            <w:tcBorders>
              <w:top w:val="single" w:color="auto" w:sz="4" w:space="0"/>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adjustRightInd w:val="0"/>
              <w:snapToGrid w:val="0"/>
              <w:spacing w:line="560" w:lineRule="exact"/>
              <w:jc w:val="center"/>
              <w:rPr>
                <w:rFonts w:ascii="仿宋_GB2312" w:eastAsia="仿宋_GB2312"/>
                <w:b/>
                <w:bCs/>
                <w:sz w:val="24"/>
                <w:szCs w:val="24"/>
                <w:highlight w:val="none"/>
              </w:rPr>
            </w:pPr>
            <w:r>
              <w:rPr>
                <w:rFonts w:hint="eastAsia" w:ascii="仿宋_GB2312" w:hAnsi="宋体" w:eastAsia="仿宋_GB2312" w:cs="宋体"/>
                <w:b/>
                <w:bCs/>
                <w:sz w:val="24"/>
                <w:szCs w:val="24"/>
                <w:highlight w:val="none"/>
              </w:rPr>
              <w:t>4</w:t>
            </w:r>
          </w:p>
        </w:tc>
        <w:tc>
          <w:tcPr>
            <w:tcW w:w="1391" w:type="dxa"/>
            <w:tcBorders>
              <w:top w:val="single" w:color="auto" w:sz="4" w:space="0"/>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adjustRightInd w:val="0"/>
              <w:snapToGrid w:val="0"/>
              <w:spacing w:line="560" w:lineRule="exact"/>
              <w:jc w:val="center"/>
              <w:rPr>
                <w:rFonts w:ascii="仿宋_GB2312" w:eastAsia="仿宋_GB2312"/>
                <w:b/>
                <w:bCs/>
                <w:sz w:val="24"/>
                <w:szCs w:val="24"/>
                <w:highlight w:val="none"/>
              </w:rPr>
            </w:pPr>
            <w:r>
              <w:rPr>
                <w:rFonts w:hint="eastAsia" w:ascii="仿宋_GB2312" w:hAnsi="宋体" w:eastAsia="仿宋_GB2312" w:cs="宋体"/>
                <w:b/>
                <w:bCs/>
                <w:sz w:val="24"/>
                <w:szCs w:val="24"/>
                <w:highlight w:val="none"/>
              </w:rPr>
              <w:t>本项目预算</w:t>
            </w:r>
          </w:p>
        </w:tc>
        <w:tc>
          <w:tcPr>
            <w:tcW w:w="728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spacing w:line="276" w:lineRule="auto"/>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（1）本项目预算为102万元，供应商针对采购人的报价不得超过预算单价金额，否则投标无效。</w:t>
            </w:r>
          </w:p>
          <w:p>
            <w:pPr>
              <w:spacing w:line="276" w:lineRule="auto"/>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（2）报价是中标的一个重要因素，但最低报价不一定取得评审的最高分值, 也不是中标的唯一依据。</w:t>
            </w:r>
          </w:p>
        </w:tc>
      </w:tr>
      <w:tr>
        <w:tblPrEx>
          <w:tblLayout w:type="fixed"/>
          <w:tblCellMar>
            <w:top w:w="0" w:type="dxa"/>
            <w:left w:w="108" w:type="dxa"/>
            <w:bottom w:w="0" w:type="dxa"/>
            <w:right w:w="108" w:type="dxa"/>
          </w:tblCellMar>
        </w:tblPrEx>
        <w:trPr>
          <w:trHeight w:val="1164" w:hRule="atLeast"/>
          <w:tblCellSpacing w:w="7" w:type="dxa"/>
          <w:jc w:val="center"/>
        </w:trPr>
        <w:tc>
          <w:tcPr>
            <w:tcW w:w="499" w:type="dxa"/>
            <w:tcBorders>
              <w:top w:val="single" w:color="auto" w:sz="4" w:space="0"/>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adjustRightInd w:val="0"/>
              <w:snapToGrid w:val="0"/>
              <w:spacing w:line="560" w:lineRule="exact"/>
              <w:jc w:val="center"/>
              <w:rPr>
                <w:rFonts w:ascii="仿宋_GB2312" w:eastAsia="仿宋_GB2312"/>
                <w:b/>
                <w:bCs/>
                <w:sz w:val="24"/>
                <w:szCs w:val="24"/>
                <w:highlight w:val="none"/>
              </w:rPr>
            </w:pPr>
            <w:r>
              <w:rPr>
                <w:rFonts w:hint="eastAsia" w:ascii="仿宋_GB2312" w:hAnsi="宋体" w:eastAsia="仿宋_GB2312" w:cs="宋体"/>
                <w:b/>
                <w:bCs/>
                <w:sz w:val="24"/>
                <w:szCs w:val="24"/>
                <w:highlight w:val="none"/>
              </w:rPr>
              <w:t>5</w:t>
            </w:r>
          </w:p>
        </w:tc>
        <w:tc>
          <w:tcPr>
            <w:tcW w:w="1391" w:type="dxa"/>
            <w:tcBorders>
              <w:top w:val="single" w:color="auto" w:sz="4" w:space="0"/>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jc w:val="center"/>
              <w:rPr>
                <w:rFonts w:ascii="仿宋_GB2312" w:hAnsi="宋体" w:eastAsia="仿宋_GB2312" w:cs="宋体"/>
                <w:sz w:val="24"/>
                <w:szCs w:val="24"/>
                <w:highlight w:val="none"/>
              </w:rPr>
            </w:pPr>
            <w:r>
              <w:rPr>
                <w:rFonts w:hint="eastAsia" w:ascii="仿宋_GB2312" w:hAnsi="宋体" w:eastAsia="仿宋_GB2312" w:cs="宋体"/>
                <w:b/>
                <w:bCs/>
                <w:sz w:val="24"/>
                <w:szCs w:val="24"/>
                <w:highlight w:val="none"/>
              </w:rPr>
              <w:t>询疑</w:t>
            </w:r>
          </w:p>
        </w:tc>
        <w:tc>
          <w:tcPr>
            <w:tcW w:w="728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ind w:right="6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（1）询疑截止日：2019年</w:t>
            </w:r>
            <w:r>
              <w:rPr>
                <w:rFonts w:hint="eastAsia" w:ascii="仿宋_GB2312" w:hAnsi="宋体" w:eastAsia="仿宋_GB2312" w:cs="宋体"/>
                <w:sz w:val="24"/>
                <w:szCs w:val="24"/>
                <w:highlight w:val="none"/>
                <w:lang w:val="en-US" w:eastAsia="zh-CN"/>
              </w:rPr>
              <w:t>7</w:t>
            </w:r>
            <w:r>
              <w:rPr>
                <w:rFonts w:hint="eastAsia" w:ascii="仿宋_GB2312" w:hAnsi="宋体" w:eastAsia="仿宋_GB2312" w:cs="宋体"/>
                <w:sz w:val="24"/>
                <w:szCs w:val="24"/>
                <w:highlight w:val="none"/>
              </w:rPr>
              <w:t>月</w:t>
            </w:r>
            <w:r>
              <w:rPr>
                <w:rFonts w:hint="eastAsia" w:ascii="仿宋_GB2312" w:hAnsi="宋体" w:eastAsia="仿宋_GB2312" w:cs="宋体"/>
                <w:sz w:val="24"/>
                <w:szCs w:val="24"/>
                <w:highlight w:val="none"/>
                <w:lang w:val="en-US" w:eastAsia="zh-CN"/>
              </w:rPr>
              <w:t>19</w:t>
            </w:r>
            <w:r>
              <w:rPr>
                <w:rFonts w:hint="eastAsia" w:ascii="仿宋_GB2312" w:hAnsi="宋体" w:eastAsia="仿宋_GB2312" w:cs="宋体"/>
                <w:sz w:val="24"/>
                <w:szCs w:val="24"/>
                <w:highlight w:val="none"/>
              </w:rPr>
              <w:t>日11时00分。</w:t>
            </w:r>
          </w:p>
          <w:p>
            <w:pPr>
              <w:ind w:right="6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（2）供应商凭本项目在浙江政府采购网上报名成功截图（截图内容需包含清晰的供应商名称及项目名称），于截止日前向本中心书面递交询疑文件。</w:t>
            </w:r>
          </w:p>
        </w:tc>
      </w:tr>
      <w:tr>
        <w:tblPrEx>
          <w:tblLayout w:type="fixed"/>
          <w:tblCellMar>
            <w:top w:w="0" w:type="dxa"/>
            <w:left w:w="108" w:type="dxa"/>
            <w:bottom w:w="0" w:type="dxa"/>
            <w:right w:w="108" w:type="dxa"/>
          </w:tblCellMar>
        </w:tblPrEx>
        <w:trPr>
          <w:trHeight w:val="329" w:hRule="atLeast"/>
          <w:tblCellSpacing w:w="7" w:type="dxa"/>
          <w:jc w:val="center"/>
        </w:trPr>
        <w:tc>
          <w:tcPr>
            <w:tcW w:w="499" w:type="dxa"/>
            <w:tcBorders>
              <w:top w:val="single" w:color="auto" w:sz="4" w:space="0"/>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jc w:val="cente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6</w:t>
            </w:r>
          </w:p>
        </w:tc>
        <w:tc>
          <w:tcPr>
            <w:tcW w:w="1391" w:type="dxa"/>
            <w:tcBorders>
              <w:top w:val="single" w:color="auto" w:sz="4" w:space="0"/>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jc w:val="cente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投标有效期</w:t>
            </w:r>
          </w:p>
        </w:tc>
        <w:tc>
          <w:tcPr>
            <w:tcW w:w="728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90天。（从投标截止之日算起）</w:t>
            </w:r>
          </w:p>
        </w:tc>
      </w:tr>
      <w:tr>
        <w:tblPrEx>
          <w:tblLayout w:type="fixed"/>
          <w:tblCellMar>
            <w:top w:w="0" w:type="dxa"/>
            <w:left w:w="108" w:type="dxa"/>
            <w:bottom w:w="0" w:type="dxa"/>
            <w:right w:w="108" w:type="dxa"/>
          </w:tblCellMar>
        </w:tblPrEx>
        <w:trPr>
          <w:trHeight w:val="351" w:hRule="atLeast"/>
          <w:tblCellSpacing w:w="7" w:type="dxa"/>
          <w:jc w:val="center"/>
        </w:trPr>
        <w:tc>
          <w:tcPr>
            <w:tcW w:w="499" w:type="dxa"/>
            <w:tcBorders>
              <w:top w:val="single" w:color="auto" w:sz="4" w:space="0"/>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jc w:val="cente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7</w:t>
            </w:r>
          </w:p>
        </w:tc>
        <w:tc>
          <w:tcPr>
            <w:tcW w:w="1391" w:type="dxa"/>
            <w:tcBorders>
              <w:top w:val="single" w:color="auto" w:sz="4" w:space="0"/>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jc w:val="cente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评审办法</w:t>
            </w:r>
          </w:p>
        </w:tc>
        <w:tc>
          <w:tcPr>
            <w:tcW w:w="728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综合评分法。</w:t>
            </w:r>
          </w:p>
        </w:tc>
      </w:tr>
      <w:tr>
        <w:tblPrEx>
          <w:tblLayout w:type="fixed"/>
          <w:tblCellMar>
            <w:top w:w="0" w:type="dxa"/>
            <w:left w:w="108" w:type="dxa"/>
            <w:bottom w:w="0" w:type="dxa"/>
            <w:right w:w="108" w:type="dxa"/>
          </w:tblCellMar>
        </w:tblPrEx>
        <w:trPr>
          <w:trHeight w:val="369" w:hRule="atLeast"/>
          <w:tblCellSpacing w:w="7" w:type="dxa"/>
          <w:jc w:val="center"/>
        </w:trPr>
        <w:tc>
          <w:tcPr>
            <w:tcW w:w="499" w:type="dxa"/>
            <w:tcBorders>
              <w:top w:val="single" w:color="auto" w:sz="4" w:space="0"/>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jc w:val="cente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8</w:t>
            </w:r>
          </w:p>
        </w:tc>
        <w:tc>
          <w:tcPr>
            <w:tcW w:w="1391" w:type="dxa"/>
            <w:tcBorders>
              <w:top w:val="single" w:color="auto" w:sz="4" w:space="0"/>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jc w:val="cente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资金结算</w:t>
            </w:r>
          </w:p>
        </w:tc>
        <w:tc>
          <w:tcPr>
            <w:tcW w:w="728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按合同要求付款。</w:t>
            </w:r>
          </w:p>
        </w:tc>
      </w:tr>
      <w:tr>
        <w:tblPrEx>
          <w:tblLayout w:type="fixed"/>
          <w:tblCellMar>
            <w:top w:w="0" w:type="dxa"/>
            <w:left w:w="108" w:type="dxa"/>
            <w:bottom w:w="0" w:type="dxa"/>
            <w:right w:w="108" w:type="dxa"/>
          </w:tblCellMar>
        </w:tblPrEx>
        <w:trPr>
          <w:trHeight w:val="375" w:hRule="atLeast"/>
          <w:tblCellSpacing w:w="7" w:type="dxa"/>
          <w:jc w:val="center"/>
        </w:trPr>
        <w:tc>
          <w:tcPr>
            <w:tcW w:w="499" w:type="dxa"/>
            <w:tcBorders>
              <w:top w:val="single" w:color="auto" w:sz="4" w:space="0"/>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adjustRightInd w:val="0"/>
              <w:snapToGrid w:val="0"/>
              <w:spacing w:line="560" w:lineRule="exact"/>
              <w:jc w:val="center"/>
              <w:rPr>
                <w:rFonts w:ascii="仿宋_GB2312" w:eastAsia="仿宋_GB2312"/>
                <w:b/>
                <w:bCs/>
                <w:sz w:val="24"/>
                <w:szCs w:val="24"/>
                <w:highlight w:val="none"/>
              </w:rPr>
            </w:pPr>
            <w:r>
              <w:rPr>
                <w:rFonts w:hint="eastAsia" w:ascii="仿宋_GB2312" w:hAnsi="宋体" w:eastAsia="仿宋_GB2312" w:cs="宋体"/>
                <w:b/>
                <w:bCs/>
                <w:sz w:val="24"/>
                <w:szCs w:val="24"/>
                <w:highlight w:val="none"/>
              </w:rPr>
              <w:t>9</w:t>
            </w:r>
          </w:p>
        </w:tc>
        <w:tc>
          <w:tcPr>
            <w:tcW w:w="1391" w:type="dxa"/>
            <w:tcBorders>
              <w:top w:val="single" w:color="auto" w:sz="4" w:space="0"/>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adjustRightInd w:val="0"/>
              <w:snapToGrid w:val="0"/>
              <w:jc w:val="center"/>
              <w:rPr>
                <w:rFonts w:ascii="仿宋_GB2312" w:eastAsia="仿宋_GB2312"/>
                <w:b/>
                <w:bCs/>
                <w:sz w:val="24"/>
                <w:szCs w:val="24"/>
                <w:highlight w:val="none"/>
              </w:rPr>
            </w:pPr>
            <w:r>
              <w:rPr>
                <w:rFonts w:hint="eastAsia" w:ascii="仿宋_GB2312" w:hAnsi="宋体" w:eastAsia="仿宋_GB2312" w:cs="宋体"/>
                <w:b/>
                <w:bCs/>
                <w:sz w:val="24"/>
                <w:szCs w:val="24"/>
                <w:highlight w:val="none"/>
              </w:rPr>
              <w:t>投标报价</w:t>
            </w:r>
          </w:p>
          <w:p>
            <w:pPr>
              <w:adjustRightInd w:val="0"/>
              <w:snapToGrid w:val="0"/>
              <w:jc w:val="center"/>
              <w:rPr>
                <w:rFonts w:ascii="仿宋_GB2312" w:eastAsia="仿宋_GB2312"/>
                <w:b/>
                <w:bCs/>
                <w:sz w:val="24"/>
                <w:szCs w:val="24"/>
                <w:highlight w:val="none"/>
              </w:rPr>
            </w:pPr>
            <w:r>
              <w:rPr>
                <w:rFonts w:hint="eastAsia" w:ascii="仿宋_GB2312" w:hAnsi="宋体" w:eastAsia="仿宋_GB2312" w:cs="宋体"/>
                <w:b/>
                <w:bCs/>
                <w:sz w:val="24"/>
                <w:szCs w:val="24"/>
                <w:highlight w:val="none"/>
              </w:rPr>
              <w:t>与费用</w:t>
            </w:r>
          </w:p>
        </w:tc>
        <w:tc>
          <w:tcPr>
            <w:tcW w:w="728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spacing w:line="276" w:lineRule="auto"/>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1）本项目的投标应以人民币报价，投标人报价包括为完成本项目服务可能发生的全部费用及成交人的利润和应交纳的税金等（包括人员工资福利、津贴、各种社会保险、服装费、人员食宿、交通、保险、所有设备的日常保养人工费等）一切费用。</w:t>
            </w:r>
          </w:p>
          <w:p>
            <w:pPr>
              <w:spacing w:line="276" w:lineRule="auto"/>
              <w:rPr>
                <w:rFonts w:ascii="仿宋_GB2312" w:hAnsi="宋体" w:eastAsia="仿宋_GB2312" w:cs="宋体"/>
                <w:sz w:val="24"/>
                <w:szCs w:val="24"/>
                <w:highlight w:val="none"/>
              </w:rPr>
            </w:pPr>
            <w:r>
              <w:rPr>
                <w:rFonts w:hint="eastAsia" w:ascii="仿宋_GB2312" w:hAnsi="宋体" w:eastAsia="仿宋_GB2312" w:cs="宋体"/>
                <w:color w:val="000000"/>
                <w:sz w:val="24"/>
                <w:szCs w:val="24"/>
                <w:highlight w:val="none"/>
              </w:rPr>
              <w:t>（2）投标人应承担其参加本招标活动自身所发生的费用。</w:t>
            </w:r>
          </w:p>
        </w:tc>
      </w:tr>
      <w:tr>
        <w:tblPrEx>
          <w:tblLayout w:type="fixed"/>
          <w:tblCellMar>
            <w:top w:w="0" w:type="dxa"/>
            <w:left w:w="108" w:type="dxa"/>
            <w:bottom w:w="0" w:type="dxa"/>
            <w:right w:w="108" w:type="dxa"/>
          </w:tblCellMar>
        </w:tblPrEx>
        <w:trPr>
          <w:trHeight w:val="761" w:hRule="atLeast"/>
          <w:tblCellSpacing w:w="7" w:type="dxa"/>
          <w:jc w:val="center"/>
        </w:trPr>
        <w:tc>
          <w:tcPr>
            <w:tcW w:w="499" w:type="dxa"/>
            <w:tcBorders>
              <w:top w:val="single" w:color="auto" w:sz="4" w:space="0"/>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adjustRightInd w:val="0"/>
              <w:snapToGrid w:val="0"/>
              <w:spacing w:line="560" w:lineRule="exact"/>
              <w:jc w:val="center"/>
              <w:rPr>
                <w:rFonts w:ascii="仿宋_GB2312" w:eastAsia="仿宋_GB2312"/>
                <w:b/>
                <w:bCs/>
                <w:sz w:val="24"/>
                <w:szCs w:val="24"/>
                <w:highlight w:val="none"/>
              </w:rPr>
            </w:pPr>
            <w:r>
              <w:rPr>
                <w:rFonts w:hint="eastAsia" w:ascii="仿宋_GB2312" w:hAnsi="宋体" w:eastAsia="仿宋_GB2312" w:cs="宋体"/>
                <w:b/>
                <w:bCs/>
                <w:sz w:val="24"/>
                <w:szCs w:val="24"/>
                <w:highlight w:val="none"/>
              </w:rPr>
              <w:t>10</w:t>
            </w:r>
          </w:p>
        </w:tc>
        <w:tc>
          <w:tcPr>
            <w:tcW w:w="1391" w:type="dxa"/>
            <w:tcBorders>
              <w:top w:val="single" w:color="auto" w:sz="4" w:space="0"/>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adjustRightInd w:val="0"/>
              <w:snapToGrid w:val="0"/>
              <w:jc w:val="center"/>
              <w:rPr>
                <w:rFonts w:ascii="仿宋_GB2312" w:eastAsia="仿宋_GB2312"/>
                <w:b/>
                <w:bCs/>
                <w:sz w:val="24"/>
                <w:szCs w:val="24"/>
                <w:highlight w:val="none"/>
              </w:rPr>
            </w:pPr>
            <w:r>
              <w:rPr>
                <w:rFonts w:hint="eastAsia" w:ascii="仿宋_GB2312" w:hAnsi="宋体" w:eastAsia="仿宋_GB2312" w:cs="宋体"/>
                <w:b/>
                <w:bCs/>
                <w:sz w:val="24"/>
                <w:szCs w:val="24"/>
                <w:highlight w:val="none"/>
              </w:rPr>
              <w:t>投标人</w:t>
            </w:r>
            <w:r>
              <w:rPr>
                <w:rFonts w:hint="eastAsia" w:ascii="仿宋_GB2312" w:hAnsi="宋体" w:eastAsia="仿宋_GB2312" w:cs="宋体"/>
                <w:b/>
                <w:bCs/>
                <w:sz w:val="24"/>
                <w:szCs w:val="24"/>
                <w:highlight w:val="none"/>
              </w:rPr>
              <w:br w:type="textWrapping"/>
            </w:r>
            <w:r>
              <w:rPr>
                <w:rFonts w:hint="eastAsia" w:ascii="仿宋_GB2312" w:hAnsi="宋体" w:eastAsia="仿宋_GB2312" w:cs="宋体"/>
                <w:b/>
                <w:bCs/>
                <w:sz w:val="24"/>
                <w:szCs w:val="24"/>
                <w:highlight w:val="none"/>
              </w:rPr>
              <w:t>资格要求</w:t>
            </w:r>
          </w:p>
        </w:tc>
        <w:tc>
          <w:tcPr>
            <w:tcW w:w="728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76" w:lineRule="auto"/>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符合《中华人民共和国政府采购法》第二十二条规定，凡有经验和能力提供本招标文件所述货物及服务的，具有法人资格的境内供货商或制造商均可能成为合格的投标人，投标人应为在中华人民共和国境内注册独立法人；</w:t>
            </w:r>
          </w:p>
        </w:tc>
      </w:tr>
      <w:tr>
        <w:tblPrEx>
          <w:tblLayout w:type="fixed"/>
          <w:tblCellMar>
            <w:top w:w="0" w:type="dxa"/>
            <w:left w:w="108" w:type="dxa"/>
            <w:bottom w:w="0" w:type="dxa"/>
            <w:right w:w="108" w:type="dxa"/>
          </w:tblCellMar>
        </w:tblPrEx>
        <w:trPr>
          <w:trHeight w:val="402" w:hRule="atLeast"/>
          <w:tblCellSpacing w:w="7" w:type="dxa"/>
          <w:jc w:val="center"/>
        </w:trPr>
        <w:tc>
          <w:tcPr>
            <w:tcW w:w="499" w:type="dxa"/>
            <w:tcBorders>
              <w:top w:val="single" w:color="auto" w:sz="4" w:space="0"/>
              <w:left w:val="single" w:color="auto" w:sz="4" w:space="0"/>
              <w:right w:val="single" w:color="auto" w:sz="4" w:space="0"/>
            </w:tcBorders>
            <w:shd w:val="clear" w:color="auto" w:fill="E0E0E0"/>
            <w:tcMar>
              <w:top w:w="15" w:type="dxa"/>
              <w:left w:w="15" w:type="dxa"/>
              <w:bottom w:w="15" w:type="dxa"/>
              <w:right w:w="15" w:type="dxa"/>
            </w:tcMar>
            <w:vAlign w:val="center"/>
          </w:tcPr>
          <w:p>
            <w:pPr>
              <w:jc w:val="cente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11</w:t>
            </w:r>
          </w:p>
        </w:tc>
        <w:tc>
          <w:tcPr>
            <w:tcW w:w="1391" w:type="dxa"/>
            <w:tcBorders>
              <w:top w:val="single" w:color="auto" w:sz="4" w:space="0"/>
              <w:left w:val="single" w:color="auto" w:sz="4" w:space="0"/>
              <w:right w:val="single" w:color="auto" w:sz="4" w:space="0"/>
            </w:tcBorders>
            <w:shd w:val="clear" w:color="auto" w:fill="E0E0E0"/>
            <w:tcMar>
              <w:top w:w="15" w:type="dxa"/>
              <w:left w:w="15" w:type="dxa"/>
              <w:bottom w:w="15" w:type="dxa"/>
              <w:right w:w="15" w:type="dxa"/>
            </w:tcMar>
            <w:vAlign w:val="center"/>
          </w:tcPr>
          <w:p>
            <w:pPr>
              <w:jc w:val="cente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节能环保</w:t>
            </w:r>
          </w:p>
        </w:tc>
        <w:tc>
          <w:tcPr>
            <w:tcW w:w="728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spacing w:line="276" w:lineRule="auto"/>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根据财政部“</w:t>
            </w:r>
            <w:r>
              <w:rPr>
                <w:rFonts w:hint="eastAsia" w:ascii="仿宋_GB2312" w:hAnsi="宋体" w:eastAsia="仿宋_GB2312" w:cs="宋体"/>
                <w:b/>
                <w:sz w:val="24"/>
                <w:szCs w:val="24"/>
                <w:highlight w:val="none"/>
              </w:rPr>
              <w:t>发展改革委关于印发节能产品政府采购品目清单的通知</w:t>
            </w:r>
            <w:r>
              <w:rPr>
                <w:rFonts w:hint="eastAsia" w:ascii="仿宋_GB2312" w:hAnsi="宋体" w:eastAsia="仿宋_GB2312" w:cs="宋体"/>
                <w:sz w:val="24"/>
                <w:szCs w:val="24"/>
                <w:highlight w:val="none"/>
              </w:rPr>
              <w:t>”，本项目如需采购的产品属于节能产品品目清单中的强制采购产品，投标人所投的相应产品须符合品目清单中相应的产品类别及所依据的相关标准规范，并提供该产品由国家认证机构出具的、处于有效期之内的节能产品认证证书。</w:t>
            </w:r>
          </w:p>
        </w:tc>
      </w:tr>
      <w:tr>
        <w:tblPrEx>
          <w:tblLayout w:type="fixed"/>
          <w:tblCellMar>
            <w:top w:w="0" w:type="dxa"/>
            <w:left w:w="108" w:type="dxa"/>
            <w:bottom w:w="0" w:type="dxa"/>
            <w:right w:w="108" w:type="dxa"/>
          </w:tblCellMar>
        </w:tblPrEx>
        <w:trPr>
          <w:trHeight w:val="7475" w:hRule="atLeast"/>
          <w:tblCellSpacing w:w="7" w:type="dxa"/>
          <w:jc w:val="center"/>
        </w:trPr>
        <w:tc>
          <w:tcPr>
            <w:tcW w:w="499" w:type="dxa"/>
            <w:tcBorders>
              <w:top w:val="single" w:color="auto" w:sz="4" w:space="0"/>
              <w:left w:val="single" w:color="auto" w:sz="4" w:space="0"/>
              <w:right w:val="single" w:color="auto" w:sz="4" w:space="0"/>
            </w:tcBorders>
            <w:shd w:val="clear" w:color="auto" w:fill="E0E0E0"/>
            <w:tcMar>
              <w:top w:w="15" w:type="dxa"/>
              <w:left w:w="15" w:type="dxa"/>
              <w:bottom w:w="15" w:type="dxa"/>
              <w:right w:w="15" w:type="dxa"/>
            </w:tcMar>
            <w:vAlign w:val="center"/>
          </w:tcPr>
          <w:p>
            <w:pPr>
              <w:jc w:val="cente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12</w:t>
            </w:r>
          </w:p>
        </w:tc>
        <w:tc>
          <w:tcPr>
            <w:tcW w:w="1391" w:type="dxa"/>
            <w:tcBorders>
              <w:top w:val="single" w:color="auto" w:sz="4" w:space="0"/>
              <w:left w:val="single" w:color="auto" w:sz="4" w:space="0"/>
              <w:right w:val="single" w:color="auto" w:sz="4" w:space="0"/>
            </w:tcBorders>
            <w:shd w:val="clear" w:color="auto" w:fill="E0E0E0"/>
            <w:tcMar>
              <w:top w:w="15" w:type="dxa"/>
              <w:left w:w="15" w:type="dxa"/>
              <w:bottom w:w="15" w:type="dxa"/>
              <w:right w:w="15" w:type="dxa"/>
            </w:tcMar>
            <w:vAlign w:val="center"/>
          </w:tcPr>
          <w:p>
            <w:pPr>
              <w:snapToGrid w:val="0"/>
              <w:spacing w:line="360" w:lineRule="auto"/>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支持中小企业</w:t>
            </w:r>
          </w:p>
        </w:tc>
        <w:tc>
          <w:tcPr>
            <w:tcW w:w="728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snapToGrid w:val="0"/>
              <w:spacing w:line="276" w:lineRule="auto"/>
              <w:ind w:firstLine="43" w:firstLineChars="18"/>
              <w:rPr>
                <w:rFonts w:ascii="仿宋_GB2312" w:hAnsi="宋体" w:eastAsia="仿宋_GB2312" w:cs="宋体"/>
                <w:sz w:val="24"/>
                <w:szCs w:val="24"/>
                <w:highlight w:val="none"/>
              </w:rPr>
            </w:pPr>
            <w:r>
              <w:rPr>
                <w:rFonts w:hint="eastAsia" w:ascii="仿宋_GB2312" w:hAnsi="宋体" w:eastAsia="仿宋_GB2312" w:cs="宋体"/>
                <w:b/>
                <w:sz w:val="24"/>
                <w:szCs w:val="24"/>
                <w:highlight w:val="none"/>
              </w:rPr>
              <w:t>价格扣除：</w:t>
            </w:r>
            <w:r>
              <w:rPr>
                <w:rFonts w:hint="eastAsia" w:ascii="仿宋_GB2312" w:hAnsi="宋体" w:eastAsia="仿宋_GB2312" w:cs="宋体"/>
                <w:sz w:val="24"/>
                <w:szCs w:val="24"/>
                <w:highlight w:val="none"/>
              </w:rPr>
              <w:t>根据工信部等部委发布的《关于印发中小企业划型标准规定的通知》（工信部联企业〔2011〕300号），根据具体品目确定相应标准。符合上述条件的中小微型企业应按照招标文件附件1的格式要求提供《中小企业声明函》，《中小企业资格确认意见书》（或者投标截止时间前7日内“国家企业信用信息公示系统</w:t>
            </w:r>
            <w:r>
              <w:rPr>
                <w:rFonts w:ascii="仿宋_GB2312" w:hAnsi="宋体" w:eastAsia="仿宋_GB2312" w:cs="宋体"/>
                <w:sz w:val="24"/>
                <w:szCs w:val="24"/>
                <w:highlight w:val="none"/>
              </w:rPr>
              <w:t>—</w:t>
            </w:r>
            <w:r>
              <w:rPr>
                <w:rFonts w:hint="eastAsia" w:ascii="仿宋_GB2312" w:hAnsi="宋体" w:eastAsia="仿宋_GB2312" w:cs="宋体"/>
                <w:sz w:val="24"/>
                <w:szCs w:val="24"/>
                <w:highlight w:val="none"/>
              </w:rPr>
              <w:t>小微企业名录”页面查询结果）；</w:t>
            </w:r>
          </w:p>
          <w:p>
            <w:pPr>
              <w:snapToGrid w:val="0"/>
              <w:spacing w:line="276" w:lineRule="auto"/>
              <w:ind w:firstLine="43" w:firstLineChars="18"/>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符合《关于促进残疾人就业政府采购政策的通知》（财库〔2017〕141号）规定的条件并提供《残疾人福利性单位声明函》（附件2）的残疾人福利性单位视同小型、微型企业；</w:t>
            </w:r>
          </w:p>
          <w:p>
            <w:pPr>
              <w:snapToGrid w:val="0"/>
              <w:spacing w:line="276" w:lineRule="auto"/>
              <w:ind w:firstLine="43" w:firstLineChars="18"/>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276" w:lineRule="auto"/>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根据财政部发布的《政府采购促进中小企业发展暂行办法》规定，对于非专门面向此类企业的项目，对小型和微型企业产品的投标价格给予6 %的扣除，用扣除后的价格参与评审。</w:t>
            </w:r>
          </w:p>
          <w:p>
            <w:pPr>
              <w:snapToGrid w:val="0"/>
              <w:spacing w:line="276" w:lineRule="auto"/>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pPr>
              <w:spacing w:line="276" w:lineRule="auto"/>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联合体各方均为小型、微型企业的，联合体视同为小型、微型企业。</w:t>
            </w:r>
          </w:p>
        </w:tc>
      </w:tr>
      <w:tr>
        <w:tblPrEx>
          <w:tblLayout w:type="fixed"/>
          <w:tblCellMar>
            <w:top w:w="0" w:type="dxa"/>
            <w:left w:w="108" w:type="dxa"/>
            <w:bottom w:w="0" w:type="dxa"/>
            <w:right w:w="108" w:type="dxa"/>
          </w:tblCellMar>
        </w:tblPrEx>
        <w:trPr>
          <w:trHeight w:val="251" w:hRule="atLeast"/>
          <w:tblCellSpacing w:w="7" w:type="dxa"/>
          <w:jc w:val="center"/>
        </w:trPr>
        <w:tc>
          <w:tcPr>
            <w:tcW w:w="499" w:type="dxa"/>
            <w:tcBorders>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adjustRightInd w:val="0"/>
              <w:snapToGrid w:val="0"/>
              <w:spacing w:line="560" w:lineRule="exact"/>
              <w:jc w:val="center"/>
              <w:rPr>
                <w:rFonts w:ascii="仿宋_GB2312" w:eastAsia="仿宋_GB2312"/>
                <w:b/>
                <w:bCs/>
                <w:sz w:val="24"/>
                <w:szCs w:val="24"/>
                <w:highlight w:val="none"/>
              </w:rPr>
            </w:pPr>
            <w:r>
              <w:rPr>
                <w:rFonts w:hint="eastAsia" w:ascii="仿宋_GB2312" w:hAnsi="宋体" w:eastAsia="仿宋_GB2312" w:cs="宋体"/>
                <w:b/>
                <w:bCs/>
                <w:sz w:val="24"/>
                <w:szCs w:val="24"/>
                <w:highlight w:val="none"/>
              </w:rPr>
              <w:t>13</w:t>
            </w:r>
          </w:p>
        </w:tc>
        <w:tc>
          <w:tcPr>
            <w:tcW w:w="1391" w:type="dxa"/>
            <w:tcBorders>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adjustRightInd w:val="0"/>
              <w:snapToGrid w:val="0"/>
              <w:jc w:val="center"/>
              <w:rPr>
                <w:rFonts w:ascii="仿宋_GB2312" w:eastAsia="仿宋_GB2312"/>
                <w:b/>
                <w:bCs/>
                <w:sz w:val="24"/>
                <w:szCs w:val="24"/>
                <w:highlight w:val="none"/>
              </w:rPr>
            </w:pPr>
            <w:r>
              <w:rPr>
                <w:rFonts w:hint="eastAsia" w:ascii="仿宋_GB2312" w:hAnsi="宋体" w:eastAsia="仿宋_GB2312" w:cs="宋体"/>
                <w:b/>
                <w:bCs/>
                <w:sz w:val="24"/>
                <w:szCs w:val="24"/>
                <w:highlight w:val="none"/>
              </w:rPr>
              <w:t>投标文件的</w:t>
            </w:r>
          </w:p>
          <w:p>
            <w:pPr>
              <w:adjustRightInd w:val="0"/>
              <w:snapToGrid w:val="0"/>
              <w:jc w:val="center"/>
              <w:rPr>
                <w:rFonts w:ascii="仿宋_GB2312" w:eastAsia="仿宋_GB2312"/>
                <w:b/>
                <w:bCs/>
                <w:sz w:val="24"/>
                <w:szCs w:val="24"/>
                <w:highlight w:val="none"/>
              </w:rPr>
            </w:pPr>
            <w:r>
              <w:rPr>
                <w:rFonts w:hint="eastAsia" w:ascii="仿宋_GB2312" w:hAnsi="宋体" w:eastAsia="仿宋_GB2312" w:cs="宋体"/>
                <w:b/>
                <w:bCs/>
                <w:sz w:val="24"/>
                <w:szCs w:val="24"/>
                <w:highlight w:val="none"/>
              </w:rPr>
              <w:t>组成及份数</w:t>
            </w:r>
          </w:p>
        </w:tc>
        <w:tc>
          <w:tcPr>
            <w:tcW w:w="728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adjustRightInd w:val="0"/>
              <w:snapToGrid w:val="0"/>
              <w:spacing w:line="240" w:lineRule="auto"/>
              <w:rPr>
                <w:rFonts w:ascii="仿宋_GB2312" w:eastAsia="仿宋_GB2312"/>
                <w:sz w:val="24"/>
                <w:szCs w:val="24"/>
                <w:highlight w:val="none"/>
              </w:rPr>
            </w:pPr>
            <w:r>
              <w:rPr>
                <w:rFonts w:hint="eastAsia" w:ascii="仿宋_GB2312" w:hAnsi="宋体" w:eastAsia="仿宋_GB2312" w:cs="宋体"/>
                <w:b/>
                <w:bCs/>
                <w:sz w:val="24"/>
                <w:szCs w:val="24"/>
                <w:highlight w:val="none"/>
              </w:rPr>
              <w:t>正本一份/副本五份。</w:t>
            </w:r>
          </w:p>
        </w:tc>
      </w:tr>
      <w:tr>
        <w:tblPrEx>
          <w:tblLayout w:type="fixed"/>
          <w:tblCellMar>
            <w:top w:w="0" w:type="dxa"/>
            <w:left w:w="108" w:type="dxa"/>
            <w:bottom w:w="0" w:type="dxa"/>
            <w:right w:w="108" w:type="dxa"/>
          </w:tblCellMar>
        </w:tblPrEx>
        <w:trPr>
          <w:trHeight w:val="251" w:hRule="atLeast"/>
          <w:tblCellSpacing w:w="7" w:type="dxa"/>
          <w:jc w:val="center"/>
        </w:trPr>
        <w:tc>
          <w:tcPr>
            <w:tcW w:w="499" w:type="dxa"/>
            <w:tcBorders>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adjustRightInd w:val="0"/>
              <w:snapToGrid w:val="0"/>
              <w:spacing w:line="560" w:lineRule="exact"/>
              <w:jc w:val="center"/>
              <w:rPr>
                <w:rFonts w:ascii="仿宋_GB2312" w:eastAsia="仿宋_GB2312"/>
                <w:b/>
                <w:bCs/>
                <w:sz w:val="24"/>
                <w:szCs w:val="24"/>
                <w:highlight w:val="none"/>
              </w:rPr>
            </w:pPr>
            <w:r>
              <w:rPr>
                <w:rFonts w:hint="eastAsia" w:ascii="仿宋_GB2312" w:hAnsi="宋体" w:eastAsia="仿宋_GB2312" w:cs="宋体"/>
                <w:b/>
                <w:bCs/>
                <w:sz w:val="24"/>
                <w:szCs w:val="24"/>
                <w:highlight w:val="none"/>
              </w:rPr>
              <w:t>14</w:t>
            </w:r>
          </w:p>
        </w:tc>
        <w:tc>
          <w:tcPr>
            <w:tcW w:w="1391" w:type="dxa"/>
            <w:tcBorders>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adjustRightInd w:val="0"/>
              <w:snapToGrid w:val="0"/>
              <w:jc w:val="center"/>
              <w:rPr>
                <w:rFonts w:ascii="仿宋_GB2312" w:hAnsi="宋体" w:eastAsia="仿宋_GB2312" w:cs="宋体"/>
                <w:b/>
                <w:bCs/>
                <w:sz w:val="24"/>
                <w:szCs w:val="24"/>
                <w:highlight w:val="none"/>
              </w:rPr>
            </w:pPr>
            <w:r>
              <w:rPr>
                <w:rFonts w:hint="eastAsia" w:ascii="仿宋_GB2312" w:hAnsi="宋体" w:eastAsia="仿宋_GB2312" w:cs="宋体"/>
                <w:b/>
                <w:bCs/>
                <w:sz w:val="24"/>
                <w:szCs w:val="24"/>
                <w:highlight w:val="none"/>
              </w:rPr>
              <w:t>投标文件</w:t>
            </w:r>
          </w:p>
          <w:p>
            <w:pPr>
              <w:adjustRightInd w:val="0"/>
              <w:snapToGrid w:val="0"/>
              <w:jc w:val="center"/>
              <w:rPr>
                <w:rFonts w:ascii="仿宋_GB2312" w:eastAsia="仿宋_GB2312"/>
                <w:b/>
                <w:bCs/>
                <w:sz w:val="24"/>
                <w:szCs w:val="24"/>
                <w:highlight w:val="none"/>
              </w:rPr>
            </w:pPr>
            <w:r>
              <w:rPr>
                <w:rFonts w:hint="eastAsia" w:ascii="仿宋_GB2312" w:hAnsi="宋体" w:eastAsia="仿宋_GB2312" w:cs="宋体"/>
                <w:b/>
                <w:bCs/>
                <w:sz w:val="24"/>
                <w:szCs w:val="24"/>
                <w:highlight w:val="none"/>
              </w:rPr>
              <w:t>提交截止时间、地点</w:t>
            </w:r>
          </w:p>
        </w:tc>
        <w:tc>
          <w:tcPr>
            <w:tcW w:w="728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2019年</w:t>
            </w:r>
            <w:r>
              <w:rPr>
                <w:rFonts w:hint="eastAsia" w:ascii="仿宋_GB2312" w:hAnsi="宋体" w:eastAsia="仿宋_GB2312" w:cs="宋体"/>
                <w:b/>
                <w:sz w:val="24"/>
                <w:szCs w:val="24"/>
                <w:highlight w:val="none"/>
                <w:lang w:eastAsia="zh-CN"/>
              </w:rPr>
              <w:t>8月2日</w:t>
            </w:r>
            <w:r>
              <w:rPr>
                <w:rFonts w:hint="eastAsia" w:ascii="仿宋_GB2312" w:hAnsi="宋体" w:eastAsia="仿宋_GB2312" w:cs="宋体"/>
                <w:b/>
                <w:sz w:val="24"/>
                <w:szCs w:val="24"/>
                <w:highlight w:val="none"/>
              </w:rPr>
              <w:t>10:00</w:t>
            </w:r>
          </w:p>
          <w:p>
            <w:pPr>
              <w:rPr>
                <w:rFonts w:ascii="仿宋_GB2312" w:eastAsia="仿宋_GB2312"/>
                <w:kern w:val="0"/>
                <w:sz w:val="24"/>
                <w:szCs w:val="24"/>
                <w:highlight w:val="none"/>
              </w:rPr>
            </w:pPr>
            <w:r>
              <w:rPr>
                <w:rFonts w:hint="eastAsia" w:ascii="仿宋_GB2312" w:hAnsi="宋体" w:eastAsia="仿宋_GB2312" w:cs="宋体"/>
                <w:sz w:val="24"/>
                <w:szCs w:val="24"/>
                <w:highlight w:val="none"/>
              </w:rPr>
              <w:t>杭州市江干区凤起东路888号（运河东路200号）四楼杭州市公共资源交易中心江干分中心404室</w:t>
            </w:r>
          </w:p>
        </w:tc>
      </w:tr>
      <w:tr>
        <w:tblPrEx>
          <w:tblLayout w:type="fixed"/>
          <w:tblCellMar>
            <w:top w:w="0" w:type="dxa"/>
            <w:left w:w="108" w:type="dxa"/>
            <w:bottom w:w="0" w:type="dxa"/>
            <w:right w:w="108" w:type="dxa"/>
          </w:tblCellMar>
        </w:tblPrEx>
        <w:trPr>
          <w:trHeight w:val="657" w:hRule="atLeast"/>
          <w:tblCellSpacing w:w="7" w:type="dxa"/>
          <w:jc w:val="center"/>
        </w:trPr>
        <w:tc>
          <w:tcPr>
            <w:tcW w:w="499" w:type="dxa"/>
            <w:tcBorders>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adjustRightInd w:val="0"/>
              <w:snapToGrid w:val="0"/>
              <w:jc w:val="center"/>
              <w:rPr>
                <w:rFonts w:ascii="仿宋_GB2312" w:hAnsi="宋体" w:eastAsia="仿宋_GB2312" w:cs="宋体"/>
                <w:b/>
                <w:bCs/>
                <w:sz w:val="24"/>
                <w:szCs w:val="24"/>
                <w:highlight w:val="none"/>
              </w:rPr>
            </w:pPr>
            <w:r>
              <w:rPr>
                <w:rFonts w:hint="eastAsia" w:ascii="仿宋_GB2312" w:hAnsi="宋体" w:eastAsia="仿宋_GB2312" w:cs="宋体"/>
                <w:b/>
                <w:bCs/>
                <w:sz w:val="24"/>
                <w:szCs w:val="24"/>
                <w:highlight w:val="none"/>
              </w:rPr>
              <w:t>15</w:t>
            </w:r>
          </w:p>
        </w:tc>
        <w:tc>
          <w:tcPr>
            <w:tcW w:w="1391" w:type="dxa"/>
            <w:tcBorders>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adjustRightInd w:val="0"/>
              <w:snapToGrid w:val="0"/>
              <w:jc w:val="center"/>
              <w:rPr>
                <w:rFonts w:ascii="仿宋_GB2312" w:hAnsi="宋体" w:eastAsia="仿宋_GB2312" w:cs="宋体"/>
                <w:b/>
                <w:bCs/>
                <w:sz w:val="24"/>
                <w:szCs w:val="24"/>
                <w:highlight w:val="none"/>
              </w:rPr>
            </w:pPr>
            <w:r>
              <w:rPr>
                <w:rFonts w:hint="eastAsia" w:ascii="仿宋_GB2312" w:hAnsi="宋体" w:eastAsia="仿宋_GB2312" w:cs="宋体"/>
                <w:b/>
                <w:bCs/>
                <w:sz w:val="24"/>
                <w:szCs w:val="24"/>
                <w:highlight w:val="none"/>
              </w:rPr>
              <w:t>开标地点</w:t>
            </w:r>
          </w:p>
        </w:tc>
        <w:tc>
          <w:tcPr>
            <w:tcW w:w="728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rPr>
                <w:rFonts w:ascii="仿宋_GB2312" w:eastAsia="仿宋_GB2312"/>
                <w:kern w:val="0"/>
                <w:sz w:val="24"/>
                <w:szCs w:val="24"/>
                <w:highlight w:val="none"/>
              </w:rPr>
            </w:pPr>
            <w:r>
              <w:rPr>
                <w:rFonts w:hint="eastAsia" w:ascii="仿宋_GB2312" w:hAnsi="宋体" w:eastAsia="仿宋_GB2312" w:cs="宋体"/>
                <w:sz w:val="24"/>
                <w:szCs w:val="24"/>
                <w:highlight w:val="none"/>
              </w:rPr>
              <w:t>杭州市江干区凤起东路888号（运河东路200号）四楼杭州市公共资源交易中心江干分中心404室</w:t>
            </w:r>
          </w:p>
        </w:tc>
      </w:tr>
      <w:tr>
        <w:tblPrEx>
          <w:tblLayout w:type="fixed"/>
          <w:tblCellMar>
            <w:top w:w="0" w:type="dxa"/>
            <w:left w:w="108" w:type="dxa"/>
            <w:bottom w:w="0" w:type="dxa"/>
            <w:right w:w="108" w:type="dxa"/>
          </w:tblCellMar>
        </w:tblPrEx>
        <w:trPr>
          <w:trHeight w:val="251" w:hRule="atLeast"/>
          <w:tblCellSpacing w:w="7" w:type="dxa"/>
          <w:jc w:val="center"/>
        </w:trPr>
        <w:tc>
          <w:tcPr>
            <w:tcW w:w="499" w:type="dxa"/>
            <w:tcBorders>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jc w:val="cente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16</w:t>
            </w:r>
          </w:p>
        </w:tc>
        <w:tc>
          <w:tcPr>
            <w:tcW w:w="1391" w:type="dxa"/>
            <w:tcBorders>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jc w:val="cente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开标时间</w:t>
            </w:r>
          </w:p>
        </w:tc>
        <w:tc>
          <w:tcPr>
            <w:tcW w:w="728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2019年</w:t>
            </w:r>
            <w:r>
              <w:rPr>
                <w:rFonts w:hint="eastAsia" w:ascii="仿宋_GB2312" w:hAnsi="宋体" w:eastAsia="仿宋_GB2312" w:cs="宋体"/>
                <w:b/>
                <w:sz w:val="24"/>
                <w:szCs w:val="24"/>
                <w:highlight w:val="none"/>
                <w:lang w:eastAsia="zh-CN"/>
              </w:rPr>
              <w:t>8月2日</w:t>
            </w:r>
            <w:r>
              <w:rPr>
                <w:rFonts w:hint="eastAsia" w:ascii="仿宋_GB2312" w:hAnsi="宋体" w:eastAsia="仿宋_GB2312" w:cs="宋体"/>
                <w:b/>
                <w:sz w:val="24"/>
                <w:szCs w:val="24"/>
                <w:highlight w:val="none"/>
              </w:rPr>
              <w:t>10:00</w:t>
            </w:r>
          </w:p>
        </w:tc>
      </w:tr>
      <w:tr>
        <w:tblPrEx>
          <w:tblLayout w:type="fixed"/>
          <w:tblCellMar>
            <w:top w:w="0" w:type="dxa"/>
            <w:left w:w="108" w:type="dxa"/>
            <w:bottom w:w="0" w:type="dxa"/>
            <w:right w:w="108" w:type="dxa"/>
          </w:tblCellMar>
        </w:tblPrEx>
        <w:trPr>
          <w:trHeight w:val="251" w:hRule="atLeast"/>
          <w:tblCellSpacing w:w="7" w:type="dxa"/>
          <w:jc w:val="center"/>
        </w:trPr>
        <w:tc>
          <w:tcPr>
            <w:tcW w:w="499" w:type="dxa"/>
            <w:tcBorders>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jc w:val="cente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17</w:t>
            </w:r>
          </w:p>
        </w:tc>
        <w:tc>
          <w:tcPr>
            <w:tcW w:w="1391" w:type="dxa"/>
            <w:tcBorders>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jc w:val="cente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现场演示</w:t>
            </w:r>
          </w:p>
        </w:tc>
        <w:tc>
          <w:tcPr>
            <w:tcW w:w="728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rPr>
                <w:rFonts w:ascii="仿宋_GB2312" w:hAnsi="宋体" w:eastAsia="仿宋_GB2312" w:cs="宋体"/>
                <w:b/>
                <w:sz w:val="24"/>
                <w:szCs w:val="24"/>
                <w:highlight w:val="none"/>
              </w:rPr>
            </w:pPr>
            <w:r>
              <w:rPr>
                <w:rFonts w:hint="eastAsia" w:ascii="仿宋" w:hAnsi="仿宋" w:eastAsia="仿宋"/>
                <w:color w:val="000000"/>
                <w:sz w:val="24"/>
                <w:highlight w:val="none"/>
              </w:rPr>
              <w:t>本项目有现场功能演示环节，演示时间约</w:t>
            </w:r>
            <w:r>
              <w:rPr>
                <w:rFonts w:ascii="仿宋" w:hAnsi="仿宋" w:eastAsia="仿宋"/>
                <w:color w:val="000000"/>
                <w:sz w:val="24"/>
                <w:highlight w:val="none"/>
              </w:rPr>
              <w:t>15</w:t>
            </w:r>
            <w:r>
              <w:rPr>
                <w:rFonts w:hint="eastAsia" w:ascii="仿宋" w:hAnsi="仿宋" w:eastAsia="仿宋"/>
                <w:color w:val="000000"/>
                <w:sz w:val="24"/>
                <w:highlight w:val="none"/>
              </w:rPr>
              <w:t>分钟。供应商应提前做好相应的准备。</w:t>
            </w:r>
          </w:p>
        </w:tc>
      </w:tr>
      <w:tr>
        <w:tblPrEx>
          <w:tblLayout w:type="fixed"/>
          <w:tblCellMar>
            <w:top w:w="0" w:type="dxa"/>
            <w:left w:w="108" w:type="dxa"/>
            <w:bottom w:w="0" w:type="dxa"/>
            <w:right w:w="108" w:type="dxa"/>
          </w:tblCellMar>
        </w:tblPrEx>
        <w:trPr>
          <w:trHeight w:val="251" w:hRule="atLeast"/>
          <w:tblCellSpacing w:w="7" w:type="dxa"/>
          <w:jc w:val="center"/>
        </w:trPr>
        <w:tc>
          <w:tcPr>
            <w:tcW w:w="499" w:type="dxa"/>
            <w:tcBorders>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jc w:val="cente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18</w:t>
            </w:r>
          </w:p>
        </w:tc>
        <w:tc>
          <w:tcPr>
            <w:tcW w:w="1391" w:type="dxa"/>
            <w:tcBorders>
              <w:left w:val="single" w:color="auto" w:sz="4" w:space="0"/>
              <w:bottom w:val="single" w:color="auto" w:sz="4" w:space="0"/>
              <w:right w:val="single" w:color="auto" w:sz="4" w:space="0"/>
            </w:tcBorders>
            <w:shd w:val="clear" w:color="auto" w:fill="E0E0E0"/>
            <w:tcMar>
              <w:top w:w="15" w:type="dxa"/>
              <w:left w:w="15" w:type="dxa"/>
              <w:bottom w:w="15" w:type="dxa"/>
              <w:right w:w="15" w:type="dxa"/>
            </w:tcMar>
            <w:vAlign w:val="center"/>
          </w:tcPr>
          <w:p>
            <w:pPr>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特别说明</w:t>
            </w:r>
          </w:p>
        </w:tc>
        <w:tc>
          <w:tcPr>
            <w:tcW w:w="728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pStyle w:val="169"/>
              <w:numPr>
                <w:ilvl w:val="0"/>
                <w:numId w:val="1"/>
              </w:numPr>
              <w:ind w:firstLineChars="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本表与招标文件其他部分内容不一致的，以本表为准。</w:t>
            </w:r>
          </w:p>
          <w:p>
            <w:pPr>
              <w:pStyle w:val="169"/>
              <w:numPr>
                <w:ilvl w:val="0"/>
                <w:numId w:val="1"/>
              </w:numPr>
              <w:ind w:firstLineChars="0"/>
              <w:rPr>
                <w:rFonts w:ascii="仿宋_GB2312" w:hAnsi="宋体" w:eastAsia="仿宋_GB2312" w:cs="宋体"/>
                <w:b/>
                <w:sz w:val="24"/>
                <w:szCs w:val="24"/>
                <w:highlight w:val="none"/>
              </w:rPr>
            </w:pPr>
            <w:r>
              <w:rPr>
                <w:rFonts w:hint="eastAsia" w:ascii="仿宋_GB2312" w:hAnsi="宋体" w:eastAsia="仿宋_GB2312" w:cs="宋体"/>
                <w:b/>
                <w:color w:val="FF0000"/>
                <w:sz w:val="24"/>
                <w:szCs w:val="24"/>
                <w:highlight w:val="none"/>
              </w:rPr>
              <w:t>本项目采购产品中，有部分产品（如A02010104台式计算机、A02010105便携式计算机、A02010107平板式微型计算机等）属于节能产品品目清单中的强制采购产品，投标人所投的相应产品须符合品目清单中相应的产品类别及所依据的相关标准规范，并提供该产品由国家认证机构出具的、处于有效期之内的节能产品认证证书。</w:t>
            </w:r>
          </w:p>
        </w:tc>
      </w:tr>
    </w:tbl>
    <w:p>
      <w:pPr>
        <w:adjustRightInd w:val="0"/>
        <w:snapToGrid w:val="0"/>
        <w:spacing w:line="500" w:lineRule="atLeast"/>
        <w:jc w:val="center"/>
        <w:rPr>
          <w:rFonts w:ascii="仿宋_GB2312" w:eastAsia="仿宋_GB2312"/>
          <w:b/>
          <w:bCs/>
          <w:color w:val="000000"/>
          <w:sz w:val="32"/>
          <w:szCs w:val="32"/>
          <w:highlight w:val="none"/>
        </w:rPr>
      </w:pPr>
      <w:r>
        <w:rPr>
          <w:rFonts w:hint="eastAsia" w:ascii="仿宋_GB2312" w:hAnsi="宋体" w:eastAsia="仿宋_GB2312" w:cs="宋体"/>
          <w:b/>
          <w:bCs/>
          <w:color w:val="000000"/>
          <w:sz w:val="32"/>
          <w:szCs w:val="32"/>
          <w:highlight w:val="none"/>
        </w:rPr>
        <w:t>二、投 标 须 知</w:t>
      </w:r>
    </w:p>
    <w:p>
      <w:pPr>
        <w:adjustRightInd w:val="0"/>
        <w:snapToGrid w:val="0"/>
        <w:spacing w:line="500" w:lineRule="atLeast"/>
        <w:jc w:val="center"/>
        <w:rPr>
          <w:rFonts w:ascii="仿宋_GB2312" w:eastAsia="仿宋_GB2312"/>
          <w:b/>
          <w:bCs/>
          <w:color w:val="000000"/>
          <w:spacing w:val="4"/>
          <w:sz w:val="30"/>
          <w:szCs w:val="30"/>
          <w:highlight w:val="none"/>
        </w:rPr>
      </w:pPr>
      <w:r>
        <w:rPr>
          <w:rFonts w:hint="eastAsia" w:ascii="仿宋_GB2312" w:hAnsi="宋体" w:eastAsia="仿宋_GB2312" w:cs="宋体"/>
          <w:b/>
          <w:bCs/>
          <w:color w:val="000000"/>
          <w:sz w:val="30"/>
          <w:szCs w:val="30"/>
          <w:highlight w:val="none"/>
        </w:rPr>
        <w:t>（一）总</w:t>
      </w:r>
      <w:r>
        <w:rPr>
          <w:rFonts w:hint="eastAsia" w:ascii="仿宋_GB2312" w:hAnsi="宋体" w:eastAsia="仿宋_GB2312" w:cs="宋体"/>
          <w:b/>
          <w:bCs/>
          <w:color w:val="000000"/>
          <w:spacing w:val="4"/>
          <w:sz w:val="30"/>
          <w:szCs w:val="30"/>
          <w:highlight w:val="none"/>
        </w:rPr>
        <w:t>则</w:t>
      </w:r>
    </w:p>
    <w:p>
      <w:pPr>
        <w:autoSpaceDE w:val="0"/>
        <w:autoSpaceDN w:val="0"/>
        <w:adjustRightInd w:val="0"/>
        <w:snapToGrid w:val="0"/>
        <w:spacing w:line="500" w:lineRule="atLeast"/>
        <w:ind w:firstLine="480" w:firstLineChars="200"/>
        <w:textAlignment w:val="bottom"/>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本次招标工作是按照《中华人民共和国政府采购法》等有关法规组织和实施。</w:t>
      </w:r>
    </w:p>
    <w:p>
      <w:pPr>
        <w:autoSpaceDE w:val="0"/>
        <w:autoSpaceDN w:val="0"/>
        <w:adjustRightInd w:val="0"/>
        <w:snapToGrid w:val="0"/>
        <w:spacing w:line="500" w:lineRule="atLeast"/>
        <w:ind w:firstLine="482" w:firstLineChars="200"/>
        <w:textAlignment w:val="bottom"/>
        <w:rPr>
          <w:rStyle w:val="88"/>
          <w:rFonts w:hint="default" w:ascii="仿宋_GB2312" w:hAnsi="Times New Roman" w:eastAsia="仿宋_GB2312"/>
          <w:bCs/>
          <w:szCs w:val="24"/>
          <w:highlight w:val="none"/>
          <w:u w:val="single"/>
        </w:rPr>
      </w:pPr>
      <w:r>
        <w:rPr>
          <w:rFonts w:hint="eastAsia" w:ascii="仿宋_GB2312" w:hAnsi="宋体" w:eastAsia="仿宋_GB2312" w:cs="宋体"/>
          <w:b/>
          <w:bCs/>
          <w:color w:val="000000"/>
          <w:sz w:val="24"/>
          <w:szCs w:val="24"/>
          <w:highlight w:val="none"/>
          <w:u w:val="single"/>
        </w:rPr>
        <w:t>如发现招标文件及其评审办法中存在含糊不清、相互矛盾、多种含义以及歧视性不公正条款或违法违规等内容时，请在规定的询疑截止时间前向采购人、集中采购代理机构书面反映，逾期将被视为认可此招标文件，不得再对招标文件的条款提出</w:t>
      </w:r>
      <w:r>
        <w:rPr>
          <w:rFonts w:hint="eastAsia" w:ascii="仿宋_GB2312" w:hAnsi="宋体" w:eastAsia="仿宋_GB2312" w:cs="宋体"/>
          <w:b/>
          <w:bCs/>
          <w:sz w:val="24"/>
          <w:szCs w:val="24"/>
          <w:highlight w:val="none"/>
          <w:u w:val="single"/>
        </w:rPr>
        <w:t>询疑</w:t>
      </w:r>
      <w:r>
        <w:rPr>
          <w:rFonts w:hint="eastAsia" w:ascii="仿宋_GB2312" w:hAnsi="宋体" w:eastAsia="仿宋_GB2312" w:cs="宋体"/>
          <w:b/>
          <w:bCs/>
          <w:color w:val="000000"/>
          <w:sz w:val="24"/>
          <w:szCs w:val="24"/>
          <w:highlight w:val="none"/>
          <w:u w:val="single"/>
        </w:rPr>
        <w:t>。</w:t>
      </w:r>
    </w:p>
    <w:p>
      <w:pPr>
        <w:adjustRightInd w:val="0"/>
        <w:snapToGrid w:val="0"/>
        <w:spacing w:line="500" w:lineRule="atLeast"/>
        <w:ind w:firstLine="480" w:firstLineChars="200"/>
        <w:rPr>
          <w:rFonts w:ascii="仿宋_GB2312" w:eastAsia="仿宋_GB2312"/>
          <w:sz w:val="24"/>
          <w:szCs w:val="24"/>
          <w:highlight w:val="none"/>
        </w:rPr>
      </w:pPr>
      <w:r>
        <w:rPr>
          <w:rFonts w:hint="eastAsia" w:ascii="仿宋_GB2312" w:hAnsi="宋体" w:eastAsia="仿宋_GB2312" w:cs="宋体"/>
          <w:color w:val="000000"/>
          <w:sz w:val="24"/>
          <w:szCs w:val="24"/>
          <w:highlight w:val="none"/>
        </w:rPr>
        <w:t>本招标文件及相应的补充文件、通知等解释权归杭州市公共资源交易中心江干分中心所有。</w:t>
      </w:r>
      <w:r>
        <w:rPr>
          <w:rFonts w:hint="eastAsia" w:ascii="仿宋_GB2312" w:hAnsi="宋体" w:eastAsia="仿宋_GB2312" w:cs="宋体"/>
          <w:b/>
          <w:bCs/>
          <w:color w:val="000000"/>
          <w:sz w:val="24"/>
          <w:szCs w:val="24"/>
          <w:highlight w:val="none"/>
          <w:u w:val="single"/>
        </w:rPr>
        <w:t>询疑截止时间为</w:t>
      </w:r>
      <w:r>
        <w:rPr>
          <w:rFonts w:hint="eastAsia" w:ascii="仿宋_GB2312" w:hAnsi="宋体" w:eastAsia="仿宋_GB2312" w:cs="宋体"/>
          <w:b/>
          <w:bCs/>
          <w:color w:val="FF0000"/>
          <w:sz w:val="24"/>
          <w:szCs w:val="24"/>
          <w:highlight w:val="none"/>
          <w:u w:val="single"/>
        </w:rPr>
        <w:t>2019年</w:t>
      </w:r>
      <w:r>
        <w:rPr>
          <w:rFonts w:hint="eastAsia" w:ascii="仿宋_GB2312" w:hAnsi="宋体" w:eastAsia="仿宋_GB2312" w:cs="宋体"/>
          <w:b/>
          <w:bCs/>
          <w:color w:val="FF0000"/>
          <w:sz w:val="24"/>
          <w:szCs w:val="24"/>
          <w:highlight w:val="none"/>
          <w:u w:val="single"/>
          <w:lang w:val="en-US" w:eastAsia="zh-CN"/>
        </w:rPr>
        <w:t>7</w:t>
      </w:r>
      <w:r>
        <w:rPr>
          <w:rFonts w:hint="eastAsia" w:ascii="仿宋_GB2312" w:hAnsi="宋体" w:eastAsia="仿宋_GB2312" w:cs="宋体"/>
          <w:b/>
          <w:bCs/>
          <w:color w:val="FF0000"/>
          <w:sz w:val="24"/>
          <w:szCs w:val="24"/>
          <w:highlight w:val="none"/>
          <w:u w:val="single"/>
        </w:rPr>
        <w:t>月</w:t>
      </w:r>
      <w:r>
        <w:rPr>
          <w:rFonts w:hint="eastAsia" w:ascii="仿宋_GB2312" w:hAnsi="宋体" w:eastAsia="仿宋_GB2312" w:cs="宋体"/>
          <w:b/>
          <w:bCs/>
          <w:color w:val="FF0000"/>
          <w:sz w:val="24"/>
          <w:szCs w:val="24"/>
          <w:highlight w:val="none"/>
          <w:u w:val="single"/>
          <w:lang w:val="en-US" w:eastAsia="zh-CN"/>
        </w:rPr>
        <w:t>19</w:t>
      </w:r>
      <w:r>
        <w:rPr>
          <w:rFonts w:hint="eastAsia" w:ascii="仿宋_GB2312" w:hAnsi="宋体" w:eastAsia="仿宋_GB2312" w:cs="宋体"/>
          <w:b/>
          <w:bCs/>
          <w:color w:val="FF0000"/>
          <w:sz w:val="24"/>
          <w:szCs w:val="24"/>
          <w:highlight w:val="none"/>
          <w:u w:val="single"/>
        </w:rPr>
        <w:t>日11时00分。</w:t>
      </w:r>
    </w:p>
    <w:p>
      <w:pPr>
        <w:adjustRightInd w:val="0"/>
        <w:snapToGrid w:val="0"/>
        <w:spacing w:line="500" w:lineRule="atLeast"/>
        <w:jc w:val="center"/>
        <w:rPr>
          <w:rFonts w:ascii="仿宋_GB2312" w:eastAsia="仿宋_GB2312"/>
          <w:b/>
          <w:bCs/>
          <w:color w:val="000000"/>
          <w:sz w:val="24"/>
          <w:szCs w:val="24"/>
          <w:highlight w:val="none"/>
        </w:rPr>
      </w:pPr>
    </w:p>
    <w:p>
      <w:pPr>
        <w:pStyle w:val="24"/>
        <w:adjustRightInd w:val="0"/>
        <w:snapToGrid w:val="0"/>
        <w:spacing w:line="500" w:lineRule="atLeast"/>
        <w:rPr>
          <w:rFonts w:ascii="仿宋_GB2312" w:hAnsi="宋体" w:eastAsia="仿宋_GB2312" w:cs="Times New Roman"/>
          <w:b/>
          <w:bCs/>
          <w:color w:val="000000"/>
          <w:sz w:val="24"/>
          <w:szCs w:val="24"/>
          <w:highlight w:val="none"/>
        </w:rPr>
      </w:pPr>
      <w:r>
        <w:rPr>
          <w:rFonts w:hint="eastAsia" w:ascii="仿宋_GB2312" w:hAnsi="宋体" w:eastAsia="仿宋_GB2312"/>
          <w:b/>
          <w:bCs/>
          <w:color w:val="000000"/>
          <w:spacing w:val="4"/>
          <w:sz w:val="24"/>
          <w:szCs w:val="24"/>
          <w:highlight w:val="none"/>
        </w:rPr>
        <w:t>1、</w:t>
      </w:r>
      <w:r>
        <w:rPr>
          <w:rFonts w:hint="eastAsia" w:ascii="仿宋_GB2312" w:hAnsi="宋体" w:eastAsia="仿宋_GB2312"/>
          <w:b/>
          <w:bCs/>
          <w:color w:val="000000"/>
          <w:sz w:val="24"/>
          <w:szCs w:val="24"/>
          <w:highlight w:val="none"/>
        </w:rPr>
        <w:t>适用范围</w:t>
      </w:r>
    </w:p>
    <w:p>
      <w:pPr>
        <w:pStyle w:val="24"/>
        <w:adjustRightInd w:val="0"/>
        <w:snapToGrid w:val="0"/>
        <w:spacing w:line="500" w:lineRule="atLeast"/>
        <w:ind w:firstLine="480" w:firstLineChars="200"/>
        <w:rPr>
          <w:rFonts w:ascii="仿宋_GB2312" w:hAnsi="宋体" w:eastAsia="仿宋_GB2312"/>
          <w:sz w:val="24"/>
          <w:szCs w:val="24"/>
          <w:highlight w:val="none"/>
        </w:rPr>
      </w:pPr>
      <w:r>
        <w:rPr>
          <w:rFonts w:hint="eastAsia" w:ascii="仿宋_GB2312" w:hAnsi="宋体" w:eastAsia="仿宋_GB2312"/>
          <w:sz w:val="24"/>
          <w:szCs w:val="24"/>
          <w:highlight w:val="none"/>
        </w:rPr>
        <w:t>1.1本招标文件适用于本次招标中所叙述的全科医生技能培训中心建设项目。</w:t>
      </w:r>
    </w:p>
    <w:p>
      <w:pPr>
        <w:pStyle w:val="24"/>
        <w:adjustRightInd w:val="0"/>
        <w:snapToGrid w:val="0"/>
        <w:spacing w:line="500" w:lineRule="atLeast"/>
        <w:rPr>
          <w:rFonts w:ascii="仿宋_GB2312" w:hAnsi="宋体" w:eastAsia="仿宋_GB2312" w:cs="Times New Roman"/>
          <w:b/>
          <w:bCs/>
          <w:sz w:val="24"/>
          <w:szCs w:val="24"/>
          <w:highlight w:val="none"/>
        </w:rPr>
      </w:pPr>
      <w:r>
        <w:rPr>
          <w:rFonts w:hint="eastAsia" w:ascii="仿宋_GB2312" w:hAnsi="宋体" w:eastAsia="仿宋_GB2312"/>
          <w:b/>
          <w:bCs/>
          <w:sz w:val="24"/>
          <w:szCs w:val="24"/>
          <w:highlight w:val="none"/>
        </w:rPr>
        <w:t>2、定义解释</w:t>
      </w:r>
    </w:p>
    <w:p>
      <w:pPr>
        <w:pStyle w:val="24"/>
        <w:adjustRightInd w:val="0"/>
        <w:snapToGrid w:val="0"/>
        <w:spacing w:line="500" w:lineRule="atLeast"/>
        <w:ind w:firstLine="480" w:firstLineChars="200"/>
        <w:rPr>
          <w:rFonts w:ascii="仿宋_GB2312" w:hAnsi="宋体" w:eastAsia="仿宋_GB2312" w:cs="Times New Roman"/>
          <w:sz w:val="24"/>
          <w:szCs w:val="24"/>
          <w:highlight w:val="none"/>
        </w:rPr>
      </w:pPr>
      <w:r>
        <w:rPr>
          <w:rFonts w:hint="eastAsia" w:ascii="仿宋_GB2312" w:hAnsi="宋体" w:eastAsia="仿宋_GB2312"/>
          <w:sz w:val="24"/>
          <w:szCs w:val="24"/>
          <w:highlight w:val="none"/>
        </w:rPr>
        <w:t>2.1“集中采购机构”是指杭州市公共资源交易中心江干分中心,是整个招标采购活动的组织者，并依法负责编制招标文件，对招标文件拥有最终解释权。</w:t>
      </w:r>
    </w:p>
    <w:p>
      <w:pPr>
        <w:pStyle w:val="24"/>
        <w:adjustRightInd w:val="0"/>
        <w:snapToGrid w:val="0"/>
        <w:spacing w:line="500" w:lineRule="atLeast"/>
        <w:ind w:firstLine="480" w:firstLineChars="200"/>
        <w:rPr>
          <w:rFonts w:ascii="仿宋_GB2312" w:hAnsi="宋体" w:eastAsia="仿宋_GB2312"/>
          <w:color w:val="FF0000"/>
          <w:kern w:val="0"/>
          <w:sz w:val="24"/>
          <w:szCs w:val="24"/>
          <w:highlight w:val="none"/>
        </w:rPr>
      </w:pPr>
      <w:r>
        <w:rPr>
          <w:rFonts w:hint="eastAsia" w:ascii="仿宋_GB2312" w:hAnsi="宋体" w:eastAsia="仿宋_GB2312"/>
          <w:sz w:val="24"/>
          <w:szCs w:val="24"/>
          <w:highlight w:val="none"/>
        </w:rPr>
        <w:t>2.2“采购人”是指有本招标文件所列</w:t>
      </w:r>
      <w:r>
        <w:rPr>
          <w:rFonts w:hint="eastAsia" w:ascii="仿宋_GB2312" w:hAnsi="宋体" w:eastAsia="仿宋_GB2312"/>
          <w:sz w:val="24"/>
          <w:szCs w:val="24"/>
          <w:highlight w:val="none"/>
          <w:lang w:val="en-GB"/>
        </w:rPr>
        <w:t>的招标单位，即杭州市江干区四季青街道社区卫生服务中心。</w:t>
      </w:r>
    </w:p>
    <w:p>
      <w:pPr>
        <w:pStyle w:val="24"/>
        <w:adjustRightInd w:val="0"/>
        <w:snapToGrid w:val="0"/>
        <w:spacing w:line="500" w:lineRule="atLeast"/>
        <w:ind w:firstLine="480" w:firstLineChars="200"/>
        <w:rPr>
          <w:rFonts w:ascii="仿宋_GB2312" w:hAnsi="宋体" w:eastAsia="仿宋_GB2312"/>
          <w:sz w:val="24"/>
          <w:szCs w:val="24"/>
          <w:highlight w:val="none"/>
        </w:rPr>
      </w:pPr>
      <w:r>
        <w:rPr>
          <w:rFonts w:hint="eastAsia" w:ascii="仿宋_GB2312" w:hAnsi="宋体" w:eastAsia="仿宋_GB2312"/>
          <w:sz w:val="24"/>
          <w:szCs w:val="24"/>
          <w:highlight w:val="none"/>
        </w:rPr>
        <w:t>2.3“招标项目”是指本招标文件所要求的职工疗休养项目。</w:t>
      </w:r>
    </w:p>
    <w:p>
      <w:pPr>
        <w:adjustRightInd w:val="0"/>
        <w:snapToGrid w:val="0"/>
        <w:spacing w:line="500" w:lineRule="atLeast"/>
        <w:ind w:right="3" w:firstLine="480" w:firstLineChars="200"/>
        <w:rPr>
          <w:rFonts w:ascii="仿宋_GB2312" w:eastAsia="仿宋_GB2312"/>
          <w:sz w:val="24"/>
          <w:szCs w:val="24"/>
          <w:highlight w:val="none"/>
        </w:rPr>
      </w:pPr>
      <w:r>
        <w:rPr>
          <w:rFonts w:hint="eastAsia" w:ascii="仿宋_GB2312" w:hAnsi="宋体" w:eastAsia="仿宋_GB2312" w:cs="宋体"/>
          <w:sz w:val="24"/>
          <w:szCs w:val="24"/>
          <w:highlight w:val="none"/>
        </w:rPr>
        <w:t>2.4“投标人”是指获得招标文件并向集中采购机构提交投标文件的供应商。</w:t>
      </w:r>
    </w:p>
    <w:p>
      <w:pPr>
        <w:pStyle w:val="24"/>
        <w:adjustRightInd w:val="0"/>
        <w:snapToGrid w:val="0"/>
        <w:spacing w:line="500" w:lineRule="atLeast"/>
        <w:ind w:firstLine="480" w:firstLineChars="200"/>
        <w:rPr>
          <w:rFonts w:ascii="仿宋_GB2312" w:hAnsi="宋体" w:eastAsia="仿宋_GB2312" w:cs="Times New Roman"/>
          <w:sz w:val="24"/>
          <w:szCs w:val="24"/>
          <w:highlight w:val="none"/>
        </w:rPr>
      </w:pPr>
      <w:r>
        <w:rPr>
          <w:rFonts w:hint="eastAsia" w:ascii="仿宋_GB2312" w:hAnsi="宋体" w:eastAsia="仿宋_GB2312"/>
          <w:sz w:val="24"/>
          <w:szCs w:val="24"/>
          <w:highlight w:val="none"/>
        </w:rPr>
        <w:t>2.5“潜在投标人”是指符合招标文件规定的合格供应商。</w:t>
      </w:r>
    </w:p>
    <w:p>
      <w:pPr>
        <w:adjustRightInd w:val="0"/>
        <w:snapToGrid w:val="0"/>
        <w:spacing w:line="500" w:lineRule="atLeast"/>
        <w:ind w:right="3"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2.6“中标人”是指评审委员会推荐并经审查通过，公示无异议的投标人。</w:t>
      </w:r>
    </w:p>
    <w:p>
      <w:pPr>
        <w:adjustRightInd w:val="0"/>
        <w:snapToGrid w:val="0"/>
        <w:spacing w:line="500" w:lineRule="atLeast"/>
        <w:ind w:right="3"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2.7“投标人代表”是指法定代表人或法定代表授权委托人。</w:t>
      </w:r>
    </w:p>
    <w:p>
      <w:pPr>
        <w:adjustRightInd w:val="0"/>
        <w:snapToGrid w:val="0"/>
        <w:spacing w:line="500" w:lineRule="atLeast"/>
        <w:ind w:right="3"/>
        <w:rPr>
          <w:rFonts w:ascii="仿宋_GB2312" w:eastAsia="仿宋_GB2312"/>
          <w:b/>
          <w:bCs/>
          <w:color w:val="000000"/>
          <w:sz w:val="24"/>
          <w:szCs w:val="24"/>
          <w:highlight w:val="none"/>
        </w:rPr>
      </w:pPr>
      <w:r>
        <w:rPr>
          <w:rFonts w:hint="eastAsia" w:ascii="仿宋_GB2312" w:hAnsi="宋体" w:eastAsia="仿宋_GB2312" w:cs="宋体"/>
          <w:b/>
          <w:bCs/>
          <w:color w:val="000000"/>
          <w:sz w:val="24"/>
          <w:szCs w:val="24"/>
          <w:highlight w:val="none"/>
        </w:rPr>
        <w:t>3、项目说明</w:t>
      </w:r>
    </w:p>
    <w:p>
      <w:pPr>
        <w:adjustRightInd w:val="0"/>
        <w:snapToGrid w:val="0"/>
        <w:spacing w:line="500" w:lineRule="atLeast"/>
        <w:ind w:right="3" w:firstLine="480" w:firstLineChars="20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3.1本招标项目说明详见招标文件投标须知前附表。</w:t>
      </w:r>
    </w:p>
    <w:p>
      <w:pPr>
        <w:adjustRightInd w:val="0"/>
        <w:snapToGrid w:val="0"/>
        <w:spacing w:line="500" w:lineRule="atLeast"/>
        <w:ind w:right="3" w:firstLine="480" w:firstLineChars="20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3.2本招标项目按照《中华人民共和国政府采购法》等有关法律、行政法规和部门规章，通过公开招标选定中标人。</w:t>
      </w:r>
    </w:p>
    <w:p>
      <w:pPr>
        <w:adjustRightInd w:val="0"/>
        <w:snapToGrid w:val="0"/>
        <w:spacing w:line="500" w:lineRule="atLeast"/>
        <w:ind w:right="3"/>
        <w:rPr>
          <w:rFonts w:ascii="仿宋_GB2312" w:eastAsia="仿宋_GB2312"/>
          <w:b/>
          <w:bCs/>
          <w:color w:val="000000"/>
          <w:spacing w:val="4"/>
          <w:sz w:val="24"/>
          <w:szCs w:val="24"/>
          <w:highlight w:val="none"/>
        </w:rPr>
      </w:pPr>
      <w:r>
        <w:rPr>
          <w:rFonts w:hint="eastAsia" w:ascii="仿宋_GB2312" w:hAnsi="宋体" w:eastAsia="仿宋_GB2312" w:cs="宋体"/>
          <w:b/>
          <w:bCs/>
          <w:color w:val="000000"/>
          <w:spacing w:val="4"/>
          <w:sz w:val="24"/>
          <w:szCs w:val="24"/>
          <w:highlight w:val="none"/>
        </w:rPr>
        <w:t>4、合格投标人的条件</w:t>
      </w:r>
    </w:p>
    <w:p>
      <w:pPr>
        <w:adjustRightInd w:val="0"/>
        <w:snapToGrid w:val="0"/>
        <w:spacing w:line="500" w:lineRule="atLeast"/>
        <w:ind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4.1凡符合</w:t>
      </w:r>
      <w:r>
        <w:rPr>
          <w:rFonts w:hint="eastAsia" w:ascii="仿宋_GB2312" w:hAnsi="宋体" w:eastAsia="仿宋_GB2312" w:cs="宋体"/>
          <w:color w:val="000000"/>
          <w:spacing w:val="4"/>
          <w:sz w:val="24"/>
          <w:szCs w:val="24"/>
          <w:highlight w:val="none"/>
        </w:rPr>
        <w:t>本招标文件</w:t>
      </w:r>
      <w:r>
        <w:rPr>
          <w:rFonts w:hint="eastAsia" w:ascii="仿宋_GB2312" w:hAnsi="宋体" w:eastAsia="仿宋_GB2312" w:cs="宋体"/>
          <w:color w:val="000000"/>
          <w:sz w:val="24"/>
          <w:szCs w:val="24"/>
          <w:highlight w:val="none"/>
        </w:rPr>
        <w:t>第一部分招标公告投标人资格要求的均为合格的投标人。</w:t>
      </w:r>
    </w:p>
    <w:p>
      <w:pPr>
        <w:adjustRightInd w:val="0"/>
        <w:snapToGrid w:val="0"/>
        <w:spacing w:line="500" w:lineRule="atLeast"/>
        <w:ind w:right="3"/>
        <w:rPr>
          <w:rFonts w:ascii="仿宋_GB2312" w:hAnsi="宋体" w:eastAsia="仿宋_GB2312"/>
          <w:b/>
          <w:spacing w:val="4"/>
          <w:sz w:val="24"/>
          <w:highlight w:val="none"/>
        </w:rPr>
      </w:pPr>
      <w:r>
        <w:rPr>
          <w:rFonts w:hint="eastAsia" w:ascii="仿宋_GB2312" w:hAnsi="宋体" w:eastAsia="仿宋_GB2312"/>
          <w:b/>
          <w:spacing w:val="4"/>
          <w:sz w:val="24"/>
          <w:highlight w:val="none"/>
        </w:rPr>
        <w:t>5、放弃投标须知</w:t>
      </w:r>
    </w:p>
    <w:p>
      <w:pPr>
        <w:adjustRightInd w:val="0"/>
        <w:snapToGrid w:val="0"/>
        <w:spacing w:line="500" w:lineRule="atLeast"/>
        <w:ind w:firstLine="480"/>
        <w:rPr>
          <w:rFonts w:ascii="仿宋_GB2312" w:hAnsi="宋体" w:eastAsia="仿宋_GB2312"/>
          <w:sz w:val="24"/>
          <w:highlight w:val="none"/>
        </w:rPr>
      </w:pPr>
      <w:r>
        <w:rPr>
          <w:rFonts w:hint="eastAsia" w:ascii="仿宋_GB2312" w:hAnsi="宋体" w:eastAsia="仿宋_GB2312"/>
          <w:sz w:val="24"/>
          <w:highlight w:val="none"/>
        </w:rPr>
        <w:t>5.1 如因各种原因，报名后无法正常参加投标，需在开标前两个工作日，以书面形式出具弃标函，并通知杭州市公共资源交易中心江干分中心本项目负责人。</w:t>
      </w:r>
    </w:p>
    <w:p>
      <w:pPr>
        <w:adjustRightInd w:val="0"/>
        <w:snapToGrid w:val="0"/>
        <w:spacing w:line="500" w:lineRule="atLeast"/>
        <w:ind w:firstLine="480"/>
        <w:rPr>
          <w:rFonts w:ascii="仿宋_GB2312" w:hAnsi="宋体" w:eastAsia="仿宋_GB2312"/>
          <w:sz w:val="24"/>
          <w:highlight w:val="none"/>
        </w:rPr>
      </w:pPr>
      <w:r>
        <w:rPr>
          <w:rFonts w:hint="eastAsia" w:ascii="仿宋_GB2312" w:hAnsi="宋体" w:eastAsia="仿宋_GB2312"/>
          <w:sz w:val="24"/>
          <w:highlight w:val="none"/>
        </w:rPr>
        <w:t>5.2 弃标函需加盖公章，原件或传真发至杭州市公共资源交易中心江干分中心。传真号码：0571—87654242。</w:t>
      </w:r>
    </w:p>
    <w:p>
      <w:pPr>
        <w:adjustRightInd w:val="0"/>
        <w:snapToGrid w:val="0"/>
        <w:spacing w:line="500" w:lineRule="atLeast"/>
        <w:ind w:firstLine="480"/>
        <w:rPr>
          <w:rFonts w:ascii="仿宋_GB2312" w:hAnsi="宋体" w:eastAsia="仿宋_GB2312"/>
          <w:sz w:val="24"/>
          <w:highlight w:val="none"/>
        </w:rPr>
      </w:pPr>
      <w:r>
        <w:rPr>
          <w:rFonts w:hint="eastAsia" w:ascii="仿宋_GB2312" w:hAnsi="宋体" w:eastAsia="仿宋_GB2312"/>
          <w:sz w:val="24"/>
          <w:highlight w:val="none"/>
        </w:rPr>
        <w:t>5.3 投标人报名后，无故不参加投标或通知不及时的，将记录在案，并影响该投标人在江干区范围内的后续投标活动。</w:t>
      </w:r>
    </w:p>
    <w:p>
      <w:pPr>
        <w:adjustRightInd w:val="0"/>
        <w:snapToGrid w:val="0"/>
        <w:spacing w:line="500" w:lineRule="atLeast"/>
        <w:jc w:val="center"/>
        <w:rPr>
          <w:rFonts w:ascii="仿宋_GB2312" w:hAnsi="宋体" w:eastAsia="仿宋_GB2312" w:cs="宋体"/>
          <w:b/>
          <w:bCs/>
          <w:color w:val="000000"/>
          <w:sz w:val="30"/>
          <w:szCs w:val="30"/>
          <w:highlight w:val="none"/>
          <w:lang w:val="en-GB"/>
        </w:rPr>
      </w:pPr>
    </w:p>
    <w:p>
      <w:pPr>
        <w:adjustRightInd w:val="0"/>
        <w:snapToGrid w:val="0"/>
        <w:spacing w:line="500" w:lineRule="atLeast"/>
        <w:jc w:val="center"/>
        <w:rPr>
          <w:rFonts w:ascii="仿宋_GB2312" w:eastAsia="仿宋_GB2312"/>
          <w:b/>
          <w:bCs/>
          <w:color w:val="000000"/>
          <w:sz w:val="30"/>
          <w:szCs w:val="30"/>
          <w:highlight w:val="none"/>
          <w:lang w:val="en-GB"/>
        </w:rPr>
      </w:pPr>
      <w:r>
        <w:rPr>
          <w:rFonts w:hint="eastAsia" w:ascii="仿宋_GB2312" w:hAnsi="宋体" w:eastAsia="仿宋_GB2312" w:cs="宋体"/>
          <w:b/>
          <w:bCs/>
          <w:color w:val="000000"/>
          <w:sz w:val="30"/>
          <w:szCs w:val="30"/>
          <w:highlight w:val="none"/>
          <w:lang w:val="en-GB"/>
        </w:rPr>
        <w:t>（二）招标文件</w:t>
      </w:r>
    </w:p>
    <w:p>
      <w:pPr>
        <w:adjustRightInd w:val="0"/>
        <w:snapToGrid w:val="0"/>
        <w:spacing w:line="500" w:lineRule="atLeast"/>
        <w:rPr>
          <w:rFonts w:ascii="仿宋_GB2312" w:eastAsia="仿宋_GB2312"/>
          <w:b/>
          <w:bCs/>
          <w:color w:val="000000"/>
          <w:sz w:val="24"/>
          <w:szCs w:val="24"/>
          <w:highlight w:val="none"/>
          <w:lang w:val="en-GB"/>
        </w:rPr>
      </w:pPr>
      <w:r>
        <w:rPr>
          <w:rFonts w:hint="eastAsia" w:ascii="仿宋_GB2312" w:hAnsi="宋体" w:eastAsia="仿宋_GB2312" w:cs="宋体"/>
          <w:b/>
          <w:bCs/>
          <w:color w:val="000000"/>
          <w:sz w:val="24"/>
          <w:szCs w:val="24"/>
          <w:highlight w:val="none"/>
          <w:lang w:val="en-GB"/>
        </w:rPr>
        <w:t>1、招标文件的组成</w:t>
      </w:r>
    </w:p>
    <w:p>
      <w:pPr>
        <w:tabs>
          <w:tab w:val="left" w:pos="0"/>
        </w:tabs>
        <w:adjustRightInd w:val="0"/>
        <w:snapToGrid w:val="0"/>
        <w:spacing w:line="500" w:lineRule="atLeast"/>
        <w:ind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lang w:val="en-GB"/>
        </w:rPr>
        <w:t>1.1</w:t>
      </w:r>
      <w:r>
        <w:rPr>
          <w:rFonts w:hint="eastAsia" w:ascii="仿宋_GB2312" w:hAnsi="宋体" w:eastAsia="仿宋_GB2312" w:cs="宋体"/>
          <w:color w:val="000000"/>
          <w:sz w:val="24"/>
          <w:szCs w:val="24"/>
          <w:highlight w:val="none"/>
        </w:rPr>
        <w:t>招标文件共分为六部分，其内容如下：</w:t>
      </w:r>
    </w:p>
    <w:p>
      <w:pPr>
        <w:tabs>
          <w:tab w:val="left" w:pos="0"/>
        </w:tabs>
        <w:adjustRightInd w:val="0"/>
        <w:snapToGrid w:val="0"/>
        <w:spacing w:line="500" w:lineRule="atLeast"/>
        <w:ind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lang w:val="en-GB"/>
        </w:rPr>
        <w:t>第一部分  招标公告</w:t>
      </w:r>
    </w:p>
    <w:p>
      <w:pPr>
        <w:tabs>
          <w:tab w:val="left" w:pos="0"/>
        </w:tabs>
        <w:adjustRightInd w:val="0"/>
        <w:snapToGrid w:val="0"/>
        <w:spacing w:line="500" w:lineRule="atLeast"/>
        <w:ind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lang w:val="en-GB"/>
        </w:rPr>
        <w:t xml:space="preserve">第二部分  </w:t>
      </w:r>
      <w:r>
        <w:rPr>
          <w:rFonts w:hint="eastAsia" w:ascii="仿宋_GB2312" w:hAnsi="宋体" w:eastAsia="仿宋_GB2312" w:cs="宋体"/>
          <w:color w:val="000000"/>
          <w:sz w:val="24"/>
          <w:szCs w:val="24"/>
          <w:highlight w:val="none"/>
        </w:rPr>
        <w:t>投标须知前附表及投标须知</w:t>
      </w:r>
    </w:p>
    <w:p>
      <w:pPr>
        <w:tabs>
          <w:tab w:val="left" w:pos="0"/>
        </w:tabs>
        <w:adjustRightInd w:val="0"/>
        <w:snapToGrid w:val="0"/>
        <w:spacing w:line="500" w:lineRule="atLeast"/>
        <w:ind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第三部分  招标内容及项目要求</w:t>
      </w:r>
    </w:p>
    <w:p>
      <w:pPr>
        <w:tabs>
          <w:tab w:val="left" w:pos="0"/>
        </w:tabs>
        <w:adjustRightInd w:val="0"/>
        <w:snapToGrid w:val="0"/>
        <w:spacing w:line="500" w:lineRule="atLeast"/>
        <w:ind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第四部分  评审原则及方法</w:t>
      </w:r>
    </w:p>
    <w:p>
      <w:pPr>
        <w:tabs>
          <w:tab w:val="left" w:pos="0"/>
        </w:tabs>
        <w:adjustRightInd w:val="0"/>
        <w:snapToGrid w:val="0"/>
        <w:spacing w:line="500" w:lineRule="atLeast"/>
        <w:ind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第五部分  应提交的有关格式范例</w:t>
      </w:r>
    </w:p>
    <w:p>
      <w:pPr>
        <w:tabs>
          <w:tab w:val="left" w:pos="0"/>
        </w:tabs>
        <w:adjustRightInd w:val="0"/>
        <w:snapToGrid w:val="0"/>
        <w:spacing w:line="500" w:lineRule="atLeast"/>
        <w:ind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第六部分  合同主要条款</w:t>
      </w:r>
    </w:p>
    <w:p>
      <w:pPr>
        <w:tabs>
          <w:tab w:val="left" w:pos="0"/>
        </w:tabs>
        <w:adjustRightInd w:val="0"/>
        <w:snapToGrid w:val="0"/>
        <w:spacing w:line="500" w:lineRule="atLeast"/>
        <w:ind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lang w:val="en-GB"/>
        </w:rPr>
        <w:t>1.2</w:t>
      </w:r>
      <w:r>
        <w:rPr>
          <w:rFonts w:hint="eastAsia" w:ascii="仿宋_GB2312" w:hAnsi="宋体" w:eastAsia="仿宋_GB2312" w:cs="宋体"/>
          <w:color w:val="000000"/>
          <w:sz w:val="24"/>
          <w:szCs w:val="24"/>
          <w:highlight w:val="none"/>
        </w:rPr>
        <w:t>除上条1.1内容外，集中采购机构在规定时间前，以书面形式发出的对招标文件的澄清或修改内容，均为招标文件的组成部分。</w:t>
      </w:r>
    </w:p>
    <w:p>
      <w:pPr>
        <w:tabs>
          <w:tab w:val="left" w:pos="0"/>
        </w:tabs>
        <w:adjustRightInd w:val="0"/>
        <w:snapToGrid w:val="0"/>
        <w:spacing w:line="500" w:lineRule="atLeast"/>
        <w:ind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1.3投标人获取招标文件后，应仔细检查招标文件的所有内容，如有残缺等问题，应在</w:t>
      </w:r>
      <w:r>
        <w:rPr>
          <w:rFonts w:hint="eastAsia" w:ascii="仿宋_GB2312" w:hAnsi="宋体" w:eastAsia="仿宋_GB2312" w:cs="宋体"/>
          <w:b/>
          <w:bCs/>
          <w:color w:val="000000"/>
          <w:sz w:val="24"/>
          <w:szCs w:val="24"/>
          <w:highlight w:val="none"/>
          <w:u w:val="single"/>
        </w:rPr>
        <w:t>询疑截止时间</w:t>
      </w:r>
      <w:r>
        <w:rPr>
          <w:rFonts w:hint="eastAsia" w:ascii="仿宋_GB2312" w:hAnsi="宋体" w:eastAsia="仿宋_GB2312" w:cs="宋体"/>
          <w:color w:val="000000"/>
          <w:sz w:val="24"/>
          <w:szCs w:val="24"/>
          <w:highlight w:val="none"/>
        </w:rPr>
        <w:t>前向采购人及集中采购机构书面提出，否则，由此引起的损失由投标人自行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tabs>
          <w:tab w:val="left" w:pos="0"/>
        </w:tabs>
        <w:adjustRightInd w:val="0"/>
        <w:snapToGrid w:val="0"/>
        <w:spacing w:line="500" w:lineRule="atLeast"/>
        <w:rPr>
          <w:rFonts w:ascii="仿宋_GB2312" w:eastAsia="仿宋_GB2312"/>
          <w:b/>
          <w:bCs/>
          <w:color w:val="000000"/>
          <w:sz w:val="24"/>
          <w:szCs w:val="24"/>
          <w:highlight w:val="none"/>
        </w:rPr>
      </w:pPr>
      <w:r>
        <w:rPr>
          <w:rFonts w:hint="eastAsia" w:ascii="仿宋_GB2312" w:hAnsi="宋体" w:eastAsia="仿宋_GB2312" w:cs="宋体"/>
          <w:b/>
          <w:bCs/>
          <w:color w:val="000000"/>
          <w:sz w:val="24"/>
          <w:szCs w:val="24"/>
          <w:highlight w:val="none"/>
        </w:rPr>
        <w:t>2、招标文件的澄清与修改</w:t>
      </w:r>
    </w:p>
    <w:p>
      <w:pPr>
        <w:tabs>
          <w:tab w:val="left" w:pos="0"/>
        </w:tabs>
        <w:adjustRightInd w:val="0"/>
        <w:snapToGrid w:val="0"/>
        <w:spacing w:line="500" w:lineRule="atLeast"/>
        <w:ind w:firstLine="468" w:firstLineChars="195"/>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2.1投标人若对招标文件有任何疑问或异议，要求澄清或认为有必要与集中采购机构进行技术交流时，应用书面形式在询疑截止时间前送至集中采购机构，集中采购机构将在规定时间内答复并予以澄清。</w:t>
      </w:r>
      <w:r>
        <w:rPr>
          <w:rFonts w:hint="eastAsia" w:ascii="仿宋_GB2312" w:hAnsi="宋体" w:eastAsia="仿宋_GB2312" w:cs="宋体"/>
          <w:b/>
          <w:bCs/>
          <w:color w:val="000000"/>
          <w:sz w:val="24"/>
          <w:szCs w:val="24"/>
          <w:highlight w:val="none"/>
        </w:rPr>
        <w:t>逾期提出的，集中采购机构可不予以受理、答复。</w:t>
      </w:r>
    </w:p>
    <w:p>
      <w:pPr>
        <w:tabs>
          <w:tab w:val="left" w:pos="0"/>
        </w:tabs>
        <w:adjustRightInd w:val="0"/>
        <w:snapToGrid w:val="0"/>
        <w:spacing w:line="500" w:lineRule="atLeast"/>
        <w:ind w:firstLine="468" w:firstLineChars="195"/>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2.2招标文件发出后，采购人可用补充文件的方式对已发出的招标文件进行必要的澄清或修改。补充文件是招标文件的组成部分，对所有投标人有约束力。</w:t>
      </w:r>
    </w:p>
    <w:p>
      <w:pPr>
        <w:tabs>
          <w:tab w:val="left" w:pos="0"/>
        </w:tabs>
        <w:adjustRightInd w:val="0"/>
        <w:snapToGrid w:val="0"/>
        <w:spacing w:line="500" w:lineRule="atLeast"/>
        <w:ind w:firstLine="468" w:firstLineChars="195"/>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2.3为使投标人在编制投标文件时有充分的时间对招标文件的澄清、修改、补充等内容进行研究，集中采购机构可以酌情延长提交投标文件的截止时间，具体时间将在招标文件的修改、补充通知中予以明确。</w:t>
      </w:r>
    </w:p>
    <w:p>
      <w:pPr>
        <w:tabs>
          <w:tab w:val="left" w:pos="0"/>
        </w:tabs>
        <w:adjustRightInd w:val="0"/>
        <w:snapToGrid w:val="0"/>
        <w:spacing w:line="500" w:lineRule="atLeast"/>
        <w:ind w:firstLine="468" w:firstLineChars="195"/>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2.4为使投标人有足够的时间按招标文件的澄清、修改要求修正投标文件，集中采购机构应以书面（含公告或电子邮件等）形式向已购买招标文件的所有投标人发出招标文件澄清、修改通知。若发出通知日距招标文件确定的投标截止时间不足15日，集中采购机构在通知书中明确是否推迟投标截止时间和开标时间。</w:t>
      </w:r>
    </w:p>
    <w:p>
      <w:pPr>
        <w:tabs>
          <w:tab w:val="left" w:pos="0"/>
        </w:tabs>
        <w:adjustRightInd w:val="0"/>
        <w:snapToGrid w:val="0"/>
        <w:spacing w:line="500" w:lineRule="atLeast"/>
        <w:ind w:firstLine="468" w:firstLineChars="195"/>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2.5投标人在收到招标文件澄清、修改通知或推迟投标截止时间和开标时间通知后，应在</w:t>
      </w:r>
      <w:r>
        <w:rPr>
          <w:rFonts w:hint="eastAsia" w:ascii="仿宋_GB2312" w:hAnsi="宋体" w:eastAsia="仿宋_GB2312" w:cs="宋体"/>
          <w:color w:val="000000"/>
          <w:sz w:val="24"/>
          <w:szCs w:val="24"/>
          <w:highlight w:val="none"/>
          <w:u w:val="single"/>
        </w:rPr>
        <w:t>1</w:t>
      </w:r>
      <w:r>
        <w:rPr>
          <w:rFonts w:hint="eastAsia" w:ascii="仿宋_GB2312" w:hAnsi="宋体" w:eastAsia="仿宋_GB2312" w:cs="宋体"/>
          <w:color w:val="000000"/>
          <w:sz w:val="24"/>
          <w:szCs w:val="24"/>
          <w:highlight w:val="none"/>
        </w:rPr>
        <w:t>个工作日内以书面或传真形式回复集中采购机构，逾期回复视为默认收到通知。如对招标文件澄清、修改通知或推迟投标截止时间和开标时间通知存在异议，也一并在此回复中加以说明。</w:t>
      </w:r>
    </w:p>
    <w:p>
      <w:pPr>
        <w:tabs>
          <w:tab w:val="left" w:pos="0"/>
        </w:tabs>
        <w:adjustRightInd w:val="0"/>
        <w:snapToGrid w:val="0"/>
        <w:spacing w:line="500" w:lineRule="atLeast"/>
        <w:ind w:firstLine="468" w:firstLineChars="195"/>
        <w:rPr>
          <w:rFonts w:ascii="仿宋_GB2312" w:eastAsia="仿宋_GB2312"/>
          <w:b/>
          <w:bCs/>
          <w:color w:val="000000"/>
          <w:sz w:val="24"/>
          <w:szCs w:val="24"/>
          <w:highlight w:val="none"/>
        </w:rPr>
      </w:pPr>
      <w:r>
        <w:rPr>
          <w:rFonts w:hint="eastAsia" w:ascii="仿宋_GB2312" w:hAnsi="宋体" w:eastAsia="仿宋_GB2312" w:cs="宋体"/>
          <w:color w:val="000000"/>
          <w:sz w:val="24"/>
          <w:szCs w:val="24"/>
          <w:highlight w:val="none"/>
        </w:rPr>
        <w:t>2.6招标文件的澄清、修改、补充等内容均以书面形式明确的内容为准。当招标文件、招标文件的澄清、修改、补充等在同一内容的表述上不一致时，以最后发出的书面文件为准。</w:t>
      </w:r>
    </w:p>
    <w:p>
      <w:pPr>
        <w:adjustRightInd w:val="0"/>
        <w:snapToGrid w:val="0"/>
        <w:spacing w:line="500" w:lineRule="atLeast"/>
        <w:jc w:val="center"/>
        <w:rPr>
          <w:rFonts w:ascii="仿宋_GB2312" w:hAnsi="宋体" w:eastAsia="仿宋_GB2312" w:cs="宋体"/>
          <w:b/>
          <w:bCs/>
          <w:color w:val="000000"/>
          <w:sz w:val="30"/>
          <w:szCs w:val="30"/>
          <w:highlight w:val="none"/>
        </w:rPr>
      </w:pPr>
    </w:p>
    <w:p>
      <w:pPr>
        <w:adjustRightInd w:val="0"/>
        <w:snapToGrid w:val="0"/>
        <w:spacing w:line="500" w:lineRule="atLeast"/>
        <w:jc w:val="center"/>
        <w:rPr>
          <w:rFonts w:ascii="仿宋_GB2312" w:eastAsia="仿宋_GB2312"/>
          <w:b/>
          <w:bCs/>
          <w:color w:val="000000"/>
          <w:spacing w:val="4"/>
          <w:sz w:val="30"/>
          <w:szCs w:val="30"/>
          <w:highlight w:val="none"/>
        </w:rPr>
      </w:pPr>
      <w:r>
        <w:rPr>
          <w:rFonts w:hint="eastAsia" w:ascii="仿宋_GB2312" w:hAnsi="宋体" w:eastAsia="仿宋_GB2312" w:cs="宋体"/>
          <w:b/>
          <w:bCs/>
          <w:color w:val="000000"/>
          <w:sz w:val="30"/>
          <w:szCs w:val="30"/>
          <w:highlight w:val="none"/>
        </w:rPr>
        <w:t>（三）</w:t>
      </w:r>
      <w:r>
        <w:rPr>
          <w:rFonts w:hint="eastAsia" w:ascii="仿宋_GB2312" w:hAnsi="宋体" w:eastAsia="仿宋_GB2312" w:cs="宋体"/>
          <w:b/>
          <w:bCs/>
          <w:color w:val="000000"/>
          <w:spacing w:val="4"/>
          <w:sz w:val="30"/>
          <w:szCs w:val="30"/>
          <w:highlight w:val="none"/>
        </w:rPr>
        <w:t>投标文件的编制</w:t>
      </w:r>
    </w:p>
    <w:p>
      <w:pPr>
        <w:tabs>
          <w:tab w:val="left" w:pos="0"/>
        </w:tabs>
        <w:adjustRightInd w:val="0"/>
        <w:snapToGrid w:val="0"/>
        <w:spacing w:line="500" w:lineRule="atLeast"/>
        <w:rPr>
          <w:rFonts w:ascii="仿宋_GB2312" w:eastAsia="仿宋_GB2312"/>
          <w:b/>
          <w:bCs/>
          <w:color w:val="000000"/>
          <w:sz w:val="24"/>
          <w:szCs w:val="24"/>
          <w:highlight w:val="none"/>
        </w:rPr>
      </w:pPr>
      <w:r>
        <w:rPr>
          <w:rFonts w:hint="eastAsia" w:ascii="仿宋_GB2312" w:hAnsi="宋体" w:eastAsia="仿宋_GB2312" w:cs="宋体"/>
          <w:b/>
          <w:bCs/>
          <w:color w:val="000000"/>
          <w:sz w:val="24"/>
          <w:szCs w:val="24"/>
          <w:highlight w:val="none"/>
        </w:rPr>
        <w:t>1、投标文件的语言及度量衡单位</w:t>
      </w:r>
    </w:p>
    <w:p>
      <w:pPr>
        <w:tabs>
          <w:tab w:val="left" w:pos="0"/>
        </w:tabs>
        <w:adjustRightInd w:val="0"/>
        <w:snapToGrid w:val="0"/>
        <w:spacing w:line="500" w:lineRule="atLeast"/>
        <w:ind w:firstLine="468" w:firstLineChars="195"/>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1.1除采购设备有关专用名称、型号外，投标文件和与投标有关的所有文件说明均应使用中文。</w:t>
      </w:r>
    </w:p>
    <w:p>
      <w:pPr>
        <w:tabs>
          <w:tab w:val="left" w:pos="0"/>
        </w:tabs>
        <w:adjustRightInd w:val="0"/>
        <w:snapToGrid w:val="0"/>
        <w:spacing w:line="500" w:lineRule="atLeast"/>
        <w:ind w:firstLine="468" w:firstLineChars="195"/>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1.2除采购项目规范另有规定外，投标文件使用的度量衡单位，均采用中华人民共和国法定计量单位。</w:t>
      </w:r>
    </w:p>
    <w:p>
      <w:pPr>
        <w:tabs>
          <w:tab w:val="left" w:pos="0"/>
        </w:tabs>
        <w:adjustRightInd w:val="0"/>
        <w:snapToGrid w:val="0"/>
        <w:spacing w:line="500" w:lineRule="atLeast"/>
        <w:rPr>
          <w:rFonts w:ascii="仿宋_GB2312" w:eastAsia="仿宋_GB2312"/>
          <w:b/>
          <w:bCs/>
          <w:color w:val="000000"/>
          <w:sz w:val="24"/>
          <w:szCs w:val="24"/>
          <w:highlight w:val="none"/>
        </w:rPr>
      </w:pPr>
      <w:r>
        <w:rPr>
          <w:rFonts w:hint="eastAsia" w:ascii="仿宋_GB2312" w:hAnsi="宋体" w:eastAsia="仿宋_GB2312" w:cs="宋体"/>
          <w:b/>
          <w:bCs/>
          <w:color w:val="000000"/>
          <w:sz w:val="24"/>
          <w:szCs w:val="24"/>
          <w:highlight w:val="none"/>
        </w:rPr>
        <w:t>2、投标文件的组成（投标文件涉及的各部分文件均需加盖公章）</w:t>
      </w:r>
    </w:p>
    <w:p>
      <w:pPr>
        <w:tabs>
          <w:tab w:val="left" w:pos="0"/>
        </w:tabs>
        <w:adjustRightInd w:val="0"/>
        <w:snapToGrid w:val="0"/>
        <w:spacing w:line="500" w:lineRule="atLeast"/>
        <w:ind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投标文件由商务报价文件、资信文件、技术文件组成。</w:t>
      </w:r>
      <w:r>
        <w:rPr>
          <w:rFonts w:hint="eastAsia" w:ascii="仿宋_GB2312" w:hAnsi="宋体" w:eastAsia="仿宋_GB2312" w:cs="宋体"/>
          <w:b/>
          <w:bCs/>
          <w:color w:val="000000"/>
          <w:sz w:val="24"/>
          <w:szCs w:val="24"/>
          <w:highlight w:val="none"/>
        </w:rPr>
        <w:t>（评审原则及方法中涉及的内容必须在投标文件中体现）</w:t>
      </w:r>
    </w:p>
    <w:p>
      <w:pPr>
        <w:tabs>
          <w:tab w:val="left" w:pos="0"/>
        </w:tabs>
        <w:adjustRightInd w:val="0"/>
        <w:snapToGrid w:val="0"/>
        <w:spacing w:line="500" w:lineRule="atLeast"/>
        <w:ind w:firstLine="482" w:firstLineChars="200"/>
        <w:rPr>
          <w:rFonts w:ascii="仿宋_GB2312" w:eastAsia="仿宋_GB2312"/>
          <w:b/>
          <w:bCs/>
          <w:color w:val="000000"/>
          <w:sz w:val="24"/>
          <w:szCs w:val="24"/>
          <w:highlight w:val="none"/>
        </w:rPr>
      </w:pPr>
      <w:r>
        <w:rPr>
          <w:rFonts w:hint="eastAsia" w:ascii="仿宋_GB2312" w:hAnsi="宋体" w:eastAsia="仿宋_GB2312" w:cs="宋体"/>
          <w:b/>
          <w:bCs/>
          <w:color w:val="000000"/>
          <w:sz w:val="24"/>
          <w:szCs w:val="24"/>
          <w:highlight w:val="none"/>
        </w:rPr>
        <w:t>以下投标文件的部分格式详见本招标文件第五部分，其他部分投标人可自拟：</w:t>
      </w:r>
    </w:p>
    <w:p>
      <w:pPr>
        <w:tabs>
          <w:tab w:val="left" w:pos="0"/>
        </w:tabs>
        <w:adjustRightInd w:val="0"/>
        <w:snapToGrid w:val="0"/>
        <w:spacing w:line="560" w:lineRule="exact"/>
        <w:ind w:firstLine="470" w:firstLineChars="195"/>
        <w:rPr>
          <w:rFonts w:ascii="仿宋_GB2312" w:hAnsi="宋体" w:eastAsia="仿宋_GB2312" w:cs="宋体"/>
          <w:b/>
          <w:bCs/>
          <w:color w:val="000000"/>
          <w:sz w:val="24"/>
          <w:szCs w:val="24"/>
          <w:highlight w:val="none"/>
        </w:rPr>
      </w:pPr>
      <w:r>
        <w:rPr>
          <w:rFonts w:hint="eastAsia" w:ascii="仿宋_GB2312" w:hAnsi="宋体" w:eastAsia="仿宋_GB2312" w:cs="宋体"/>
          <w:b/>
          <w:bCs/>
          <w:sz w:val="24"/>
          <w:szCs w:val="24"/>
          <w:highlight w:val="none"/>
        </w:rPr>
        <w:t>2.1商务报价文件</w:t>
      </w:r>
      <w:r>
        <w:rPr>
          <w:rFonts w:hint="eastAsia" w:ascii="仿宋_GB2312" w:hAnsi="宋体" w:eastAsia="仿宋_GB2312" w:cs="宋体"/>
          <w:b/>
          <w:bCs/>
          <w:color w:val="FF0000"/>
          <w:sz w:val="24"/>
          <w:szCs w:val="24"/>
          <w:highlight w:val="none"/>
        </w:rPr>
        <w:t>（正本一份/副本五份）</w:t>
      </w:r>
    </w:p>
    <w:p>
      <w:pPr>
        <w:adjustRightInd w:val="0"/>
        <w:snapToGrid w:val="0"/>
        <w:spacing w:line="500" w:lineRule="atLeast"/>
        <w:ind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2.1.1</w:t>
      </w:r>
      <w:r>
        <w:rPr>
          <w:rFonts w:hint="eastAsia" w:ascii="仿宋_GB2312" w:hAnsi="宋体" w:eastAsia="仿宋_GB2312" w:cs="宋体"/>
          <w:color w:val="000000"/>
          <w:kern w:val="0"/>
          <w:sz w:val="24"/>
          <w:szCs w:val="24"/>
          <w:highlight w:val="none"/>
        </w:rPr>
        <w:t>投标响应函</w:t>
      </w:r>
    </w:p>
    <w:p>
      <w:pPr>
        <w:adjustRightInd w:val="0"/>
        <w:snapToGrid w:val="0"/>
        <w:spacing w:line="500" w:lineRule="atLeast"/>
        <w:ind w:firstLine="480" w:firstLineChars="200"/>
        <w:rPr>
          <w:rFonts w:ascii="仿宋_GB2312" w:hAnsi="宋体" w:eastAsia="仿宋_GB2312"/>
          <w:color w:val="000000"/>
          <w:sz w:val="24"/>
          <w:szCs w:val="24"/>
          <w:highlight w:val="none"/>
        </w:rPr>
      </w:pPr>
      <w:r>
        <w:rPr>
          <w:rFonts w:hint="eastAsia" w:ascii="仿宋_GB2312" w:hAnsi="宋体" w:eastAsia="仿宋_GB2312" w:cs="宋体"/>
          <w:color w:val="000000"/>
          <w:sz w:val="24"/>
          <w:szCs w:val="24"/>
          <w:highlight w:val="none"/>
        </w:rPr>
        <w:t>2.1.2商务报价一览表</w:t>
      </w:r>
    </w:p>
    <w:p>
      <w:pPr>
        <w:pStyle w:val="24"/>
        <w:adjustRightInd w:val="0"/>
        <w:snapToGrid w:val="0"/>
        <w:spacing w:line="560" w:lineRule="exact"/>
        <w:ind w:firstLine="480" w:firstLineChars="200"/>
        <w:rPr>
          <w:rFonts w:ascii="仿宋_GB2312" w:hAnsi="宋体" w:eastAsia="仿宋_GB2312"/>
          <w:b/>
          <w:bCs/>
          <w:color w:val="000000"/>
          <w:sz w:val="24"/>
          <w:szCs w:val="24"/>
          <w:highlight w:val="none"/>
        </w:rPr>
      </w:pPr>
      <w:r>
        <w:rPr>
          <w:rFonts w:hint="eastAsia" w:ascii="仿宋_GB2312" w:hAnsi="宋体" w:eastAsia="仿宋_GB2312"/>
          <w:color w:val="000000"/>
          <w:sz w:val="24"/>
          <w:szCs w:val="24"/>
          <w:highlight w:val="none"/>
        </w:rPr>
        <w:t>2.1.3商务报价明细清单</w:t>
      </w:r>
    </w:p>
    <w:p>
      <w:pPr>
        <w:adjustRightInd w:val="0"/>
        <w:snapToGrid w:val="0"/>
        <w:spacing w:line="500" w:lineRule="atLeast"/>
        <w:ind w:firstLine="480" w:firstLineChars="200"/>
        <w:rPr>
          <w:rFonts w:ascii="仿宋_GB2312" w:hAnsi="宋体" w:eastAsia="仿宋_GB2312" w:cs="宋体"/>
          <w:color w:val="000000"/>
          <w:sz w:val="24"/>
          <w:szCs w:val="24"/>
          <w:highlight w:val="none"/>
        </w:rPr>
      </w:pPr>
      <w:r>
        <w:rPr>
          <w:rFonts w:hint="eastAsia" w:ascii="仿宋_GB2312" w:hAnsi="宋体" w:eastAsia="仿宋_GB2312" w:cs="宋体"/>
          <w:sz w:val="24"/>
          <w:szCs w:val="24"/>
          <w:highlight w:val="none"/>
        </w:rPr>
        <w:t>2.1.4</w:t>
      </w:r>
      <w:r>
        <w:rPr>
          <w:rFonts w:hint="eastAsia" w:ascii="仿宋_GB2312" w:hAnsi="宋体" w:eastAsia="仿宋_GB2312" w:cs="宋体"/>
          <w:color w:val="000000"/>
          <w:sz w:val="24"/>
          <w:szCs w:val="24"/>
          <w:highlight w:val="none"/>
        </w:rPr>
        <w:t>其它需要说明的情况（如有）</w:t>
      </w:r>
    </w:p>
    <w:p>
      <w:pPr>
        <w:tabs>
          <w:tab w:val="left" w:pos="0"/>
        </w:tabs>
        <w:adjustRightInd w:val="0"/>
        <w:snapToGrid w:val="0"/>
        <w:spacing w:line="500" w:lineRule="atLeast"/>
        <w:ind w:firstLine="477" w:firstLineChars="198"/>
        <w:rPr>
          <w:rFonts w:ascii="仿宋_GB2312" w:hAnsi="宋体" w:eastAsia="仿宋_GB2312" w:cs="宋体"/>
          <w:b/>
          <w:bCs/>
          <w:color w:val="000000"/>
          <w:sz w:val="24"/>
          <w:szCs w:val="24"/>
          <w:highlight w:val="none"/>
        </w:rPr>
      </w:pPr>
      <w:r>
        <w:rPr>
          <w:rFonts w:hint="eastAsia" w:ascii="仿宋_GB2312" w:hAnsi="宋体" w:eastAsia="仿宋_GB2312" w:cs="宋体"/>
          <w:b/>
          <w:bCs/>
          <w:color w:val="000000"/>
          <w:sz w:val="24"/>
          <w:szCs w:val="24"/>
          <w:highlight w:val="none"/>
        </w:rPr>
        <w:t>2.2资信文件</w:t>
      </w:r>
      <w:r>
        <w:rPr>
          <w:rFonts w:hint="eastAsia" w:ascii="仿宋_GB2312" w:hAnsi="宋体" w:eastAsia="仿宋_GB2312" w:cs="宋体"/>
          <w:b/>
          <w:bCs/>
          <w:color w:val="FF0000"/>
          <w:sz w:val="24"/>
          <w:szCs w:val="24"/>
          <w:highlight w:val="none"/>
        </w:rPr>
        <w:t>（以下提交的复印件部分在开标时应随身携带原件备查）</w:t>
      </w:r>
    </w:p>
    <w:p>
      <w:pPr>
        <w:tabs>
          <w:tab w:val="left" w:pos="0"/>
        </w:tabs>
        <w:adjustRightInd w:val="0"/>
        <w:snapToGrid w:val="0"/>
        <w:spacing w:line="500" w:lineRule="atLeast"/>
        <w:ind w:firstLine="477" w:firstLineChars="198"/>
        <w:rPr>
          <w:rFonts w:ascii="仿宋_GB2312" w:hAnsi="宋体" w:eastAsia="仿宋_GB2312" w:cs="宋体"/>
          <w:b/>
          <w:bCs/>
          <w:color w:val="FF0000"/>
          <w:sz w:val="24"/>
          <w:szCs w:val="24"/>
          <w:highlight w:val="none"/>
        </w:rPr>
      </w:pPr>
      <w:r>
        <w:rPr>
          <w:rFonts w:hint="eastAsia" w:ascii="仿宋_GB2312" w:hAnsi="宋体" w:eastAsia="仿宋_GB2312" w:cs="宋体"/>
          <w:b/>
          <w:bCs/>
          <w:color w:val="FF0000"/>
          <w:sz w:val="24"/>
          <w:szCs w:val="24"/>
          <w:highlight w:val="none"/>
        </w:rPr>
        <w:t>（正本一份/副本五份）</w:t>
      </w:r>
    </w:p>
    <w:p>
      <w:pPr>
        <w:pStyle w:val="24"/>
        <w:adjustRightInd w:val="0"/>
        <w:snapToGrid w:val="0"/>
        <w:spacing w:line="56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olor w:val="000000"/>
          <w:sz w:val="24"/>
          <w:szCs w:val="24"/>
          <w:highlight w:val="none"/>
        </w:rPr>
        <w:t>2.2.1提供有效的企业法人营业执照副本（复印件）；</w:t>
      </w:r>
    </w:p>
    <w:p>
      <w:pPr>
        <w:tabs>
          <w:tab w:val="left" w:pos="0"/>
        </w:tabs>
        <w:spacing w:line="540" w:lineRule="exact"/>
        <w:ind w:firstLine="468" w:firstLineChars="195"/>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2.2.2提供有效的资格材料复印件</w:t>
      </w:r>
      <w:r>
        <w:rPr>
          <w:rFonts w:hint="eastAsia" w:ascii="仿宋_GB2312" w:hAnsi="宋体" w:eastAsia="仿宋_GB2312" w:cs="宋体"/>
          <w:color w:val="000000"/>
          <w:sz w:val="24"/>
          <w:szCs w:val="24"/>
          <w:highlight w:val="none"/>
          <w:lang w:eastAsia="zh-CN"/>
        </w:rPr>
        <w:t>（如有）</w:t>
      </w:r>
      <w:r>
        <w:rPr>
          <w:rFonts w:hint="eastAsia" w:ascii="仿宋_GB2312" w:hAnsi="宋体" w:eastAsia="仿宋_GB2312" w:cs="宋体"/>
          <w:color w:val="000000"/>
          <w:sz w:val="24"/>
          <w:szCs w:val="24"/>
          <w:highlight w:val="none"/>
        </w:rPr>
        <w:t>）；</w:t>
      </w:r>
    </w:p>
    <w:p>
      <w:pPr>
        <w:tabs>
          <w:tab w:val="left" w:pos="0"/>
        </w:tabs>
        <w:spacing w:line="540" w:lineRule="exact"/>
        <w:ind w:firstLine="468" w:firstLineChars="195"/>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2.2.3提供有效的税务登记证（复印件）；</w:t>
      </w:r>
    </w:p>
    <w:p>
      <w:pPr>
        <w:tabs>
          <w:tab w:val="left" w:pos="0"/>
        </w:tabs>
        <w:spacing w:line="540" w:lineRule="exact"/>
        <w:ind w:firstLine="468" w:firstLineChars="195"/>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2.2.4提供有效的社保登记证（复印件）；</w:t>
      </w:r>
    </w:p>
    <w:p>
      <w:pPr>
        <w:tabs>
          <w:tab w:val="left" w:pos="0"/>
        </w:tabs>
        <w:spacing w:line="540" w:lineRule="exact"/>
        <w:ind w:firstLine="468" w:firstLineChars="195"/>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2.2.5授权供应商代表委托书（非法定代表人参加投标时用）；</w:t>
      </w:r>
    </w:p>
    <w:p>
      <w:pPr>
        <w:tabs>
          <w:tab w:val="left" w:pos="0"/>
        </w:tabs>
        <w:spacing w:line="540" w:lineRule="exact"/>
        <w:ind w:firstLine="468" w:firstLineChars="195"/>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2.2.6供应商代表身份证复印件（身份证原件在开标会现场出示备查）；</w:t>
      </w:r>
    </w:p>
    <w:p>
      <w:pPr>
        <w:tabs>
          <w:tab w:val="left" w:pos="0"/>
        </w:tabs>
        <w:spacing w:line="540" w:lineRule="exact"/>
        <w:ind w:firstLine="468" w:firstLineChars="195"/>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2.2.7声明书；</w:t>
      </w:r>
    </w:p>
    <w:p>
      <w:pPr>
        <w:pStyle w:val="24"/>
        <w:adjustRightInd w:val="0"/>
        <w:snapToGrid w:val="0"/>
        <w:spacing w:line="560" w:lineRule="exact"/>
        <w:ind w:firstLine="480" w:firstLineChars="200"/>
        <w:rPr>
          <w:rFonts w:ascii="仿宋_GB2312" w:hAnsi="宋体" w:eastAsia="仿宋_GB2312"/>
          <w:sz w:val="24"/>
          <w:szCs w:val="24"/>
          <w:highlight w:val="none"/>
        </w:rPr>
      </w:pPr>
      <w:r>
        <w:rPr>
          <w:rFonts w:hint="eastAsia" w:ascii="仿宋_GB2312" w:hAnsi="宋体" w:eastAsia="仿宋_GB2312"/>
          <w:color w:val="000000"/>
          <w:sz w:val="24"/>
          <w:szCs w:val="24"/>
          <w:highlight w:val="none"/>
        </w:rPr>
        <w:t>2.2.8供应商综合实力（企业简介、企业资质、信誉状况，企业人员配备等）；</w:t>
      </w:r>
    </w:p>
    <w:p>
      <w:pPr>
        <w:tabs>
          <w:tab w:val="left" w:pos="0"/>
        </w:tabs>
        <w:spacing w:line="540" w:lineRule="exact"/>
        <w:ind w:firstLine="468" w:firstLineChars="195"/>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2.2.9提供企业近三年来实施过的类似项目的业绩表以及项目合同复印件并加盖公章（开标时原件备查）；</w:t>
      </w:r>
    </w:p>
    <w:p>
      <w:pPr>
        <w:tabs>
          <w:tab w:val="left" w:pos="0"/>
        </w:tabs>
        <w:spacing w:line="540" w:lineRule="exact"/>
        <w:ind w:firstLine="468" w:firstLineChars="195"/>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2.2.10提供企业具有医学教学信息化类的软件著作权及有效的第三方权威机构测试报告</w:t>
      </w:r>
      <w:r>
        <w:rPr>
          <w:rFonts w:hint="eastAsia" w:ascii="仿宋_GB2312" w:hAnsi="宋体" w:eastAsia="仿宋_GB2312" w:cs="宋体"/>
          <w:color w:val="000000"/>
          <w:sz w:val="24"/>
          <w:szCs w:val="24"/>
          <w:highlight w:val="none"/>
          <w:lang w:eastAsia="zh-CN"/>
        </w:rPr>
        <w:t>（如有）</w:t>
      </w:r>
      <w:r>
        <w:rPr>
          <w:rFonts w:hint="eastAsia" w:ascii="仿宋_GB2312" w:hAnsi="宋体" w:eastAsia="仿宋_GB2312" w:cs="宋体"/>
          <w:color w:val="000000"/>
          <w:sz w:val="24"/>
          <w:szCs w:val="24"/>
          <w:highlight w:val="none"/>
        </w:rPr>
        <w:t>；</w:t>
      </w:r>
    </w:p>
    <w:p>
      <w:pPr>
        <w:tabs>
          <w:tab w:val="left" w:pos="0"/>
        </w:tabs>
        <w:spacing w:line="540" w:lineRule="exact"/>
        <w:ind w:firstLine="468" w:firstLineChars="195"/>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2.2.11中小企业声明等（如有）：</w:t>
      </w:r>
    </w:p>
    <w:p>
      <w:pPr>
        <w:tabs>
          <w:tab w:val="left" w:pos="0"/>
        </w:tabs>
        <w:spacing w:line="540" w:lineRule="exact"/>
        <w:ind w:firstLine="468" w:firstLineChars="195"/>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2.2.12招标文件中涉及到的或供应商认为需要提供的其它说明和资料。（如有）</w:t>
      </w:r>
    </w:p>
    <w:p>
      <w:pPr>
        <w:adjustRightInd w:val="0"/>
        <w:snapToGrid w:val="0"/>
        <w:spacing w:line="500" w:lineRule="atLeast"/>
        <w:ind w:firstLine="498" w:firstLineChars="200"/>
        <w:rPr>
          <w:rFonts w:ascii="仿宋_GB2312" w:hAnsi="宋体" w:eastAsia="仿宋_GB2312" w:cs="宋体"/>
          <w:b/>
          <w:color w:val="FF0000"/>
          <w:spacing w:val="4"/>
          <w:sz w:val="24"/>
          <w:szCs w:val="24"/>
          <w:highlight w:val="none"/>
        </w:rPr>
      </w:pPr>
      <w:r>
        <w:rPr>
          <w:rFonts w:hint="eastAsia" w:ascii="仿宋_GB2312" w:hAnsi="宋体" w:eastAsia="仿宋_GB2312" w:cs="宋体"/>
          <w:b/>
          <w:color w:val="FF0000"/>
          <w:spacing w:val="4"/>
          <w:sz w:val="24"/>
          <w:szCs w:val="24"/>
          <w:highlight w:val="none"/>
        </w:rPr>
        <w:t>备注：已办理五证合一的投标人，资信文件部分需提供含有统一社会信用代码的营业执照（复印件），税务登记证和社保登记证不需再提供。</w:t>
      </w:r>
    </w:p>
    <w:p>
      <w:pPr>
        <w:tabs>
          <w:tab w:val="left" w:pos="0"/>
        </w:tabs>
        <w:adjustRightInd w:val="0"/>
        <w:snapToGrid w:val="0"/>
        <w:spacing w:line="500" w:lineRule="atLeast"/>
        <w:ind w:firstLine="470" w:firstLineChars="195"/>
        <w:rPr>
          <w:rFonts w:ascii="仿宋_GB2312" w:hAnsi="宋体" w:eastAsia="仿宋_GB2312" w:cs="宋体"/>
          <w:b/>
          <w:bCs/>
          <w:color w:val="FF0000"/>
          <w:sz w:val="24"/>
          <w:szCs w:val="24"/>
          <w:highlight w:val="none"/>
        </w:rPr>
      </w:pPr>
      <w:r>
        <w:rPr>
          <w:rFonts w:hint="eastAsia" w:ascii="仿宋_GB2312" w:hAnsi="宋体" w:eastAsia="仿宋_GB2312" w:cs="宋体"/>
          <w:b/>
          <w:bCs/>
          <w:color w:val="000000"/>
          <w:sz w:val="24"/>
          <w:szCs w:val="24"/>
          <w:highlight w:val="none"/>
        </w:rPr>
        <w:t>2.3技术文件</w:t>
      </w:r>
      <w:r>
        <w:rPr>
          <w:rFonts w:hint="eastAsia" w:ascii="仿宋_GB2312" w:hAnsi="宋体" w:eastAsia="仿宋_GB2312" w:cs="宋体"/>
          <w:b/>
          <w:bCs/>
          <w:color w:val="FF0000"/>
          <w:sz w:val="24"/>
          <w:szCs w:val="24"/>
          <w:highlight w:val="none"/>
        </w:rPr>
        <w:t>（正本一份/副本五份）</w:t>
      </w:r>
    </w:p>
    <w:p>
      <w:pPr>
        <w:adjustRightInd w:val="0"/>
        <w:snapToGrid w:val="0"/>
        <w:spacing w:line="560" w:lineRule="exact"/>
        <w:ind w:firstLine="42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 xml:space="preserve">2.3.1 技术偏离表； </w:t>
      </w:r>
    </w:p>
    <w:p>
      <w:pPr>
        <w:adjustRightInd w:val="0"/>
        <w:snapToGrid w:val="0"/>
        <w:spacing w:line="560" w:lineRule="exact"/>
        <w:ind w:firstLine="42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2.3.2 投标产品情况说明，详细列明投标产品的市场占有率、相关使用现状等；</w:t>
      </w:r>
    </w:p>
    <w:p>
      <w:pPr>
        <w:adjustRightInd w:val="0"/>
        <w:snapToGrid w:val="0"/>
        <w:spacing w:line="560" w:lineRule="exact"/>
        <w:ind w:firstLine="42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 xml:space="preserve">2.3.3 所投项目的实施工作计划：可包括组织机构、工作时间进度表、工作程序和步骤、管理和协调方法等；送货、安装调试、验收方案；确保按时交付、正常运行等措施； </w:t>
      </w:r>
    </w:p>
    <w:p>
      <w:pPr>
        <w:adjustRightInd w:val="0"/>
        <w:snapToGrid w:val="0"/>
        <w:spacing w:line="560" w:lineRule="exact"/>
        <w:ind w:firstLine="42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2.3.4 售后服务方案包括以下一些内容:</w:t>
      </w:r>
    </w:p>
    <w:p>
      <w:pPr>
        <w:adjustRightInd w:val="0"/>
        <w:snapToGrid w:val="0"/>
        <w:spacing w:line="560" w:lineRule="exact"/>
        <w:ind w:firstLine="42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（1）设备升级、故障排除、性能调优、技术咨询等售后技术支持服务内容；</w:t>
      </w:r>
    </w:p>
    <w:p>
      <w:pPr>
        <w:adjustRightInd w:val="0"/>
        <w:snapToGrid w:val="0"/>
        <w:spacing w:line="560" w:lineRule="exact"/>
        <w:ind w:firstLine="42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（2）针对本项目的售后维护方案；</w:t>
      </w:r>
    </w:p>
    <w:p>
      <w:pPr>
        <w:adjustRightInd w:val="0"/>
        <w:snapToGrid w:val="0"/>
        <w:spacing w:line="560" w:lineRule="exact"/>
        <w:ind w:firstLine="42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（3）以书面形式完整准确地表述原厂家的标准售后服务承诺（范围、标准及期限等）、投标人可能增加的服务承诺等；</w:t>
      </w:r>
    </w:p>
    <w:p>
      <w:pPr>
        <w:adjustRightInd w:val="0"/>
        <w:snapToGrid w:val="0"/>
        <w:spacing w:line="560" w:lineRule="exact"/>
        <w:ind w:firstLine="42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（4）明示服务承诺可能涉及的前提设定和费用，否则将被认为是无条件和免费的；质保期内提供免费上门维护、升级服务，对故障的响应速度与修复的承诺；</w:t>
      </w:r>
    </w:p>
    <w:p>
      <w:pPr>
        <w:adjustRightInd w:val="0"/>
        <w:snapToGrid w:val="0"/>
        <w:spacing w:line="560" w:lineRule="exact"/>
        <w:ind w:firstLine="42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（5）现场不能修复的，必须采取提供备品、备件或备机等措施，以保证用户单位的正常使用；</w:t>
      </w:r>
    </w:p>
    <w:p>
      <w:pPr>
        <w:adjustRightInd w:val="0"/>
        <w:snapToGrid w:val="0"/>
        <w:spacing w:line="560" w:lineRule="exact"/>
        <w:ind w:firstLine="42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（6）技术服务、技术培训的内容与措施；</w:t>
      </w:r>
    </w:p>
    <w:p>
      <w:pPr>
        <w:adjustRightInd w:val="0"/>
        <w:snapToGrid w:val="0"/>
        <w:spacing w:line="560" w:lineRule="exact"/>
        <w:ind w:firstLine="42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（7）优质服务能力证明，应列明技术服务（或售后服务）机构的地址以及与技术服务（售后服务）机构相关的证明资料、人员状况、维修能力及联系方式等，能够快速提供良好的售后服务；</w:t>
      </w:r>
    </w:p>
    <w:p>
      <w:pPr>
        <w:adjustRightInd w:val="0"/>
        <w:snapToGrid w:val="0"/>
        <w:spacing w:line="560" w:lineRule="exact"/>
        <w:ind w:firstLine="42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2.3.5 保证项目实施的技术力量和人力资源安排：包括项目负责人、供货人员、安装调试人员、售后服务人员、其他人员等，提供上述人员履历，学历证书及近六个月的社保缴纳证明的复印件（加盖单位公章）；</w:t>
      </w:r>
    </w:p>
    <w:p>
      <w:pPr>
        <w:adjustRightInd w:val="0"/>
        <w:snapToGrid w:val="0"/>
        <w:spacing w:line="560" w:lineRule="exact"/>
        <w:ind w:firstLine="42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2.3.6 对项目功能测试、试运转及验收的方案；</w:t>
      </w:r>
    </w:p>
    <w:p>
      <w:pPr>
        <w:adjustRightInd w:val="0"/>
        <w:snapToGrid w:val="0"/>
        <w:spacing w:line="560" w:lineRule="exact"/>
        <w:ind w:firstLine="42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2.3.7 质量保证措施和建设工期情况；</w:t>
      </w:r>
    </w:p>
    <w:p>
      <w:pPr>
        <w:adjustRightInd w:val="0"/>
        <w:snapToGrid w:val="0"/>
        <w:spacing w:line="560" w:lineRule="exact"/>
        <w:ind w:firstLine="42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2.3.8 优惠条件及特殊承诺（如有）；</w:t>
      </w:r>
    </w:p>
    <w:p>
      <w:pPr>
        <w:adjustRightInd w:val="0"/>
        <w:snapToGrid w:val="0"/>
        <w:spacing w:line="560" w:lineRule="exact"/>
        <w:ind w:firstLine="42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2.3.9 招标文件中涉及到的或投标人认为需要提供的其它说明和资料（如有）。</w:t>
      </w:r>
    </w:p>
    <w:p>
      <w:pPr>
        <w:tabs>
          <w:tab w:val="left" w:pos="0"/>
        </w:tabs>
        <w:adjustRightInd w:val="0"/>
        <w:snapToGrid w:val="0"/>
        <w:spacing w:line="500" w:lineRule="atLeast"/>
        <w:rPr>
          <w:rFonts w:ascii="仿宋_GB2312" w:eastAsia="仿宋_GB2312"/>
          <w:b/>
          <w:bCs/>
          <w:color w:val="000000"/>
          <w:sz w:val="24"/>
          <w:szCs w:val="24"/>
          <w:highlight w:val="none"/>
        </w:rPr>
      </w:pPr>
      <w:r>
        <w:rPr>
          <w:rFonts w:hint="eastAsia" w:ascii="仿宋_GB2312" w:hAnsi="宋体" w:eastAsia="仿宋_GB2312" w:cs="宋体"/>
          <w:b/>
          <w:bCs/>
          <w:color w:val="000000"/>
          <w:sz w:val="24"/>
          <w:szCs w:val="24"/>
          <w:highlight w:val="none"/>
        </w:rPr>
        <w:t>3、投标文件的编制格式及说明（招标文件有特别说明的除外）</w:t>
      </w:r>
    </w:p>
    <w:p>
      <w:pPr>
        <w:adjustRightInd w:val="0"/>
        <w:snapToGrid w:val="0"/>
        <w:spacing w:line="500" w:lineRule="atLeast"/>
        <w:ind w:firstLine="480" w:firstLineChars="20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3.1投标人提交的投标文件应当使用招标文件所提供的投标文件全部格式（表格可以按同样格式扩展）。未提供投标文件标准格式的，由投标人自行编写。</w:t>
      </w:r>
    </w:p>
    <w:p>
      <w:pPr>
        <w:adjustRightInd w:val="0"/>
        <w:snapToGrid w:val="0"/>
        <w:spacing w:line="500" w:lineRule="atLeast"/>
        <w:ind w:firstLine="480" w:firstLineChars="20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3.2投标文件的纸张采用白色A4纸（如有图纸、效果图、图版等可另装），标题采用黑体字，正文采用仿宋体字。</w:t>
      </w:r>
    </w:p>
    <w:p>
      <w:pPr>
        <w:tabs>
          <w:tab w:val="left" w:pos="0"/>
        </w:tabs>
        <w:adjustRightInd w:val="0"/>
        <w:snapToGrid w:val="0"/>
        <w:spacing w:line="500" w:lineRule="atLeast"/>
        <w:ind w:firstLine="468" w:firstLineChars="195"/>
        <w:rPr>
          <w:rFonts w:ascii="仿宋_GB2312" w:eastAsia="仿宋_GB2312"/>
          <w:color w:val="000000"/>
          <w:sz w:val="24"/>
          <w:szCs w:val="24"/>
          <w:highlight w:val="none"/>
        </w:rPr>
      </w:pPr>
      <w:r>
        <w:rPr>
          <w:rFonts w:hint="eastAsia" w:ascii="仿宋_GB2312" w:hAnsi="宋体" w:eastAsia="仿宋_GB2312"/>
          <w:color w:val="000000"/>
          <w:sz w:val="24"/>
          <w:szCs w:val="24"/>
          <w:highlight w:val="none"/>
        </w:rPr>
        <w:t>3.3</w:t>
      </w:r>
      <w:r>
        <w:rPr>
          <w:rFonts w:hint="eastAsia" w:ascii="仿宋_GB2312" w:hAnsi="宋体" w:eastAsia="仿宋_GB2312" w:cs="宋体"/>
          <w:color w:val="000000"/>
          <w:sz w:val="24"/>
          <w:szCs w:val="24"/>
          <w:highlight w:val="none"/>
        </w:rPr>
        <w:t>投标文件应严格按照招标文件规定的顺序纵向装订成册，装订必须牢固可靠且不能轻易脱落。</w:t>
      </w:r>
      <w:r>
        <w:rPr>
          <w:rFonts w:hint="eastAsia" w:ascii="仿宋_GB2312" w:hAnsi="宋体" w:eastAsia="仿宋_GB2312" w:cs="黑体"/>
          <w:color w:val="FF0000"/>
          <w:sz w:val="24"/>
          <w:szCs w:val="24"/>
          <w:highlight w:val="none"/>
        </w:rPr>
        <w:t>活页装订（是指用卡条、抽杆夹、订书机等形式装订，使标书可以拆卸或者在翻动过程中易脱落的一种装订方式）的投标文件按无效标处理</w:t>
      </w:r>
      <w:r>
        <w:rPr>
          <w:rFonts w:hint="eastAsia" w:ascii="仿宋_GB2312" w:hAnsi="宋体" w:eastAsia="仿宋_GB2312" w:cs="仿宋_GB2312"/>
          <w:color w:val="FF0000"/>
          <w:sz w:val="24"/>
          <w:szCs w:val="24"/>
          <w:highlight w:val="none"/>
        </w:rPr>
        <w:t>。</w:t>
      </w:r>
    </w:p>
    <w:p>
      <w:pPr>
        <w:adjustRightInd w:val="0"/>
        <w:snapToGrid w:val="0"/>
        <w:spacing w:line="500" w:lineRule="atLeast"/>
        <w:ind w:firstLine="482" w:firstLineChars="200"/>
        <w:rPr>
          <w:rFonts w:ascii="仿宋_GB2312" w:hAnsi="宋体" w:eastAsia="仿宋_GB2312"/>
          <w:b/>
          <w:color w:val="FF0000"/>
          <w:sz w:val="24"/>
          <w:highlight w:val="none"/>
        </w:rPr>
      </w:pPr>
      <w:r>
        <w:rPr>
          <w:rFonts w:hint="eastAsia" w:ascii="仿宋_GB2312" w:hAnsi="宋体" w:eastAsia="仿宋_GB2312" w:cs="宋体"/>
          <w:b/>
          <w:color w:val="000000"/>
          <w:sz w:val="24"/>
          <w:szCs w:val="24"/>
          <w:highlight w:val="none"/>
        </w:rPr>
        <w:t>3.4</w:t>
      </w:r>
      <w:r>
        <w:rPr>
          <w:rFonts w:hint="eastAsia" w:ascii="仿宋_GB2312" w:hAnsi="宋体" w:eastAsia="仿宋_GB2312" w:cs="宋体"/>
          <w:b/>
          <w:bCs/>
          <w:color w:val="000000"/>
          <w:sz w:val="24"/>
          <w:szCs w:val="24"/>
          <w:highlight w:val="none"/>
        </w:rPr>
        <w:t>投标人应在认真阅读招标文件所有内容的基础上，按照招标文件的要求编制完整的投标文件。</w:t>
      </w:r>
      <w:r>
        <w:rPr>
          <w:rFonts w:hint="eastAsia" w:ascii="仿宋_GB2312" w:hAnsi="宋体" w:eastAsia="仿宋_GB2312" w:cs="宋体"/>
          <w:b/>
          <w:bCs/>
          <w:color w:val="FF0000"/>
          <w:sz w:val="24"/>
          <w:szCs w:val="24"/>
          <w:highlight w:val="none"/>
        </w:rPr>
        <w:t>投标书应按照招标文件中规定的统一格式编制，投标的商务报价文件、资信文件、技术文件分别独立装订成册，并</w:t>
      </w:r>
      <w:r>
        <w:rPr>
          <w:rFonts w:hint="eastAsia" w:ascii="仿宋_GB2312" w:hAnsi="宋体" w:eastAsia="仿宋_GB2312"/>
          <w:b/>
          <w:color w:val="FF0000"/>
          <w:sz w:val="24"/>
          <w:highlight w:val="none"/>
        </w:rPr>
        <w:t>按招标文件第五部分提供的“投标文件封面及密封包装封面”式样对投标文件封面进行制作，同时注明所投标项号。</w:t>
      </w:r>
      <w:r>
        <w:rPr>
          <w:rFonts w:hint="eastAsia" w:ascii="仿宋_GB2312" w:hAnsi="宋体" w:eastAsia="仿宋_GB2312"/>
          <w:b/>
          <w:sz w:val="24"/>
          <w:highlight w:val="none"/>
        </w:rPr>
        <w:t>投标人</w:t>
      </w:r>
      <w:r>
        <w:rPr>
          <w:rFonts w:hint="eastAsia" w:ascii="仿宋_GB2312" w:hAnsi="宋体" w:eastAsia="仿宋_GB2312" w:cs="宋体"/>
          <w:b/>
          <w:bCs/>
          <w:sz w:val="24"/>
          <w:szCs w:val="24"/>
          <w:highlight w:val="none"/>
        </w:rPr>
        <w:t>应</w:t>
      </w:r>
      <w:r>
        <w:rPr>
          <w:rFonts w:hint="eastAsia" w:ascii="仿宋_GB2312" w:hAnsi="宋体" w:eastAsia="仿宋_GB2312" w:cs="宋体"/>
          <w:b/>
          <w:bCs/>
          <w:color w:val="000000"/>
          <w:sz w:val="24"/>
          <w:szCs w:val="24"/>
          <w:highlight w:val="none"/>
        </w:rPr>
        <w:t>按照规定的顺序（参考</w:t>
      </w:r>
      <w:r>
        <w:rPr>
          <w:rFonts w:hint="eastAsia" w:ascii="仿宋_GB2312" w:hAnsi="宋体" w:eastAsia="仿宋_GB2312" w:cs="宋体"/>
          <w:b/>
          <w:bCs/>
          <w:color w:val="000000"/>
          <w:spacing w:val="4"/>
          <w:sz w:val="24"/>
          <w:szCs w:val="24"/>
          <w:highlight w:val="none"/>
        </w:rPr>
        <w:t>招标文件显示的</w:t>
      </w:r>
      <w:r>
        <w:rPr>
          <w:rFonts w:hint="eastAsia" w:ascii="仿宋_GB2312" w:hAnsi="宋体" w:eastAsia="仿宋_GB2312" w:cs="宋体"/>
          <w:b/>
          <w:bCs/>
          <w:color w:val="000000"/>
          <w:sz w:val="24"/>
          <w:szCs w:val="24"/>
          <w:highlight w:val="none"/>
        </w:rPr>
        <w:t>顺序</w:t>
      </w:r>
      <w:r>
        <w:rPr>
          <w:rFonts w:hint="eastAsia" w:ascii="仿宋_GB2312" w:hAnsi="宋体" w:eastAsia="仿宋_GB2312" w:cs="宋体"/>
          <w:b/>
          <w:bCs/>
          <w:color w:val="000000"/>
          <w:spacing w:val="4"/>
          <w:sz w:val="24"/>
          <w:szCs w:val="24"/>
          <w:highlight w:val="none"/>
        </w:rPr>
        <w:t>及评分内容</w:t>
      </w:r>
      <w:r>
        <w:rPr>
          <w:rFonts w:hint="eastAsia" w:ascii="仿宋_GB2312" w:hAnsi="宋体" w:eastAsia="仿宋_GB2312" w:cs="宋体"/>
          <w:b/>
          <w:bCs/>
          <w:color w:val="000000"/>
          <w:sz w:val="24"/>
          <w:szCs w:val="24"/>
          <w:highlight w:val="none"/>
        </w:rPr>
        <w:t>）装订并编制目录，混乱的编排或未按招标文件所提供的统一格式编写与漏写而导致投标文件被误读或查找不到有效文件是投标人的风险。</w:t>
      </w:r>
    </w:p>
    <w:p>
      <w:pPr>
        <w:tabs>
          <w:tab w:val="left" w:pos="0"/>
        </w:tabs>
        <w:adjustRightInd w:val="0"/>
        <w:snapToGrid w:val="0"/>
        <w:spacing w:line="500" w:lineRule="atLeast"/>
        <w:rPr>
          <w:rFonts w:ascii="仿宋_GB2312" w:eastAsia="仿宋_GB2312"/>
          <w:b/>
          <w:bCs/>
          <w:color w:val="000000"/>
          <w:sz w:val="24"/>
          <w:szCs w:val="24"/>
          <w:highlight w:val="none"/>
        </w:rPr>
      </w:pPr>
      <w:r>
        <w:rPr>
          <w:rFonts w:hint="eastAsia" w:ascii="仿宋_GB2312" w:hAnsi="宋体" w:eastAsia="仿宋_GB2312" w:cs="宋体"/>
          <w:b/>
          <w:bCs/>
          <w:color w:val="000000"/>
          <w:sz w:val="24"/>
          <w:szCs w:val="24"/>
          <w:highlight w:val="none"/>
        </w:rPr>
        <w:t>4、商务报价</w:t>
      </w:r>
    </w:p>
    <w:p>
      <w:pPr>
        <w:tabs>
          <w:tab w:val="left" w:pos="0"/>
        </w:tabs>
        <w:adjustRightInd w:val="0"/>
        <w:snapToGrid w:val="0"/>
        <w:spacing w:line="500" w:lineRule="atLeast"/>
        <w:ind w:firstLine="468" w:firstLineChars="195"/>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4.1商务报价以人民币为结算货币。</w:t>
      </w:r>
    </w:p>
    <w:p>
      <w:pPr>
        <w:tabs>
          <w:tab w:val="left" w:pos="0"/>
        </w:tabs>
        <w:adjustRightInd w:val="0"/>
        <w:snapToGrid w:val="0"/>
        <w:spacing w:line="500" w:lineRule="atLeast"/>
        <w:ind w:firstLine="468" w:firstLineChars="195"/>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4.2投标人应按招标文件要求认真制作《商务报价一览表》，开标时，投标文件中的报价大写金额和小写金额不一致的，以大写金额为准；总价金额与按单价汇总金额不一致的，以单价金额计算结果为准；单价金额小数点有明显错位的，应以总价为准，并修改单价。</w:t>
      </w:r>
      <w:r>
        <w:rPr>
          <w:rFonts w:ascii="仿宋_GB2312" w:hAnsi="宋体" w:eastAsia="仿宋_GB2312" w:cs="宋体"/>
          <w:color w:val="000000"/>
          <w:sz w:val="24"/>
          <w:szCs w:val="24"/>
          <w:highlight w:val="none"/>
        </w:rPr>
        <w:br w:type="textWrapping"/>
      </w:r>
      <w:r>
        <w:rPr>
          <w:rFonts w:hint="eastAsia" w:ascii="仿宋_GB2312" w:hAnsi="宋体" w:eastAsia="仿宋_GB2312" w:cs="宋体"/>
          <w:color w:val="000000"/>
          <w:sz w:val="24"/>
          <w:szCs w:val="24"/>
          <w:highlight w:val="none"/>
        </w:rPr>
        <w:t xml:space="preserve">    4.3其它费用处理</w:t>
      </w:r>
    </w:p>
    <w:p>
      <w:pPr>
        <w:pStyle w:val="129"/>
        <w:adjustRightInd w:val="0"/>
        <w:snapToGrid w:val="0"/>
        <w:spacing w:before="0" w:line="500" w:lineRule="atLeast"/>
        <w:ind w:firstLine="480"/>
        <w:rPr>
          <w:rFonts w:ascii="仿宋_GB2312" w:eastAsia="仿宋_GB2312"/>
          <w:highlight w:val="none"/>
        </w:rPr>
      </w:pPr>
      <w:r>
        <w:rPr>
          <w:rFonts w:hint="eastAsia" w:ascii="仿宋_GB2312" w:hAnsi="宋体" w:eastAsia="仿宋_GB2312" w:cs="宋体"/>
          <w:color w:val="000000"/>
          <w:highlight w:val="none"/>
        </w:rPr>
        <w:t>采购文件未列明，而投标人认为必需的费用也需列入报价。投标人在商务报价中应充分考虑所有可能发生的费用，否则采购人将视投标总价中已包括所有费用。</w:t>
      </w:r>
    </w:p>
    <w:p>
      <w:pPr>
        <w:pStyle w:val="129"/>
        <w:adjustRightInd w:val="0"/>
        <w:snapToGrid w:val="0"/>
        <w:spacing w:before="0" w:line="500" w:lineRule="atLeast"/>
        <w:ind w:firstLine="480"/>
        <w:rPr>
          <w:rFonts w:ascii="仿宋_GB2312" w:eastAsia="仿宋_GB2312"/>
          <w:color w:val="000000"/>
          <w:highlight w:val="none"/>
        </w:rPr>
      </w:pPr>
      <w:r>
        <w:rPr>
          <w:rFonts w:hint="eastAsia" w:ascii="仿宋_GB2312" w:hAnsi="宋体" w:eastAsia="仿宋_GB2312" w:cs="宋体"/>
          <w:color w:val="000000"/>
          <w:highlight w:val="none"/>
        </w:rPr>
        <w:t>4.4投标货币</w:t>
      </w:r>
    </w:p>
    <w:p>
      <w:pPr>
        <w:pStyle w:val="14"/>
        <w:adjustRightInd w:val="0"/>
        <w:snapToGrid w:val="0"/>
        <w:spacing w:line="500" w:lineRule="atLeast"/>
        <w:ind w:firstLine="480" w:firstLineChars="200"/>
        <w:rPr>
          <w:rFonts w:ascii="仿宋_GB2312" w:eastAsia="仿宋_GB2312" w:cs="Times New Roman"/>
          <w:sz w:val="24"/>
          <w:szCs w:val="24"/>
          <w:highlight w:val="none"/>
        </w:rPr>
      </w:pPr>
      <w:r>
        <w:rPr>
          <w:rFonts w:hint="eastAsia" w:ascii="仿宋_GB2312" w:eastAsia="仿宋_GB2312"/>
          <w:sz w:val="24"/>
          <w:szCs w:val="24"/>
          <w:highlight w:val="none"/>
        </w:rPr>
        <w:t>投标文件中价格全部采用人民币报价。报价应是唯一的，采购机构将不接受有选择的报价。</w:t>
      </w:r>
    </w:p>
    <w:p>
      <w:pPr>
        <w:pStyle w:val="129"/>
        <w:adjustRightInd w:val="0"/>
        <w:snapToGrid w:val="0"/>
        <w:spacing w:before="0" w:line="500" w:lineRule="atLeast"/>
        <w:ind w:firstLine="480"/>
        <w:rPr>
          <w:rFonts w:ascii="仿宋_GB2312" w:hAnsi="宋体" w:eastAsia="仿宋_GB2312" w:cs="宋体"/>
          <w:color w:val="000000"/>
          <w:highlight w:val="none"/>
        </w:rPr>
      </w:pPr>
      <w:r>
        <w:rPr>
          <w:rFonts w:hint="eastAsia" w:ascii="仿宋_GB2312" w:hAnsi="宋体" w:eastAsia="仿宋_GB2312" w:cs="宋体"/>
          <w:color w:val="000000"/>
          <w:highlight w:val="none"/>
        </w:rPr>
        <w:t>4.5投标人对在合同执行中，除上述费用及招标文件规定的由中标人负责的工作范围以外需要采购人协调或提供便利的工作应当在投标文件中说明。</w:t>
      </w:r>
    </w:p>
    <w:p>
      <w:pPr>
        <w:tabs>
          <w:tab w:val="left" w:pos="0"/>
        </w:tabs>
        <w:adjustRightInd w:val="0"/>
        <w:snapToGrid w:val="0"/>
        <w:spacing w:line="500" w:lineRule="atLeast"/>
        <w:rPr>
          <w:rFonts w:ascii="仿宋_GB2312" w:eastAsia="仿宋_GB2312"/>
          <w:b/>
          <w:bCs/>
          <w:color w:val="000000"/>
          <w:sz w:val="24"/>
          <w:szCs w:val="24"/>
          <w:highlight w:val="none"/>
        </w:rPr>
      </w:pPr>
      <w:r>
        <w:rPr>
          <w:rFonts w:hint="eastAsia" w:ascii="仿宋_GB2312" w:hAnsi="宋体" w:eastAsia="仿宋_GB2312" w:cs="宋体"/>
          <w:b/>
          <w:bCs/>
          <w:color w:val="000000"/>
          <w:sz w:val="24"/>
          <w:szCs w:val="24"/>
          <w:highlight w:val="none"/>
        </w:rPr>
        <w:t>5、投标人的替代方案</w:t>
      </w:r>
    </w:p>
    <w:p>
      <w:pPr>
        <w:tabs>
          <w:tab w:val="left" w:pos="0"/>
        </w:tabs>
        <w:adjustRightInd w:val="0"/>
        <w:snapToGrid w:val="0"/>
        <w:spacing w:line="500" w:lineRule="atLeast"/>
        <w:ind w:firstLine="468" w:firstLineChars="195"/>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5.1投标人所提交的投标文件应完全满足招标文件的要求，投标人不允许提交替代方案。</w:t>
      </w:r>
    </w:p>
    <w:p>
      <w:pPr>
        <w:tabs>
          <w:tab w:val="left" w:pos="0"/>
        </w:tabs>
        <w:adjustRightInd w:val="0"/>
        <w:snapToGrid w:val="0"/>
        <w:spacing w:line="500" w:lineRule="atLeast"/>
        <w:rPr>
          <w:rFonts w:ascii="仿宋_GB2312" w:eastAsia="仿宋_GB2312"/>
          <w:b/>
          <w:bCs/>
          <w:color w:val="000000"/>
          <w:sz w:val="24"/>
          <w:szCs w:val="24"/>
          <w:highlight w:val="none"/>
        </w:rPr>
      </w:pPr>
      <w:r>
        <w:rPr>
          <w:rFonts w:hint="eastAsia" w:ascii="仿宋_GB2312" w:hAnsi="宋体" w:eastAsia="仿宋_GB2312" w:cs="宋体"/>
          <w:b/>
          <w:bCs/>
          <w:color w:val="000000"/>
          <w:sz w:val="24"/>
          <w:szCs w:val="24"/>
          <w:highlight w:val="none"/>
        </w:rPr>
        <w:t>6、投标文件的份数和签署</w:t>
      </w:r>
    </w:p>
    <w:p>
      <w:pPr>
        <w:tabs>
          <w:tab w:val="left" w:pos="0"/>
        </w:tabs>
        <w:adjustRightInd w:val="0"/>
        <w:snapToGrid w:val="0"/>
        <w:spacing w:line="500" w:lineRule="atLeast"/>
        <w:ind w:firstLine="468" w:firstLineChars="195"/>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6.1供应商应按本招标文件投标须知前附表中所规定份数提交投标文件。</w:t>
      </w:r>
    </w:p>
    <w:p>
      <w:pPr>
        <w:tabs>
          <w:tab w:val="left" w:pos="0"/>
        </w:tabs>
        <w:adjustRightInd w:val="0"/>
        <w:snapToGrid w:val="0"/>
        <w:spacing w:line="500" w:lineRule="atLeast"/>
        <w:ind w:firstLine="468" w:firstLineChars="195"/>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6.2供应商应根据招标文件要求，在投标文件适当的位置填写供应商全称并加盖印章，同时签署授权供应商代表（或法定代表人）的全名。投标文件必须由授权供应商代表（或法定代表人）签署。签署时必须用蓝色或黑色钢笔或签字笔，不得使用圆珠笔或其他易被擦除的书写工具。</w:t>
      </w:r>
    </w:p>
    <w:p>
      <w:pPr>
        <w:tabs>
          <w:tab w:val="left" w:pos="0"/>
        </w:tabs>
        <w:adjustRightInd w:val="0"/>
        <w:snapToGrid w:val="0"/>
        <w:spacing w:line="500" w:lineRule="atLeast"/>
        <w:jc w:val="center"/>
        <w:rPr>
          <w:rFonts w:ascii="仿宋_GB2312" w:hAnsi="宋体" w:eastAsia="仿宋_GB2312" w:cs="宋体"/>
          <w:b/>
          <w:bCs/>
          <w:color w:val="000000"/>
          <w:sz w:val="30"/>
          <w:szCs w:val="30"/>
          <w:highlight w:val="none"/>
        </w:rPr>
      </w:pPr>
    </w:p>
    <w:p>
      <w:pPr>
        <w:tabs>
          <w:tab w:val="left" w:pos="0"/>
        </w:tabs>
        <w:adjustRightInd w:val="0"/>
        <w:snapToGrid w:val="0"/>
        <w:spacing w:line="500" w:lineRule="atLeast"/>
        <w:jc w:val="center"/>
        <w:rPr>
          <w:rFonts w:ascii="仿宋_GB2312" w:eastAsia="仿宋_GB2312"/>
          <w:color w:val="000000"/>
          <w:sz w:val="30"/>
          <w:szCs w:val="30"/>
          <w:highlight w:val="none"/>
        </w:rPr>
      </w:pPr>
      <w:r>
        <w:rPr>
          <w:rFonts w:hint="eastAsia" w:ascii="仿宋_GB2312" w:hAnsi="宋体" w:eastAsia="仿宋_GB2312" w:cs="宋体"/>
          <w:b/>
          <w:bCs/>
          <w:color w:val="000000"/>
          <w:sz w:val="30"/>
          <w:szCs w:val="30"/>
          <w:highlight w:val="none"/>
        </w:rPr>
        <w:t>（四）投标文件的提交</w:t>
      </w:r>
    </w:p>
    <w:p>
      <w:pPr>
        <w:adjustRightInd w:val="0"/>
        <w:snapToGrid w:val="0"/>
        <w:spacing w:line="500" w:lineRule="atLeast"/>
        <w:rPr>
          <w:rFonts w:ascii="仿宋_GB2312" w:eastAsia="仿宋_GB2312"/>
          <w:b/>
          <w:bCs/>
          <w:color w:val="000000"/>
          <w:sz w:val="24"/>
          <w:szCs w:val="24"/>
          <w:highlight w:val="none"/>
        </w:rPr>
      </w:pPr>
      <w:r>
        <w:rPr>
          <w:rFonts w:hint="eastAsia" w:ascii="仿宋_GB2312" w:hAnsi="宋体" w:eastAsia="仿宋_GB2312" w:cs="宋体"/>
          <w:b/>
          <w:bCs/>
          <w:color w:val="000000"/>
          <w:sz w:val="24"/>
          <w:szCs w:val="24"/>
          <w:highlight w:val="none"/>
        </w:rPr>
        <w:t>1、投标文件的密封及标记</w:t>
      </w:r>
    </w:p>
    <w:p>
      <w:pPr>
        <w:tabs>
          <w:tab w:val="left" w:pos="0"/>
        </w:tabs>
        <w:adjustRightInd w:val="0"/>
        <w:snapToGrid w:val="0"/>
        <w:spacing w:line="500" w:lineRule="atLeast"/>
        <w:ind w:firstLine="470" w:firstLineChars="195"/>
        <w:rPr>
          <w:rFonts w:ascii="仿宋_GB2312" w:eastAsia="仿宋_GB2312"/>
          <w:b/>
          <w:bCs/>
          <w:color w:val="FF0000"/>
          <w:sz w:val="24"/>
          <w:szCs w:val="24"/>
          <w:highlight w:val="none"/>
        </w:rPr>
      </w:pPr>
      <w:r>
        <w:rPr>
          <w:rFonts w:hint="eastAsia" w:ascii="仿宋_GB2312" w:eastAsia="仿宋_GB2312"/>
          <w:b/>
          <w:bCs/>
          <w:color w:val="FF0000"/>
          <w:sz w:val="24"/>
          <w:szCs w:val="24"/>
          <w:highlight w:val="none"/>
        </w:rPr>
        <w:t>1.1本项目投标文件均按投标文件组成部分（即商务报价文件、资信文件、技术文件等部分）分别进行包装和密封（即：商务报价文件一正五副合一包、资信文件一正五副合一包、技术文件一正五副合一包等以此类推），各密封包的包装封面按招标文件第五部分提供的“投标文件封面及密封包装封面”式样进行制作。</w:t>
      </w:r>
    </w:p>
    <w:p>
      <w:pPr>
        <w:tabs>
          <w:tab w:val="left" w:pos="0"/>
        </w:tabs>
        <w:adjustRightInd w:val="0"/>
        <w:snapToGrid w:val="0"/>
        <w:spacing w:line="500" w:lineRule="atLeast"/>
        <w:ind w:firstLine="482" w:firstLineChars="200"/>
        <w:rPr>
          <w:rFonts w:ascii="仿宋_GB2312" w:hAnsi="宋体" w:eastAsia="仿宋_GB2312" w:cs="宋体"/>
          <w:b/>
          <w:color w:val="000000"/>
          <w:sz w:val="24"/>
          <w:szCs w:val="24"/>
          <w:highlight w:val="none"/>
        </w:rPr>
      </w:pPr>
      <w:r>
        <w:rPr>
          <w:rFonts w:hint="eastAsia" w:ascii="仿宋_GB2312" w:eastAsia="仿宋_GB2312"/>
          <w:b/>
          <w:bCs/>
          <w:color w:val="000000"/>
          <w:sz w:val="24"/>
          <w:szCs w:val="24"/>
          <w:highlight w:val="none"/>
        </w:rPr>
        <w:t>1.2如果投标人未按上述要求密封，视为“</w:t>
      </w:r>
      <w:r>
        <w:rPr>
          <w:rFonts w:hint="eastAsia" w:ascii="仿宋_GB2312" w:hAnsi="宋体" w:eastAsia="仿宋_GB2312" w:cs="宋体"/>
          <w:b/>
          <w:color w:val="000000"/>
          <w:spacing w:val="4"/>
          <w:sz w:val="24"/>
          <w:highlight w:val="none"/>
        </w:rPr>
        <w:t>投标文件未按规定密封的</w:t>
      </w:r>
      <w:r>
        <w:rPr>
          <w:rFonts w:hint="eastAsia" w:ascii="仿宋_GB2312" w:eastAsia="仿宋_GB2312"/>
          <w:b/>
          <w:bCs/>
          <w:color w:val="000000"/>
          <w:sz w:val="24"/>
          <w:szCs w:val="24"/>
          <w:highlight w:val="none"/>
        </w:rPr>
        <w:t>”，并对投标文件的误投和提</w:t>
      </w:r>
      <w:r>
        <w:rPr>
          <w:rFonts w:hint="eastAsia" w:ascii="仿宋_GB2312" w:hAnsi="宋体" w:eastAsia="仿宋_GB2312" w:cs="宋体"/>
          <w:b/>
          <w:color w:val="000000"/>
          <w:sz w:val="24"/>
          <w:szCs w:val="24"/>
          <w:highlight w:val="none"/>
        </w:rPr>
        <w:t>前启封不负责。</w:t>
      </w:r>
    </w:p>
    <w:p>
      <w:pPr>
        <w:tabs>
          <w:tab w:val="left" w:pos="0"/>
        </w:tabs>
        <w:adjustRightInd w:val="0"/>
        <w:snapToGrid w:val="0"/>
        <w:spacing w:line="500" w:lineRule="atLeast"/>
        <w:rPr>
          <w:rFonts w:ascii="仿宋_GB2312" w:eastAsia="仿宋_GB2312"/>
          <w:b/>
          <w:bCs/>
          <w:color w:val="000000"/>
          <w:sz w:val="24"/>
          <w:szCs w:val="24"/>
          <w:highlight w:val="none"/>
        </w:rPr>
      </w:pPr>
      <w:r>
        <w:rPr>
          <w:rFonts w:hint="eastAsia" w:ascii="仿宋_GB2312" w:hAnsi="宋体" w:eastAsia="仿宋_GB2312" w:cs="宋体"/>
          <w:b/>
          <w:bCs/>
          <w:color w:val="000000"/>
          <w:sz w:val="24"/>
          <w:szCs w:val="24"/>
          <w:highlight w:val="none"/>
        </w:rPr>
        <w:t>2、投标文件的提交及截止时间</w:t>
      </w:r>
    </w:p>
    <w:p>
      <w:pPr>
        <w:tabs>
          <w:tab w:val="left" w:pos="0"/>
        </w:tabs>
        <w:adjustRightInd w:val="0"/>
        <w:snapToGrid w:val="0"/>
        <w:spacing w:line="500" w:lineRule="atLeast"/>
        <w:ind w:firstLine="468" w:firstLineChars="195"/>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2.1投标人应按本招标文件投标须知前附表规定的地点，于截止时间前提交投标文件。</w:t>
      </w:r>
    </w:p>
    <w:p>
      <w:pPr>
        <w:tabs>
          <w:tab w:val="left" w:pos="0"/>
        </w:tabs>
        <w:spacing w:line="500" w:lineRule="atLeast"/>
        <w:rPr>
          <w:rFonts w:ascii="仿宋_GB2312" w:eastAsia="仿宋_GB2312"/>
          <w:b/>
          <w:bCs/>
          <w:color w:val="000000"/>
          <w:sz w:val="24"/>
          <w:szCs w:val="24"/>
          <w:highlight w:val="none"/>
        </w:rPr>
      </w:pPr>
      <w:r>
        <w:rPr>
          <w:rFonts w:hint="eastAsia" w:ascii="仿宋_GB2312" w:hAnsi="宋体" w:eastAsia="仿宋_GB2312" w:cs="宋体"/>
          <w:b/>
          <w:bCs/>
          <w:color w:val="000000"/>
          <w:sz w:val="24"/>
          <w:szCs w:val="24"/>
          <w:highlight w:val="none"/>
        </w:rPr>
        <w:t>3、迟交的投标文件</w:t>
      </w:r>
    </w:p>
    <w:p>
      <w:pPr>
        <w:tabs>
          <w:tab w:val="left" w:pos="0"/>
        </w:tabs>
        <w:spacing w:line="500" w:lineRule="atLeast"/>
        <w:ind w:firstLine="468" w:firstLineChars="195"/>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3.1投标文件的截止时间见招标文件投标须知前附表规定。</w:t>
      </w:r>
    </w:p>
    <w:p>
      <w:pPr>
        <w:tabs>
          <w:tab w:val="left" w:pos="0"/>
        </w:tabs>
        <w:spacing w:line="500" w:lineRule="atLeast"/>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3.2集中采购机构可按本招标文件规定以修改补充通知的方式，酌情延长提交投标文件的截止时间。在此情况下，供应商的所有权利和义务以及供应商受制约的截止时间，均以延长后新的投标截止时间为准。</w:t>
      </w:r>
    </w:p>
    <w:p>
      <w:pPr>
        <w:tabs>
          <w:tab w:val="left" w:pos="0"/>
        </w:tabs>
        <w:spacing w:line="500" w:lineRule="atLeast"/>
        <w:rPr>
          <w:rFonts w:ascii="仿宋_GB2312" w:eastAsia="仿宋_GB2312"/>
          <w:b/>
          <w:bCs/>
          <w:color w:val="000000"/>
          <w:sz w:val="24"/>
          <w:szCs w:val="24"/>
          <w:highlight w:val="none"/>
        </w:rPr>
      </w:pPr>
      <w:r>
        <w:rPr>
          <w:rFonts w:hint="eastAsia" w:ascii="仿宋_GB2312" w:hAnsi="宋体" w:eastAsia="仿宋_GB2312" w:cs="宋体"/>
          <w:b/>
          <w:bCs/>
          <w:color w:val="000000"/>
          <w:sz w:val="24"/>
          <w:szCs w:val="24"/>
          <w:highlight w:val="none"/>
        </w:rPr>
        <w:t>4、投标文件的补充、修改与撤回</w:t>
      </w:r>
    </w:p>
    <w:p>
      <w:pPr>
        <w:tabs>
          <w:tab w:val="left" w:pos="0"/>
        </w:tabs>
        <w:adjustRightInd w:val="0"/>
        <w:snapToGrid w:val="0"/>
        <w:spacing w:line="500" w:lineRule="atLeast"/>
        <w:ind w:firstLine="468" w:firstLineChars="195"/>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4.1供应商在投标截止时间以后送达的投标文件将被拒绝接受。</w:t>
      </w:r>
    </w:p>
    <w:p>
      <w:pPr>
        <w:tabs>
          <w:tab w:val="left" w:pos="0"/>
        </w:tabs>
        <w:spacing w:line="500" w:lineRule="atLeast"/>
        <w:rPr>
          <w:rFonts w:ascii="仿宋_GB2312" w:eastAsia="仿宋_GB2312"/>
          <w:b/>
          <w:bCs/>
          <w:color w:val="000000"/>
          <w:sz w:val="24"/>
          <w:szCs w:val="24"/>
          <w:highlight w:val="none"/>
        </w:rPr>
      </w:pPr>
      <w:r>
        <w:rPr>
          <w:rFonts w:hint="eastAsia" w:ascii="仿宋_GB2312" w:hAnsi="宋体" w:eastAsia="仿宋_GB2312" w:cs="宋体"/>
          <w:b/>
          <w:bCs/>
          <w:color w:val="000000"/>
          <w:sz w:val="24"/>
          <w:szCs w:val="24"/>
          <w:highlight w:val="none"/>
        </w:rPr>
        <w:t>5、投标文件的补充、修改与撤回</w:t>
      </w:r>
    </w:p>
    <w:p>
      <w:pPr>
        <w:tabs>
          <w:tab w:val="left" w:pos="0"/>
        </w:tabs>
        <w:spacing w:line="500" w:lineRule="atLeast"/>
        <w:ind w:firstLine="468" w:firstLineChars="195"/>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5.1供应商在提交投标文件以后，在规定的投标截止时间之前，可以书面形式补充修改或撤回已提交的投标文件，并以书面形式通知采购人。补充、修改的内容为投标文件的组成部分。</w:t>
      </w:r>
    </w:p>
    <w:p>
      <w:pPr>
        <w:tabs>
          <w:tab w:val="left" w:pos="0"/>
        </w:tabs>
        <w:spacing w:line="500" w:lineRule="atLeast"/>
        <w:ind w:firstLine="468" w:firstLineChars="195"/>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5.2供应商对投标文件的补充、修改，应按本招标文件有关规定密封、标记和提交，并在投标文件密封袋上清楚标明“补充”、“修改”或“撤回”字样。</w:t>
      </w:r>
    </w:p>
    <w:p>
      <w:pPr>
        <w:tabs>
          <w:tab w:val="left" w:pos="0"/>
        </w:tabs>
        <w:spacing w:line="500" w:lineRule="atLeast"/>
        <w:ind w:firstLine="468" w:firstLineChars="195"/>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5.3在投标截止时间之后，供应商不得补充、修改投标文件。</w:t>
      </w:r>
    </w:p>
    <w:p>
      <w:pPr>
        <w:tabs>
          <w:tab w:val="left" w:pos="0"/>
        </w:tabs>
        <w:adjustRightInd w:val="0"/>
        <w:snapToGrid w:val="0"/>
        <w:spacing w:line="500" w:lineRule="atLeast"/>
        <w:ind w:firstLine="468" w:firstLineChars="195"/>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5.4根据本招标文件规定，在投标截止时间之后至供应商在投标函中规定的投标有效期满之前的这段时间内，供应商不得撤回其投标文件。</w:t>
      </w:r>
    </w:p>
    <w:p>
      <w:pPr>
        <w:tabs>
          <w:tab w:val="left" w:pos="0"/>
        </w:tabs>
        <w:adjustRightInd w:val="0"/>
        <w:snapToGrid w:val="0"/>
        <w:spacing w:line="500" w:lineRule="atLeast"/>
        <w:ind w:firstLine="587" w:firstLineChars="195"/>
        <w:jc w:val="center"/>
        <w:rPr>
          <w:rFonts w:ascii="仿宋_GB2312" w:hAnsi="宋体" w:eastAsia="仿宋_GB2312" w:cs="宋体"/>
          <w:b/>
          <w:bCs/>
          <w:color w:val="000000"/>
          <w:sz w:val="30"/>
          <w:szCs w:val="30"/>
          <w:highlight w:val="none"/>
        </w:rPr>
      </w:pPr>
    </w:p>
    <w:p>
      <w:pPr>
        <w:tabs>
          <w:tab w:val="left" w:pos="0"/>
        </w:tabs>
        <w:adjustRightInd w:val="0"/>
        <w:snapToGrid w:val="0"/>
        <w:spacing w:line="500" w:lineRule="atLeast"/>
        <w:ind w:firstLine="587" w:firstLineChars="195"/>
        <w:jc w:val="center"/>
        <w:rPr>
          <w:rFonts w:ascii="仿宋_GB2312" w:eastAsia="仿宋_GB2312"/>
          <w:color w:val="000000"/>
          <w:sz w:val="24"/>
          <w:szCs w:val="24"/>
          <w:highlight w:val="none"/>
        </w:rPr>
      </w:pPr>
      <w:r>
        <w:rPr>
          <w:rFonts w:hint="eastAsia" w:ascii="仿宋_GB2312" w:hAnsi="宋体" w:eastAsia="仿宋_GB2312" w:cs="宋体"/>
          <w:b/>
          <w:bCs/>
          <w:color w:val="000000"/>
          <w:sz w:val="30"/>
          <w:szCs w:val="30"/>
          <w:highlight w:val="none"/>
        </w:rPr>
        <w:t>（五）投标有效期</w:t>
      </w:r>
    </w:p>
    <w:p>
      <w:pPr>
        <w:tabs>
          <w:tab w:val="left" w:pos="0"/>
        </w:tabs>
        <w:adjustRightInd w:val="0"/>
        <w:snapToGrid w:val="0"/>
        <w:spacing w:line="500" w:lineRule="atLeast"/>
        <w:ind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1、投标有效期见本招标文件中附表所规定的期限，在此期限内，凡符合本招标文件要求的投标文件均保持有效。</w:t>
      </w:r>
    </w:p>
    <w:p>
      <w:pPr>
        <w:tabs>
          <w:tab w:val="left" w:pos="0"/>
        </w:tabs>
        <w:adjustRightInd w:val="0"/>
        <w:snapToGrid w:val="0"/>
        <w:spacing w:line="500" w:lineRule="atLeast"/>
        <w:ind w:firstLine="480" w:firstLineChars="200"/>
        <w:rPr>
          <w:rFonts w:ascii="仿宋_GB2312" w:hAnsi="宋体" w:eastAsia="仿宋_GB2312" w:cs="宋体"/>
          <w:b/>
          <w:bCs/>
          <w:color w:val="000000"/>
          <w:sz w:val="30"/>
          <w:szCs w:val="30"/>
          <w:highlight w:val="none"/>
          <w:lang w:val="en-GB"/>
        </w:rPr>
      </w:pPr>
      <w:r>
        <w:rPr>
          <w:rFonts w:hint="eastAsia" w:ascii="仿宋_GB2312" w:hAnsi="宋体" w:eastAsia="仿宋_GB2312" w:cs="宋体"/>
          <w:color w:val="000000"/>
          <w:sz w:val="24"/>
          <w:szCs w:val="24"/>
          <w:highlight w:val="none"/>
        </w:rPr>
        <w:t>2、在特殊情况下，集中采购机构在原定投标有效期内，可以根据需要以书面形式向投标人提出延长投标有效期的要求，对此要求投标人须以书面形式予以答复。投标人可以拒绝集中采购机构这种要求。同意延长投标有效期的投标人既不能要求也不允许修改其投标文件。</w:t>
      </w:r>
    </w:p>
    <w:p>
      <w:pPr>
        <w:tabs>
          <w:tab w:val="left" w:pos="0"/>
        </w:tabs>
        <w:adjustRightInd w:val="0"/>
        <w:snapToGrid w:val="0"/>
        <w:spacing w:line="500" w:lineRule="atLeast"/>
        <w:jc w:val="center"/>
        <w:rPr>
          <w:rFonts w:ascii="仿宋_GB2312" w:hAnsi="宋体" w:eastAsia="仿宋_GB2312" w:cs="宋体"/>
          <w:b/>
          <w:bCs/>
          <w:color w:val="000000"/>
          <w:sz w:val="30"/>
          <w:szCs w:val="30"/>
          <w:highlight w:val="none"/>
          <w:lang w:val="en-GB"/>
        </w:rPr>
      </w:pPr>
    </w:p>
    <w:p>
      <w:pPr>
        <w:adjustRightInd w:val="0"/>
        <w:snapToGrid w:val="0"/>
        <w:spacing w:line="500" w:lineRule="atLeast"/>
        <w:jc w:val="center"/>
        <w:rPr>
          <w:rFonts w:ascii="仿宋_GB2312" w:eastAsia="仿宋_GB2312"/>
          <w:b/>
          <w:bCs/>
          <w:color w:val="000000"/>
          <w:spacing w:val="4"/>
          <w:sz w:val="30"/>
          <w:szCs w:val="30"/>
          <w:highlight w:val="none"/>
        </w:rPr>
      </w:pPr>
      <w:r>
        <w:rPr>
          <w:rFonts w:hint="eastAsia" w:ascii="仿宋_GB2312" w:hAnsi="宋体" w:eastAsia="仿宋_GB2312" w:cs="宋体"/>
          <w:b/>
          <w:bCs/>
          <w:color w:val="000000"/>
          <w:spacing w:val="4"/>
          <w:sz w:val="30"/>
          <w:szCs w:val="30"/>
          <w:highlight w:val="none"/>
        </w:rPr>
        <w:t>（</w:t>
      </w:r>
      <w:r>
        <w:rPr>
          <w:rFonts w:hint="eastAsia" w:ascii="仿宋_GB2312" w:hAnsi="宋体" w:eastAsia="仿宋_GB2312" w:cs="宋体"/>
          <w:b/>
          <w:bCs/>
          <w:color w:val="000000"/>
          <w:sz w:val="30"/>
          <w:szCs w:val="30"/>
          <w:highlight w:val="none"/>
        </w:rPr>
        <w:t>六</w:t>
      </w:r>
      <w:r>
        <w:rPr>
          <w:rFonts w:hint="eastAsia" w:ascii="仿宋_GB2312" w:hAnsi="宋体" w:eastAsia="仿宋_GB2312" w:cs="宋体"/>
          <w:b/>
          <w:bCs/>
          <w:color w:val="000000"/>
          <w:spacing w:val="4"/>
          <w:sz w:val="30"/>
          <w:szCs w:val="30"/>
          <w:highlight w:val="none"/>
        </w:rPr>
        <w:t>）无效标条款</w:t>
      </w:r>
    </w:p>
    <w:p>
      <w:pPr>
        <w:adjustRightInd w:val="0"/>
        <w:snapToGrid w:val="0"/>
        <w:spacing w:line="500" w:lineRule="atLeast"/>
        <w:rPr>
          <w:rFonts w:ascii="仿宋_GB2312" w:eastAsia="仿宋_GB2312"/>
          <w:b/>
          <w:bCs/>
          <w:color w:val="000000"/>
          <w:sz w:val="24"/>
          <w:szCs w:val="24"/>
          <w:highlight w:val="none"/>
        </w:rPr>
      </w:pPr>
      <w:r>
        <w:rPr>
          <w:rFonts w:hint="eastAsia" w:ascii="仿宋_GB2312" w:hAnsi="宋体" w:eastAsia="仿宋_GB2312" w:cs="宋体"/>
          <w:b/>
          <w:bCs/>
          <w:color w:val="000000"/>
          <w:spacing w:val="4"/>
          <w:sz w:val="24"/>
          <w:szCs w:val="24"/>
          <w:highlight w:val="none"/>
        </w:rPr>
        <w:t>1、</w:t>
      </w:r>
      <w:r>
        <w:rPr>
          <w:rFonts w:hint="eastAsia" w:ascii="仿宋_GB2312" w:hAnsi="宋体" w:eastAsia="仿宋_GB2312" w:cs="宋体"/>
          <w:b/>
          <w:bCs/>
          <w:color w:val="000000"/>
          <w:sz w:val="24"/>
          <w:szCs w:val="24"/>
          <w:highlight w:val="none"/>
        </w:rPr>
        <w:t>有下列情况之一的，对投标人作无效标处理。</w:t>
      </w:r>
    </w:p>
    <w:p>
      <w:pPr>
        <w:adjustRightInd w:val="0"/>
        <w:snapToGrid w:val="0"/>
        <w:spacing w:line="500" w:lineRule="atLeast"/>
        <w:ind w:left="418" w:leftChars="199"/>
        <w:rPr>
          <w:rFonts w:ascii="仿宋_GB2312" w:hAnsi="宋体" w:eastAsia="仿宋_GB2312" w:cs="宋体"/>
          <w:color w:val="000000"/>
          <w:spacing w:val="4"/>
          <w:sz w:val="24"/>
          <w:highlight w:val="none"/>
        </w:rPr>
      </w:pPr>
      <w:r>
        <w:rPr>
          <w:rFonts w:hint="eastAsia" w:ascii="仿宋_GB2312" w:hAnsi="宋体" w:eastAsia="仿宋_GB2312" w:cs="宋体"/>
          <w:color w:val="000000"/>
          <w:spacing w:val="4"/>
          <w:sz w:val="24"/>
          <w:highlight w:val="none"/>
        </w:rPr>
        <w:t>1.1按照相关法律法规程序确认为无效标；</w:t>
      </w:r>
    </w:p>
    <w:p>
      <w:pPr>
        <w:adjustRightInd w:val="0"/>
        <w:snapToGrid w:val="0"/>
        <w:spacing w:line="500" w:lineRule="atLeast"/>
        <w:ind w:left="418" w:leftChars="199"/>
        <w:rPr>
          <w:rFonts w:ascii="仿宋_GB2312" w:hAnsi="宋体" w:eastAsia="仿宋_GB2312" w:cs="宋体"/>
          <w:color w:val="000000"/>
          <w:spacing w:val="4"/>
          <w:sz w:val="24"/>
          <w:highlight w:val="none"/>
        </w:rPr>
      </w:pPr>
      <w:r>
        <w:rPr>
          <w:rFonts w:hint="eastAsia" w:ascii="仿宋_GB2312" w:hAnsi="宋体" w:eastAsia="仿宋_GB2312" w:cs="宋体"/>
          <w:color w:val="000000"/>
          <w:spacing w:val="4"/>
          <w:sz w:val="24"/>
          <w:highlight w:val="none"/>
        </w:rPr>
        <w:t>1.2投标文件未按规定密封的；</w:t>
      </w:r>
    </w:p>
    <w:p>
      <w:pPr>
        <w:adjustRightInd w:val="0"/>
        <w:snapToGrid w:val="0"/>
        <w:spacing w:line="500" w:lineRule="atLeast"/>
        <w:ind w:left="418" w:leftChars="199"/>
        <w:rPr>
          <w:rFonts w:ascii="仿宋_GB2312" w:hAnsi="宋体" w:eastAsia="仿宋_GB2312" w:cs="宋体"/>
          <w:color w:val="000000"/>
          <w:spacing w:val="4"/>
          <w:sz w:val="24"/>
          <w:highlight w:val="none"/>
        </w:rPr>
      </w:pPr>
      <w:r>
        <w:rPr>
          <w:rFonts w:hint="eastAsia" w:ascii="仿宋_GB2312" w:hAnsi="宋体" w:eastAsia="仿宋_GB2312" w:cs="宋体"/>
          <w:color w:val="000000"/>
          <w:spacing w:val="4"/>
          <w:sz w:val="24"/>
          <w:highlight w:val="none"/>
        </w:rPr>
        <w:t>1.3无详细的报价表或其中内容不对的；</w:t>
      </w:r>
    </w:p>
    <w:p>
      <w:pPr>
        <w:adjustRightInd w:val="0"/>
        <w:snapToGrid w:val="0"/>
        <w:spacing w:line="500" w:lineRule="atLeast"/>
        <w:ind w:left="418" w:leftChars="199"/>
        <w:rPr>
          <w:rFonts w:ascii="仿宋_GB2312" w:hAnsi="宋体" w:eastAsia="仿宋_GB2312" w:cs="宋体"/>
          <w:color w:val="000000"/>
          <w:spacing w:val="4"/>
          <w:sz w:val="24"/>
          <w:highlight w:val="none"/>
        </w:rPr>
      </w:pPr>
      <w:r>
        <w:rPr>
          <w:rFonts w:hint="eastAsia" w:ascii="仿宋_GB2312" w:hAnsi="宋体" w:eastAsia="仿宋_GB2312" w:cs="宋体"/>
          <w:color w:val="000000"/>
          <w:spacing w:val="4"/>
          <w:sz w:val="24"/>
          <w:highlight w:val="none"/>
        </w:rPr>
        <w:t>1.4超过本招标项目采购预算的；</w:t>
      </w:r>
    </w:p>
    <w:p>
      <w:pPr>
        <w:adjustRightInd w:val="0"/>
        <w:snapToGrid w:val="0"/>
        <w:spacing w:line="500" w:lineRule="atLeast"/>
        <w:ind w:left="418" w:leftChars="199"/>
        <w:rPr>
          <w:rFonts w:ascii="仿宋_GB2312" w:hAnsi="宋体" w:eastAsia="仿宋_GB2312" w:cs="宋体"/>
          <w:color w:val="000000"/>
          <w:spacing w:val="4"/>
          <w:sz w:val="24"/>
          <w:highlight w:val="none"/>
        </w:rPr>
      </w:pPr>
      <w:r>
        <w:rPr>
          <w:rFonts w:hint="eastAsia" w:ascii="仿宋_GB2312" w:hAnsi="宋体" w:eastAsia="仿宋_GB2312" w:cs="宋体"/>
          <w:color w:val="000000"/>
          <w:spacing w:val="4"/>
          <w:sz w:val="24"/>
          <w:highlight w:val="none"/>
        </w:rPr>
        <w:t>1.5拒绝集中采购机构的通知到场进行答疑和澄清或不派人员进行答疑和澄清的；</w:t>
      </w:r>
    </w:p>
    <w:p>
      <w:pPr>
        <w:adjustRightInd w:val="0"/>
        <w:snapToGrid w:val="0"/>
        <w:spacing w:line="500" w:lineRule="atLeast"/>
        <w:ind w:left="418" w:leftChars="199"/>
        <w:rPr>
          <w:rFonts w:ascii="仿宋_GB2312" w:hAnsi="宋体" w:eastAsia="仿宋_GB2312" w:cs="宋体"/>
          <w:color w:val="000000"/>
          <w:spacing w:val="4"/>
          <w:sz w:val="24"/>
          <w:highlight w:val="none"/>
        </w:rPr>
      </w:pPr>
      <w:r>
        <w:rPr>
          <w:rFonts w:hint="eastAsia" w:ascii="仿宋_GB2312" w:hAnsi="宋体" w:eastAsia="仿宋_GB2312" w:cs="宋体"/>
          <w:color w:val="000000"/>
          <w:spacing w:val="4"/>
          <w:sz w:val="24"/>
          <w:highlight w:val="none"/>
        </w:rPr>
        <w:t>1.6在投标文件中未按要求加盖公章及签名的；</w:t>
      </w:r>
    </w:p>
    <w:p>
      <w:pPr>
        <w:adjustRightInd w:val="0"/>
        <w:snapToGrid w:val="0"/>
        <w:spacing w:line="500" w:lineRule="atLeast"/>
        <w:ind w:left="418" w:leftChars="199"/>
        <w:rPr>
          <w:rFonts w:ascii="仿宋_GB2312" w:hAnsi="宋体" w:eastAsia="仿宋_GB2312" w:cs="宋体"/>
          <w:color w:val="000000"/>
          <w:spacing w:val="4"/>
          <w:sz w:val="24"/>
          <w:highlight w:val="none"/>
        </w:rPr>
      </w:pPr>
      <w:r>
        <w:rPr>
          <w:rFonts w:hint="eastAsia" w:ascii="仿宋_GB2312" w:hAnsi="宋体" w:eastAsia="仿宋_GB2312" w:cs="宋体"/>
          <w:color w:val="000000"/>
          <w:spacing w:val="4"/>
          <w:sz w:val="24"/>
          <w:highlight w:val="none"/>
        </w:rPr>
        <w:t>1.7投标人在投标报价计算或表达上有错误时，投标人不接受修正后报价的；</w:t>
      </w:r>
    </w:p>
    <w:p>
      <w:pPr>
        <w:adjustRightInd w:val="0"/>
        <w:snapToGrid w:val="0"/>
        <w:spacing w:line="500" w:lineRule="atLeast"/>
        <w:ind w:left="418" w:leftChars="199"/>
        <w:rPr>
          <w:rFonts w:ascii="仿宋_GB2312" w:hAnsi="宋体" w:eastAsia="仿宋_GB2312" w:cs="宋体"/>
          <w:color w:val="000000"/>
          <w:spacing w:val="4"/>
          <w:sz w:val="24"/>
          <w:highlight w:val="none"/>
        </w:rPr>
      </w:pPr>
      <w:r>
        <w:rPr>
          <w:rFonts w:hint="eastAsia" w:ascii="仿宋_GB2312" w:hAnsi="宋体" w:eastAsia="仿宋_GB2312" w:cs="宋体"/>
          <w:color w:val="000000"/>
          <w:spacing w:val="4"/>
          <w:sz w:val="24"/>
          <w:highlight w:val="none"/>
        </w:rPr>
        <w:t>1.8投标文件中有重大偏离的；</w:t>
      </w:r>
    </w:p>
    <w:p>
      <w:pPr>
        <w:adjustRightInd w:val="0"/>
        <w:snapToGrid w:val="0"/>
        <w:spacing w:line="500" w:lineRule="atLeast"/>
        <w:ind w:left="418" w:leftChars="199"/>
        <w:rPr>
          <w:rFonts w:ascii="仿宋_GB2312" w:hAnsi="宋体" w:eastAsia="仿宋_GB2312" w:cs="宋体"/>
          <w:color w:val="000000"/>
          <w:spacing w:val="4"/>
          <w:sz w:val="24"/>
          <w:highlight w:val="none"/>
        </w:rPr>
      </w:pPr>
      <w:r>
        <w:rPr>
          <w:rFonts w:hint="eastAsia" w:ascii="仿宋_GB2312" w:hAnsi="宋体" w:eastAsia="仿宋_GB2312" w:cs="宋体"/>
          <w:color w:val="000000"/>
          <w:spacing w:val="4"/>
          <w:sz w:val="24"/>
          <w:highlight w:val="none"/>
        </w:rPr>
        <w:t>1.9对招标文件未做法律法规规定的其他实质性响应要求的；</w:t>
      </w:r>
    </w:p>
    <w:p>
      <w:pPr>
        <w:adjustRightInd w:val="0"/>
        <w:snapToGrid w:val="0"/>
        <w:spacing w:line="500" w:lineRule="atLeast"/>
        <w:ind w:left="418" w:leftChars="199"/>
        <w:rPr>
          <w:rFonts w:ascii="仿宋_GB2312" w:hAnsi="宋体" w:eastAsia="仿宋_GB2312" w:cs="宋体"/>
          <w:color w:val="000000"/>
          <w:spacing w:val="4"/>
          <w:sz w:val="24"/>
          <w:highlight w:val="none"/>
        </w:rPr>
      </w:pPr>
      <w:r>
        <w:rPr>
          <w:rFonts w:hint="eastAsia" w:ascii="仿宋_GB2312" w:hAnsi="宋体" w:eastAsia="仿宋_GB2312" w:cs="宋体"/>
          <w:color w:val="000000"/>
          <w:spacing w:val="4"/>
          <w:sz w:val="24"/>
          <w:highlight w:val="none"/>
        </w:rPr>
        <w:t>1.10扰乱开标会现场秩序，影响正常开标的；</w:t>
      </w:r>
    </w:p>
    <w:p>
      <w:pPr>
        <w:adjustRightInd w:val="0"/>
        <w:snapToGrid w:val="0"/>
        <w:spacing w:line="500" w:lineRule="atLeast"/>
        <w:ind w:left="418" w:leftChars="199"/>
        <w:rPr>
          <w:rFonts w:ascii="仿宋_GB2312" w:hAnsi="宋体" w:eastAsia="仿宋_GB2312" w:cs="宋体"/>
          <w:color w:val="000000"/>
          <w:spacing w:val="4"/>
          <w:sz w:val="24"/>
          <w:highlight w:val="none"/>
        </w:rPr>
      </w:pPr>
      <w:r>
        <w:rPr>
          <w:rFonts w:hint="eastAsia" w:ascii="仿宋_GB2312" w:hAnsi="宋体" w:eastAsia="仿宋_GB2312" w:cs="宋体"/>
          <w:color w:val="000000"/>
          <w:spacing w:val="4"/>
          <w:sz w:val="24"/>
          <w:highlight w:val="none"/>
        </w:rPr>
        <w:t>1.11招标文件中明确提到应被废标或属无效标的；</w:t>
      </w:r>
    </w:p>
    <w:p>
      <w:pPr>
        <w:adjustRightInd w:val="0"/>
        <w:snapToGrid w:val="0"/>
        <w:spacing w:line="500" w:lineRule="atLeast"/>
        <w:ind w:left="418" w:leftChars="199"/>
        <w:rPr>
          <w:rFonts w:ascii="仿宋_GB2312" w:hAnsi="宋体" w:eastAsia="仿宋_GB2312" w:cs="宋体"/>
          <w:color w:val="000000"/>
          <w:spacing w:val="4"/>
          <w:sz w:val="24"/>
          <w:highlight w:val="none"/>
        </w:rPr>
      </w:pPr>
      <w:r>
        <w:rPr>
          <w:rFonts w:hint="eastAsia" w:ascii="仿宋_GB2312" w:hAnsi="宋体" w:eastAsia="仿宋_GB2312" w:cs="宋体"/>
          <w:color w:val="000000"/>
          <w:spacing w:val="4"/>
          <w:sz w:val="24"/>
          <w:highlight w:val="none"/>
        </w:rPr>
        <w:t>1.12提供虚假信息谋取中标的；</w:t>
      </w:r>
    </w:p>
    <w:p>
      <w:pPr>
        <w:adjustRightInd w:val="0"/>
        <w:snapToGrid w:val="0"/>
        <w:spacing w:line="500" w:lineRule="atLeast"/>
        <w:ind w:left="418" w:leftChars="199"/>
        <w:rPr>
          <w:rFonts w:ascii="仿宋_GB2312" w:hAnsi="宋体" w:eastAsia="仿宋_GB2312" w:cs="宋体"/>
          <w:color w:val="000000"/>
          <w:spacing w:val="4"/>
          <w:sz w:val="24"/>
          <w:highlight w:val="none"/>
        </w:rPr>
      </w:pPr>
      <w:r>
        <w:rPr>
          <w:rFonts w:hint="eastAsia" w:ascii="仿宋_GB2312" w:hAnsi="宋体" w:eastAsia="仿宋_GB2312" w:cs="宋体"/>
          <w:color w:val="000000"/>
          <w:spacing w:val="4"/>
          <w:sz w:val="24"/>
          <w:highlight w:val="none"/>
        </w:rPr>
        <w:t>1.13未按招标文件要求制作投标文件的；</w:t>
      </w:r>
    </w:p>
    <w:p>
      <w:pPr>
        <w:adjustRightInd w:val="0"/>
        <w:snapToGrid w:val="0"/>
        <w:spacing w:line="500" w:lineRule="atLeast"/>
        <w:ind w:left="418" w:leftChars="199"/>
        <w:rPr>
          <w:rFonts w:ascii="仿宋_GB2312" w:hAnsi="宋体" w:eastAsia="仿宋_GB2312" w:cs="宋体"/>
          <w:color w:val="000000"/>
          <w:spacing w:val="4"/>
          <w:sz w:val="24"/>
          <w:highlight w:val="none"/>
        </w:rPr>
      </w:pPr>
      <w:r>
        <w:rPr>
          <w:rFonts w:hint="eastAsia" w:ascii="仿宋_GB2312" w:hAnsi="宋体" w:eastAsia="仿宋_GB2312" w:cs="宋体"/>
          <w:color w:val="000000"/>
          <w:spacing w:val="4"/>
          <w:sz w:val="24"/>
          <w:highlight w:val="none"/>
        </w:rPr>
        <w:t>1.14根据招标文件要求，评审委员会认为应当作无效投标处理的其他情况。</w:t>
      </w:r>
    </w:p>
    <w:p>
      <w:pPr>
        <w:adjustRightInd w:val="0"/>
        <w:snapToGrid w:val="0"/>
        <w:spacing w:line="500" w:lineRule="atLeast"/>
        <w:jc w:val="center"/>
        <w:rPr>
          <w:rFonts w:ascii="仿宋_GB2312" w:hAnsi="宋体" w:eastAsia="仿宋_GB2312" w:cs="宋体"/>
          <w:b/>
          <w:bCs/>
          <w:color w:val="000000"/>
          <w:sz w:val="30"/>
          <w:szCs w:val="30"/>
          <w:highlight w:val="none"/>
        </w:rPr>
      </w:pPr>
    </w:p>
    <w:p>
      <w:pPr>
        <w:adjustRightInd w:val="0"/>
        <w:snapToGrid w:val="0"/>
        <w:spacing w:line="500" w:lineRule="atLeast"/>
        <w:jc w:val="center"/>
        <w:rPr>
          <w:rFonts w:ascii="仿宋_GB2312" w:eastAsia="仿宋_GB2312"/>
          <w:color w:val="000000"/>
          <w:spacing w:val="4"/>
          <w:sz w:val="30"/>
          <w:szCs w:val="30"/>
          <w:highlight w:val="none"/>
        </w:rPr>
      </w:pPr>
      <w:r>
        <w:rPr>
          <w:rFonts w:hint="eastAsia" w:ascii="仿宋_GB2312" w:hAnsi="宋体" w:eastAsia="仿宋_GB2312" w:cs="宋体"/>
          <w:b/>
          <w:bCs/>
          <w:color w:val="000000"/>
          <w:sz w:val="30"/>
          <w:szCs w:val="30"/>
          <w:highlight w:val="none"/>
        </w:rPr>
        <w:t>（</w:t>
      </w:r>
      <w:r>
        <w:rPr>
          <w:rFonts w:hint="eastAsia" w:ascii="仿宋_GB2312" w:hAnsi="宋体" w:eastAsia="仿宋_GB2312" w:cs="宋体"/>
          <w:b/>
          <w:bCs/>
          <w:color w:val="000000"/>
          <w:sz w:val="30"/>
          <w:szCs w:val="30"/>
          <w:highlight w:val="none"/>
          <w:lang w:val="en-GB"/>
        </w:rPr>
        <w:t>七</w:t>
      </w:r>
      <w:r>
        <w:rPr>
          <w:rFonts w:hint="eastAsia" w:ascii="仿宋_GB2312" w:hAnsi="宋体" w:eastAsia="仿宋_GB2312" w:cs="宋体"/>
          <w:b/>
          <w:bCs/>
          <w:color w:val="000000"/>
          <w:sz w:val="30"/>
          <w:szCs w:val="30"/>
          <w:highlight w:val="none"/>
        </w:rPr>
        <w:t>）</w:t>
      </w:r>
      <w:r>
        <w:rPr>
          <w:rFonts w:hint="eastAsia" w:ascii="仿宋_GB2312" w:hAnsi="宋体" w:eastAsia="仿宋_GB2312" w:cs="宋体"/>
          <w:b/>
          <w:bCs/>
          <w:color w:val="000000"/>
          <w:sz w:val="30"/>
          <w:szCs w:val="30"/>
          <w:highlight w:val="none"/>
          <w:lang w:val="en-GB"/>
        </w:rPr>
        <w:t>开标</w:t>
      </w:r>
    </w:p>
    <w:p>
      <w:pPr>
        <w:adjustRightInd w:val="0"/>
        <w:snapToGrid w:val="0"/>
        <w:spacing w:line="500" w:lineRule="atLeast"/>
        <w:ind w:right="3"/>
        <w:rPr>
          <w:rFonts w:ascii="仿宋_GB2312" w:eastAsia="仿宋_GB2312"/>
          <w:b/>
          <w:bCs/>
          <w:color w:val="000000"/>
          <w:spacing w:val="4"/>
          <w:sz w:val="24"/>
          <w:szCs w:val="24"/>
          <w:highlight w:val="none"/>
        </w:rPr>
      </w:pPr>
      <w:r>
        <w:rPr>
          <w:rFonts w:hint="eastAsia" w:ascii="仿宋_GB2312" w:hAnsi="宋体" w:eastAsia="仿宋_GB2312" w:cs="宋体"/>
          <w:b/>
          <w:bCs/>
          <w:color w:val="000000"/>
          <w:spacing w:val="4"/>
          <w:sz w:val="24"/>
          <w:szCs w:val="24"/>
          <w:highlight w:val="none"/>
        </w:rPr>
        <w:t>1、开标</w:t>
      </w:r>
    </w:p>
    <w:p>
      <w:pPr>
        <w:adjustRightInd w:val="0"/>
        <w:snapToGrid w:val="0"/>
        <w:spacing w:line="500" w:lineRule="atLeast"/>
        <w:ind w:right="6" w:firstLine="496" w:firstLineChars="200"/>
        <w:rPr>
          <w:rFonts w:ascii="仿宋_GB2312" w:eastAsia="仿宋_GB2312"/>
          <w:color w:val="000000"/>
          <w:spacing w:val="4"/>
          <w:sz w:val="24"/>
          <w:szCs w:val="24"/>
          <w:highlight w:val="none"/>
        </w:rPr>
      </w:pPr>
      <w:r>
        <w:rPr>
          <w:rFonts w:hint="eastAsia" w:ascii="仿宋_GB2312" w:hAnsi="宋体" w:eastAsia="仿宋_GB2312" w:cs="宋体"/>
          <w:color w:val="000000"/>
          <w:spacing w:val="4"/>
          <w:sz w:val="24"/>
          <w:szCs w:val="24"/>
          <w:highlight w:val="none"/>
        </w:rPr>
        <w:t>1.1集中采购机构按本招标文件投标须知前附表所规定的时间和地点公开开标，并希望所有投标人代表参加；投标人代表不参加开标大会的，评审结束后不得对采购相关人员、开标过程及结果提出异议。</w:t>
      </w:r>
    </w:p>
    <w:p>
      <w:pPr>
        <w:adjustRightInd w:val="0"/>
        <w:snapToGrid w:val="0"/>
        <w:spacing w:line="500" w:lineRule="atLeast"/>
        <w:ind w:right="6" w:firstLine="496" w:firstLineChars="200"/>
        <w:rPr>
          <w:rFonts w:ascii="仿宋_GB2312" w:hAnsi="宋体" w:eastAsia="仿宋_GB2312"/>
          <w:spacing w:val="4"/>
          <w:sz w:val="24"/>
          <w:szCs w:val="24"/>
          <w:highlight w:val="none"/>
        </w:rPr>
      </w:pPr>
      <w:r>
        <w:rPr>
          <w:rFonts w:hint="eastAsia" w:ascii="仿宋_GB2312" w:hAnsi="宋体" w:eastAsia="仿宋_GB2312"/>
          <w:spacing w:val="4"/>
          <w:sz w:val="24"/>
          <w:szCs w:val="24"/>
          <w:highlight w:val="none"/>
        </w:rPr>
        <w:t>1.2开标时经开封的有效投标文件不退还给供应商；经评审后，出现的无效投标文件，也不退还给供应商。</w:t>
      </w:r>
    </w:p>
    <w:p>
      <w:pPr>
        <w:adjustRightInd w:val="0"/>
        <w:snapToGrid w:val="0"/>
        <w:spacing w:line="500" w:lineRule="atLeast"/>
        <w:ind w:right="6" w:firstLine="496" w:firstLineChars="200"/>
        <w:rPr>
          <w:rFonts w:ascii="仿宋_GB2312" w:eastAsia="仿宋_GB2312"/>
          <w:color w:val="000000"/>
          <w:spacing w:val="4"/>
          <w:sz w:val="24"/>
          <w:szCs w:val="24"/>
          <w:highlight w:val="none"/>
        </w:rPr>
      </w:pPr>
      <w:r>
        <w:rPr>
          <w:rFonts w:hint="eastAsia" w:ascii="仿宋_GB2312" w:hAnsi="宋体" w:eastAsia="仿宋_GB2312" w:cs="宋体"/>
          <w:color w:val="000000"/>
          <w:spacing w:val="4"/>
          <w:sz w:val="24"/>
          <w:szCs w:val="24"/>
          <w:highlight w:val="none"/>
        </w:rPr>
        <w:t>1.3</w:t>
      </w:r>
      <w:r>
        <w:rPr>
          <w:rFonts w:hint="eastAsia" w:ascii="仿宋_GB2312" w:hAnsi="宋体" w:eastAsia="仿宋_GB2312" w:cs="宋体"/>
          <w:color w:val="000000"/>
          <w:sz w:val="24"/>
          <w:szCs w:val="24"/>
          <w:highlight w:val="none"/>
        </w:rPr>
        <w:t>当现场投标人不足三家时，按照国家财政部、浙江省财政厅及江干区财政局有关规章制度进行处理。</w:t>
      </w:r>
    </w:p>
    <w:p>
      <w:pPr>
        <w:adjustRightInd w:val="0"/>
        <w:snapToGrid w:val="0"/>
        <w:spacing w:line="500" w:lineRule="atLeast"/>
        <w:ind w:right="3"/>
        <w:rPr>
          <w:rFonts w:ascii="仿宋_GB2312" w:eastAsia="仿宋_GB2312"/>
          <w:color w:val="000000"/>
          <w:spacing w:val="4"/>
          <w:sz w:val="24"/>
          <w:szCs w:val="24"/>
          <w:highlight w:val="none"/>
        </w:rPr>
      </w:pPr>
      <w:r>
        <w:rPr>
          <w:rFonts w:hint="eastAsia" w:ascii="仿宋_GB2312" w:hAnsi="宋体" w:eastAsia="仿宋_GB2312" w:cs="宋体"/>
          <w:b/>
          <w:bCs/>
          <w:color w:val="000000"/>
          <w:spacing w:val="4"/>
          <w:sz w:val="24"/>
          <w:szCs w:val="24"/>
          <w:highlight w:val="none"/>
        </w:rPr>
        <w:t>2、开标程序</w:t>
      </w:r>
    </w:p>
    <w:p>
      <w:pPr>
        <w:spacing w:line="500" w:lineRule="atLeast"/>
        <w:ind w:right="3" w:firstLine="480" w:firstLineChars="200"/>
        <w:rPr>
          <w:rFonts w:ascii="仿宋_GB2312" w:eastAsia="仿宋_GB2312"/>
          <w:color w:val="000000"/>
          <w:spacing w:val="4"/>
          <w:sz w:val="24"/>
          <w:szCs w:val="24"/>
          <w:highlight w:val="none"/>
        </w:rPr>
      </w:pPr>
      <w:r>
        <w:rPr>
          <w:rFonts w:hint="eastAsia" w:ascii="仿宋_GB2312" w:hAnsi="宋体" w:eastAsia="仿宋_GB2312" w:cs="宋体"/>
          <w:color w:val="000000"/>
          <w:sz w:val="24"/>
          <w:szCs w:val="24"/>
          <w:highlight w:val="none"/>
        </w:rPr>
        <w:t>2.1检验出席开标活动现场的各授权供应商代表及相关单位人员身份，其应分别凭供应商代表授权委托书（详细格式见第五部分）和身份证原件等相关材料登记、签到，无关人员将被拒绝进入现场。</w:t>
      </w:r>
    </w:p>
    <w:p>
      <w:pPr>
        <w:spacing w:line="500" w:lineRule="atLeast"/>
        <w:ind w:right="3" w:firstLine="496" w:firstLineChars="200"/>
        <w:rPr>
          <w:rFonts w:ascii="仿宋_GB2312" w:eastAsia="仿宋_GB2312"/>
          <w:color w:val="000000"/>
          <w:sz w:val="24"/>
          <w:szCs w:val="24"/>
          <w:highlight w:val="none"/>
        </w:rPr>
      </w:pPr>
      <w:r>
        <w:rPr>
          <w:rFonts w:hint="eastAsia" w:ascii="仿宋_GB2312" w:hAnsi="宋体" w:eastAsia="仿宋_GB2312" w:cs="宋体"/>
          <w:color w:val="000000"/>
          <w:spacing w:val="4"/>
          <w:sz w:val="24"/>
          <w:szCs w:val="24"/>
          <w:highlight w:val="none"/>
        </w:rPr>
        <w:t xml:space="preserve">2.2 </w:t>
      </w:r>
      <w:r>
        <w:rPr>
          <w:rFonts w:hint="eastAsia" w:ascii="仿宋_GB2312" w:hAnsi="宋体" w:eastAsia="仿宋_GB2312" w:cs="宋体"/>
          <w:color w:val="000000"/>
          <w:sz w:val="24"/>
          <w:szCs w:val="24"/>
          <w:highlight w:val="none"/>
        </w:rPr>
        <w:t>现场工作人员接收采购响应文件并登记，供应商代表对采购响应文件的递交记录情况签字确认。</w:t>
      </w:r>
    </w:p>
    <w:p>
      <w:pPr>
        <w:spacing w:line="500" w:lineRule="atLeast"/>
        <w:ind w:right="3"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2.3主持人宣布开标，介绍开标现场的人员情况，宣读递交采购响应文件的供应商名单、开标纪律、应当回避的情形等注意事项，组织供应商签署不存在影响公平竞争的《政府采购活动现场确认声明书》。</w:t>
      </w:r>
    </w:p>
    <w:p>
      <w:pPr>
        <w:spacing w:line="500" w:lineRule="atLeast"/>
        <w:ind w:right="3" w:firstLine="480" w:firstLineChars="20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2.4工作人员当众拆封、清点采购响应文件（包括正本、副本）数量并将报价文件现场集中封存保管等候拆封；拆封后的有效投标文件（资信和技术部分）送评审室交评审小组评审。</w:t>
      </w:r>
    </w:p>
    <w:p>
      <w:pPr>
        <w:spacing w:line="500" w:lineRule="atLeast"/>
        <w:ind w:right="3" w:firstLine="480" w:firstLineChars="20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2.5拆封供应商报价文件，工作人员按规定唱标，同时当场制作并打印开标记录表。</w:t>
      </w:r>
    </w:p>
    <w:p>
      <w:pPr>
        <w:spacing w:line="500" w:lineRule="atLeast"/>
        <w:ind w:right="3" w:firstLine="480" w:firstLineChars="20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2.6 唱标结束后各供应商代表应当对唱标内容当场校核和签字确认（不予确认的应说明理由，否则视为无异议）。</w:t>
      </w:r>
    </w:p>
    <w:p>
      <w:pPr>
        <w:spacing w:line="500" w:lineRule="atLeast"/>
        <w:ind w:right="3" w:firstLine="480" w:firstLineChars="20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2.7 评审结束后，主持人公布评审小组推荐的中标（成交）候选供应商名单。</w:t>
      </w:r>
    </w:p>
    <w:p>
      <w:pPr>
        <w:adjustRightInd w:val="0"/>
        <w:snapToGrid w:val="0"/>
        <w:spacing w:line="500" w:lineRule="atLeast"/>
        <w:ind w:right="3" w:firstLine="480" w:firstLineChars="20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2.8 集中采购机构工作人员对开标过程进行记录，并存档备查。</w:t>
      </w:r>
    </w:p>
    <w:p>
      <w:pPr>
        <w:adjustRightInd w:val="0"/>
        <w:snapToGrid w:val="0"/>
        <w:spacing w:line="500" w:lineRule="atLeast"/>
        <w:ind w:right="3"/>
        <w:jc w:val="center"/>
        <w:rPr>
          <w:rFonts w:ascii="仿宋_GB2312" w:hAnsi="宋体" w:eastAsia="仿宋_GB2312" w:cs="宋体"/>
          <w:b/>
          <w:bCs/>
          <w:color w:val="000000"/>
          <w:sz w:val="30"/>
          <w:szCs w:val="30"/>
          <w:highlight w:val="none"/>
          <w:lang w:val="en-GB"/>
        </w:rPr>
      </w:pPr>
    </w:p>
    <w:p>
      <w:pPr>
        <w:adjustRightInd w:val="0"/>
        <w:snapToGrid w:val="0"/>
        <w:spacing w:line="500" w:lineRule="atLeast"/>
        <w:ind w:right="3"/>
        <w:jc w:val="center"/>
        <w:rPr>
          <w:rFonts w:ascii="仿宋_GB2312" w:eastAsia="仿宋_GB2312"/>
          <w:b/>
          <w:bCs/>
          <w:color w:val="000000"/>
          <w:spacing w:val="4"/>
          <w:sz w:val="30"/>
          <w:szCs w:val="30"/>
          <w:highlight w:val="none"/>
        </w:rPr>
      </w:pPr>
      <w:r>
        <w:rPr>
          <w:rFonts w:hint="eastAsia" w:ascii="仿宋_GB2312" w:hAnsi="宋体" w:eastAsia="仿宋_GB2312" w:cs="宋体"/>
          <w:b/>
          <w:bCs/>
          <w:color w:val="000000"/>
          <w:sz w:val="30"/>
          <w:szCs w:val="30"/>
          <w:highlight w:val="none"/>
          <w:lang w:val="en-GB"/>
        </w:rPr>
        <w:t>（八）</w:t>
      </w:r>
      <w:r>
        <w:rPr>
          <w:rFonts w:hint="eastAsia" w:ascii="仿宋_GB2312" w:hAnsi="宋体" w:eastAsia="仿宋_GB2312" w:cs="宋体"/>
          <w:b/>
          <w:bCs/>
          <w:color w:val="000000"/>
          <w:spacing w:val="4"/>
          <w:sz w:val="30"/>
          <w:szCs w:val="30"/>
          <w:highlight w:val="none"/>
        </w:rPr>
        <w:t>评审</w:t>
      </w:r>
    </w:p>
    <w:p>
      <w:pPr>
        <w:adjustRightInd w:val="0"/>
        <w:snapToGrid w:val="0"/>
        <w:spacing w:line="500" w:lineRule="atLeast"/>
        <w:ind w:right="3"/>
        <w:rPr>
          <w:rFonts w:ascii="仿宋_GB2312" w:eastAsia="仿宋_GB2312"/>
          <w:b/>
          <w:bCs/>
          <w:color w:val="000000"/>
          <w:kern w:val="0"/>
          <w:sz w:val="24"/>
          <w:szCs w:val="24"/>
          <w:highlight w:val="none"/>
        </w:rPr>
      </w:pPr>
      <w:r>
        <w:rPr>
          <w:rFonts w:hint="eastAsia" w:ascii="仿宋_GB2312" w:hAnsi="宋体" w:eastAsia="仿宋_GB2312" w:cs="宋体"/>
          <w:b/>
          <w:bCs/>
          <w:color w:val="000000"/>
          <w:kern w:val="0"/>
          <w:sz w:val="24"/>
          <w:szCs w:val="24"/>
          <w:highlight w:val="none"/>
        </w:rPr>
        <w:t>1、评审委员会与评审</w:t>
      </w:r>
    </w:p>
    <w:p>
      <w:pPr>
        <w:adjustRightInd w:val="0"/>
        <w:snapToGrid w:val="0"/>
        <w:spacing w:line="500" w:lineRule="atLeast"/>
        <w:ind w:right="3" w:firstLine="480" w:firstLineChars="200"/>
        <w:rPr>
          <w:rFonts w:ascii="仿宋_GB2312" w:eastAsia="仿宋_GB2312"/>
          <w:color w:val="000000"/>
          <w:kern w:val="0"/>
          <w:sz w:val="24"/>
          <w:szCs w:val="24"/>
          <w:highlight w:val="none"/>
        </w:rPr>
      </w:pPr>
      <w:r>
        <w:rPr>
          <w:rFonts w:hint="eastAsia" w:ascii="仿宋_GB2312" w:hAnsi="宋体" w:eastAsia="仿宋_GB2312" w:cs="宋体"/>
          <w:color w:val="000000"/>
          <w:kern w:val="0"/>
          <w:sz w:val="24"/>
          <w:szCs w:val="24"/>
          <w:highlight w:val="none"/>
        </w:rPr>
        <w:t>1.1评审委员会由采购人委托的集中采购机构依法组建，评审委员会负责评审活动。</w:t>
      </w:r>
    </w:p>
    <w:p>
      <w:pPr>
        <w:adjustRightInd w:val="0"/>
        <w:snapToGrid w:val="0"/>
        <w:spacing w:line="500" w:lineRule="atLeast"/>
        <w:ind w:right="3"/>
        <w:rPr>
          <w:rFonts w:ascii="仿宋_GB2312" w:eastAsia="仿宋_GB2312"/>
          <w:b/>
          <w:bCs/>
          <w:color w:val="000000"/>
          <w:kern w:val="0"/>
          <w:sz w:val="24"/>
          <w:szCs w:val="24"/>
          <w:highlight w:val="none"/>
        </w:rPr>
      </w:pPr>
      <w:r>
        <w:rPr>
          <w:rFonts w:hint="eastAsia" w:ascii="仿宋_GB2312" w:hAnsi="宋体" w:eastAsia="仿宋_GB2312" w:cs="宋体"/>
          <w:b/>
          <w:bCs/>
          <w:color w:val="000000"/>
          <w:kern w:val="0"/>
          <w:sz w:val="24"/>
          <w:szCs w:val="24"/>
          <w:highlight w:val="none"/>
        </w:rPr>
        <w:t>2、评审过程的保密</w:t>
      </w:r>
    </w:p>
    <w:p>
      <w:pPr>
        <w:adjustRightInd w:val="0"/>
        <w:snapToGrid w:val="0"/>
        <w:spacing w:line="500" w:lineRule="atLeast"/>
        <w:ind w:right="3" w:firstLine="480" w:firstLineChars="200"/>
        <w:rPr>
          <w:rFonts w:ascii="仿宋_GB2312" w:hAnsi="宋体" w:eastAsia="仿宋_GB2312" w:cs="宋体"/>
          <w:color w:val="FF0000"/>
          <w:kern w:val="0"/>
          <w:sz w:val="24"/>
          <w:szCs w:val="24"/>
          <w:highlight w:val="none"/>
        </w:rPr>
      </w:pPr>
      <w:r>
        <w:rPr>
          <w:rFonts w:hint="eastAsia" w:ascii="仿宋_GB2312" w:hAnsi="宋体" w:eastAsia="仿宋_GB2312" w:cs="宋体"/>
          <w:color w:val="000000"/>
          <w:kern w:val="0"/>
          <w:sz w:val="24"/>
          <w:szCs w:val="24"/>
          <w:highlight w:val="none"/>
        </w:rPr>
        <w:t>2.1</w:t>
      </w:r>
      <w:r>
        <w:rPr>
          <w:rFonts w:hint="eastAsia" w:ascii="仿宋_GB2312" w:hAnsi="宋体" w:eastAsia="仿宋_GB2312" w:cs="宋体"/>
          <w:kern w:val="0"/>
          <w:sz w:val="24"/>
          <w:szCs w:val="24"/>
          <w:highlight w:val="none"/>
        </w:rPr>
        <w:t>开标后，直至签订合同为止，凡属于对投标文件的审查、澄清、评价和比较有关的资料等与评审有关的其他情况均应严格保密。</w:t>
      </w:r>
    </w:p>
    <w:p>
      <w:pPr>
        <w:adjustRightInd w:val="0"/>
        <w:snapToGrid w:val="0"/>
        <w:spacing w:line="500" w:lineRule="atLeast"/>
        <w:ind w:right="3" w:firstLine="480" w:firstLineChars="200"/>
        <w:rPr>
          <w:rFonts w:ascii="仿宋_GB2312" w:eastAsia="仿宋_GB2312"/>
          <w:color w:val="000000"/>
          <w:kern w:val="0"/>
          <w:sz w:val="24"/>
          <w:szCs w:val="24"/>
          <w:highlight w:val="none"/>
        </w:rPr>
      </w:pPr>
      <w:r>
        <w:rPr>
          <w:rFonts w:hint="eastAsia" w:ascii="仿宋_GB2312" w:hAnsi="宋体" w:eastAsia="仿宋_GB2312" w:cs="宋体"/>
          <w:color w:val="000000"/>
          <w:kern w:val="0"/>
          <w:sz w:val="24"/>
          <w:szCs w:val="24"/>
          <w:highlight w:val="none"/>
        </w:rPr>
        <w:t>2.2在投标文件的评审和比较、中标人推荐以及授予合同的过程中，投标人向采购人和评审委员会施加影响的任何行为，都将会导致其投标被拒绝。</w:t>
      </w:r>
    </w:p>
    <w:p>
      <w:pPr>
        <w:adjustRightInd w:val="0"/>
        <w:snapToGrid w:val="0"/>
        <w:spacing w:line="500" w:lineRule="atLeast"/>
        <w:ind w:right="3" w:firstLine="480" w:firstLineChars="200"/>
        <w:rPr>
          <w:rFonts w:ascii="仿宋_GB2312" w:eastAsia="仿宋_GB2312"/>
          <w:color w:val="000000"/>
          <w:kern w:val="0"/>
          <w:sz w:val="24"/>
          <w:szCs w:val="24"/>
          <w:highlight w:val="none"/>
        </w:rPr>
      </w:pPr>
      <w:r>
        <w:rPr>
          <w:rFonts w:hint="eastAsia" w:ascii="仿宋_GB2312" w:hAnsi="宋体" w:eastAsia="仿宋_GB2312" w:cs="宋体"/>
          <w:color w:val="000000"/>
          <w:kern w:val="0"/>
          <w:sz w:val="24"/>
          <w:szCs w:val="24"/>
          <w:highlight w:val="none"/>
        </w:rPr>
        <w:t>2.3中标人确定后，集中采购机构不对未中标人就评审过程以及未能中标原因作出任何解释。未中标人不得向评审委员会组成人员或其他有关人员索问评审过程的情况和材料。</w:t>
      </w:r>
    </w:p>
    <w:p>
      <w:pPr>
        <w:adjustRightInd w:val="0"/>
        <w:snapToGrid w:val="0"/>
        <w:spacing w:line="500" w:lineRule="atLeast"/>
        <w:ind w:right="3"/>
        <w:rPr>
          <w:rFonts w:ascii="仿宋_GB2312" w:eastAsia="仿宋_GB2312"/>
          <w:b/>
          <w:bCs/>
          <w:color w:val="000000"/>
          <w:kern w:val="0"/>
          <w:sz w:val="24"/>
          <w:szCs w:val="24"/>
          <w:highlight w:val="none"/>
        </w:rPr>
      </w:pPr>
      <w:r>
        <w:rPr>
          <w:rFonts w:hint="eastAsia" w:ascii="仿宋_GB2312" w:hAnsi="宋体" w:eastAsia="仿宋_GB2312" w:cs="宋体"/>
          <w:b/>
          <w:bCs/>
          <w:color w:val="000000"/>
          <w:kern w:val="0"/>
          <w:sz w:val="24"/>
          <w:szCs w:val="24"/>
          <w:highlight w:val="none"/>
        </w:rPr>
        <w:t>3、投标文件的澄清</w:t>
      </w:r>
    </w:p>
    <w:p>
      <w:pPr>
        <w:spacing w:line="500" w:lineRule="atLeast"/>
        <w:ind w:right="3" w:firstLine="480" w:firstLineChars="200"/>
        <w:rPr>
          <w:rFonts w:ascii="仿宋_GB2312" w:eastAsia="仿宋_GB2312"/>
          <w:color w:val="000000"/>
          <w:kern w:val="0"/>
          <w:sz w:val="24"/>
          <w:szCs w:val="24"/>
          <w:highlight w:val="none"/>
        </w:rPr>
      </w:pPr>
      <w:r>
        <w:rPr>
          <w:rFonts w:hint="eastAsia" w:ascii="仿宋_GB2312" w:hAnsi="宋体" w:eastAsia="仿宋_GB2312" w:cs="宋体"/>
          <w:color w:val="000000"/>
          <w:kern w:val="0"/>
          <w:sz w:val="24"/>
          <w:szCs w:val="24"/>
          <w:highlight w:val="none"/>
        </w:rPr>
        <w:t>3.1为有助于投标文件的审查、评价和比较，评审委员会可以书面形式要求供应商对投标文件含义不明确的内容作必要的澄清或者说明。</w:t>
      </w:r>
    </w:p>
    <w:p>
      <w:pPr>
        <w:spacing w:line="500" w:lineRule="atLeast"/>
        <w:ind w:right="3" w:firstLine="480" w:firstLineChars="200"/>
        <w:rPr>
          <w:rFonts w:ascii="仿宋_GB2312" w:eastAsia="仿宋_GB2312"/>
          <w:color w:val="000000"/>
          <w:kern w:val="0"/>
          <w:sz w:val="24"/>
          <w:szCs w:val="24"/>
          <w:highlight w:val="none"/>
        </w:rPr>
      </w:pPr>
      <w:r>
        <w:rPr>
          <w:rFonts w:hint="eastAsia" w:ascii="仿宋_GB2312" w:hAnsi="宋体" w:eastAsia="仿宋_GB2312" w:cs="宋体"/>
          <w:color w:val="000000"/>
          <w:kern w:val="0"/>
          <w:sz w:val="24"/>
          <w:szCs w:val="24"/>
          <w:highlight w:val="none"/>
        </w:rPr>
        <w:t>3.2有关澄清或说明，供应商应采用书面形式进行回答，该书面回答应有法定代表人或授权委托人的签字，书面澄清将作为投标内容的一部分。</w:t>
      </w:r>
    </w:p>
    <w:p>
      <w:pPr>
        <w:spacing w:line="500" w:lineRule="atLeast"/>
        <w:ind w:right="3" w:firstLine="480" w:firstLineChars="200"/>
        <w:rPr>
          <w:rFonts w:ascii="仿宋_GB2312" w:eastAsia="仿宋_GB2312"/>
          <w:color w:val="000000"/>
          <w:kern w:val="0"/>
          <w:sz w:val="24"/>
          <w:szCs w:val="24"/>
          <w:highlight w:val="none"/>
        </w:rPr>
      </w:pPr>
      <w:r>
        <w:rPr>
          <w:rFonts w:hint="eastAsia" w:ascii="仿宋_GB2312" w:hAnsi="宋体" w:eastAsia="仿宋_GB2312" w:cs="宋体"/>
          <w:color w:val="000000"/>
          <w:kern w:val="0"/>
          <w:sz w:val="24"/>
          <w:szCs w:val="24"/>
          <w:highlight w:val="none"/>
        </w:rPr>
        <w:t>3.3供应商对投标文件的澄清或说明不得超出投标文件的范围或改变投标文件的实质性的内容。凡属于评审委员会在评审中发现的计算错误并进行核实的修改不在此列。</w:t>
      </w:r>
    </w:p>
    <w:p>
      <w:pPr>
        <w:spacing w:line="500" w:lineRule="atLeast"/>
        <w:ind w:right="3" w:firstLine="480" w:firstLineChars="200"/>
        <w:rPr>
          <w:rFonts w:ascii="仿宋_GB2312" w:eastAsia="仿宋_GB2312"/>
          <w:color w:val="000000"/>
          <w:kern w:val="0"/>
          <w:sz w:val="24"/>
          <w:szCs w:val="24"/>
          <w:highlight w:val="none"/>
        </w:rPr>
      </w:pPr>
      <w:r>
        <w:rPr>
          <w:rFonts w:hint="eastAsia" w:ascii="仿宋_GB2312" w:hAnsi="宋体" w:eastAsia="仿宋_GB2312" w:cs="宋体"/>
          <w:color w:val="000000"/>
          <w:kern w:val="0"/>
          <w:sz w:val="24"/>
          <w:szCs w:val="24"/>
          <w:highlight w:val="none"/>
        </w:rPr>
        <w:t xml:space="preserve">3.4拒绝集中采购机构的通知到场进行答疑和澄清或不派人员进行答疑和澄清的，导致评审委员会无法对其投标进行评审的，可将其作为无效标处理。   </w:t>
      </w:r>
    </w:p>
    <w:p>
      <w:pPr>
        <w:spacing w:line="500" w:lineRule="atLeast"/>
        <w:ind w:right="3"/>
        <w:rPr>
          <w:rFonts w:ascii="仿宋_GB2312" w:eastAsia="仿宋_GB2312"/>
          <w:b/>
          <w:bCs/>
          <w:color w:val="000000"/>
          <w:kern w:val="0"/>
          <w:sz w:val="24"/>
          <w:szCs w:val="24"/>
          <w:highlight w:val="none"/>
        </w:rPr>
      </w:pPr>
      <w:r>
        <w:rPr>
          <w:rFonts w:hint="eastAsia" w:ascii="仿宋_GB2312" w:hAnsi="宋体" w:eastAsia="仿宋_GB2312" w:cs="宋体"/>
          <w:b/>
          <w:bCs/>
          <w:color w:val="000000"/>
          <w:kern w:val="0"/>
          <w:sz w:val="24"/>
          <w:szCs w:val="24"/>
          <w:highlight w:val="none"/>
        </w:rPr>
        <w:t>4、投标报价计算错误的修正</w:t>
      </w:r>
    </w:p>
    <w:p>
      <w:pPr>
        <w:spacing w:line="500" w:lineRule="atLeast"/>
        <w:ind w:right="3" w:firstLine="480" w:firstLineChars="200"/>
        <w:rPr>
          <w:rFonts w:ascii="仿宋_GB2312" w:eastAsia="仿宋_GB2312"/>
          <w:color w:val="000000"/>
          <w:kern w:val="0"/>
          <w:sz w:val="24"/>
          <w:szCs w:val="24"/>
          <w:highlight w:val="none"/>
        </w:rPr>
      </w:pPr>
      <w:r>
        <w:rPr>
          <w:rFonts w:hint="eastAsia" w:ascii="仿宋_GB2312" w:hAnsi="宋体" w:eastAsia="仿宋_GB2312" w:cs="宋体"/>
          <w:color w:val="000000"/>
          <w:kern w:val="0"/>
          <w:sz w:val="24"/>
          <w:szCs w:val="24"/>
          <w:highlight w:val="none"/>
        </w:rPr>
        <w:t>4.1如果用数字表示的数额与文字表示的数额不一致的</w:t>
      </w:r>
      <w:r>
        <w:rPr>
          <w:rFonts w:hint="eastAsia" w:ascii="仿宋_GB2312" w:eastAsia="仿宋_GB2312" w:cs="宋体"/>
          <w:color w:val="000000"/>
          <w:kern w:val="0"/>
          <w:sz w:val="24"/>
          <w:szCs w:val="24"/>
          <w:highlight w:val="none"/>
        </w:rPr>
        <w:t>,</w:t>
      </w:r>
      <w:r>
        <w:rPr>
          <w:rFonts w:hint="eastAsia" w:ascii="仿宋_GB2312" w:hAnsi="宋体" w:eastAsia="仿宋_GB2312" w:cs="宋体"/>
          <w:color w:val="000000"/>
          <w:kern w:val="0"/>
          <w:sz w:val="24"/>
          <w:szCs w:val="24"/>
          <w:highlight w:val="none"/>
        </w:rPr>
        <w:t>以文字数额为准。</w:t>
      </w:r>
    </w:p>
    <w:p>
      <w:pPr>
        <w:spacing w:line="500" w:lineRule="atLeast"/>
        <w:ind w:right="3" w:firstLine="480" w:firstLineChars="200"/>
        <w:rPr>
          <w:rFonts w:ascii="仿宋_GB2312" w:eastAsia="仿宋_GB2312"/>
          <w:color w:val="000000"/>
          <w:kern w:val="0"/>
          <w:sz w:val="24"/>
          <w:szCs w:val="24"/>
          <w:highlight w:val="none"/>
        </w:rPr>
      </w:pPr>
      <w:r>
        <w:rPr>
          <w:rFonts w:hint="eastAsia" w:ascii="仿宋_GB2312" w:hAnsi="宋体" w:eastAsia="仿宋_GB2312" w:cs="宋体"/>
          <w:color w:val="000000"/>
          <w:kern w:val="0"/>
          <w:sz w:val="24"/>
          <w:szCs w:val="24"/>
          <w:highlight w:val="none"/>
        </w:rPr>
        <w:t>4.2当单价和数量的乘积与合价不一致时，以标出的单价为准。除非评审委员会认为单价属明显的小数点错误，此时应以标出的合价为准，并修改单价。</w:t>
      </w:r>
    </w:p>
    <w:p>
      <w:pPr>
        <w:spacing w:line="500" w:lineRule="atLeast"/>
        <w:ind w:right="3" w:firstLine="480" w:firstLineChars="200"/>
        <w:rPr>
          <w:rFonts w:ascii="仿宋_GB2312" w:eastAsia="仿宋_GB2312"/>
          <w:color w:val="000000"/>
          <w:kern w:val="0"/>
          <w:sz w:val="24"/>
          <w:szCs w:val="24"/>
          <w:highlight w:val="none"/>
        </w:rPr>
      </w:pPr>
      <w:r>
        <w:rPr>
          <w:rFonts w:hint="eastAsia" w:ascii="仿宋_GB2312" w:hAnsi="宋体" w:eastAsia="仿宋_GB2312" w:cs="宋体"/>
          <w:color w:val="000000"/>
          <w:kern w:val="0"/>
          <w:sz w:val="24"/>
          <w:szCs w:val="24"/>
          <w:highlight w:val="none"/>
        </w:rPr>
        <w:t>4.3按上述修改错误的方法，调整投标文件中的商务报价文件，经投标单位确认后，调整后报价对供应商起约束作用。</w:t>
      </w:r>
    </w:p>
    <w:p>
      <w:pPr>
        <w:spacing w:line="500" w:lineRule="atLeast"/>
        <w:ind w:right="3"/>
        <w:rPr>
          <w:rFonts w:ascii="仿宋_GB2312" w:eastAsia="仿宋_GB2312"/>
          <w:b/>
          <w:bCs/>
          <w:color w:val="000000"/>
          <w:kern w:val="0"/>
          <w:sz w:val="24"/>
          <w:szCs w:val="24"/>
          <w:highlight w:val="none"/>
        </w:rPr>
      </w:pPr>
      <w:r>
        <w:rPr>
          <w:rFonts w:hint="eastAsia" w:ascii="仿宋_GB2312" w:hAnsi="宋体" w:eastAsia="仿宋_GB2312" w:cs="宋体"/>
          <w:b/>
          <w:bCs/>
          <w:color w:val="000000"/>
          <w:kern w:val="0"/>
          <w:sz w:val="24"/>
          <w:szCs w:val="24"/>
          <w:highlight w:val="none"/>
        </w:rPr>
        <w:t>5、投标文件的评审、否决与评定</w:t>
      </w:r>
    </w:p>
    <w:p>
      <w:pPr>
        <w:spacing w:line="500" w:lineRule="atLeast"/>
        <w:ind w:right="3" w:firstLine="480" w:firstLineChars="200"/>
        <w:rPr>
          <w:rFonts w:ascii="仿宋_GB2312" w:eastAsia="仿宋_GB2312"/>
          <w:color w:val="000000"/>
          <w:kern w:val="0"/>
          <w:sz w:val="24"/>
          <w:szCs w:val="24"/>
          <w:highlight w:val="none"/>
        </w:rPr>
      </w:pPr>
      <w:r>
        <w:rPr>
          <w:rFonts w:hint="eastAsia" w:ascii="仿宋_GB2312" w:hAnsi="宋体" w:eastAsia="仿宋_GB2312" w:cs="宋体"/>
          <w:color w:val="000000"/>
          <w:kern w:val="0"/>
          <w:sz w:val="24"/>
          <w:szCs w:val="24"/>
          <w:highlight w:val="none"/>
        </w:rPr>
        <w:t>5.1</w:t>
      </w:r>
      <w:r>
        <w:rPr>
          <w:rFonts w:hint="eastAsia" w:ascii="仿宋_GB2312" w:hAnsi="宋体" w:eastAsia="仿宋_GB2312" w:cs="宋体"/>
          <w:color w:val="000000"/>
          <w:spacing w:val="4"/>
          <w:sz w:val="24"/>
          <w:szCs w:val="24"/>
          <w:highlight w:val="none"/>
        </w:rPr>
        <w:t>评审委员会</w:t>
      </w:r>
      <w:r>
        <w:rPr>
          <w:rFonts w:hint="eastAsia" w:ascii="仿宋_GB2312" w:hAnsi="宋体" w:eastAsia="仿宋_GB2312" w:cs="宋体"/>
          <w:color w:val="000000"/>
          <w:kern w:val="0"/>
          <w:sz w:val="24"/>
          <w:szCs w:val="24"/>
          <w:highlight w:val="none"/>
        </w:rPr>
        <w:t>应</w:t>
      </w:r>
      <w:r>
        <w:rPr>
          <w:rFonts w:hint="eastAsia" w:ascii="仿宋_GB2312" w:hAnsi="宋体" w:eastAsia="仿宋_GB2312" w:cs="宋体"/>
          <w:color w:val="000000"/>
          <w:sz w:val="24"/>
          <w:szCs w:val="24"/>
          <w:highlight w:val="none"/>
          <w:lang w:val="en-GB"/>
        </w:rPr>
        <w:t>本着公平、公正、科学、择优和诚实信用的原则，严格按照《政府采购法》及相关法律法规和招标文件要求</w:t>
      </w:r>
      <w:r>
        <w:rPr>
          <w:rFonts w:hint="eastAsia" w:ascii="仿宋_GB2312" w:hAnsi="宋体" w:eastAsia="仿宋_GB2312" w:cs="宋体"/>
          <w:color w:val="000000"/>
          <w:kern w:val="0"/>
          <w:sz w:val="24"/>
          <w:szCs w:val="24"/>
          <w:highlight w:val="none"/>
        </w:rPr>
        <w:t>，独立地行使评审权，为本项目招标提供真实、可靠的评审意见，并对评审结果负责。</w:t>
      </w:r>
    </w:p>
    <w:p>
      <w:pPr>
        <w:spacing w:line="500" w:lineRule="atLeast"/>
        <w:ind w:right="3" w:firstLine="480" w:firstLineChars="200"/>
        <w:rPr>
          <w:rFonts w:ascii="仿宋_GB2312" w:eastAsia="仿宋_GB2312"/>
          <w:color w:val="000000"/>
          <w:sz w:val="24"/>
          <w:szCs w:val="24"/>
          <w:highlight w:val="none"/>
        </w:rPr>
      </w:pPr>
      <w:r>
        <w:rPr>
          <w:rFonts w:hint="eastAsia" w:ascii="仿宋_GB2312" w:hAnsi="宋体" w:eastAsia="仿宋_GB2312" w:cs="宋体"/>
          <w:color w:val="000000"/>
          <w:kern w:val="0"/>
          <w:sz w:val="24"/>
          <w:szCs w:val="24"/>
          <w:highlight w:val="none"/>
        </w:rPr>
        <w:t>5.2</w:t>
      </w:r>
      <w:r>
        <w:rPr>
          <w:rFonts w:hint="eastAsia" w:ascii="仿宋_GB2312" w:hAnsi="宋体" w:eastAsia="仿宋_GB2312" w:cs="宋体"/>
          <w:color w:val="000000"/>
          <w:sz w:val="24"/>
          <w:szCs w:val="24"/>
          <w:highlight w:val="none"/>
        </w:rPr>
        <w:t>评审委员会不得擅自修改调整招标文件，但评审时发现招标文件的有关条款和标准与有关法律法规相违背的，应当书面向集中采购组织机构提出，经采购人和所有有效响应的授权供应商代表签字同意后，可按修改调整后的条款进行评审。为此，供应商可以撤回其递交的投标响应文件。评审结束后，采购组织机构应将上述情况报同级财政部门备案说明。</w:t>
      </w:r>
    </w:p>
    <w:p>
      <w:pPr>
        <w:spacing w:line="500" w:lineRule="atLeast"/>
        <w:ind w:right="3" w:firstLine="480" w:firstLineChars="200"/>
        <w:rPr>
          <w:rFonts w:ascii="仿宋_GB2312" w:eastAsia="仿宋_GB2312"/>
          <w:color w:val="000000"/>
          <w:kern w:val="0"/>
          <w:sz w:val="24"/>
          <w:szCs w:val="24"/>
          <w:highlight w:val="none"/>
        </w:rPr>
      </w:pPr>
      <w:r>
        <w:rPr>
          <w:rFonts w:hint="eastAsia" w:ascii="仿宋_GB2312" w:hAnsi="宋体" w:eastAsia="仿宋_GB2312" w:cs="宋体"/>
          <w:color w:val="000000"/>
          <w:sz w:val="24"/>
          <w:szCs w:val="24"/>
          <w:highlight w:val="none"/>
        </w:rPr>
        <w:t>5.3评审时，评审委员会应对照招标文件的条件和标准，对各供应商投标文件的合规性、完整性和有效性进行审查、比较和评估，其中对供应商的资信条件、主要技术参数、商务报价和其他评审要素等，评审人员应逐项进行检查、比较，不得漏评、少评。如发现与招标文件要求严重相偏离的，应对其偏离情形进行必要的核实，并在评审报告中予以说明；如属实质性偏离或符合无效响应条款的应当询问授权供应商代表，并允许其进行陈述申辩，但不允许其对偏离条款进行补充、修正或撤回。</w:t>
      </w:r>
    </w:p>
    <w:p>
      <w:pPr>
        <w:spacing w:line="500" w:lineRule="atLeast"/>
        <w:ind w:right="3" w:firstLine="360" w:firstLineChars="150"/>
        <w:rPr>
          <w:rFonts w:ascii="仿宋_GB2312" w:eastAsia="仿宋_GB2312"/>
          <w:color w:val="000000"/>
          <w:sz w:val="24"/>
          <w:szCs w:val="24"/>
          <w:highlight w:val="none"/>
        </w:rPr>
      </w:pPr>
      <w:r>
        <w:rPr>
          <w:rFonts w:hint="eastAsia" w:ascii="仿宋_GB2312" w:hAnsi="宋体" w:eastAsia="仿宋_GB2312" w:cs="宋体"/>
          <w:color w:val="000000"/>
          <w:kern w:val="0"/>
          <w:sz w:val="24"/>
          <w:szCs w:val="24"/>
          <w:highlight w:val="none"/>
        </w:rPr>
        <w:t xml:space="preserve"> 5.4</w:t>
      </w:r>
      <w:r>
        <w:rPr>
          <w:rFonts w:hint="eastAsia" w:ascii="仿宋_GB2312" w:hAnsi="宋体" w:eastAsia="仿宋_GB2312" w:cs="宋体"/>
          <w:color w:val="000000"/>
          <w:sz w:val="24"/>
          <w:szCs w:val="24"/>
          <w:highlight w:val="none"/>
        </w:rPr>
        <w:t>评审委员会应根据本招标文件第二部分第七条规定决定全部或部分无效标，当出现有效投标不足三家的情况时，应严格按照有关规章制度进行处理。</w:t>
      </w:r>
    </w:p>
    <w:p>
      <w:pPr>
        <w:spacing w:line="500" w:lineRule="atLeast"/>
        <w:ind w:right="3" w:firstLine="480" w:firstLineChars="200"/>
        <w:rPr>
          <w:rFonts w:ascii="仿宋_GB2312" w:eastAsia="仿宋_GB2312"/>
          <w:color w:val="000000"/>
          <w:kern w:val="0"/>
          <w:sz w:val="24"/>
          <w:szCs w:val="24"/>
          <w:highlight w:val="none"/>
        </w:rPr>
      </w:pPr>
      <w:r>
        <w:rPr>
          <w:rFonts w:hint="eastAsia" w:ascii="仿宋_GB2312" w:hAnsi="宋体" w:eastAsia="仿宋_GB2312" w:cs="宋体"/>
          <w:color w:val="000000"/>
          <w:kern w:val="0"/>
          <w:sz w:val="24"/>
          <w:szCs w:val="24"/>
          <w:highlight w:val="none"/>
        </w:rPr>
        <w:t>5.5评审方法和标准。（具体细则详见招标文件第四部分）</w:t>
      </w:r>
    </w:p>
    <w:p>
      <w:pPr>
        <w:spacing w:line="500" w:lineRule="atLeast"/>
        <w:ind w:right="3" w:firstLine="480" w:firstLineChars="200"/>
        <w:rPr>
          <w:rFonts w:ascii="仿宋_GB2312" w:eastAsia="仿宋_GB2312"/>
          <w:color w:val="000000"/>
          <w:sz w:val="24"/>
          <w:szCs w:val="24"/>
          <w:highlight w:val="none"/>
        </w:rPr>
      </w:pPr>
      <w:r>
        <w:rPr>
          <w:rFonts w:hint="eastAsia" w:ascii="仿宋_GB2312" w:hAnsi="宋体" w:eastAsia="仿宋_GB2312" w:cs="宋体"/>
          <w:color w:val="000000"/>
          <w:kern w:val="0"/>
          <w:sz w:val="24"/>
          <w:szCs w:val="24"/>
          <w:highlight w:val="none"/>
        </w:rPr>
        <w:t>5.6本次采购活动根据采购人与集中采购机构委托协议规定授权评审委员会推荐</w:t>
      </w:r>
      <w:r>
        <w:rPr>
          <w:rFonts w:hint="eastAsia" w:ascii="仿宋_GB2312" w:hAnsi="宋体" w:eastAsia="仿宋_GB2312" w:cs="宋体"/>
          <w:kern w:val="0"/>
          <w:sz w:val="24"/>
          <w:szCs w:val="24"/>
          <w:highlight w:val="none"/>
        </w:rPr>
        <w:t>10家中标候选人</w:t>
      </w:r>
      <w:r>
        <w:rPr>
          <w:rFonts w:hint="eastAsia" w:ascii="仿宋_GB2312" w:hAnsi="宋体" w:eastAsia="仿宋_GB2312" w:cs="宋体"/>
          <w:color w:val="000000"/>
          <w:kern w:val="0"/>
          <w:sz w:val="24"/>
          <w:szCs w:val="24"/>
          <w:highlight w:val="none"/>
        </w:rPr>
        <w:t>。评标结果报经采购人同意，最终确定中标人。</w:t>
      </w:r>
    </w:p>
    <w:p>
      <w:pPr>
        <w:spacing w:line="500" w:lineRule="atLeast"/>
        <w:ind w:right="3"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5.7集中采购机构应当为评审委员会提供必要的评审条件和相应的评审工作底稿，并严格按规定程序组织评审委员会有步骤地进行评审。</w:t>
      </w:r>
    </w:p>
    <w:p>
      <w:pPr>
        <w:spacing w:line="500" w:lineRule="atLeast"/>
        <w:ind w:right="3"/>
        <w:rPr>
          <w:rFonts w:ascii="仿宋_GB2312" w:eastAsia="仿宋_GB2312"/>
          <w:b/>
          <w:bCs/>
          <w:color w:val="000000"/>
          <w:spacing w:val="4"/>
          <w:sz w:val="24"/>
          <w:szCs w:val="24"/>
          <w:highlight w:val="none"/>
        </w:rPr>
      </w:pPr>
      <w:r>
        <w:rPr>
          <w:rFonts w:hint="eastAsia" w:ascii="仿宋_GB2312" w:hAnsi="宋体" w:eastAsia="仿宋_GB2312" w:cs="宋体"/>
          <w:b/>
          <w:bCs/>
          <w:color w:val="000000"/>
          <w:kern w:val="0"/>
          <w:sz w:val="24"/>
          <w:szCs w:val="24"/>
          <w:highlight w:val="none"/>
        </w:rPr>
        <w:t>6、评审</w:t>
      </w:r>
      <w:r>
        <w:rPr>
          <w:rFonts w:hint="eastAsia" w:ascii="仿宋_GB2312" w:hAnsi="宋体" w:eastAsia="仿宋_GB2312" w:cs="宋体"/>
          <w:b/>
          <w:bCs/>
          <w:color w:val="000000"/>
          <w:spacing w:val="4"/>
          <w:kern w:val="0"/>
          <w:sz w:val="24"/>
          <w:szCs w:val="24"/>
          <w:highlight w:val="none"/>
        </w:rPr>
        <w:t>程序</w:t>
      </w:r>
    </w:p>
    <w:p>
      <w:pPr>
        <w:spacing w:line="500" w:lineRule="atLeast"/>
        <w:ind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6.1 工作人员宣布评审现场纪律，评审委员会人员如与采购响应供应商或小组其他成员存在利害关系的</w:t>
      </w:r>
      <w:r>
        <w:rPr>
          <w:rFonts w:hint="eastAsia" w:ascii="仿宋_GB2312" w:hAnsi="宋体" w:eastAsia="仿宋_GB2312" w:cs="宋体"/>
          <w:color w:val="000000"/>
          <w:kern w:val="0"/>
          <w:sz w:val="24"/>
          <w:szCs w:val="24"/>
          <w:highlight w:val="none"/>
        </w:rPr>
        <w:t>，要主动回避，自觉签订《政府采购评审人员廉洁自律承诺书》。</w:t>
      </w:r>
    </w:p>
    <w:p>
      <w:pPr>
        <w:spacing w:line="500" w:lineRule="atLeast"/>
        <w:ind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6.2评审委员会在开始评审前，优先推荐一位评审委员会成员作为评审委员会组长，评审委员会组长应负责需要授权供应商代表进行澄清或说明时的提问，资信、技术部分平均值得分的汇总，以及起草评审报告等。</w:t>
      </w:r>
    </w:p>
    <w:p>
      <w:pPr>
        <w:spacing w:line="500" w:lineRule="atLeast"/>
        <w:ind w:firstLine="470" w:firstLineChars="196"/>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6.3评审委员会先对各供应商递交的投标文件中的资信证明部分进行审核，确定各供应商的投标资格是否符合招标文件要求。审核不合格的供应商，不继续进行其商务及技术部分评审。</w:t>
      </w:r>
    </w:p>
    <w:p>
      <w:pPr>
        <w:spacing w:line="500" w:lineRule="atLeast"/>
        <w:ind w:firstLine="470" w:firstLineChars="196"/>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6.4评审委员会对资信证明部分审核通过的供应商继续进行商务、技术部分的评审。</w:t>
      </w:r>
    </w:p>
    <w:p>
      <w:pPr>
        <w:spacing w:line="500" w:lineRule="atLeast"/>
        <w:ind w:firstLine="470" w:firstLineChars="196"/>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6.5评审委员会审核集中采购机构工作人员计算汇总的投标报价得分。</w:t>
      </w:r>
    </w:p>
    <w:p>
      <w:pPr>
        <w:tabs>
          <w:tab w:val="left" w:pos="0"/>
        </w:tabs>
        <w:spacing w:line="500" w:lineRule="atLeast"/>
        <w:ind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6.6评审委员会组长起草评审报告。</w:t>
      </w:r>
    </w:p>
    <w:p>
      <w:pPr>
        <w:adjustRightInd w:val="0"/>
        <w:snapToGrid w:val="0"/>
        <w:spacing w:line="480" w:lineRule="atLeast"/>
        <w:jc w:val="center"/>
        <w:rPr>
          <w:rFonts w:ascii="仿宋_GB2312" w:hAnsi="宋体" w:eastAsia="仿宋_GB2312" w:cs="宋体"/>
          <w:b/>
          <w:bCs/>
          <w:color w:val="000000"/>
          <w:spacing w:val="4"/>
          <w:sz w:val="30"/>
          <w:szCs w:val="30"/>
          <w:highlight w:val="none"/>
        </w:rPr>
      </w:pPr>
    </w:p>
    <w:p>
      <w:pPr>
        <w:adjustRightInd w:val="0"/>
        <w:snapToGrid w:val="0"/>
        <w:spacing w:line="480" w:lineRule="atLeast"/>
        <w:jc w:val="center"/>
        <w:rPr>
          <w:rFonts w:ascii="仿宋_GB2312" w:eastAsia="仿宋_GB2312"/>
          <w:b/>
          <w:bCs/>
          <w:color w:val="000000"/>
          <w:sz w:val="30"/>
          <w:szCs w:val="30"/>
          <w:highlight w:val="none"/>
        </w:rPr>
      </w:pPr>
      <w:r>
        <w:rPr>
          <w:rFonts w:hint="eastAsia" w:ascii="仿宋_GB2312" w:hAnsi="宋体" w:eastAsia="仿宋_GB2312" w:cs="宋体"/>
          <w:b/>
          <w:bCs/>
          <w:color w:val="000000"/>
          <w:spacing w:val="4"/>
          <w:sz w:val="30"/>
          <w:szCs w:val="30"/>
          <w:highlight w:val="none"/>
        </w:rPr>
        <w:t>（九）</w:t>
      </w:r>
      <w:r>
        <w:rPr>
          <w:rFonts w:hint="eastAsia" w:ascii="仿宋_GB2312" w:hAnsi="宋体" w:eastAsia="仿宋_GB2312" w:cs="宋体"/>
          <w:b/>
          <w:bCs/>
          <w:color w:val="000000"/>
          <w:sz w:val="30"/>
          <w:szCs w:val="30"/>
          <w:highlight w:val="none"/>
        </w:rPr>
        <w:t>最终审查与评审结果公示</w:t>
      </w:r>
    </w:p>
    <w:p>
      <w:pPr>
        <w:adjustRightInd w:val="0"/>
        <w:snapToGrid w:val="0"/>
        <w:spacing w:line="480" w:lineRule="atLeast"/>
        <w:rPr>
          <w:rFonts w:ascii="仿宋_GB2312" w:eastAsia="仿宋_GB2312"/>
          <w:b/>
          <w:bCs/>
          <w:color w:val="000000"/>
          <w:sz w:val="24"/>
          <w:szCs w:val="24"/>
          <w:highlight w:val="none"/>
        </w:rPr>
      </w:pPr>
      <w:r>
        <w:rPr>
          <w:rFonts w:hint="eastAsia" w:ascii="仿宋_GB2312" w:hAnsi="宋体" w:eastAsia="仿宋_GB2312" w:cs="宋体"/>
          <w:b/>
          <w:bCs/>
          <w:color w:val="000000"/>
          <w:sz w:val="24"/>
          <w:szCs w:val="24"/>
          <w:highlight w:val="none"/>
        </w:rPr>
        <w:t>1、最终审查</w:t>
      </w:r>
    </w:p>
    <w:p>
      <w:pPr>
        <w:adjustRightInd w:val="0"/>
        <w:snapToGrid w:val="0"/>
        <w:spacing w:line="480" w:lineRule="atLeast"/>
        <w:ind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1.1最终审查的对象是本招标项目中评审小组确定的预中标人，即意向授予合同的投标人。</w:t>
      </w:r>
    </w:p>
    <w:p>
      <w:pPr>
        <w:adjustRightInd w:val="0"/>
        <w:snapToGrid w:val="0"/>
        <w:spacing w:line="480" w:lineRule="atLeast"/>
        <w:ind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1.2最终审查的内容是对投标项目的内容，入围投标人履行合同的能力，以及集中采购机构认为有必要了解的其它问题作进一步的审查。发现投标不实将被取消中标资格。</w:t>
      </w:r>
    </w:p>
    <w:p>
      <w:pPr>
        <w:adjustRightInd w:val="0"/>
        <w:snapToGrid w:val="0"/>
        <w:spacing w:line="480" w:lineRule="atLeast"/>
        <w:ind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1.3接受最终审查的中标人，必须如实提供有关资料。</w:t>
      </w:r>
    </w:p>
    <w:p>
      <w:pPr>
        <w:adjustRightInd w:val="0"/>
        <w:snapToGrid w:val="0"/>
        <w:spacing w:line="480" w:lineRule="atLeast"/>
        <w:rPr>
          <w:rFonts w:ascii="仿宋_GB2312" w:eastAsia="仿宋_GB2312"/>
          <w:b/>
          <w:bCs/>
          <w:color w:val="000000"/>
          <w:sz w:val="24"/>
          <w:szCs w:val="24"/>
          <w:highlight w:val="none"/>
        </w:rPr>
      </w:pPr>
      <w:r>
        <w:rPr>
          <w:rFonts w:hint="eastAsia" w:ascii="仿宋_GB2312" w:hAnsi="宋体" w:eastAsia="仿宋_GB2312" w:cs="宋体"/>
          <w:b/>
          <w:bCs/>
          <w:color w:val="000000"/>
          <w:sz w:val="24"/>
          <w:szCs w:val="24"/>
          <w:highlight w:val="none"/>
        </w:rPr>
        <w:t>2、评审结果公示</w:t>
      </w:r>
    </w:p>
    <w:p>
      <w:pPr>
        <w:adjustRightInd w:val="0"/>
        <w:snapToGrid w:val="0"/>
        <w:spacing w:line="480" w:lineRule="atLeast"/>
        <w:ind w:left="-239" w:leftChars="-114" w:firstLine="720" w:firstLineChars="30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2.1经过最终审查确定中标人后，集中采购机构在浙江政府采购网及有关媒体发布中标结果公示，公示期为1个工作日。</w:t>
      </w:r>
    </w:p>
    <w:p>
      <w:pPr>
        <w:adjustRightInd w:val="0"/>
        <w:snapToGrid w:val="0"/>
        <w:spacing w:line="480" w:lineRule="atLeast"/>
        <w:ind w:firstLine="480" w:firstLineChars="200"/>
        <w:rPr>
          <w:rFonts w:ascii="仿宋_GB2312" w:eastAsia="仿宋_GB2312"/>
          <w:color w:val="000000"/>
          <w:sz w:val="24"/>
          <w:szCs w:val="24"/>
          <w:highlight w:val="none"/>
        </w:rPr>
      </w:pPr>
      <w:r>
        <w:rPr>
          <w:rFonts w:hint="eastAsia" w:ascii="仿宋_GB2312" w:hAnsi="宋体" w:eastAsia="仿宋_GB2312" w:cs="宋体"/>
          <w:color w:val="000000"/>
          <w:sz w:val="24"/>
          <w:szCs w:val="24"/>
          <w:highlight w:val="none"/>
        </w:rPr>
        <w:t>2.2中标人因自身原因放弃中标成交或因不可抗力不能履行合同的；经质疑，相关部门审查确认因中标人在本次采购活动中存在违法违规行为或其他原因使质疑成立的；采购人可以与排位在中标人之后第一位的中标候选人签订政府采购合同，以此类推。</w:t>
      </w:r>
    </w:p>
    <w:p>
      <w:pPr>
        <w:adjustRightInd w:val="0"/>
        <w:snapToGrid w:val="0"/>
        <w:spacing w:line="480" w:lineRule="atLeast"/>
        <w:jc w:val="center"/>
        <w:rPr>
          <w:rFonts w:ascii="仿宋_GB2312" w:hAnsi="宋体" w:eastAsia="仿宋_GB2312" w:cs="宋体"/>
          <w:b/>
          <w:bCs/>
          <w:color w:val="000000"/>
          <w:spacing w:val="4"/>
          <w:sz w:val="30"/>
          <w:szCs w:val="30"/>
          <w:highlight w:val="none"/>
        </w:rPr>
      </w:pPr>
    </w:p>
    <w:p>
      <w:pPr>
        <w:adjustRightInd w:val="0"/>
        <w:snapToGrid w:val="0"/>
        <w:spacing w:line="480" w:lineRule="atLeast"/>
        <w:jc w:val="center"/>
        <w:rPr>
          <w:rFonts w:ascii="仿宋_GB2312" w:eastAsia="仿宋_GB2312"/>
          <w:b/>
          <w:bCs/>
          <w:color w:val="000000"/>
          <w:sz w:val="30"/>
          <w:szCs w:val="30"/>
          <w:highlight w:val="none"/>
        </w:rPr>
      </w:pPr>
      <w:r>
        <w:rPr>
          <w:rFonts w:hint="eastAsia" w:ascii="仿宋_GB2312" w:hAnsi="宋体" w:eastAsia="仿宋_GB2312" w:cs="宋体"/>
          <w:b/>
          <w:bCs/>
          <w:color w:val="000000"/>
          <w:spacing w:val="4"/>
          <w:sz w:val="30"/>
          <w:szCs w:val="30"/>
          <w:highlight w:val="none"/>
        </w:rPr>
        <w:t>（十）</w:t>
      </w:r>
      <w:r>
        <w:rPr>
          <w:rFonts w:hint="eastAsia" w:ascii="仿宋_GB2312" w:hAnsi="宋体" w:eastAsia="仿宋_GB2312" w:cs="宋体"/>
          <w:b/>
          <w:bCs/>
          <w:color w:val="000000"/>
          <w:sz w:val="30"/>
          <w:szCs w:val="30"/>
          <w:highlight w:val="none"/>
        </w:rPr>
        <w:t>质疑</w:t>
      </w:r>
    </w:p>
    <w:p>
      <w:pPr>
        <w:adjustRightInd w:val="0"/>
        <w:snapToGrid w:val="0"/>
        <w:spacing w:line="480" w:lineRule="atLeast"/>
        <w:ind w:firstLine="480" w:firstLineChars="200"/>
        <w:rPr>
          <w:rFonts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投标人若对评审结果有异议或</w:t>
      </w:r>
      <w:r>
        <w:rPr>
          <w:rFonts w:hint="eastAsia" w:ascii="仿宋_GB2312" w:hAnsi="宋体" w:eastAsia="仿宋_GB2312" w:cs="宋体"/>
          <w:color w:val="000000"/>
          <w:sz w:val="24"/>
          <w:szCs w:val="24"/>
          <w:highlight w:val="none"/>
          <w:lang w:val="en-GB"/>
        </w:rPr>
        <w:t>在参与本次投标活动过程中确认自己的权益受到损害的</w:t>
      </w:r>
      <w:r>
        <w:rPr>
          <w:rFonts w:hint="eastAsia" w:ascii="仿宋_GB2312" w:hAnsi="宋体" w:eastAsia="仿宋_GB2312" w:cs="宋体"/>
          <w:color w:val="000000"/>
          <w:sz w:val="24"/>
          <w:szCs w:val="24"/>
          <w:highlight w:val="none"/>
        </w:rPr>
        <w:t>，可在法律规定的工作日内向集中采购机构提出书面质疑，书面质疑文件应该有质疑内容及</w:t>
      </w:r>
      <w:r>
        <w:rPr>
          <w:rFonts w:hint="eastAsia" w:ascii="仿宋_GB2312" w:hAnsi="宋体" w:eastAsia="仿宋_GB2312" w:cs="宋体"/>
          <w:color w:val="000000"/>
          <w:sz w:val="24"/>
          <w:szCs w:val="24"/>
          <w:highlight w:val="none"/>
          <w:lang w:val="en-GB"/>
        </w:rPr>
        <w:t>必须附送有关证据材料和注明事实确切来源</w:t>
      </w:r>
      <w:r>
        <w:rPr>
          <w:rFonts w:hint="eastAsia" w:ascii="仿宋_GB2312" w:hAnsi="宋体" w:eastAsia="仿宋_GB2312" w:cs="宋体"/>
          <w:color w:val="000000"/>
          <w:sz w:val="24"/>
          <w:szCs w:val="24"/>
          <w:highlight w:val="none"/>
        </w:rPr>
        <w:t>依据、单位名称、公章、联系人姓名、联系电话、传真，否则视为无效质疑。质疑电话受理：87654833，传真87654242。</w:t>
      </w:r>
    </w:p>
    <w:p>
      <w:pPr>
        <w:spacing w:line="360" w:lineRule="auto"/>
        <w:jc w:val="center"/>
        <w:rPr>
          <w:rFonts w:eastAsia="华文中宋"/>
          <w:b/>
          <w:bCs/>
          <w:sz w:val="36"/>
          <w:szCs w:val="36"/>
          <w:highlight w:val="none"/>
        </w:rPr>
      </w:pPr>
      <w:r>
        <w:rPr>
          <w:rFonts w:ascii="仿宋_GB2312" w:hAnsi="宋体" w:eastAsia="仿宋_GB2312" w:cs="宋体"/>
          <w:color w:val="000000"/>
          <w:sz w:val="24"/>
          <w:szCs w:val="24"/>
          <w:highlight w:val="none"/>
        </w:rPr>
        <w:br w:type="page"/>
      </w:r>
      <w:r>
        <w:rPr>
          <w:rFonts w:eastAsia="华文中宋"/>
          <w:b/>
          <w:bCs/>
          <w:sz w:val="36"/>
          <w:szCs w:val="36"/>
          <w:highlight w:val="none"/>
        </w:rPr>
        <w:t>第三部</w:t>
      </w:r>
      <w:r>
        <w:rPr>
          <w:rFonts w:hint="eastAsia" w:eastAsia="华文中宋"/>
          <w:b/>
          <w:bCs/>
          <w:sz w:val="36"/>
          <w:szCs w:val="36"/>
          <w:highlight w:val="none"/>
        </w:rPr>
        <w:t>分 招标内容及项目要求</w:t>
      </w:r>
    </w:p>
    <w:p>
      <w:pPr>
        <w:spacing w:line="360" w:lineRule="auto"/>
        <w:ind w:firstLine="482" w:firstLineChars="200"/>
        <w:rPr>
          <w:rFonts w:ascii="仿宋" w:hAnsi="仿宋" w:eastAsia="仿宋"/>
          <w:b/>
          <w:color w:val="FF0000"/>
          <w:sz w:val="24"/>
          <w:szCs w:val="24"/>
          <w:highlight w:val="none"/>
        </w:rPr>
      </w:pPr>
      <w:r>
        <w:rPr>
          <w:rFonts w:hint="eastAsia" w:ascii="仿宋" w:hAnsi="仿宋" w:eastAsia="仿宋"/>
          <w:b/>
          <w:sz w:val="24"/>
          <w:szCs w:val="24"/>
          <w:highlight w:val="none"/>
        </w:rPr>
        <w:t>*根据浙财采监字[2007]2号文件规定：除采购文件明确的品牌外，欢迎其他能满足本项目技术需求且性能与所明确品牌相当的产品参加。</w:t>
      </w:r>
    </w:p>
    <w:p>
      <w:pPr>
        <w:rPr>
          <w:rFonts w:ascii="仿宋" w:hAnsi="仿宋" w:eastAsia="仿宋"/>
          <w:b/>
          <w:color w:val="000000"/>
          <w:sz w:val="24"/>
          <w:szCs w:val="24"/>
          <w:highlight w:val="none"/>
        </w:rPr>
      </w:pPr>
      <w:r>
        <w:rPr>
          <w:rFonts w:hint="eastAsia" w:ascii="仿宋" w:hAnsi="仿宋" w:eastAsia="仿宋"/>
          <w:b/>
          <w:color w:val="000000"/>
          <w:sz w:val="24"/>
          <w:szCs w:val="24"/>
          <w:highlight w:val="none"/>
        </w:rPr>
        <w:t>一、概述</w:t>
      </w:r>
    </w:p>
    <w:p>
      <w:pPr>
        <w:spacing w:line="360" w:lineRule="auto"/>
        <w:ind w:firstLine="480" w:firstLineChars="200"/>
        <w:rPr>
          <w:rFonts w:ascii="仿宋" w:hAnsi="仿宋" w:eastAsia="仿宋"/>
          <w:color w:val="000000"/>
          <w:highlight w:val="none"/>
        </w:rPr>
      </w:pPr>
      <w:r>
        <w:rPr>
          <w:rFonts w:hint="eastAsia" w:ascii="仿宋" w:hAnsi="仿宋" w:eastAsia="仿宋"/>
          <w:color w:val="000000"/>
          <w:sz w:val="24"/>
          <w:highlight w:val="none"/>
        </w:rPr>
        <w:t>本次招标采购项目为江干区四季青街道社区卫生服务中心全科医生技能培训中心项目。</w:t>
      </w:r>
    </w:p>
    <w:p>
      <w:pPr>
        <w:spacing w:line="360" w:lineRule="auto"/>
        <w:rPr>
          <w:rFonts w:ascii="仿宋" w:hAnsi="仿宋" w:eastAsia="仿宋"/>
          <w:b/>
          <w:color w:val="000000"/>
          <w:sz w:val="24"/>
          <w:szCs w:val="24"/>
          <w:highlight w:val="none"/>
        </w:rPr>
      </w:pPr>
      <w:r>
        <w:rPr>
          <w:rFonts w:hint="eastAsia" w:ascii="仿宋" w:hAnsi="仿宋" w:eastAsia="仿宋"/>
          <w:b/>
          <w:color w:val="000000"/>
          <w:sz w:val="24"/>
          <w:szCs w:val="24"/>
          <w:highlight w:val="none"/>
        </w:rPr>
        <w:t>二、招标需求一览表</w:t>
      </w:r>
    </w:p>
    <w:tbl>
      <w:tblPr>
        <w:tblStyle w:val="49"/>
        <w:tblW w:w="8280"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2771"/>
        <w:gridCol w:w="2809"/>
        <w:gridCol w:w="198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720" w:type="dxa"/>
            <w:tcBorders>
              <w:top w:val="double" w:color="000000" w:sz="6" w:space="0"/>
            </w:tcBorders>
            <w:vAlign w:val="center"/>
          </w:tcPr>
          <w:p>
            <w:pPr>
              <w:rPr>
                <w:rFonts w:ascii="仿宋" w:hAnsi="仿宋" w:eastAsia="仿宋"/>
                <w:color w:val="000000"/>
                <w:sz w:val="24"/>
                <w:highlight w:val="none"/>
              </w:rPr>
            </w:pPr>
            <w:r>
              <w:rPr>
                <w:rFonts w:hint="eastAsia" w:ascii="仿宋" w:hAnsi="仿宋" w:eastAsia="仿宋"/>
                <w:color w:val="000000"/>
                <w:sz w:val="24"/>
                <w:highlight w:val="none"/>
              </w:rPr>
              <w:t>序号</w:t>
            </w:r>
          </w:p>
        </w:tc>
        <w:tc>
          <w:tcPr>
            <w:tcW w:w="2771" w:type="dxa"/>
            <w:tcBorders>
              <w:top w:val="double" w:color="000000" w:sz="6" w:space="0"/>
            </w:tcBorders>
            <w:vAlign w:val="center"/>
          </w:tcPr>
          <w:p>
            <w:pPr>
              <w:rPr>
                <w:rFonts w:ascii="仿宋" w:hAnsi="仿宋" w:eastAsia="仿宋"/>
                <w:color w:val="000000"/>
                <w:sz w:val="24"/>
                <w:highlight w:val="none"/>
              </w:rPr>
            </w:pPr>
            <w:r>
              <w:rPr>
                <w:rFonts w:hint="eastAsia" w:ascii="仿宋" w:hAnsi="仿宋" w:eastAsia="仿宋"/>
                <w:color w:val="000000"/>
                <w:sz w:val="24"/>
                <w:highlight w:val="none"/>
              </w:rPr>
              <w:t>项目名称</w:t>
            </w:r>
          </w:p>
        </w:tc>
        <w:tc>
          <w:tcPr>
            <w:tcW w:w="2809" w:type="dxa"/>
            <w:tcBorders>
              <w:top w:val="double" w:color="000000" w:sz="6" w:space="0"/>
            </w:tcBorders>
            <w:vAlign w:val="center"/>
          </w:tcPr>
          <w:p>
            <w:pPr>
              <w:jc w:val="center"/>
              <w:rPr>
                <w:rFonts w:ascii="仿宋" w:hAnsi="仿宋" w:eastAsia="仿宋"/>
                <w:color w:val="000000"/>
                <w:sz w:val="24"/>
                <w:highlight w:val="none"/>
              </w:rPr>
            </w:pPr>
            <w:r>
              <w:rPr>
                <w:rFonts w:hint="eastAsia" w:ascii="仿宋" w:hAnsi="仿宋" w:eastAsia="仿宋"/>
                <w:color w:val="000000"/>
                <w:sz w:val="24"/>
                <w:highlight w:val="none"/>
              </w:rPr>
              <w:t>交货期</w:t>
            </w:r>
          </w:p>
        </w:tc>
        <w:tc>
          <w:tcPr>
            <w:tcW w:w="1980" w:type="dxa"/>
            <w:tcBorders>
              <w:top w:val="double" w:color="000000" w:sz="6" w:space="0"/>
            </w:tcBorders>
            <w:vAlign w:val="center"/>
          </w:tcPr>
          <w:p>
            <w:pPr>
              <w:rPr>
                <w:rFonts w:ascii="仿宋" w:hAnsi="仿宋" w:eastAsia="仿宋"/>
                <w:color w:val="000000"/>
                <w:sz w:val="24"/>
                <w:highlight w:val="none"/>
              </w:rPr>
            </w:pPr>
            <w:r>
              <w:rPr>
                <w:rFonts w:hint="eastAsia" w:ascii="仿宋" w:hAnsi="仿宋" w:eastAsia="仿宋"/>
                <w:color w:val="000000"/>
                <w:sz w:val="24"/>
                <w:highlight w:val="none"/>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atLeast"/>
        </w:trPr>
        <w:tc>
          <w:tcPr>
            <w:tcW w:w="720" w:type="dxa"/>
            <w:tcBorders>
              <w:bottom w:val="double" w:color="000000" w:sz="6" w:space="0"/>
            </w:tcBorders>
            <w:vAlign w:val="center"/>
          </w:tcPr>
          <w:p>
            <w:pPr>
              <w:rPr>
                <w:rFonts w:ascii="仿宋" w:hAnsi="仿宋" w:eastAsia="仿宋"/>
                <w:color w:val="000000"/>
                <w:sz w:val="24"/>
                <w:highlight w:val="none"/>
              </w:rPr>
            </w:pPr>
            <w:r>
              <w:rPr>
                <w:rFonts w:ascii="仿宋" w:hAnsi="仿宋" w:eastAsia="仿宋"/>
                <w:color w:val="000000"/>
                <w:sz w:val="24"/>
                <w:highlight w:val="none"/>
              </w:rPr>
              <w:t>1</w:t>
            </w:r>
          </w:p>
        </w:tc>
        <w:tc>
          <w:tcPr>
            <w:tcW w:w="2771" w:type="dxa"/>
            <w:tcBorders>
              <w:bottom w:val="double" w:color="000000" w:sz="6" w:space="0"/>
            </w:tcBorders>
            <w:vAlign w:val="center"/>
          </w:tcPr>
          <w:p>
            <w:pPr>
              <w:rPr>
                <w:rFonts w:ascii="仿宋" w:hAnsi="仿宋" w:eastAsia="仿宋"/>
                <w:color w:val="000000"/>
                <w:sz w:val="24"/>
                <w:highlight w:val="none"/>
              </w:rPr>
            </w:pPr>
            <w:r>
              <w:rPr>
                <w:rFonts w:hint="eastAsia" w:ascii="仿宋" w:hAnsi="仿宋" w:eastAsia="仿宋"/>
                <w:color w:val="000000"/>
                <w:sz w:val="24"/>
                <w:highlight w:val="none"/>
              </w:rPr>
              <w:t>全科医生技能培训中心建设</w:t>
            </w:r>
          </w:p>
        </w:tc>
        <w:tc>
          <w:tcPr>
            <w:tcW w:w="2809" w:type="dxa"/>
            <w:tcBorders>
              <w:bottom w:val="double" w:color="000000" w:sz="6" w:space="0"/>
            </w:tcBorders>
            <w:vAlign w:val="center"/>
          </w:tcPr>
          <w:p>
            <w:pPr>
              <w:jc w:val="center"/>
              <w:rPr>
                <w:rFonts w:ascii="仿宋" w:hAnsi="仿宋" w:eastAsia="仿宋"/>
                <w:color w:val="000000"/>
                <w:sz w:val="24"/>
                <w:highlight w:val="none"/>
              </w:rPr>
            </w:pPr>
            <w:r>
              <w:rPr>
                <w:rFonts w:hint="eastAsia" w:ascii="仿宋" w:hAnsi="仿宋" w:eastAsia="仿宋"/>
                <w:color w:val="000000"/>
                <w:sz w:val="24"/>
                <w:highlight w:val="none"/>
              </w:rPr>
              <w:t>6个月</w:t>
            </w:r>
          </w:p>
        </w:tc>
        <w:tc>
          <w:tcPr>
            <w:tcW w:w="1980" w:type="dxa"/>
            <w:tcBorders>
              <w:bottom w:val="double" w:color="000000" w:sz="6" w:space="0"/>
            </w:tcBorders>
            <w:vAlign w:val="center"/>
          </w:tcPr>
          <w:p>
            <w:pPr>
              <w:rPr>
                <w:rFonts w:ascii="仿宋" w:hAnsi="仿宋" w:eastAsia="仿宋"/>
                <w:color w:val="000000"/>
                <w:sz w:val="24"/>
                <w:highlight w:val="none"/>
              </w:rPr>
            </w:pPr>
            <w:r>
              <w:rPr>
                <w:rFonts w:hint="eastAsia" w:ascii="仿宋" w:hAnsi="仿宋" w:eastAsia="仿宋"/>
                <w:color w:val="000000"/>
                <w:sz w:val="24"/>
                <w:highlight w:val="none"/>
              </w:rPr>
              <w:t>医院指定地点</w:t>
            </w:r>
          </w:p>
        </w:tc>
      </w:tr>
    </w:tbl>
    <w:p>
      <w:pPr>
        <w:pStyle w:val="169"/>
        <w:numPr>
          <w:ilvl w:val="0"/>
          <w:numId w:val="2"/>
        </w:numPr>
        <w:spacing w:line="360" w:lineRule="auto"/>
        <w:ind w:firstLineChars="0"/>
        <w:rPr>
          <w:rFonts w:ascii="仿宋" w:hAnsi="仿宋" w:eastAsia="仿宋"/>
          <w:color w:val="000000"/>
          <w:sz w:val="24"/>
          <w:highlight w:val="none"/>
        </w:rPr>
      </w:pPr>
      <w:r>
        <w:rPr>
          <w:rFonts w:hint="eastAsia" w:ascii="仿宋" w:hAnsi="仿宋" w:eastAsia="仿宋"/>
          <w:color w:val="000000"/>
          <w:sz w:val="24"/>
          <w:highlight w:val="none"/>
        </w:rPr>
        <w:t>项目实施：供应商须按医院要求的期限内完成本采购项目所有系统在四季青街道社区卫生服务中心上线应用。如在期限内无法完成本项目实施并验收，将承担相应逾期赔偿责任。</w:t>
      </w:r>
    </w:p>
    <w:p>
      <w:pPr>
        <w:pStyle w:val="169"/>
        <w:numPr>
          <w:ilvl w:val="0"/>
          <w:numId w:val="2"/>
        </w:numPr>
        <w:spacing w:line="360" w:lineRule="auto"/>
        <w:ind w:firstLineChars="0"/>
        <w:rPr>
          <w:rFonts w:ascii="仿宋" w:hAnsi="仿宋" w:eastAsia="仿宋"/>
          <w:color w:val="000000"/>
          <w:sz w:val="24"/>
          <w:highlight w:val="none"/>
        </w:rPr>
      </w:pPr>
      <w:r>
        <w:rPr>
          <w:rFonts w:hint="eastAsia" w:ascii="仿宋" w:hAnsi="仿宋" w:eastAsia="仿宋"/>
          <w:color w:val="000000"/>
          <w:sz w:val="24"/>
          <w:highlight w:val="none"/>
        </w:rPr>
        <w:t>项目维保：软件终身免费升级，整机质保5年，出现故障24小时内维修。</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三、招标内容</w:t>
      </w:r>
    </w:p>
    <w:p>
      <w:pPr>
        <w:spacing w:line="360" w:lineRule="auto"/>
        <w:rPr>
          <w:rFonts w:ascii="仿宋" w:hAnsi="仿宋" w:eastAsia="仿宋"/>
          <w:color w:val="000000"/>
          <w:sz w:val="24"/>
          <w:highlight w:val="none"/>
        </w:rPr>
      </w:pPr>
      <w:r>
        <w:rPr>
          <w:rFonts w:ascii="仿宋" w:hAnsi="仿宋" w:eastAsia="仿宋"/>
          <w:color w:val="000000"/>
          <w:sz w:val="24"/>
          <w:highlight w:val="none"/>
        </w:rPr>
        <w:t xml:space="preserve">1. </w:t>
      </w:r>
      <w:r>
        <w:rPr>
          <w:rFonts w:hint="eastAsia" w:ascii="仿宋" w:hAnsi="仿宋" w:eastAsia="仿宋"/>
          <w:color w:val="000000"/>
          <w:sz w:val="24"/>
          <w:highlight w:val="none"/>
        </w:rPr>
        <w:t>项目背景</w:t>
      </w:r>
    </w:p>
    <w:p>
      <w:pPr>
        <w:spacing w:line="360" w:lineRule="auto"/>
        <w:ind w:firstLine="480" w:firstLineChars="200"/>
        <w:rPr>
          <w:rFonts w:ascii="仿宋" w:hAnsi="仿宋" w:eastAsia="仿宋"/>
          <w:color w:val="000000"/>
          <w:sz w:val="24"/>
          <w:highlight w:val="none"/>
        </w:rPr>
      </w:pPr>
      <w:bookmarkStart w:id="7" w:name="_Toc173298899"/>
      <w:bookmarkStart w:id="8" w:name="_Toc173220823"/>
      <w:r>
        <w:rPr>
          <w:rFonts w:hint="eastAsia" w:ascii="仿宋" w:hAnsi="仿宋" w:eastAsia="仿宋"/>
          <w:color w:val="000000"/>
          <w:sz w:val="24"/>
          <w:highlight w:val="none"/>
        </w:rPr>
        <w:t>为更好落实分级诊疗政策，发挥全科医生是居民健康守门人的作用，全科医生诊疗和服务能力的提升成为必须解决的一个难题。国家现行的住院医师规范化培养制度和助理全科培训计划，对培养未来全科医生起到了很好的推动作用，但医学是终身学习的科学，在职培训和在实践中学习对诊疗服务提升尤其重要。为更好的做好全科医生培训和培养工作，现建立“全科医生技能培训中心”，向江干区全区全科医生开放运营，召集行业和区域内的师资开展理论、技能和诊疗能力等维度的教学与培训，并开展全科医生能力评估项目，保证区域内全科医生为居民提供优质诊疗服务。</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四、建设内容</w:t>
      </w:r>
      <w:bookmarkEnd w:id="7"/>
      <w:bookmarkEnd w:id="8"/>
    </w:p>
    <w:tbl>
      <w:tblPr>
        <w:tblStyle w:val="49"/>
        <w:tblW w:w="8364"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1832"/>
        <w:gridCol w:w="581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720" w:type="dxa"/>
            <w:shd w:val="clear" w:color="auto" w:fill="auto"/>
            <w:vAlign w:val="center"/>
          </w:tcPr>
          <w:p>
            <w:pPr>
              <w:jc w:val="center"/>
              <w:rPr>
                <w:rFonts w:ascii="仿宋" w:hAnsi="仿宋" w:eastAsia="仿宋"/>
                <w:color w:val="000000"/>
                <w:sz w:val="24"/>
                <w:highlight w:val="none"/>
              </w:rPr>
            </w:pPr>
            <w:r>
              <w:rPr>
                <w:rFonts w:hint="eastAsia" w:ascii="仿宋" w:hAnsi="仿宋" w:eastAsia="仿宋"/>
                <w:color w:val="000000"/>
                <w:sz w:val="24"/>
                <w:highlight w:val="none"/>
              </w:rPr>
              <w:t>序号</w:t>
            </w:r>
          </w:p>
        </w:tc>
        <w:tc>
          <w:tcPr>
            <w:tcW w:w="1832" w:type="dxa"/>
            <w:shd w:val="clear" w:color="auto" w:fill="auto"/>
            <w:vAlign w:val="center"/>
          </w:tcPr>
          <w:p>
            <w:pPr>
              <w:jc w:val="center"/>
              <w:rPr>
                <w:rFonts w:ascii="仿宋" w:hAnsi="仿宋" w:eastAsia="仿宋"/>
                <w:color w:val="000000"/>
                <w:sz w:val="24"/>
                <w:highlight w:val="none"/>
              </w:rPr>
            </w:pPr>
            <w:r>
              <w:rPr>
                <w:rFonts w:hint="eastAsia" w:ascii="仿宋" w:hAnsi="仿宋" w:eastAsia="仿宋"/>
                <w:color w:val="000000"/>
                <w:sz w:val="24"/>
                <w:highlight w:val="none"/>
              </w:rPr>
              <w:t>建设内容</w:t>
            </w:r>
          </w:p>
        </w:tc>
        <w:tc>
          <w:tcPr>
            <w:tcW w:w="5812" w:type="dxa"/>
            <w:shd w:val="clear" w:color="auto" w:fill="auto"/>
            <w:vAlign w:val="center"/>
          </w:tcPr>
          <w:p>
            <w:pPr>
              <w:jc w:val="center"/>
              <w:rPr>
                <w:rFonts w:ascii="仿宋" w:hAnsi="仿宋" w:eastAsia="仿宋"/>
                <w:color w:val="000000"/>
                <w:sz w:val="24"/>
                <w:highlight w:val="none"/>
              </w:rPr>
            </w:pPr>
            <w:r>
              <w:rPr>
                <w:rFonts w:hint="eastAsia" w:ascii="仿宋" w:hAnsi="仿宋" w:eastAsia="仿宋"/>
                <w:color w:val="000000"/>
                <w:sz w:val="24"/>
                <w:highlight w:val="none"/>
              </w:rPr>
              <w:t>描述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720" w:type="dxa"/>
            <w:shd w:val="clear" w:color="auto" w:fill="auto"/>
            <w:vAlign w:val="center"/>
          </w:tcPr>
          <w:p>
            <w:pPr>
              <w:jc w:val="center"/>
              <w:rPr>
                <w:rFonts w:ascii="仿宋" w:hAnsi="仿宋" w:eastAsia="仿宋"/>
                <w:color w:val="000000"/>
                <w:sz w:val="24"/>
                <w:highlight w:val="none"/>
              </w:rPr>
            </w:pPr>
            <w:r>
              <w:rPr>
                <w:rFonts w:hint="eastAsia" w:ascii="仿宋" w:hAnsi="仿宋" w:eastAsia="仿宋"/>
                <w:color w:val="000000"/>
                <w:sz w:val="24"/>
                <w:highlight w:val="none"/>
              </w:rPr>
              <w:t>1</w:t>
            </w:r>
          </w:p>
        </w:tc>
        <w:tc>
          <w:tcPr>
            <w:tcW w:w="1832" w:type="dxa"/>
            <w:shd w:val="clear" w:color="auto" w:fill="auto"/>
            <w:vAlign w:val="center"/>
          </w:tcPr>
          <w:p>
            <w:pPr>
              <w:jc w:val="center"/>
              <w:rPr>
                <w:rFonts w:ascii="仿宋" w:hAnsi="仿宋" w:eastAsia="仿宋"/>
                <w:color w:val="000000"/>
                <w:sz w:val="24"/>
                <w:highlight w:val="none"/>
              </w:rPr>
            </w:pPr>
            <w:r>
              <w:rPr>
                <w:rFonts w:hint="eastAsia" w:ascii="仿宋" w:hAnsi="仿宋" w:eastAsia="仿宋"/>
                <w:color w:val="000000"/>
                <w:sz w:val="24"/>
                <w:highlight w:val="none"/>
              </w:rPr>
              <w:t>临床思维训练系统</w:t>
            </w:r>
          </w:p>
        </w:tc>
        <w:tc>
          <w:tcPr>
            <w:tcW w:w="5812" w:type="dxa"/>
            <w:shd w:val="clear" w:color="auto" w:fill="auto"/>
          </w:tcPr>
          <w:p>
            <w:pPr>
              <w:rPr>
                <w:rFonts w:ascii="仿宋" w:hAnsi="仿宋" w:eastAsia="仿宋"/>
                <w:color w:val="000000"/>
                <w:sz w:val="24"/>
                <w:highlight w:val="none"/>
              </w:rPr>
            </w:pPr>
            <w:r>
              <w:rPr>
                <w:rFonts w:hint="eastAsia" w:ascii="仿宋" w:hAnsi="仿宋" w:eastAsia="仿宋"/>
                <w:color w:val="000000"/>
                <w:sz w:val="24"/>
                <w:highlight w:val="none"/>
              </w:rPr>
              <w:t>基于互联网的临床诊断和临床思维评估系统，可提共多名学生同时在平板上使用该系统进行学习或进行考核的软件系统。</w:t>
            </w:r>
          </w:p>
          <w:p>
            <w:pPr>
              <w:rPr>
                <w:rFonts w:ascii="仿宋" w:hAnsi="仿宋" w:eastAsia="仿宋"/>
                <w:color w:val="000000"/>
                <w:sz w:val="24"/>
                <w:highlight w:val="none"/>
              </w:rPr>
            </w:pPr>
            <w:r>
              <w:rPr>
                <w:rFonts w:hint="eastAsia" w:ascii="仿宋" w:hAnsi="仿宋" w:eastAsia="仿宋"/>
                <w:color w:val="000000"/>
                <w:sz w:val="24"/>
                <w:highlight w:val="none"/>
              </w:rPr>
              <w:t>可实现对学生的全科临床思维能力、临床知识及技能掌握程度进行系统评估，有助于提高改进临床诊断学习效果。</w:t>
            </w:r>
          </w:p>
          <w:p>
            <w:pPr>
              <w:rPr>
                <w:rFonts w:ascii="仿宋" w:hAnsi="仿宋" w:eastAsia="仿宋"/>
                <w:color w:val="000000"/>
                <w:sz w:val="24"/>
                <w:highlight w:val="none"/>
              </w:rPr>
            </w:pPr>
            <w:r>
              <w:rPr>
                <w:rFonts w:hint="eastAsia" w:ascii="仿宋" w:hAnsi="仿宋" w:eastAsia="仿宋"/>
                <w:color w:val="000000"/>
                <w:sz w:val="24"/>
                <w:highlight w:val="none"/>
              </w:rPr>
              <w:t>病例都是依据真实的病例资料所转换。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720" w:type="dxa"/>
            <w:shd w:val="clear" w:color="auto" w:fill="auto"/>
            <w:vAlign w:val="center"/>
          </w:tcPr>
          <w:p>
            <w:pPr>
              <w:jc w:val="center"/>
              <w:rPr>
                <w:rFonts w:ascii="仿宋" w:hAnsi="仿宋" w:eastAsia="仿宋"/>
                <w:color w:val="000000"/>
                <w:sz w:val="24"/>
                <w:highlight w:val="none"/>
              </w:rPr>
            </w:pPr>
            <w:r>
              <w:rPr>
                <w:rFonts w:hint="eastAsia" w:ascii="仿宋" w:hAnsi="仿宋" w:eastAsia="仿宋"/>
                <w:color w:val="000000"/>
                <w:sz w:val="24"/>
                <w:highlight w:val="none"/>
              </w:rPr>
              <w:t>2</w:t>
            </w:r>
          </w:p>
        </w:tc>
        <w:tc>
          <w:tcPr>
            <w:tcW w:w="1832" w:type="dxa"/>
            <w:shd w:val="clear" w:color="auto" w:fill="auto"/>
            <w:vAlign w:val="center"/>
          </w:tcPr>
          <w:p>
            <w:pPr>
              <w:jc w:val="center"/>
              <w:rPr>
                <w:rFonts w:ascii="仿宋" w:hAnsi="仿宋" w:eastAsia="仿宋"/>
                <w:color w:val="000000"/>
                <w:sz w:val="24"/>
                <w:highlight w:val="none"/>
              </w:rPr>
            </w:pPr>
            <w:r>
              <w:rPr>
                <w:rFonts w:hint="eastAsia" w:ascii="仿宋" w:hAnsi="仿宋" w:eastAsia="仿宋"/>
                <w:color w:val="000000"/>
                <w:sz w:val="24"/>
                <w:highlight w:val="none"/>
              </w:rPr>
              <w:t>临床技能中心信息管理系统</w:t>
            </w:r>
          </w:p>
        </w:tc>
        <w:tc>
          <w:tcPr>
            <w:tcW w:w="5812" w:type="dxa"/>
            <w:shd w:val="clear" w:color="auto" w:fill="auto"/>
          </w:tcPr>
          <w:p>
            <w:pPr>
              <w:rPr>
                <w:rFonts w:ascii="仿宋" w:hAnsi="仿宋" w:eastAsia="仿宋"/>
                <w:color w:val="000000"/>
                <w:sz w:val="24"/>
                <w:highlight w:val="none"/>
              </w:rPr>
            </w:pPr>
            <w:r>
              <w:rPr>
                <w:rFonts w:hint="eastAsia" w:ascii="仿宋" w:hAnsi="仿宋" w:eastAsia="仿宋"/>
                <w:color w:val="000000"/>
                <w:sz w:val="24"/>
                <w:highlight w:val="none"/>
              </w:rPr>
              <w:t>理论题库包括A1型题、A2型题、A3型题、A4型题、B型题、X型题、案例题、判断题、读片题等常见医学考试题型，题库总题量20万题以上。</w:t>
            </w:r>
          </w:p>
          <w:p>
            <w:pPr>
              <w:rPr>
                <w:rFonts w:ascii="仿宋" w:hAnsi="仿宋" w:eastAsia="仿宋"/>
                <w:color w:val="000000"/>
                <w:sz w:val="24"/>
                <w:highlight w:val="none"/>
              </w:rPr>
            </w:pPr>
            <w:r>
              <w:rPr>
                <w:rFonts w:hint="eastAsia" w:ascii="仿宋" w:hAnsi="仿宋" w:eastAsia="仿宋"/>
                <w:color w:val="000000"/>
                <w:sz w:val="24"/>
                <w:highlight w:val="none"/>
              </w:rPr>
              <w:t>系统与各模拟设备无缝对接，使学员练习和考核内容更加丰富。</w:t>
            </w:r>
          </w:p>
          <w:p>
            <w:pPr>
              <w:rPr>
                <w:rFonts w:ascii="仿宋" w:hAnsi="仿宋" w:eastAsia="仿宋"/>
                <w:color w:val="000000"/>
                <w:sz w:val="24"/>
                <w:highlight w:val="none"/>
              </w:rPr>
            </w:pPr>
            <w:r>
              <w:rPr>
                <w:rFonts w:hint="eastAsia" w:ascii="仿宋" w:hAnsi="仿宋" w:eastAsia="仿宋"/>
                <w:color w:val="000000"/>
                <w:sz w:val="24"/>
                <w:highlight w:val="none"/>
              </w:rPr>
              <w:t>考试评分透过移动设备（Pad）勾选，上传并实时回馈考试成绩。</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720" w:type="dxa"/>
            <w:shd w:val="clear" w:color="auto" w:fill="auto"/>
            <w:vAlign w:val="center"/>
          </w:tcPr>
          <w:p>
            <w:pPr>
              <w:jc w:val="center"/>
              <w:rPr>
                <w:rFonts w:ascii="仿宋" w:hAnsi="仿宋" w:eastAsia="仿宋"/>
                <w:color w:val="000000"/>
                <w:sz w:val="24"/>
                <w:highlight w:val="none"/>
              </w:rPr>
            </w:pPr>
            <w:r>
              <w:rPr>
                <w:rFonts w:ascii="仿宋" w:hAnsi="仿宋" w:eastAsia="仿宋"/>
                <w:color w:val="000000"/>
                <w:sz w:val="24"/>
                <w:highlight w:val="none"/>
              </w:rPr>
              <w:t>3</w:t>
            </w:r>
          </w:p>
        </w:tc>
        <w:tc>
          <w:tcPr>
            <w:tcW w:w="1832" w:type="dxa"/>
            <w:shd w:val="clear" w:color="auto" w:fill="auto"/>
            <w:vAlign w:val="center"/>
          </w:tcPr>
          <w:p>
            <w:pPr>
              <w:jc w:val="center"/>
              <w:rPr>
                <w:rFonts w:ascii="仿宋" w:hAnsi="仿宋" w:eastAsia="仿宋"/>
                <w:color w:val="000000"/>
                <w:sz w:val="24"/>
                <w:highlight w:val="none"/>
              </w:rPr>
            </w:pPr>
            <w:r>
              <w:rPr>
                <w:rFonts w:hint="eastAsia" w:ascii="仿宋" w:hAnsi="仿宋" w:eastAsia="仿宋"/>
                <w:color w:val="000000"/>
                <w:sz w:val="24"/>
                <w:highlight w:val="none"/>
              </w:rPr>
              <w:t>中心运营和管理平台</w:t>
            </w:r>
          </w:p>
        </w:tc>
        <w:tc>
          <w:tcPr>
            <w:tcW w:w="5812" w:type="dxa"/>
            <w:shd w:val="clear" w:color="auto" w:fill="auto"/>
          </w:tcPr>
          <w:p>
            <w:pPr>
              <w:rPr>
                <w:rFonts w:ascii="仿宋" w:hAnsi="仿宋" w:eastAsia="仿宋"/>
                <w:color w:val="000000"/>
                <w:sz w:val="24"/>
                <w:highlight w:val="none"/>
              </w:rPr>
            </w:pPr>
            <w:r>
              <w:rPr>
                <w:rFonts w:hint="eastAsia" w:ascii="仿宋" w:hAnsi="仿宋" w:eastAsia="仿宋"/>
                <w:color w:val="000000"/>
                <w:sz w:val="24"/>
                <w:highlight w:val="none"/>
              </w:rPr>
              <w:t>支持对中心各教学区域监控，重要教学活动录播；教学活动发布、房间使用安排、考试管理；中心全部教学、考核、训练数据监管、统计、分析。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720" w:type="dxa"/>
            <w:shd w:val="clear" w:color="auto" w:fill="auto"/>
            <w:vAlign w:val="center"/>
          </w:tcPr>
          <w:p>
            <w:pPr>
              <w:jc w:val="center"/>
              <w:rPr>
                <w:rFonts w:ascii="仿宋" w:hAnsi="仿宋" w:eastAsia="仿宋"/>
                <w:color w:val="000000"/>
                <w:sz w:val="24"/>
                <w:highlight w:val="none"/>
              </w:rPr>
            </w:pPr>
            <w:r>
              <w:rPr>
                <w:rFonts w:ascii="仿宋" w:hAnsi="仿宋" w:eastAsia="仿宋"/>
                <w:color w:val="000000"/>
                <w:sz w:val="24"/>
                <w:highlight w:val="none"/>
              </w:rPr>
              <w:t>4</w:t>
            </w:r>
          </w:p>
        </w:tc>
        <w:tc>
          <w:tcPr>
            <w:tcW w:w="1832" w:type="dxa"/>
            <w:shd w:val="clear" w:color="auto" w:fill="auto"/>
            <w:vAlign w:val="center"/>
          </w:tcPr>
          <w:p>
            <w:pPr>
              <w:jc w:val="center"/>
              <w:rPr>
                <w:rFonts w:ascii="仿宋" w:hAnsi="仿宋" w:eastAsia="仿宋"/>
                <w:color w:val="000000"/>
                <w:sz w:val="24"/>
                <w:highlight w:val="none"/>
              </w:rPr>
            </w:pPr>
            <w:r>
              <w:rPr>
                <w:rFonts w:hint="eastAsia" w:ascii="仿宋" w:hAnsi="仿宋" w:eastAsia="仿宋"/>
                <w:color w:val="000000"/>
                <w:sz w:val="24"/>
                <w:highlight w:val="none"/>
              </w:rPr>
              <w:t>技能训练模型</w:t>
            </w:r>
          </w:p>
        </w:tc>
        <w:tc>
          <w:tcPr>
            <w:tcW w:w="5812" w:type="dxa"/>
            <w:shd w:val="clear" w:color="auto" w:fill="auto"/>
            <w:vAlign w:val="center"/>
          </w:tcPr>
          <w:p>
            <w:pPr>
              <w:rPr>
                <w:rFonts w:ascii="仿宋" w:hAnsi="仿宋" w:eastAsia="仿宋"/>
                <w:color w:val="000000"/>
                <w:sz w:val="24"/>
                <w:highlight w:val="none"/>
              </w:rPr>
            </w:pPr>
            <w:r>
              <w:rPr>
                <w:rFonts w:hint="eastAsia" w:ascii="仿宋" w:hAnsi="仿宋" w:eastAsia="仿宋"/>
                <w:color w:val="000000"/>
                <w:sz w:val="24"/>
                <w:highlight w:val="none"/>
              </w:rPr>
              <w:t>详见基数指标（四）技能训练硬件配置。</w:t>
            </w:r>
          </w:p>
        </w:tc>
      </w:tr>
    </w:tbl>
    <w:p>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建设内容需符合下述《货物需求一览表及技术规格》具体要求。</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五、技术指标</w:t>
      </w:r>
    </w:p>
    <w:p>
      <w:pPr>
        <w:spacing w:line="360" w:lineRule="auto"/>
        <w:rPr>
          <w:rFonts w:ascii="仿宋" w:hAnsi="仿宋" w:eastAsia="仿宋"/>
          <w:b/>
          <w:color w:val="000000"/>
          <w:sz w:val="24"/>
          <w:highlight w:val="none"/>
        </w:rPr>
      </w:pPr>
      <w:r>
        <w:rPr>
          <w:rFonts w:ascii="仿宋" w:hAnsi="仿宋" w:eastAsia="仿宋"/>
          <w:b/>
          <w:color w:val="000000"/>
          <w:sz w:val="24"/>
          <w:highlight w:val="none"/>
        </w:rPr>
        <w:t>1</w:t>
      </w:r>
      <w:r>
        <w:rPr>
          <w:rFonts w:hint="eastAsia" w:ascii="仿宋" w:hAnsi="仿宋" w:eastAsia="仿宋"/>
          <w:b/>
          <w:color w:val="000000"/>
          <w:sz w:val="24"/>
          <w:highlight w:val="none"/>
        </w:rPr>
        <w:t>．通用指导原则</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w:t>
      </w:r>
      <w:r>
        <w:rPr>
          <w:rFonts w:ascii="仿宋" w:hAnsi="仿宋" w:eastAsia="仿宋"/>
          <w:b/>
          <w:color w:val="000000"/>
          <w:sz w:val="24"/>
          <w:highlight w:val="none"/>
        </w:rPr>
        <w:t>1</w:t>
      </w:r>
      <w:r>
        <w:rPr>
          <w:rFonts w:hint="eastAsia" w:ascii="仿宋" w:hAnsi="仿宋" w:eastAsia="仿宋"/>
          <w:b/>
          <w:color w:val="000000"/>
          <w:sz w:val="24"/>
          <w:highlight w:val="none"/>
        </w:rPr>
        <w:t>）总体规划、分步实施、结合实际、保护现有投资</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全科能力培训中心系统建设是一件复杂的工程，它是一个涉及到医院方方面面的、复杂而相互关联的子项目的集合。为了充分体现数字化医院的综合效益，避免独立孤岛建设，应坚持总体规划，分步实施的原则。同时，总体规划也要切合中国的实际情况，并最大化利用医院现有信息系统的建设成果，保护现有投资。</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w:t>
      </w:r>
      <w:r>
        <w:rPr>
          <w:rFonts w:ascii="仿宋" w:hAnsi="仿宋" w:eastAsia="仿宋"/>
          <w:b/>
          <w:color w:val="000000"/>
          <w:sz w:val="24"/>
          <w:highlight w:val="none"/>
        </w:rPr>
        <w:t>2</w:t>
      </w:r>
      <w:r>
        <w:rPr>
          <w:rFonts w:hint="eastAsia" w:ascii="仿宋" w:hAnsi="仿宋" w:eastAsia="仿宋"/>
          <w:b/>
          <w:color w:val="000000"/>
          <w:sz w:val="24"/>
          <w:highlight w:val="none"/>
        </w:rPr>
        <w:t>）集成整合、标准规范、灵活架构、面向未来</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整个系统建设应遵循集成整合的基本思路，各子系统的软、硬件设计均应考虑到符合项目要求的规范进行建设，积极参考国际国内的标准化成果，使得医院教育信息系统建设在一个标准化、结构化的框架下展开，从而为医院提供一个灵活的面向未来的架构体系。</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w:t>
      </w:r>
      <w:r>
        <w:rPr>
          <w:rFonts w:ascii="仿宋" w:hAnsi="仿宋" w:eastAsia="仿宋"/>
          <w:b/>
          <w:color w:val="000000"/>
          <w:sz w:val="24"/>
          <w:highlight w:val="none"/>
        </w:rPr>
        <w:t>3</w:t>
      </w:r>
      <w:r>
        <w:rPr>
          <w:rFonts w:hint="eastAsia" w:ascii="仿宋" w:hAnsi="仿宋" w:eastAsia="仿宋"/>
          <w:b/>
          <w:color w:val="000000"/>
          <w:sz w:val="24"/>
          <w:highlight w:val="none"/>
        </w:rPr>
        <w:t>）系统稳定可用性高、数据安全可靠性强</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系统成为医院教育人员管理、医护人员学习与培训的各方面支撑环境，要求系统设计与实施充分考虑系统的稳定性，并具有高可用性，要求系统支持</w:t>
      </w:r>
      <w:r>
        <w:rPr>
          <w:rFonts w:ascii="仿宋" w:hAnsi="仿宋" w:eastAsia="仿宋"/>
          <w:color w:val="000000"/>
          <w:sz w:val="24"/>
          <w:highlight w:val="none"/>
        </w:rPr>
        <w:t>7</w:t>
      </w:r>
      <w:r>
        <w:rPr>
          <w:rFonts w:hint="eastAsia" w:ascii="仿宋" w:hAnsi="仿宋" w:eastAsia="仿宋"/>
          <w:color w:val="000000"/>
          <w:sz w:val="24"/>
          <w:highlight w:val="none"/>
        </w:rPr>
        <w:t>×</w:t>
      </w:r>
      <w:r>
        <w:rPr>
          <w:rFonts w:ascii="仿宋" w:hAnsi="仿宋" w:eastAsia="仿宋"/>
          <w:color w:val="000000"/>
          <w:sz w:val="24"/>
          <w:highlight w:val="none"/>
        </w:rPr>
        <w:t>24</w:t>
      </w:r>
      <w:r>
        <w:rPr>
          <w:rFonts w:hint="eastAsia" w:ascii="仿宋" w:hAnsi="仿宋" w:eastAsia="仿宋"/>
          <w:color w:val="000000"/>
          <w:sz w:val="24"/>
          <w:highlight w:val="none"/>
        </w:rPr>
        <w:t>连续安全运行，稳定可靠，易于维护。在管理上，要求系统建设多层次的安全体系，保证系统和数据的安全可靠。</w:t>
      </w:r>
    </w:p>
    <w:p>
      <w:pPr>
        <w:spacing w:line="360" w:lineRule="auto"/>
        <w:rPr>
          <w:rFonts w:ascii="仿宋" w:hAnsi="仿宋" w:eastAsia="仿宋"/>
          <w:b/>
          <w:color w:val="000000"/>
          <w:sz w:val="24"/>
          <w:highlight w:val="none"/>
        </w:rPr>
      </w:pPr>
      <w:r>
        <w:rPr>
          <w:rFonts w:ascii="仿宋" w:hAnsi="仿宋" w:eastAsia="仿宋"/>
          <w:b/>
          <w:color w:val="000000"/>
          <w:sz w:val="24"/>
          <w:highlight w:val="none"/>
        </w:rPr>
        <w:t>2</w:t>
      </w:r>
      <w:r>
        <w:rPr>
          <w:rFonts w:hint="eastAsia" w:ascii="仿宋" w:hAnsi="仿宋" w:eastAsia="仿宋"/>
          <w:b/>
          <w:color w:val="000000"/>
          <w:sz w:val="24"/>
          <w:highlight w:val="none"/>
        </w:rPr>
        <w:t>．技术指导原则</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w:t>
      </w:r>
      <w:r>
        <w:rPr>
          <w:rFonts w:ascii="仿宋" w:hAnsi="仿宋" w:eastAsia="仿宋"/>
          <w:b/>
          <w:color w:val="000000"/>
          <w:sz w:val="24"/>
          <w:highlight w:val="none"/>
        </w:rPr>
        <w:t>1</w:t>
      </w:r>
      <w:r>
        <w:rPr>
          <w:rFonts w:hint="eastAsia" w:ascii="仿宋" w:hAnsi="仿宋" w:eastAsia="仿宋"/>
          <w:b/>
          <w:color w:val="000000"/>
          <w:sz w:val="24"/>
          <w:highlight w:val="none"/>
        </w:rPr>
        <w:t>）标准化原则</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提供的所有软硬件产品、所涉及的工具及运行环境需遵循国际通用标准和行业规范。按照国际、国家、行业、企业相关标准建设适合医院现状和发展的标准规范体系，创建信息共享、系统集成环境。</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w:t>
      </w:r>
      <w:r>
        <w:rPr>
          <w:rFonts w:ascii="仿宋" w:hAnsi="仿宋" w:eastAsia="仿宋"/>
          <w:b/>
          <w:color w:val="000000"/>
          <w:sz w:val="24"/>
          <w:highlight w:val="none"/>
        </w:rPr>
        <w:t>2</w:t>
      </w:r>
      <w:r>
        <w:rPr>
          <w:rFonts w:hint="eastAsia" w:ascii="仿宋" w:hAnsi="仿宋" w:eastAsia="仿宋"/>
          <w:b/>
          <w:color w:val="000000"/>
          <w:sz w:val="24"/>
          <w:highlight w:val="none"/>
        </w:rPr>
        <w:t>）统一设计原则</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从医院的现实需求出发，确定完整的系统建设和实施方案，统一规划、统一设计、分步实施。</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w:t>
      </w:r>
      <w:r>
        <w:rPr>
          <w:rFonts w:ascii="仿宋" w:hAnsi="仿宋" w:eastAsia="仿宋"/>
          <w:b/>
          <w:color w:val="000000"/>
          <w:sz w:val="24"/>
          <w:highlight w:val="none"/>
        </w:rPr>
        <w:t>3</w:t>
      </w:r>
      <w:r>
        <w:rPr>
          <w:rFonts w:hint="eastAsia" w:ascii="仿宋" w:hAnsi="仿宋" w:eastAsia="仿宋"/>
          <w:b/>
          <w:color w:val="000000"/>
          <w:sz w:val="24"/>
          <w:highlight w:val="none"/>
        </w:rPr>
        <w:t>）安全性原则</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采用的软件开发技术和方法应该充分考虑医院所面临的安全性要求，建立适应的安全管理保障机制。</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w:t>
      </w:r>
      <w:r>
        <w:rPr>
          <w:rFonts w:ascii="仿宋" w:hAnsi="仿宋" w:eastAsia="仿宋"/>
          <w:b/>
          <w:color w:val="000000"/>
          <w:sz w:val="24"/>
          <w:highlight w:val="none"/>
        </w:rPr>
        <w:t>4</w:t>
      </w:r>
      <w:r>
        <w:rPr>
          <w:rFonts w:hint="eastAsia" w:ascii="仿宋" w:hAnsi="仿宋" w:eastAsia="仿宋"/>
          <w:b/>
          <w:color w:val="000000"/>
          <w:sz w:val="24"/>
          <w:highlight w:val="none"/>
        </w:rPr>
        <w:t>）先进性与可靠性原则</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要求选择成熟、可靠的主流技术和产品，即保证技术和产品的先进性，又要充分考虑实用性和高可靠性，有良好的售后服务和承诺支持。</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w:t>
      </w:r>
      <w:r>
        <w:rPr>
          <w:rFonts w:ascii="仿宋" w:hAnsi="仿宋" w:eastAsia="仿宋"/>
          <w:b/>
          <w:color w:val="000000"/>
          <w:sz w:val="24"/>
          <w:highlight w:val="none"/>
        </w:rPr>
        <w:t>5</w:t>
      </w:r>
      <w:r>
        <w:rPr>
          <w:rFonts w:hint="eastAsia" w:ascii="仿宋" w:hAnsi="仿宋" w:eastAsia="仿宋"/>
          <w:b/>
          <w:color w:val="000000"/>
          <w:sz w:val="24"/>
          <w:highlight w:val="none"/>
        </w:rPr>
        <w:t>）兼容性与可扩展性原则</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要求从整个医院教育的目前和发展的角度，坚持开放性原则，考虑各种软硬系统的兼容性和可扩展性。</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w:t>
      </w:r>
      <w:r>
        <w:rPr>
          <w:rFonts w:ascii="仿宋" w:hAnsi="仿宋" w:eastAsia="仿宋"/>
          <w:b/>
          <w:color w:val="000000"/>
          <w:sz w:val="24"/>
          <w:highlight w:val="none"/>
        </w:rPr>
        <w:t>6</w:t>
      </w:r>
      <w:r>
        <w:rPr>
          <w:rFonts w:hint="eastAsia" w:ascii="仿宋" w:hAnsi="仿宋" w:eastAsia="仿宋"/>
          <w:b/>
          <w:color w:val="000000"/>
          <w:sz w:val="24"/>
          <w:highlight w:val="none"/>
        </w:rPr>
        <w:t>）易使用、易维护与可配置性原则</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应用系统开发要充分体现结构化、模块化的设计思想，采用先进的设计和开发工具，同时按照便于管理和易维护原则，对于管理和维护有专门的考虑。</w:t>
      </w:r>
    </w:p>
    <w:p>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开发的系统要易使用和易维护。要求提供联机的帮助手段，要求应用界面简捷、直观，用户使用一目了然，简单易学；要提供丰富灵活的配置手段，针对一般用户，使用简单方便，适应多种应用的需要。</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六、货物需求一览表及技术规格</w:t>
      </w:r>
    </w:p>
    <w:p>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1、本项目的系统软硬件产品的详细指标，投标人必须对指标要求有明确的响应，针对采购要求如实描述是否偏离。</w:t>
      </w:r>
    </w:p>
    <w:p>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2、投标人应根据采购人提出的配置要求完善配置，保证产品配置的完整性。</w:t>
      </w:r>
    </w:p>
    <w:p>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3、</w:t>
      </w:r>
      <w:r>
        <w:rPr>
          <w:rFonts w:hint="eastAsia" w:ascii="仿宋" w:hAnsi="仿宋" w:eastAsia="仿宋"/>
          <w:color w:val="FF0000"/>
          <w:sz w:val="24"/>
          <w:highlight w:val="none"/>
        </w:rPr>
        <w:t>对于承诺符合要求的产品，采购人有权在开标后一周内对投标单位进行功能测试</w:t>
      </w:r>
      <w:r>
        <w:rPr>
          <w:rFonts w:ascii="仿宋" w:hAnsi="仿宋" w:eastAsia="仿宋"/>
          <w:color w:val="FF0000"/>
          <w:sz w:val="24"/>
          <w:highlight w:val="none"/>
        </w:rPr>
        <w:t>(</w:t>
      </w:r>
      <w:r>
        <w:rPr>
          <w:rFonts w:hint="eastAsia" w:ascii="仿宋" w:hAnsi="仿宋" w:eastAsia="仿宋"/>
          <w:color w:val="FF0000"/>
          <w:sz w:val="24"/>
          <w:highlight w:val="none"/>
        </w:rPr>
        <w:t>所发生的费用由投标人承担</w:t>
      </w:r>
      <w:r>
        <w:rPr>
          <w:rFonts w:ascii="仿宋" w:hAnsi="仿宋" w:eastAsia="仿宋"/>
          <w:color w:val="FF0000"/>
          <w:sz w:val="24"/>
          <w:highlight w:val="none"/>
        </w:rPr>
        <w:t>)</w:t>
      </w:r>
      <w:r>
        <w:rPr>
          <w:rFonts w:hint="eastAsia" w:ascii="仿宋" w:hAnsi="仿宋" w:eastAsia="仿宋"/>
          <w:color w:val="FF0000"/>
          <w:sz w:val="24"/>
          <w:highlight w:val="none"/>
        </w:rPr>
        <w:t>，以确保产品实际质量及性能满足需求。若预中标产品未通过测试，将取消中标资格并追究相应责任。</w:t>
      </w:r>
    </w:p>
    <w:p>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4、系统需求一览表：</w:t>
      </w:r>
    </w:p>
    <w:tbl>
      <w:tblPr>
        <w:tblStyle w:val="49"/>
        <w:tblW w:w="9717" w:type="dxa"/>
        <w:tblInd w:w="-219" w:type="dxa"/>
        <w:tblLayout w:type="fixed"/>
        <w:tblCellMar>
          <w:top w:w="0" w:type="dxa"/>
          <w:left w:w="108" w:type="dxa"/>
          <w:bottom w:w="0" w:type="dxa"/>
          <w:right w:w="108" w:type="dxa"/>
        </w:tblCellMar>
      </w:tblPr>
      <w:tblGrid>
        <w:gridCol w:w="427"/>
        <w:gridCol w:w="1288"/>
        <w:gridCol w:w="6585"/>
        <w:gridCol w:w="709"/>
        <w:gridCol w:w="708"/>
      </w:tblGrid>
      <w:tr>
        <w:tblPrEx>
          <w:tblLayout w:type="fixed"/>
          <w:tblCellMar>
            <w:top w:w="0" w:type="dxa"/>
            <w:left w:w="108" w:type="dxa"/>
            <w:bottom w:w="0" w:type="dxa"/>
            <w:right w:w="108" w:type="dxa"/>
          </w:tblCellMar>
        </w:tblPrEx>
        <w:trPr>
          <w:trHeight w:val="42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序号</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名 称</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技 术 参 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单位</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数量</w:t>
            </w:r>
          </w:p>
        </w:tc>
      </w:tr>
      <w:tr>
        <w:tblPrEx>
          <w:tblLayout w:type="fixed"/>
          <w:tblCellMar>
            <w:top w:w="0" w:type="dxa"/>
            <w:left w:w="108" w:type="dxa"/>
            <w:bottom w:w="0" w:type="dxa"/>
            <w:right w:w="108" w:type="dxa"/>
          </w:tblCellMar>
        </w:tblPrEx>
        <w:trPr>
          <w:trHeight w:val="42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highlight w:val="none"/>
              </w:rPr>
            </w:pPr>
            <w:r>
              <w:rPr>
                <w:rFonts w:hint="eastAsia" w:ascii="仿宋" w:hAnsi="仿宋" w:eastAsia="仿宋" w:cs="宋体"/>
                <w:bCs/>
                <w:color w:val="000000"/>
                <w:kern w:val="0"/>
                <w:highlight w:val="none"/>
              </w:rPr>
              <w:t>1</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highlight w:val="none"/>
              </w:rPr>
            </w:pPr>
            <w:r>
              <w:rPr>
                <w:rFonts w:hint="eastAsia" w:ascii="仿宋" w:hAnsi="仿宋" w:eastAsia="仿宋" w:cs="宋体"/>
                <w:bCs/>
                <w:color w:val="000000"/>
                <w:kern w:val="0"/>
                <w:highlight w:val="none"/>
              </w:rPr>
              <w:t>临床思维训练系统</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软件用途</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基于互联网的临床诊断和临床思维评估系统，可提共多名学生同时在平板上使用该系统进行学习或进行考核的软件系统。</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可实现对学生的临床思维能力、临床知识及技能掌握程度进行系统评估，有助于提高改进临床诊断学习效果。</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病例都是依据真实的病例资料所转换。</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▲客户端可基于移动平板电脑操作平台，客户端和服务器采用无线网络进行交互。</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▲系统服务器可单独部署局域网运行，也可部署在云服务器接外网运行</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1.临床思维训练系统包含：管理员工作站、教师工作站、学生训练端、学生考试端四个组成部分，包含全科、内科、外科、妇科、儿科等科目病例。临床思维训练系统与多家权威三甲医院合作，提供真实病例，提供医疗学术研究支持，临床思维能力训练系统可从病例库中自主挑选。</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  管理员工作站。</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2.1可以新增、修改、删除、查询管理员和教师账号，新增和修改用户信息时，用户类型选择“系统管理员”或者“教师”，该用户即可以登陆相应的工作站；</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2.2 可以对医院、科室、职称基本信息进行新增、修改和删除；新增相关信息时，相对应的医院名称、科室名称、职称自动生成；</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2.3通过“账号、用户姓名、用户种类”检索条件可以查找相应用户信息。</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2.4 使用病例编辑工具生成的病例压缩包可上传病人病例至服务器，病例可查询并可删除，可双击病例列表页面中的任意病例进入病例详细内容的查看页面，可对病例详细内容的每一小项进行评分设定，并可查看学员的该病例评分统计并导出数据。</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2.5 评分规则可调，可制定“优、良、中、及格、差、极差”相应等级分数段；诊断及制定诊疗计划时根据必要诊断权限和次要诊断权限，分数以设定的权值自动带出。</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2.6 可设定统计查询条件进行教学及考核的审查，查询学生的正确及错误点。可将学员记录全部导出至表格，每一个模块中的导出按钮都可将所有统计结果导出。</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  教师工作站</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3.1 学员信息管理方法与管理员工作站使用方法相同。</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3.2 可使用身份证号等查询相应学员信息，可根据学员编号、病理科室、病例姓名等条件查询相应学员训练记录，并可查询学员所有记录总分的平均分和各个模块的平均分，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3.3总分成绩表格可查看每个模块中学员本次的应答条数、实答条数、正确率、级别、以及问诊小结、体格检查小结、病史小结，用于打印并分析整体教学概况</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3.4问诊成绩表中可查询必要问题、次要问题的实答条数和总条数、询问实答条数和总天数、其他问题实答条数；学员答对的问题前面以绿色的勾标记，未答的以红色的叉标记；部分操作可直接显示出学员操作的问题。同时可记录学生操作项目的时间。</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3.5 诊疗计划成绩表分为诊疗计划和治疗计划。</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3.6同时可查看标准答案中学员选择的其他理由与诊断理由，鉴别诊断成绩表可查看排除理由。</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3.7 可查询学员操作问诊、体格检查、辅助检查、线索、初步诊断、鉴别诊断、诊疗计划等项目的时间日期；还可查询初步诊断和鉴别诊断时学员操作中的删除记录，包括删除诊断理由、直接删除诊断，并记录被删除信息的创建时间及删除时间</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 xml:space="preserve">4. 学生训练端  </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▲4.1 学生训练端有单独的训练端登入APP。</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4.2 学生训练端使用学员账号登入，无法使用管理员和教师账号登入。</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4.3查询病例菜单可显示病人的相关信息及学生上一次训练的日期和成绩。</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4.4系统依据规范化问诊要求设计，须按照问诊→小结→体格检查→小结→辅助检查→病史小结→初步诊断→鉴别诊断→诊疗计划的顺序进行诊断。操作正确完成后自动跳转，可返回已经操作过的模块以进行修改。</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4.5 帮助功能可对系统使用方法简单说明介绍。可使用搜索功能输入关键字查询所需信息。</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4.6 问诊类型分为现病史询问，既往史，系统回顾，个人史，月经婚育史，家族病史等。具体类别与病例提供相关联。问诊小结包括问诊线索、问诊小结两个模块，包含已做过的问诊、得到的线索、疾病查询、鉴别诊断列表四个部分，可添加、移除线索。</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4.7病症类型包含：消化系统疾病、内分泌系统疾病、眼疾病、女性生殖及妊娠疾病、血液和淋巴系统疾病、免疫系统疾病、代谢疾病、口腔疾病、肿瘤、神经系统疾病、耳鼻咽喉疾病、呼吸系统疾病、皮肤疾病、泌尿系统疾病、感染性疾病、骨科疾病、心血管系统疾病、精神心理疾病、儿科疾病、营养性疾病、风湿免疫系统疾病、肛肠疾病、普外科疾病等大类数百种疾病。</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4.8 体格检查可通过不同的检查类型，获得对应的线索。视诊，触诊，叩诊，神经系统和其他工具都是需要通过具体部位进行相关信息。</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4.9虚拟展示病人分为正面、背面两部分，可检查包含头部，颈部，胸部、肺部、心脏，腹部，四肢及部分神经反射，神经系统等与病例相关联的查体。</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4.10辅助检查可查看与病例关联的常规检查，常用生化，输血，内分泌，肿瘤标志物，免疫，其他检查，影像学检查等。</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 xml:space="preserve">4.11病史小结模块可查询已完成的问诊及得到线索、已完成的体格检查及得到线索，已完成的辅助检查及得到线索。 </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4.1</w:t>
            </w:r>
            <w:r>
              <w:rPr>
                <w:rFonts w:hint="eastAsia" w:ascii="仿宋" w:hAnsi="仿宋" w:eastAsia="仿宋" w:cs="宋体"/>
                <w:bCs/>
                <w:color w:val="000000"/>
                <w:kern w:val="0"/>
                <w:highlight w:val="none"/>
                <w:lang w:val="en-US" w:eastAsia="zh-CN"/>
              </w:rPr>
              <w:t>2</w:t>
            </w:r>
            <w:r>
              <w:rPr>
                <w:rFonts w:hint="eastAsia" w:ascii="仿宋" w:hAnsi="仿宋" w:eastAsia="仿宋" w:cs="宋体"/>
                <w:bCs/>
                <w:color w:val="000000"/>
                <w:kern w:val="0"/>
                <w:highlight w:val="none"/>
              </w:rPr>
              <w:t>鉴别诊断病症可多选并需选择线索支撑。</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4.1</w:t>
            </w:r>
            <w:r>
              <w:rPr>
                <w:rFonts w:hint="eastAsia" w:ascii="仿宋" w:hAnsi="仿宋" w:eastAsia="仿宋" w:cs="宋体"/>
                <w:bCs/>
                <w:color w:val="000000"/>
                <w:kern w:val="0"/>
                <w:highlight w:val="none"/>
                <w:lang w:val="en-US" w:eastAsia="zh-CN"/>
              </w:rPr>
              <w:t>3</w:t>
            </w:r>
            <w:r>
              <w:rPr>
                <w:rFonts w:hint="eastAsia" w:ascii="仿宋" w:hAnsi="仿宋" w:eastAsia="仿宋" w:cs="宋体"/>
                <w:bCs/>
                <w:color w:val="000000"/>
                <w:kern w:val="0"/>
                <w:highlight w:val="none"/>
              </w:rPr>
              <w:t xml:space="preserve"> 诊疗计划分为诊断计划和治疗计划。</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4.1</w:t>
            </w:r>
            <w:r>
              <w:rPr>
                <w:rFonts w:hint="eastAsia" w:ascii="仿宋" w:hAnsi="仿宋" w:eastAsia="仿宋" w:cs="宋体"/>
                <w:bCs/>
                <w:color w:val="000000"/>
                <w:kern w:val="0"/>
                <w:highlight w:val="none"/>
                <w:lang w:val="en-US" w:eastAsia="zh-CN"/>
              </w:rPr>
              <w:t>4</w:t>
            </w:r>
            <w:r>
              <w:rPr>
                <w:rFonts w:hint="eastAsia" w:ascii="仿宋" w:hAnsi="仿宋" w:eastAsia="仿宋" w:cs="宋体"/>
                <w:bCs/>
                <w:color w:val="000000"/>
                <w:kern w:val="0"/>
                <w:highlight w:val="none"/>
              </w:rPr>
              <w:t xml:space="preserve"> 诊断计划检查类别与辅助检查中的检查类别相同。</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4.1</w:t>
            </w:r>
            <w:r>
              <w:rPr>
                <w:rFonts w:hint="eastAsia" w:ascii="仿宋" w:hAnsi="仿宋" w:eastAsia="仿宋" w:cs="宋体"/>
                <w:bCs/>
                <w:color w:val="000000"/>
                <w:kern w:val="0"/>
                <w:highlight w:val="none"/>
                <w:lang w:val="en-US" w:eastAsia="zh-CN"/>
              </w:rPr>
              <w:t>5</w:t>
            </w:r>
            <w:r>
              <w:rPr>
                <w:rFonts w:hint="eastAsia" w:ascii="仿宋" w:hAnsi="仿宋" w:eastAsia="仿宋" w:cs="宋体"/>
                <w:bCs/>
                <w:color w:val="000000"/>
                <w:kern w:val="0"/>
                <w:highlight w:val="none"/>
              </w:rPr>
              <w:t xml:space="preserve"> 治疗计划分为药物，手术，护理，饮食，特殊处置和其他模块。</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4.1</w:t>
            </w:r>
            <w:r>
              <w:rPr>
                <w:rFonts w:hint="eastAsia" w:ascii="仿宋" w:hAnsi="仿宋" w:eastAsia="仿宋" w:cs="宋体"/>
                <w:bCs/>
                <w:color w:val="000000"/>
                <w:kern w:val="0"/>
                <w:highlight w:val="none"/>
                <w:lang w:val="en-US" w:eastAsia="zh-CN"/>
              </w:rPr>
              <w:t>6</w:t>
            </w:r>
            <w:r>
              <w:rPr>
                <w:rFonts w:hint="eastAsia" w:ascii="仿宋" w:hAnsi="仿宋" w:eastAsia="仿宋" w:cs="宋体"/>
                <w:bCs/>
                <w:color w:val="000000"/>
                <w:kern w:val="0"/>
                <w:highlight w:val="none"/>
              </w:rPr>
              <w:t xml:space="preserve"> 治疗计划中药物可选如心血管药物、抗微生物药、神经系统药物、抗精神失常药、解热镇痛抗炎药神经肌肉药物等数十大类数百小类药物，可在对应的药物类别后添加具体药名，药品种类可精确到最小分类项。</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4.1</w:t>
            </w:r>
            <w:r>
              <w:rPr>
                <w:rFonts w:hint="eastAsia" w:ascii="仿宋" w:hAnsi="仿宋" w:eastAsia="仿宋" w:cs="宋体"/>
                <w:bCs/>
                <w:color w:val="000000"/>
                <w:kern w:val="0"/>
                <w:highlight w:val="none"/>
                <w:lang w:val="en-US" w:eastAsia="zh-CN"/>
              </w:rPr>
              <w:t>7</w:t>
            </w:r>
            <w:r>
              <w:rPr>
                <w:rFonts w:hint="eastAsia" w:ascii="仿宋" w:hAnsi="仿宋" w:eastAsia="仿宋" w:cs="宋体"/>
                <w:bCs/>
                <w:color w:val="000000"/>
                <w:kern w:val="0"/>
                <w:highlight w:val="none"/>
              </w:rPr>
              <w:t xml:space="preserve"> 治疗计划中手术范围可选如外阴与宫颈活检术、盆腔淋巴结清扫术、卵巢癌根治术、右上肺癌根治术等近百种选项。</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4.1</w:t>
            </w:r>
            <w:r>
              <w:rPr>
                <w:rFonts w:hint="eastAsia" w:ascii="仿宋" w:hAnsi="仿宋" w:eastAsia="仿宋" w:cs="宋体"/>
                <w:bCs/>
                <w:color w:val="000000"/>
                <w:kern w:val="0"/>
                <w:highlight w:val="none"/>
                <w:lang w:val="en-US" w:eastAsia="zh-CN"/>
              </w:rPr>
              <w:t>8</w:t>
            </w:r>
            <w:r>
              <w:rPr>
                <w:rFonts w:hint="eastAsia" w:ascii="仿宋" w:hAnsi="仿宋" w:eastAsia="仿宋" w:cs="宋体"/>
                <w:bCs/>
                <w:color w:val="000000"/>
                <w:kern w:val="0"/>
                <w:highlight w:val="none"/>
              </w:rPr>
              <w:t xml:space="preserve"> 治疗计划中护理、饮食、特殊处置等均可选择进行数十类百余种操作用于完善治疗计划。</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4.1</w:t>
            </w:r>
            <w:r>
              <w:rPr>
                <w:rFonts w:hint="eastAsia" w:ascii="仿宋" w:hAnsi="仿宋" w:eastAsia="仿宋" w:cs="宋体"/>
                <w:bCs/>
                <w:color w:val="000000"/>
                <w:kern w:val="0"/>
                <w:highlight w:val="none"/>
                <w:lang w:val="en-US" w:eastAsia="zh-CN"/>
              </w:rPr>
              <w:t>9</w:t>
            </w:r>
            <w:r>
              <w:rPr>
                <w:rFonts w:hint="eastAsia" w:ascii="仿宋" w:hAnsi="仿宋" w:eastAsia="仿宋" w:cs="宋体"/>
                <w:bCs/>
                <w:color w:val="000000"/>
                <w:kern w:val="0"/>
                <w:highlight w:val="none"/>
              </w:rPr>
              <w:t xml:space="preserve"> 学员训练完成并提交后可预览，内容包含：病史小结，初步诊断及诊断理由，鉴别诊断，诊疗方案等。病史小结包括问诊小结，体格检查小结和病史小结等，初步诊断中可上下滑动查看每个疾病与之对应的诊断理由。</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▲5学生考试端</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 xml:space="preserve">▲5.1学生考试端有单独的考试端登入APP </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5.2考试端操作界面简洁，操作步骤简单。操作时间要比训练端节省一半以上</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▲5.3病史询问回答可直接显示病人回答，并可在同一界面添加线索。</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5.4体格检查点击体格检查项目，可直接显示检查结果，并可在同一界面添加线索。</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▲5.5辅助检查的常规检查项目可以单独选择某项常规，或全选整套常规检查。并可在同一界面添加线索。</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5.6初步诊断界面，选择好诊断后，可在同一界面检查已添加的问诊、体格检查、辅助检查线索，并添加为诊断理由。</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5.7鉴别诊断，选择好鉴别诊断后，可在同一界面显示之前已加为的线索的问诊、体格检查、辅助检查，并添加为诊断理由或排除理由</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5.8诊疗计划分为诊断计划和治疗计划。</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5.9学员考试完成并提交后可预览，内容包含：病史小结，初步诊断及诊断理由，鉴别诊断，诊疗方案等，初步诊断中可查看每个疾病与之对应的诊断理由。以及鉴别诊断的诊断理由和排除理由。</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highlight w:val="none"/>
              </w:rPr>
            </w:pPr>
            <w:r>
              <w:rPr>
                <w:rFonts w:hint="eastAsia" w:ascii="仿宋" w:hAnsi="仿宋" w:eastAsia="仿宋" w:cs="宋体"/>
                <w:bCs/>
                <w:color w:val="000000"/>
                <w:kern w:val="0"/>
                <w:highlight w:val="none"/>
              </w:rPr>
              <w:t>套</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1</w:t>
            </w:r>
          </w:p>
        </w:tc>
      </w:tr>
      <w:tr>
        <w:tblPrEx>
          <w:tblLayout w:type="fixed"/>
          <w:tblCellMar>
            <w:top w:w="0" w:type="dxa"/>
            <w:left w:w="108" w:type="dxa"/>
            <w:bottom w:w="0" w:type="dxa"/>
            <w:right w:w="108" w:type="dxa"/>
          </w:tblCellMar>
        </w:tblPrEx>
        <w:trPr>
          <w:trHeight w:val="42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highlight w:val="none"/>
              </w:rPr>
            </w:pPr>
            <w:r>
              <w:rPr>
                <w:rFonts w:hint="eastAsia" w:ascii="仿宋" w:hAnsi="仿宋" w:eastAsia="仿宋" w:cs="宋体"/>
                <w:bCs/>
                <w:color w:val="000000"/>
                <w:kern w:val="0"/>
                <w:highlight w:val="none"/>
              </w:rPr>
              <w:t>2</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highlight w:val="none"/>
              </w:rPr>
            </w:pPr>
            <w:r>
              <w:rPr>
                <w:rFonts w:hint="eastAsia" w:ascii="仿宋" w:hAnsi="仿宋" w:eastAsia="仿宋" w:cs="宋体"/>
                <w:bCs/>
                <w:color w:val="000000"/>
                <w:kern w:val="0"/>
                <w:highlight w:val="none"/>
              </w:rPr>
              <w:t>临床技能中心信息管理系统</w:t>
            </w:r>
          </w:p>
        </w:tc>
        <w:tc>
          <w:tcPr>
            <w:tcW w:w="65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▲系统取得计算机软件著作权登记证书，并提供复印件证明，提供样品并进行现场运行演示以确定产品功能符合教学要求，不得以PPT、视频、书面以及多媒体的形式进行功能演示。</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整体要求：</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提供整体设计服务，依据医院要求及现场实地情况，规划各功能区域及考站的设置，包括软硬件的配置、强弱电要求及场地规划功能等。</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多家权威医院、医学院提供学术研究支持。</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▲系统软硬件结合，模拟教具与软件结合，结合软件题库，考生通过模拟教具进行训练考核，可自动给予评判和打分。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▲支持载入PACS等医学影像文件，支持序列查看、窗宽窗位调整。</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5.</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▲支持打开数字病理切片文件，可调整图像颜色对照，可调节透明度、对比度、亮度，支持病理图像多图同步对比。</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6.</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系统的所有功能都支持在PC端、Pad端及手机端运行，自适应不同屏幕大小及操作方式。</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7.</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配合监控设备，可对考试及教学过程进行全程录像，录像资料可作为教学资源与考试成绩追诉的证据。</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总体技术要求</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系统架构</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根据系统的建设目标规划，系统采用B/S架构，运用面向对象的设计方式，在充分考虑系统的实用性、先进性、可扩展性、可维护性、可靠性和安全性等原则的基础上，按照用户的要求系统将可部署在局域网内或Internet网络上，医院管理部门通过系统管理后台对系统维护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系统模块</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用户从统一的登录入口通过用户名（邮箱/手机/身份证号/工号等）密码验证登录系统，系统根据用户角色提供不同的操作权限。根据用户角色分类，系统可分为云端、管理端、教师端、学生端等模块。</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云端</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1.1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基地管理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1.1.1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▲基地概况</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统计下属所有基地的使用情况，包括注册学员数量、教师数量、考官数量、考试场次、考试人次、练习人次、练习题量等。</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1.1.2</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▲基地详情</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可查看各下属基地的详细信息，包括注册学员信息、教师信息、考官信息、考试场次安排及考站信息、试卷信息、考试成绩、各学员练习次数及题量等。</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1.1.3</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成绩统计</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可对各下属基地每场考试的考试成绩按学科、地区、性别、年龄段、职称、学历等维度进行统计分析，包括最高分、最低分、平均分、高于平均分人数、低于平均分人数、各分数段人数等，可按基地、地区、性别、年龄段、职称、学历等进行排名。明确不同基础卫生人员的强项及薄弱环节，为管理人员提供决策依据</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1.1.4</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试卷分析</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可对各下属基地的理论试卷按学科、地区、性别、年龄段、职称、学历等维度进行统计分析，包括参考人数、最高分、最低分、平均分、高于平均分人数、低于平均分人数、各分数段人数，每道题的平均得分等，明确不同基础卫生人员的强项及薄弱环节，为管理人员提供决策依据。</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1.1.5</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评分表分析</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可对各下属基地的评分表按学科、地区、性别、年龄段、职称、学历等维度进行统计分析，包括参考人数、最高分、最低分、平均分、高于平均分人数、低于平均分人数、各分数段人数，每的评分项的平均得分等，明确不同基础卫生人员的强项及薄弱环节，为管理人员提供决策依据</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1.2</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人员管理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1.2.1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▲人员调度</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可以将人员在相关联的基地间调转，人员账号关联的所有培训、考核及练习记录同时调转。</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1.3</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题库管理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1.3.1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题库浏览</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可以按题型、学科章节查询公共及私有题库。</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1.3.2</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题库导入</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可以按指定格式将题目批量导入到私有题库中，在组卷时可直接使用。</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1.3.3</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▲题库共享</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可以将私有题库中的题目、评分表及SP案例提交上传，管理端通过审核后可共享给公有云下其他基地使用。支持定向分享，可以指定共享对象。</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1.3.4</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共享审核</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对私有云端上传的理论题库、评分表及SP案例进行审核，审核通过后对其他基地开放。可以对共享内容进行质量评级。</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1.3.5</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共享统计</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按基地、学科、上传时间等条件对各私有云端上传的理论题库评分表及SP案例的数量、质量进行统计分析。</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1.4</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考核管理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1.4.1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▲考试发布</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发布区域性的统一考试，包括理论和实践技能操作考试，下属所有基地的学员都可以预约参加。</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1.4.2</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成绩查询</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可查询成绩和答题记录，对考试成绩按基地进行最高分、平均分和分数段分布的统计、排名。</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管理端</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人员管理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2.1.1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教师管理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管理教师信息，包括新增教师信息、编辑教师信息、删除教师信息，可以批量导入、删除教师信息。</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2.2</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资源管理：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2.2.1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房间管理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管理技能实训考核中心的房间信息，用户可以根据场地实际情况编辑录入房间名称、门牌号码等信息。可设置绑定电子门牌、站内信息机等设备。</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2.2.2</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设备类别管理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管理设备类别信息，包括新增教设备类别、编辑设备类别、删除设备类别，可以设置某一类设备可用于某一种或几种临床技能操作的训练与考核。</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2.2.3</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仪器设备管理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管理设备信息，包括新增教设备信息、编辑设备信息、删除设备信息，可批量导入设备信息，可以查看设备使用情况、编辑设备维修记录。</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2.2.4</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资产定位</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可以为资产设备添加RFID标签，支持资产设备定位管理，有效管控技能中心资产设备，保证医院投入的可持续利用。支持接入医院现有物联网网络（如有），实现技能中心外借资产设备定位。支持资产设备利用率情况统计，利用物联网网络实现对技能中心资产设备使用情况统计汇总。</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2.2.5</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技能操作项管理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管理技能操作项目，包括新增技能操作项目、编辑技能操作项目、删除技能操作项目，系统内已包含中国医学生临床技能操作指南的99项操作项目，用户可以根据需要增加个性化的操作项目，系统自带的操作项目不能编辑与删除。</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2.2.6</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评分表管理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管理技能操作评分表，包括新增评分表、查看评分表详情、删除评分表，系统内已包含中国医学生临床技能操作指南的99项操作评分表，用户可以根据需要增加个性化的评分表，系统自带的评分表不能编辑与删除。</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2.2.7</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模拟人管理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2.2.7.1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心肺复苏模拟人</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编辑管理模拟人联机参数。可设置心肺复苏考核中按压深度范围、吹气量范围、CPR次数、每个CPR所需正确按压次数及吹气次数等考核参数。</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2.2.7.2</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听触诊模拟人</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可设置心肺听诊及胸腹部触诊考核时的抽题数量。</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2.3</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系统管理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2.3.1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机构管理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管理机构、科室信息，包括机构、科室，编辑机构、科室，删除机构、科室。</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教师端</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人员管理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3.1.1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学员分组管理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管理学员分组，可以根据管理需要对学员进行分组管理，可以新增、编辑、删除学员分组信息。</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3.1.2</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学员管理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管理学员信息，包括新增学员信息、编辑学员信息、删除学员信息，可以批量导入、删除学员信息，可以将学员信息导出为excel文件。</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3.2</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题库管理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3.2.1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题库浏览</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可以按题型、学科章节查询公共及私有题库。</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3.2.2</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题库导入</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可以按指定格式将题目批量导入到私有题库中，在组卷时可直接使用。</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3.2.3</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▲题库共享</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可以将私有题库中的题目、评分表及SP案例提交上传，管理端通过审核后可共享给公有云下其他基地使用。支持定向分享，可以指定共享对象。</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3.3</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考核管理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3.3.1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组卷模板管理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 xml:space="preserve">    管理理论考试组卷模板，包括新增组卷模板、编辑组卷模板、删除组卷模板，可以指定理论试卷整体难易度、题型题量分布、各题型每题分值，可以编辑试卷中各学科、章节所占比重。</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3.3.2</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理论试卷管理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3.3.2.1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 xml:space="preserve"> 自动组卷</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管理理论考试试卷，包括调用组卷模板智能创建理论试卷，系统将根据模板指定的题型、题量及各学科、章节比重及整体难易度从题库中随机抽题组卷，创建试卷后可查看试卷中的题目，对试卷中不满意的题目可逐题更换。每个学员在考试中试卷中的题目顺序将被打乱重新排列。</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3.3.2.2</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 xml:space="preserve"> 理论题库</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系统理论题库包含以下分类题库：基础医学、内科、外科、妇产科、儿科、精神病科、急诊科、康复医学、口腔科、临床病理科、麻醉科、皮肤科、全科医学、小二外科、眼科、医学检验科、医学影像科、肿瘤学、放射影像科、病理诊断技术、诊断学、传染病学、神经病学、循证医学、公卫、护理、耳鼻咽喉科、中医儿科、中医妇科、中医骨伤科、中医内科、中医全科、中医五官科、中医外科、中医针灸推拿等及超声、CT、X光片、MIR等读片题。各学科都有细分的二级学科及章节，题库总题量20万题以上。</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理论题库包括A1型题、A2型题、A3型题、A4型题、B型题、X型题、案例题、判断题、读片题等常见医学考试题型。</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3.3.3</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考试安排</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3.3.3.1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考场管理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创建、编辑、删除考试安排，设置每次考试的考试类型、考试时间，可以设置开始、结束考试，开放、关闭预约、开放、关闭签到及重置考试状态，可以实时查看各考试场次当前各考站的情况及排队等候、正在考试、已经考完的学员列表。</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3.3.3.2</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▲排考管理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支持多站式轮循排考，例如4站式考试，考生的考核顺序可以是1-2-3-4、2-3-4-1、3-4-1-2、4-1-2-3。</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支持多站式队列排考，严格按照考站顺序排考，考生必须按照1-2-3-4……的考站顺序进行考试。</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支持多站式动态排考，每个考站时间可以不相同，考试过程实时自动调度管理，最合理分配当前考试资源，最大程度节省考试时间。</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支持同进同出，所有考生同时进出、切换考站，有效避免考生站外等候过程中互相交流。</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3.3.3.3</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▲考站编辑</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每场考试下可按需自由设置考站，站点数量无上限，可以指定每个站点的考试类型（理论或实践）、考试房间、考核项目、实践考核模式（考官评分或模拟人联机）、模拟人型号或考核评分表、理论试卷或组卷模板、考试时长及容纳人数。</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支持理论考站，理论考试站可根据需要指定试卷（所有人考同一份试卷，但题目顺序打乱）或指定组卷模板（每个人根据指定的模板随机组卷，试卷的难易度、题型、题量、学科章节比重都相同，但具体题目不同）。</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实践考试站可选择考官评分或模拟人联机两种考核模式。当选择考官评分方式时需同时选择要使用的评分表，可设置多位考官共同评分；当选择模拟人联机考核模式时需同时选择模拟人型号。</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支持随机考站（多个考站随机考其中一站），支持随机考核项目（一个考站中可设置多种考核项目及评分表，学生进入考站后随机考其中一项）。</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3.3.4</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考生管理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管理每场考考试中的考生，可批量添加、移除考生。管理考生签到信息，可设置重签、取消签到、后台签到等。控制每场考试中的各个考生的状态，可针对各个考站设置重考、续考、弃考、强制结束及违纪登记，可延迟、减少考试时间。可显示各考站的考试进度。</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3.3.5</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在线评分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考官可以在PAD上进入指定的考场场次与考站，使用考试安排中指定的评分表为学员实践操作考试进行在线评分，支持多位考官共同评分。</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▲支持电子签名，考官提交成绩时需同时提交电子签名。</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3.4</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统计报表</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3.4.1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成绩查询</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可以根据考试场次、考试试卷及学员信息查询统计考试成绩，可以查看理论或实践考试中的得分明细，可以将考试成绩或得分明细导出为Excel文件。</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3.4.2</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成绩统计</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根据考场场次、学员分组、考核内容及考试时间等条件对学员考生成绩进行汇总统计，管理员可以挑选需要进行统计分析的学员进行统计，默认情况下对所以符合查询条件的学员进行统计。统计表展现的信息包括参考人数、应考人数、缺考人数、最高分、最低分、平均分、平均分以上人数、平均分以下人数、及格人数、及格率等信息。</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3.4.3</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成绩分布</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以列表及雷达图的形式反映出参与统计的学员在不同的分数区间段中，所有参于分析人员成绩数量，让管理员可以更加直观的看到此次考试的成绩主要分布情况。管理员可以自定义添加和编辑需要统计的分数段。</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3.4.4</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评分表分析</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对指定的评分表按考场场次及考试时间绩进行分析，列出各评分项最高分、最低分、平均分、平均分以上人数，平均分以下人数、平均失分率，并配以柱状图与雷达图进行展示。</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3.4.5</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试卷分析</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对指定的理论试卷按考场场次及考试时间对学员考试成绩进行分析，列出试卷最高分、最低分、平均分、平均分以上人数，平均分以下人数及每个试题的答对人数、答错人数、正确率，并配以柱状图与雷达图进行展示。</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学生端</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我的练习</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4.1.1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理论训练</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4.1.1.1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学员可在线进行分学科的理论练习，整个题库对学员开放，学员可分学科进行理论答题练习，可查看、重置各学科分类的练习进度，每答一题后自动判读对错并显示正确答案，回答正确自动跳转到下一题。错题自动归档至学员个人的错题库。</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4.1.1.2</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理论训练支持A1型题、A2型题、A3型题、A4型题、B型题、X型题、案例题、判断题、读片题等常见医学考试题型</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4.1.2</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错题汇总</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▲属于学员个人的错题库，在理论训练中做错的题自动分类汇总，学生可根据学科、时间等条件筛选查询。</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4.1.3</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模拟考试</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学员可自行选择学科章节比例进行组卷，系统自动根据学员设定的比例随机抽题生成模拟试卷，学员在规定时间内进行答题，考试时间结束后系统将自动收卷，完整模拟正式考试过程。每次模拟考试结束后系统自动收集学员答错的题目给予汇总解析。可查看历史练习数据，意外中断的考试可选择继续进行。</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4.2</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我的考试</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4.2.1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我的预约</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学员管理自己的考试预约，可以查看历史预约理论，可以对开放在线预约的考试进行预约。</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4.2.2</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 xml:space="preserve"> 理论考试</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学员通过PAD或PC及登录系统在线进行理论考试答题。</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4.2.3</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模拟人联机考试</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支持接入心肺复苏、胸腹部触诊、心肺听诊等模拟教具，系统自动设置模拟人状态，实时采集学生操作数据，自动给予评判和打分。学员通过用户名密码登录后，自动根据设定的考核内容连接到智能模拟人设备并进入考试界面，学员在模拟人上的操作数据同步显示并实时保存至服务器，系统根据设定的考核要求自动评分。非当前考站的学生不允许进行考核。</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4.3</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历史成绩</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 xml:space="preserve">    查询学员个人的历史考试成绩。</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5</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签到客户端</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5.1</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查询学生信息</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 xml:space="preserve">    可以根据学员姓名、身份证号、用户名、学号等查询学员信息。</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5.2</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录入学生信息</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 xml:space="preserve">    可以直接在客户端录入学员信息。</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5.3</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录入学生指纹</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 xml:space="preserve">    可以直接对接指纹采集设备，录入学员指纹信息。</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5.4</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指纹签到</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▲系统直接对接指纹采集设备，学员在考试前需要按压指纹验证身份来进行签到。</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5.5</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二代身份证签到</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 xml:space="preserve">    ▲系统直接对接二代身份证读卡器，学员在考试前刷二代身份证验证身份来进行签到。</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5.6</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学号或身份证号或用户名签到</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 xml:space="preserve">    当遇到指纹采集设备故障或学员手指受伤无法采集指纹等情况时，也可以使用学员身份证号、用户名、学号等信息进行考试签到。</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6</w:t>
            </w:r>
            <w:r>
              <w:rPr>
                <w:rFonts w:hint="eastAsia" w:ascii="仿宋" w:hAnsi="仿宋" w:eastAsia="仿宋" w:cs="宋体"/>
                <w:bCs/>
                <w:color w:val="000000"/>
                <w:kern w:val="0"/>
                <w:highlight w:val="none"/>
              </w:rPr>
              <w:tab/>
            </w:r>
            <w:r>
              <w:rPr>
                <w:rFonts w:hint="eastAsia" w:ascii="仿宋" w:hAnsi="仿宋" w:eastAsia="仿宋" w:cs="宋体"/>
                <w:bCs/>
                <w:color w:val="000000"/>
                <w:kern w:val="0"/>
                <w:highlight w:val="none"/>
              </w:rPr>
              <w:t>考试排队叫号</w:t>
            </w:r>
          </w:p>
          <w:p>
            <w:pPr>
              <w:rPr>
                <w:rFonts w:ascii="仿宋" w:hAnsi="仿宋" w:eastAsia="仿宋" w:cs="宋体"/>
                <w:bCs/>
                <w:color w:val="000000"/>
                <w:kern w:val="0"/>
                <w:highlight w:val="none"/>
              </w:rPr>
            </w:pPr>
            <w:r>
              <w:rPr>
                <w:rFonts w:hint="eastAsia" w:ascii="仿宋" w:hAnsi="仿宋" w:eastAsia="仿宋" w:cs="宋体"/>
                <w:bCs/>
                <w:color w:val="000000"/>
                <w:kern w:val="0"/>
                <w:highlight w:val="none"/>
              </w:rPr>
              <w:t>学员签到后系统将根据考试安排自动为学员进行智能排考，等候区信息展示大屏可显示各个站点考核信息及各学员当前应进入的考站，同时给予语音叫号提示，实现学员考核的有效排序与等候，以达到最大利用考试资源，节省考试资源与考生轮转等候时间。当某个考生因故无法及时进入考站进行考试时，考站中的考官可选择跳过该考生。</w:t>
            </w:r>
          </w:p>
          <w:p>
            <w:pPr>
              <w:rPr>
                <w:rFonts w:ascii="仿宋" w:hAnsi="仿宋" w:eastAsia="仿宋" w:cs="宋体"/>
                <w:b/>
                <w:bCs/>
                <w:color w:val="000000"/>
                <w:kern w:val="0"/>
                <w:highlight w:val="none"/>
              </w:rPr>
            </w:pPr>
            <w:r>
              <w:rPr>
                <w:rFonts w:hint="eastAsia" w:ascii="仿宋" w:hAnsi="仿宋" w:eastAsia="仿宋" w:cs="宋体"/>
                <w:bCs/>
                <w:color w:val="000000"/>
                <w:kern w:val="0"/>
                <w:highlight w:val="none"/>
              </w:rPr>
              <w:t>▲支持智能电视（Android系统）直接安装排队叫号App或连接安卓机顶盒实现叫号，数据通过无线网络传输，无需事先预留高清视频线，无需连接电脑。</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highlight w:val="none"/>
              </w:rPr>
            </w:pPr>
            <w:r>
              <w:rPr>
                <w:rFonts w:hint="eastAsia" w:ascii="仿宋" w:hAnsi="仿宋" w:eastAsia="仿宋" w:cs="宋体"/>
                <w:bCs/>
                <w:color w:val="000000"/>
                <w:kern w:val="0"/>
                <w:highlight w:val="none"/>
              </w:rPr>
              <w:t>套</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1</w:t>
            </w:r>
          </w:p>
        </w:tc>
      </w:tr>
    </w:tbl>
    <w:p>
      <w:pPr>
        <w:spacing w:line="360" w:lineRule="auto"/>
        <w:rPr>
          <w:rFonts w:ascii="仿宋" w:hAnsi="仿宋" w:eastAsia="仿宋"/>
          <w:b/>
          <w:bCs w:val="0"/>
          <w:color w:val="FF0000"/>
          <w:highlight w:val="none"/>
        </w:rPr>
      </w:pPr>
      <w:r>
        <w:rPr>
          <w:rFonts w:hint="eastAsia" w:ascii="仿宋" w:hAnsi="仿宋" w:eastAsia="仿宋" w:cs="宋体"/>
          <w:b/>
          <w:bCs w:val="0"/>
          <w:color w:val="FF0000"/>
          <w:kern w:val="0"/>
          <w:sz w:val="24"/>
          <w:highlight w:val="none"/>
        </w:rPr>
        <w:t>▲</w:t>
      </w:r>
      <w:r>
        <w:rPr>
          <w:rFonts w:hint="eastAsia" w:ascii="仿宋" w:hAnsi="仿宋" w:eastAsia="仿宋"/>
          <w:b/>
          <w:bCs w:val="0"/>
          <w:color w:val="FF0000"/>
          <w:sz w:val="24"/>
          <w:highlight w:val="none"/>
        </w:rPr>
        <w:t>注：评标现场需对中心设计理念讲解和</w:t>
      </w:r>
      <w:r>
        <w:rPr>
          <w:rFonts w:hint="eastAsia" w:ascii="仿宋" w:hAnsi="仿宋" w:eastAsia="仿宋" w:cs="宋体"/>
          <w:b/>
          <w:bCs w:val="0"/>
          <w:color w:val="FF0000"/>
          <w:kern w:val="0"/>
          <w:sz w:val="24"/>
          <w:highlight w:val="none"/>
        </w:rPr>
        <w:t>▲</w:t>
      </w:r>
      <w:r>
        <w:rPr>
          <w:rFonts w:hint="eastAsia" w:ascii="仿宋" w:hAnsi="仿宋" w:eastAsia="仿宋"/>
          <w:b/>
          <w:bCs w:val="0"/>
          <w:color w:val="FF0000"/>
          <w:sz w:val="24"/>
          <w:highlight w:val="none"/>
        </w:rPr>
        <w:t>内容现场功能演示，演示时间约</w:t>
      </w:r>
      <w:r>
        <w:rPr>
          <w:rFonts w:ascii="仿宋" w:hAnsi="仿宋" w:eastAsia="仿宋"/>
          <w:b/>
          <w:bCs w:val="0"/>
          <w:color w:val="FF0000"/>
          <w:sz w:val="24"/>
          <w:highlight w:val="none"/>
        </w:rPr>
        <w:t>15</w:t>
      </w:r>
      <w:r>
        <w:rPr>
          <w:rFonts w:hint="eastAsia" w:ascii="仿宋" w:hAnsi="仿宋" w:eastAsia="仿宋"/>
          <w:b/>
          <w:bCs w:val="0"/>
          <w:color w:val="FF0000"/>
          <w:sz w:val="24"/>
          <w:highlight w:val="none"/>
        </w:rPr>
        <w:t>分钟。除投影仪外，其他软硬件请投标人自行准备。</w:t>
      </w:r>
    </w:p>
    <w:p>
      <w:pPr>
        <w:rPr>
          <w:rFonts w:ascii="仿宋" w:hAnsi="仿宋" w:eastAsia="仿宋"/>
          <w:color w:val="000000"/>
          <w:sz w:val="24"/>
          <w:highlight w:val="none"/>
        </w:rPr>
      </w:pPr>
      <w:r>
        <w:rPr>
          <w:rFonts w:hint="eastAsia" w:ascii="仿宋" w:hAnsi="仿宋" w:eastAsia="仿宋"/>
          <w:color w:val="000000"/>
          <w:sz w:val="24"/>
          <w:highlight w:val="none"/>
        </w:rPr>
        <w:t>5、硬件参数需求一览表：</w:t>
      </w:r>
    </w:p>
    <w:tbl>
      <w:tblPr>
        <w:tblStyle w:val="49"/>
        <w:tblW w:w="9800" w:type="dxa"/>
        <w:tblInd w:w="-286" w:type="dxa"/>
        <w:tblLayout w:type="fixed"/>
        <w:tblCellMar>
          <w:top w:w="0" w:type="dxa"/>
          <w:left w:w="108" w:type="dxa"/>
          <w:bottom w:w="0" w:type="dxa"/>
          <w:right w:w="108" w:type="dxa"/>
        </w:tblCellMar>
      </w:tblPr>
      <w:tblGrid>
        <w:gridCol w:w="427"/>
        <w:gridCol w:w="9"/>
        <w:gridCol w:w="107"/>
        <w:gridCol w:w="1172"/>
        <w:gridCol w:w="107"/>
        <w:gridCol w:w="6562"/>
        <w:gridCol w:w="108"/>
        <w:gridCol w:w="601"/>
        <w:gridCol w:w="331"/>
        <w:gridCol w:w="376"/>
      </w:tblGrid>
      <w:tr>
        <w:tblPrEx>
          <w:tblLayout w:type="fixed"/>
          <w:tblCellMar>
            <w:top w:w="0" w:type="dxa"/>
            <w:left w:w="108" w:type="dxa"/>
            <w:bottom w:w="0" w:type="dxa"/>
            <w:right w:w="108" w:type="dxa"/>
          </w:tblCellMar>
        </w:tblPrEx>
        <w:trPr>
          <w:trHeight w:val="373" w:hRule="atLeast"/>
        </w:trPr>
        <w:tc>
          <w:tcPr>
            <w:tcW w:w="9800" w:type="dxa"/>
            <w:gridSpan w:val="10"/>
            <w:tcBorders>
              <w:top w:val="nil"/>
              <w:left w:val="nil"/>
              <w:bottom w:val="single" w:color="auto" w:sz="4" w:space="0"/>
              <w:right w:val="nil"/>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（一）中心网络系统</w:t>
            </w:r>
          </w:p>
        </w:tc>
      </w:tr>
      <w:tr>
        <w:tblPrEx>
          <w:tblLayout w:type="fixed"/>
          <w:tblCellMar>
            <w:top w:w="0" w:type="dxa"/>
            <w:left w:w="108" w:type="dxa"/>
            <w:bottom w:w="0" w:type="dxa"/>
            <w:right w:w="108" w:type="dxa"/>
          </w:tblCellMar>
        </w:tblPrEx>
        <w:trPr>
          <w:trHeight w:val="42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序号</w:t>
            </w:r>
          </w:p>
        </w:tc>
        <w:tc>
          <w:tcPr>
            <w:tcW w:w="12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名 称</w:t>
            </w:r>
          </w:p>
        </w:tc>
        <w:tc>
          <w:tcPr>
            <w:tcW w:w="66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技 术 参 数</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单位</w:t>
            </w:r>
          </w:p>
        </w:tc>
        <w:tc>
          <w:tcPr>
            <w:tcW w:w="7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数量</w:t>
            </w:r>
          </w:p>
        </w:tc>
      </w:tr>
      <w:tr>
        <w:tblPrEx>
          <w:tblLayout w:type="fixed"/>
          <w:tblCellMar>
            <w:top w:w="0" w:type="dxa"/>
            <w:left w:w="108" w:type="dxa"/>
            <w:bottom w:w="0" w:type="dxa"/>
            <w:right w:w="108" w:type="dxa"/>
          </w:tblCellMar>
        </w:tblPrEx>
        <w:trPr>
          <w:trHeight w:val="645"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color w:val="000000"/>
                <w:sz w:val="20"/>
                <w:szCs w:val="20"/>
                <w:highlight w:val="none"/>
              </w:rPr>
              <w:t>1</w:t>
            </w:r>
          </w:p>
        </w:tc>
        <w:tc>
          <w:tcPr>
            <w:tcW w:w="1288"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olor w:val="000000"/>
                <w:sz w:val="20"/>
                <w:szCs w:val="20"/>
                <w:highlight w:val="none"/>
              </w:rPr>
              <w:t>台式一体机</w:t>
            </w:r>
          </w:p>
        </w:tc>
        <w:tc>
          <w:tcPr>
            <w:tcW w:w="6669"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highlight w:val="none"/>
              </w:rPr>
            </w:pPr>
            <w:r>
              <w:rPr>
                <w:rFonts w:hint="eastAsia" w:ascii="仿宋" w:hAnsi="仿宋" w:eastAsia="仿宋" w:cs="宋体"/>
                <w:color w:val="000000"/>
                <w:kern w:val="0"/>
                <w:highlight w:val="none"/>
              </w:rPr>
              <w:t>网卡  802.11ac无线网卡</w:t>
            </w:r>
          </w:p>
          <w:p>
            <w:pPr>
              <w:rPr>
                <w:rFonts w:ascii="仿宋" w:hAnsi="仿宋" w:eastAsia="仿宋" w:cs="宋体"/>
                <w:color w:val="000000"/>
                <w:kern w:val="0"/>
                <w:highlight w:val="none"/>
              </w:rPr>
            </w:pPr>
            <w:r>
              <w:rPr>
                <w:rFonts w:ascii="仿宋" w:hAnsi="仿宋" w:eastAsia="仿宋" w:cs="宋体"/>
                <w:color w:val="000000"/>
                <w:kern w:val="0"/>
                <w:highlight w:val="none"/>
              </w:rPr>
              <w:t>CPU</w:t>
            </w:r>
            <w:r>
              <w:rPr>
                <w:rFonts w:hint="eastAsia" w:ascii="仿宋" w:hAnsi="仿宋" w:eastAsia="仿宋" w:cs="宋体"/>
                <w:color w:val="000000"/>
                <w:kern w:val="0"/>
                <w:highlight w:val="none"/>
              </w:rPr>
              <w:t xml:space="preserve">类型 </w:t>
            </w:r>
            <w:r>
              <w:rPr>
                <w:rFonts w:ascii="仿宋" w:hAnsi="仿宋" w:eastAsia="仿宋" w:cs="宋体"/>
                <w:color w:val="000000"/>
                <w:kern w:val="0"/>
                <w:highlight w:val="none"/>
              </w:rPr>
              <w:t>Intel</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核心数</w:t>
            </w:r>
            <w:r>
              <w:rPr>
                <w:rFonts w:ascii="仿宋" w:hAnsi="仿宋" w:eastAsia="仿宋" w:cs="宋体"/>
                <w:color w:val="000000"/>
                <w:kern w:val="0"/>
                <w:highlight w:val="none"/>
              </w:rPr>
              <w:t>≥6</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CPU型号 </w:t>
            </w:r>
            <w:r>
              <w:rPr>
                <w:rFonts w:ascii="仿宋" w:hAnsi="仿宋" w:eastAsia="仿宋" w:cs="宋体"/>
                <w:color w:val="000000"/>
                <w:kern w:val="0"/>
                <w:highlight w:val="none"/>
              </w:rPr>
              <w:t xml:space="preserve"> I5-8400T</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速度 </w:t>
            </w:r>
            <w:r>
              <w:rPr>
                <w:rFonts w:ascii="仿宋" w:hAnsi="仿宋" w:eastAsia="仿宋" w:cs="宋体"/>
                <w:color w:val="000000"/>
                <w:kern w:val="0"/>
                <w:highlight w:val="none"/>
              </w:rPr>
              <w:t xml:space="preserve"> 1.7 GHz</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显卡类型 独立显卡</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显示芯片 R530 2G显卡</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显存容量 ≥</w:t>
            </w:r>
            <w:r>
              <w:rPr>
                <w:rFonts w:ascii="仿宋" w:hAnsi="仿宋" w:eastAsia="仿宋" w:cs="宋体"/>
                <w:color w:val="000000"/>
                <w:kern w:val="0"/>
                <w:highlight w:val="none"/>
              </w:rPr>
              <w:t>2GB</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内存容量 ≥</w:t>
            </w:r>
            <w:r>
              <w:rPr>
                <w:rFonts w:ascii="仿宋" w:hAnsi="仿宋" w:eastAsia="仿宋" w:cs="宋体"/>
                <w:color w:val="000000"/>
                <w:kern w:val="0"/>
                <w:highlight w:val="none"/>
              </w:rPr>
              <w:t>8G +16G Optane</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速度 </w:t>
            </w:r>
            <w:r>
              <w:rPr>
                <w:rFonts w:ascii="仿宋" w:hAnsi="仿宋" w:eastAsia="仿宋" w:cs="宋体"/>
                <w:color w:val="000000"/>
                <w:kern w:val="0"/>
                <w:highlight w:val="none"/>
              </w:rPr>
              <w:t xml:space="preserve"> DDR4</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硬盘容量 ≥1T  </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类型 机械硬盘</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转速 7200转</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光驱 无光驱</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显示器尺寸 ≥23.8英寸</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宽屏 是</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分辨率 </w:t>
            </w:r>
            <w:r>
              <w:rPr>
                <w:rFonts w:ascii="仿宋" w:hAnsi="仿宋" w:eastAsia="仿宋" w:cs="宋体"/>
                <w:color w:val="000000"/>
                <w:kern w:val="0"/>
                <w:highlight w:val="none"/>
              </w:rPr>
              <w:t xml:space="preserve"> 1920x1080</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输入设备 有线鼠标</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键盘 有线键盘</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前(侧)面接口</w:t>
            </w:r>
            <w:r>
              <w:rPr>
                <w:rFonts w:ascii="仿宋" w:hAnsi="仿宋" w:eastAsia="仿宋" w:cs="宋体"/>
                <w:color w:val="000000"/>
                <w:kern w:val="0"/>
                <w:highlight w:val="none"/>
              </w:rPr>
              <w:t>USB至少1 *USB3.0</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读卡器 有</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后面接口 视频接口</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HDMI- in 、HDMI- out</w:t>
            </w:r>
          </w:p>
          <w:p>
            <w:pPr>
              <w:rPr>
                <w:rFonts w:ascii="仿宋" w:hAnsi="仿宋" w:eastAsia="仿宋" w:cs="宋体"/>
                <w:color w:val="000000"/>
                <w:kern w:val="0"/>
                <w:highlight w:val="none"/>
              </w:rPr>
            </w:pPr>
            <w:r>
              <w:rPr>
                <w:rFonts w:ascii="仿宋" w:hAnsi="仿宋" w:eastAsia="仿宋" w:cs="宋体"/>
                <w:color w:val="000000"/>
                <w:kern w:val="0"/>
                <w:highlight w:val="none"/>
              </w:rPr>
              <w:t>USB至少3 *USB2.0+ 1*USB3.0</w:t>
            </w:r>
          </w:p>
          <w:p>
            <w:pPr>
              <w:rPr>
                <w:rFonts w:ascii="仿宋" w:hAnsi="仿宋" w:eastAsia="仿宋" w:cs="宋体"/>
                <w:color w:val="000000"/>
                <w:kern w:val="0"/>
                <w:highlight w:val="none"/>
              </w:rPr>
            </w:pPr>
            <w:r>
              <w:rPr>
                <w:rFonts w:ascii="仿宋" w:hAnsi="仿宋" w:eastAsia="仿宋" w:cs="宋体"/>
                <w:color w:val="000000"/>
                <w:kern w:val="0"/>
                <w:highlight w:val="none"/>
              </w:rPr>
              <w:t>RJ45 10/100/1000 LAN</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台</w:t>
            </w:r>
          </w:p>
        </w:tc>
        <w:tc>
          <w:tcPr>
            <w:tcW w:w="707"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highlight w:val="none"/>
              </w:rPr>
            </w:pPr>
            <w:r>
              <w:rPr>
                <w:rFonts w:hint="eastAsia" w:ascii="宋体" w:hAnsi="宋体"/>
                <w:color w:val="000000"/>
                <w:sz w:val="20"/>
                <w:szCs w:val="20"/>
                <w:highlight w:val="none"/>
              </w:rPr>
              <w:t>5</w:t>
            </w:r>
          </w:p>
        </w:tc>
      </w:tr>
      <w:tr>
        <w:tblPrEx>
          <w:tblLayout w:type="fixed"/>
          <w:tblCellMar>
            <w:top w:w="0" w:type="dxa"/>
            <w:left w:w="108" w:type="dxa"/>
            <w:bottom w:w="0" w:type="dxa"/>
            <w:right w:w="108" w:type="dxa"/>
          </w:tblCellMar>
        </w:tblPrEx>
        <w:trPr>
          <w:trHeight w:val="645"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color w:val="000000"/>
                <w:sz w:val="20"/>
                <w:szCs w:val="20"/>
                <w:highlight w:val="none"/>
              </w:rPr>
              <w:t>2</w:t>
            </w:r>
          </w:p>
        </w:tc>
        <w:tc>
          <w:tcPr>
            <w:tcW w:w="1288"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olor w:val="000000"/>
                <w:sz w:val="20"/>
                <w:szCs w:val="20"/>
                <w:highlight w:val="none"/>
              </w:rPr>
              <w:t>打印机</w:t>
            </w:r>
          </w:p>
        </w:tc>
        <w:tc>
          <w:tcPr>
            <w:tcW w:w="6669"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highlight w:val="none"/>
              </w:rPr>
            </w:pPr>
            <w:r>
              <w:rPr>
                <w:rFonts w:hint="eastAsia" w:ascii="仿宋" w:hAnsi="仿宋" w:eastAsia="仿宋" w:cs="宋体"/>
                <w:color w:val="000000"/>
                <w:kern w:val="0"/>
                <w:highlight w:val="none"/>
              </w:rPr>
              <w:t>最高分辨率</w:t>
            </w:r>
            <w:r>
              <w:rPr>
                <w:rFonts w:ascii="仿宋" w:hAnsi="仿宋" w:eastAsia="仿宋" w:cs="宋体"/>
                <w:color w:val="000000"/>
                <w:kern w:val="0"/>
                <w:highlight w:val="none"/>
              </w:rPr>
              <w:t>:</w:t>
            </w:r>
            <w:r>
              <w:rPr>
                <w:rFonts w:hint="eastAsia" w:ascii="仿宋" w:hAnsi="仿宋" w:eastAsia="仿宋" w:cs="宋体"/>
                <w:color w:val="000000"/>
                <w:kern w:val="0"/>
                <w:highlight w:val="none"/>
              </w:rPr>
              <w:t>高达600x600x2dpi(有效输出精度为1200dpi)；HP FastRes 600、HPFastRes 1200</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打印速度</w:t>
            </w:r>
            <w:r>
              <w:rPr>
                <w:rFonts w:ascii="仿宋" w:hAnsi="仿宋" w:eastAsia="仿宋" w:cs="宋体"/>
                <w:color w:val="000000"/>
                <w:kern w:val="0"/>
                <w:highlight w:val="none"/>
              </w:rPr>
              <w:t>:≥</w:t>
            </w:r>
            <w:r>
              <w:rPr>
                <w:rFonts w:hint="eastAsia" w:ascii="仿宋" w:hAnsi="仿宋" w:eastAsia="仿宋" w:cs="宋体"/>
                <w:color w:val="000000"/>
                <w:kern w:val="0"/>
                <w:highlight w:val="none"/>
              </w:rPr>
              <w:t>18页/分钟(A4)实际速度依系统配置、软件应用程序、驱动程序和文档复杂性的不同而有所差异。</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月打印负荷:最高5000页（A4纸）打印负荷是指每月图像输出的最多页数。</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首页出纸时间:黑白：</w:t>
            </w:r>
            <w:r>
              <w:rPr>
                <w:rFonts w:ascii="仿宋" w:hAnsi="仿宋" w:eastAsia="仿宋" w:cs="宋体"/>
                <w:color w:val="000000"/>
                <w:kern w:val="0"/>
                <w:highlight w:val="none"/>
              </w:rPr>
              <w:t>≤</w:t>
            </w:r>
            <w:r>
              <w:rPr>
                <w:rFonts w:hint="eastAsia" w:ascii="仿宋" w:hAnsi="仿宋" w:eastAsia="仿宋" w:cs="宋体"/>
                <w:color w:val="000000"/>
                <w:kern w:val="0"/>
                <w:highlight w:val="none"/>
              </w:rPr>
              <w:t>8.5秒</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内存:</w:t>
            </w:r>
            <w:r>
              <w:rPr>
                <w:rFonts w:ascii="仿宋" w:hAnsi="仿宋" w:eastAsia="仿宋" w:cs="宋体"/>
                <w:color w:val="000000"/>
                <w:kern w:val="0"/>
                <w:highlight w:val="none"/>
              </w:rPr>
              <w:t>≥2MB</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兼容系统:</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Microsoft Windows 7(32-bit/64-bit)、Windows Vista(32-bit/64-bit)、Windows XP(32-bit/64-bit)、Windows Server 2008(32-bit/64-bit)、Windows Server 2003(32-bit/64-bit)、Mac OS X v10.4、v10.5、v10.6、Linux</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接口:高速USB 2.0端口</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支持纸张尺寸:进纸盒：150页进纸盒 出纸盒：100页面向下纸盒 150页进纸盒：147x211至216x356毫米 打印介质类型：纸张(激光打印纸、普通纸、糙纸、牛皮纸)、信封、标签、卡片、透明胶片、明信片</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电源:220至240伏交流电(+/–10%)，50赫兹(+/–2赫兹)，6.0安培</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特征:双面打印：手动操作(提供驱动程序支持)</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台</w:t>
            </w:r>
          </w:p>
        </w:tc>
        <w:tc>
          <w:tcPr>
            <w:tcW w:w="707"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highlight w:val="none"/>
              </w:rPr>
            </w:pPr>
            <w:r>
              <w:rPr>
                <w:rFonts w:hint="eastAsia" w:ascii="宋体" w:hAnsi="宋体"/>
                <w:color w:val="000000"/>
                <w:sz w:val="20"/>
                <w:szCs w:val="20"/>
                <w:highlight w:val="none"/>
              </w:rPr>
              <w:t>7</w:t>
            </w:r>
          </w:p>
        </w:tc>
      </w:tr>
      <w:tr>
        <w:tblPrEx>
          <w:tblLayout w:type="fixed"/>
          <w:tblCellMar>
            <w:top w:w="0" w:type="dxa"/>
            <w:left w:w="108" w:type="dxa"/>
            <w:bottom w:w="0" w:type="dxa"/>
            <w:right w:w="108" w:type="dxa"/>
          </w:tblCellMar>
        </w:tblPrEx>
        <w:trPr>
          <w:trHeight w:val="645"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color w:val="000000"/>
                <w:sz w:val="20"/>
                <w:szCs w:val="20"/>
                <w:highlight w:val="none"/>
              </w:rPr>
              <w:t>3</w:t>
            </w:r>
          </w:p>
        </w:tc>
        <w:tc>
          <w:tcPr>
            <w:tcW w:w="1288"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olor w:val="000000"/>
                <w:sz w:val="20"/>
                <w:szCs w:val="20"/>
                <w:highlight w:val="none"/>
              </w:rPr>
              <w:t>笔记本电脑</w:t>
            </w:r>
          </w:p>
        </w:tc>
        <w:tc>
          <w:tcPr>
            <w:tcW w:w="6669"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highlight w:val="none"/>
              </w:rPr>
            </w:pPr>
            <w:r>
              <w:rPr>
                <w:rFonts w:hint="eastAsia" w:ascii="仿宋" w:hAnsi="仿宋" w:eastAsia="仿宋" w:cs="宋体"/>
                <w:color w:val="000000"/>
                <w:kern w:val="0"/>
                <w:highlight w:val="none"/>
              </w:rPr>
              <w:t>操作系统:</w:t>
            </w:r>
            <w:r>
              <w:rPr>
                <w:rFonts w:ascii="仿宋" w:hAnsi="仿宋" w:eastAsia="仿宋" w:cs="宋体"/>
                <w:color w:val="000000"/>
                <w:kern w:val="0"/>
                <w:highlight w:val="none"/>
              </w:rPr>
              <w:t>Windows 10</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CPU类型:第七代智能英特尔酷睿i5处理器</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硬盘容量:</w:t>
            </w:r>
            <w:r>
              <w:rPr>
                <w:rFonts w:ascii="仿宋" w:hAnsi="仿宋" w:eastAsia="仿宋" w:cs="宋体"/>
                <w:color w:val="000000"/>
                <w:kern w:val="0"/>
                <w:highlight w:val="none"/>
              </w:rPr>
              <w:t>≥500GB</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转速:5400转/分钟</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接口类型:SATA 串行</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固态硬盘:其它</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显卡类型:独立显卡</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双显卡:支持</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光驱类型:无光驱</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显示器屏幕规格:</w:t>
            </w:r>
            <w:r>
              <w:rPr>
                <w:rFonts w:ascii="仿宋" w:hAnsi="仿宋" w:eastAsia="仿宋" w:cs="宋体"/>
                <w:color w:val="000000"/>
                <w:kern w:val="0"/>
                <w:highlight w:val="none"/>
              </w:rPr>
              <w:t>≥1</w:t>
            </w:r>
            <w:r>
              <w:rPr>
                <w:rFonts w:hint="eastAsia" w:ascii="仿宋" w:hAnsi="仿宋" w:eastAsia="仿宋" w:cs="宋体"/>
                <w:color w:val="000000"/>
                <w:kern w:val="0"/>
                <w:highlight w:val="none"/>
              </w:rPr>
              <w:t>5.6英寸</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显示比例:宽屏16：9</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物理分辨率:</w:t>
            </w:r>
            <w:r>
              <w:rPr>
                <w:rFonts w:ascii="仿宋" w:hAnsi="仿宋" w:eastAsia="仿宋" w:cs="宋体"/>
                <w:color w:val="000000"/>
                <w:kern w:val="0"/>
                <w:highlight w:val="none"/>
              </w:rPr>
              <w:t>1920×1080</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屏幕类型:LED背光</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局域网:</w:t>
            </w:r>
            <w:r>
              <w:rPr>
                <w:rFonts w:ascii="仿宋" w:hAnsi="仿宋" w:eastAsia="仿宋" w:cs="宋体"/>
                <w:color w:val="000000"/>
                <w:kern w:val="0"/>
                <w:highlight w:val="none"/>
              </w:rPr>
              <w:t>10/100/1000Mbps</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无线局域网:有</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音频端口:耳机、麦克风二合一接口</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扬声器:内置扬声器</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内置麦克风:有</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键盘:巧克力键盘</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触摸板:有</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网络摄像头:有</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电池:内置锂离子电池</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续航时间:2-5小时</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电源适配器:100-240V自适应交流电源适配器</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净重:</w:t>
            </w:r>
            <w:r>
              <w:rPr>
                <w:rFonts w:ascii="仿宋" w:hAnsi="仿宋" w:eastAsia="仿宋" w:cs="宋体"/>
                <w:color w:val="000000"/>
                <w:kern w:val="0"/>
                <w:highlight w:val="none"/>
              </w:rPr>
              <w:t>2-2.5kg</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台</w:t>
            </w:r>
          </w:p>
        </w:tc>
        <w:tc>
          <w:tcPr>
            <w:tcW w:w="707"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highlight w:val="none"/>
              </w:rPr>
            </w:pPr>
            <w:r>
              <w:rPr>
                <w:rFonts w:hint="eastAsia" w:ascii="宋体" w:hAnsi="宋体"/>
                <w:color w:val="000000"/>
                <w:sz w:val="20"/>
                <w:szCs w:val="20"/>
                <w:highlight w:val="none"/>
              </w:rPr>
              <w:t>15</w:t>
            </w:r>
          </w:p>
        </w:tc>
      </w:tr>
      <w:tr>
        <w:tblPrEx>
          <w:tblLayout w:type="fixed"/>
          <w:tblCellMar>
            <w:top w:w="0" w:type="dxa"/>
            <w:left w:w="108" w:type="dxa"/>
            <w:bottom w:w="0" w:type="dxa"/>
            <w:right w:w="108" w:type="dxa"/>
          </w:tblCellMar>
        </w:tblPrEx>
        <w:trPr>
          <w:trHeight w:val="645"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color w:val="000000"/>
                <w:sz w:val="20"/>
                <w:szCs w:val="20"/>
                <w:highlight w:val="none"/>
              </w:rPr>
              <w:t>4</w:t>
            </w:r>
          </w:p>
        </w:tc>
        <w:tc>
          <w:tcPr>
            <w:tcW w:w="1288"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室内增强型AP</w:t>
            </w:r>
          </w:p>
        </w:tc>
        <w:tc>
          <w:tcPr>
            <w:tcW w:w="6669"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highlight w:val="none"/>
              </w:rPr>
            </w:pPr>
            <w:r>
              <w:rPr>
                <w:rFonts w:hint="eastAsia" w:ascii="仿宋" w:hAnsi="仿宋" w:eastAsia="仿宋" w:cs="宋体"/>
                <w:color w:val="000000"/>
                <w:kern w:val="0"/>
                <w:highlight w:val="none"/>
              </w:rPr>
              <w:t>室内信号增强型单频无线接入点，采用内置天线，整机最大接入速率300Mbps，工作在802.11b/g/n模式，支持胖瘦模式切换，支持RG-RAC或MACC统一管理，支持PoE供电和本地供电</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台</w:t>
            </w:r>
          </w:p>
        </w:tc>
        <w:tc>
          <w:tcPr>
            <w:tcW w:w="707"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ascii="仿宋" w:hAnsi="仿宋" w:eastAsia="仿宋" w:cs="宋体"/>
                <w:color w:val="000000"/>
                <w:kern w:val="0"/>
                <w:highlight w:val="none"/>
              </w:rPr>
              <w:t>6</w:t>
            </w:r>
          </w:p>
        </w:tc>
      </w:tr>
      <w:tr>
        <w:tblPrEx>
          <w:tblLayout w:type="fixed"/>
          <w:tblCellMar>
            <w:top w:w="0" w:type="dxa"/>
            <w:left w:w="108" w:type="dxa"/>
            <w:bottom w:w="0" w:type="dxa"/>
            <w:right w:w="108" w:type="dxa"/>
          </w:tblCellMar>
        </w:tblPrEx>
        <w:trPr>
          <w:trHeight w:val="346"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color w:val="000000"/>
                <w:sz w:val="20"/>
                <w:szCs w:val="20"/>
                <w:highlight w:val="none"/>
              </w:rPr>
              <w:t>5</w:t>
            </w:r>
          </w:p>
        </w:tc>
        <w:tc>
          <w:tcPr>
            <w:tcW w:w="1288"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AC管理器</w:t>
            </w:r>
          </w:p>
        </w:tc>
        <w:tc>
          <w:tcPr>
            <w:tcW w:w="6669"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highlight w:val="none"/>
              </w:rPr>
            </w:pPr>
            <w:r>
              <w:rPr>
                <w:rFonts w:ascii="仿宋" w:hAnsi="仿宋" w:eastAsia="仿宋" w:cs="宋体"/>
                <w:color w:val="000000"/>
                <w:kern w:val="0"/>
                <w:highlight w:val="none"/>
              </w:rPr>
              <w:t>至少4</w:t>
            </w:r>
            <w:r>
              <w:rPr>
                <w:rFonts w:hint="eastAsia" w:ascii="仿宋" w:hAnsi="仿宋" w:eastAsia="仿宋" w:cs="宋体"/>
                <w:color w:val="000000"/>
                <w:kern w:val="0"/>
                <w:highlight w:val="none"/>
              </w:rPr>
              <w:t>个10/100/1000M自适应电口，4Gbps无线转发性能，默认管理32个最大管理64个RAP系列AP，（仅支持RAP面板AP翻倍管理），支持二三无缝漫游</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台</w:t>
            </w:r>
          </w:p>
        </w:tc>
        <w:tc>
          <w:tcPr>
            <w:tcW w:w="707"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1</w:t>
            </w:r>
          </w:p>
        </w:tc>
      </w:tr>
      <w:tr>
        <w:tblPrEx>
          <w:tblLayout w:type="fixed"/>
          <w:tblCellMar>
            <w:top w:w="0" w:type="dxa"/>
            <w:left w:w="108" w:type="dxa"/>
            <w:bottom w:w="0" w:type="dxa"/>
            <w:right w:w="108" w:type="dxa"/>
          </w:tblCellMar>
        </w:tblPrEx>
        <w:trPr>
          <w:trHeight w:val="645"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color w:val="000000"/>
                <w:sz w:val="20"/>
                <w:szCs w:val="20"/>
                <w:highlight w:val="none"/>
              </w:rPr>
              <w:t>6</w:t>
            </w:r>
          </w:p>
        </w:tc>
        <w:tc>
          <w:tcPr>
            <w:tcW w:w="1288"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核心交换机</w:t>
            </w:r>
          </w:p>
        </w:tc>
        <w:tc>
          <w:tcPr>
            <w:tcW w:w="6669"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highlight w:val="none"/>
              </w:rPr>
            </w:pPr>
            <w:r>
              <w:rPr>
                <w:rFonts w:hint="eastAsia" w:ascii="仿宋" w:hAnsi="仿宋" w:eastAsia="仿宋" w:cs="宋体"/>
                <w:color w:val="000000"/>
                <w:kern w:val="0"/>
                <w:highlight w:val="none"/>
              </w:rPr>
              <w:t>固化10/100/1000Mbps电口≥24个，固化10G SFP+端口≥4个，并提供官网链接及截图，加盖制造商公章；</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交换容量≥256Gbps；</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包转发率≥96Mpps，并提供官网链接及截图，加盖制造商公章；</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支持IPv4静态路由；</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支持STP、RSTP、MSTP；</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支持链路聚合； </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支持标准的ACL、支持扩展的ACL、支持基于时间的ACL；</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支持DHCP Snooping；</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支持防ARP欺骗；</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支持IEEE 802.3az 标准的 EEE节能技术；</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支持虚拟化功能 （非堆叠技术实现）：支持多虚一</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支持CPU安全保护策略 ，可实现ARP、DHCP、ICMP、IP扫描、ND等各种攻击的自动防御；</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支持广播风暴抑制；</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支持环路检测与抑制；</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工作温度范围-0</w:t>
            </w:r>
            <w:r>
              <w:rPr>
                <w:rFonts w:ascii="Calibri" w:hAnsi="Calibri" w:eastAsia="仿宋" w:cs="Calibri"/>
                <w:color w:val="000000"/>
                <w:kern w:val="0"/>
                <w:highlight w:val="none"/>
              </w:rPr>
              <w:t>º</w:t>
            </w:r>
            <w:r>
              <w:rPr>
                <w:rFonts w:hint="eastAsia" w:ascii="仿宋" w:hAnsi="仿宋" w:eastAsia="仿宋" w:cs="宋体"/>
                <w:color w:val="000000"/>
                <w:kern w:val="0"/>
                <w:highlight w:val="none"/>
              </w:rPr>
              <w:t>C ~ 50</w:t>
            </w:r>
            <w:r>
              <w:rPr>
                <w:rFonts w:ascii="Calibri" w:hAnsi="Calibri" w:eastAsia="仿宋" w:cs="Calibri"/>
                <w:color w:val="000000"/>
                <w:kern w:val="0"/>
                <w:highlight w:val="none"/>
              </w:rPr>
              <w:t>º</w:t>
            </w:r>
            <w:r>
              <w:rPr>
                <w:rFonts w:hint="eastAsia" w:ascii="仿宋" w:hAnsi="仿宋" w:eastAsia="仿宋" w:cs="宋体"/>
                <w:color w:val="000000"/>
                <w:kern w:val="0"/>
                <w:highlight w:val="none"/>
              </w:rPr>
              <w:t>C，提供官网截图并加盖公章；</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支持云管理功能，方便随时随地进行设备运维，提供所投平台软件产品登记测试报告并加盖制造商公章；</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提供工信部进网许可证复印件，加盖制造商公章；</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台</w:t>
            </w:r>
          </w:p>
        </w:tc>
        <w:tc>
          <w:tcPr>
            <w:tcW w:w="707"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1</w:t>
            </w:r>
          </w:p>
        </w:tc>
      </w:tr>
      <w:tr>
        <w:tblPrEx>
          <w:tblLayout w:type="fixed"/>
          <w:tblCellMar>
            <w:top w:w="0" w:type="dxa"/>
            <w:left w:w="108" w:type="dxa"/>
            <w:bottom w:w="0" w:type="dxa"/>
            <w:right w:w="108" w:type="dxa"/>
          </w:tblCellMar>
        </w:tblPrEx>
        <w:trPr>
          <w:trHeight w:val="645"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color w:val="000000"/>
                <w:sz w:val="20"/>
                <w:szCs w:val="20"/>
                <w:highlight w:val="none"/>
              </w:rPr>
              <w:t>7</w:t>
            </w:r>
          </w:p>
        </w:tc>
        <w:tc>
          <w:tcPr>
            <w:tcW w:w="1288"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P</w:t>
            </w:r>
            <w:r>
              <w:rPr>
                <w:rFonts w:ascii="仿宋" w:hAnsi="仿宋" w:eastAsia="仿宋" w:cs="宋体"/>
                <w:color w:val="000000"/>
                <w:kern w:val="0"/>
                <w:highlight w:val="none"/>
              </w:rPr>
              <w:t>OE</w:t>
            </w:r>
            <w:r>
              <w:rPr>
                <w:rFonts w:hint="eastAsia" w:ascii="仿宋" w:hAnsi="仿宋" w:eastAsia="仿宋" w:cs="宋体"/>
                <w:color w:val="000000"/>
                <w:kern w:val="0"/>
                <w:highlight w:val="none"/>
              </w:rPr>
              <w:t>交换机</w:t>
            </w:r>
          </w:p>
        </w:tc>
        <w:tc>
          <w:tcPr>
            <w:tcW w:w="6669"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highlight w:val="none"/>
              </w:rPr>
            </w:pPr>
            <w:r>
              <w:rPr>
                <w:rFonts w:hint="eastAsia" w:ascii="仿宋" w:hAnsi="仿宋" w:eastAsia="仿宋" w:cs="宋体"/>
                <w:color w:val="000000"/>
                <w:kern w:val="0"/>
                <w:highlight w:val="none"/>
              </w:rPr>
              <w:t>★实配固化10/100M以太网端口≥24个（其中24口支持PoE及PoE+供电，PoE功率≥370W），SFP千兆光接口≥2个，千兆电接口≥2个</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★交换容量≥64Gbps，转发性能≥9.6Mpps，防雷端口浪涌≥8KV，产品工作温度可适应最低温≤-5℃，且最高温≥55°C </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★可快速检测链路的通断和光纤链路的单向性，并支持端口下的环路检测功能，防止端口下因私接Hub等设备形成的环路而导致网络故障，保留测试权力</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★整机功率≤424W（含POE功率）</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★支持公有云平台的集中管理，能够实现拓扑呈现，链路状态呈现，远程配置等</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台</w:t>
            </w:r>
          </w:p>
        </w:tc>
        <w:tc>
          <w:tcPr>
            <w:tcW w:w="707"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ascii="仿宋" w:hAnsi="仿宋" w:eastAsia="仿宋" w:cs="宋体"/>
                <w:color w:val="000000"/>
                <w:kern w:val="0"/>
                <w:highlight w:val="none"/>
              </w:rPr>
              <w:t>1</w:t>
            </w:r>
          </w:p>
        </w:tc>
      </w:tr>
      <w:tr>
        <w:tblPrEx>
          <w:tblLayout w:type="fixed"/>
          <w:tblCellMar>
            <w:top w:w="0" w:type="dxa"/>
            <w:left w:w="108" w:type="dxa"/>
            <w:bottom w:w="0" w:type="dxa"/>
            <w:right w:w="108" w:type="dxa"/>
          </w:tblCellMar>
        </w:tblPrEx>
        <w:trPr>
          <w:trHeight w:val="645"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color w:val="000000"/>
                <w:sz w:val="20"/>
                <w:szCs w:val="20"/>
                <w:highlight w:val="none"/>
              </w:rPr>
              <w:t>8</w:t>
            </w:r>
          </w:p>
        </w:tc>
        <w:tc>
          <w:tcPr>
            <w:tcW w:w="1288"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汇聚交换机</w:t>
            </w:r>
          </w:p>
        </w:tc>
        <w:tc>
          <w:tcPr>
            <w:tcW w:w="6669"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highlight w:val="none"/>
              </w:rPr>
            </w:pPr>
            <w:r>
              <w:rPr>
                <w:rFonts w:hint="eastAsia" w:ascii="仿宋" w:hAnsi="仿宋" w:eastAsia="仿宋" w:cs="宋体"/>
                <w:color w:val="000000"/>
                <w:kern w:val="0"/>
                <w:highlight w:val="none"/>
              </w:rPr>
              <w:t>24个10/100/1000M自适应RJ45端口</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所有端口均具备线速转发能力</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支持端口自动翻转（Auto MDI/MDIX）功能</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提供标准交换、VLAN隔离和网络克隆三种工作模式，适应不同网络环境</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支持通过拨动开关切换交换机工作模式</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台</w:t>
            </w:r>
          </w:p>
        </w:tc>
        <w:tc>
          <w:tcPr>
            <w:tcW w:w="707"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ascii="仿宋" w:hAnsi="仿宋" w:eastAsia="仿宋" w:cs="宋体"/>
                <w:color w:val="000000"/>
                <w:kern w:val="0"/>
                <w:highlight w:val="none"/>
              </w:rPr>
              <w:t>4</w:t>
            </w:r>
          </w:p>
        </w:tc>
      </w:tr>
      <w:tr>
        <w:tblPrEx>
          <w:tblLayout w:type="fixed"/>
          <w:tblCellMar>
            <w:top w:w="0" w:type="dxa"/>
            <w:left w:w="108" w:type="dxa"/>
            <w:bottom w:w="0" w:type="dxa"/>
            <w:right w:w="108" w:type="dxa"/>
          </w:tblCellMar>
        </w:tblPrEx>
        <w:trPr>
          <w:trHeight w:val="720" w:hRule="atLeast"/>
        </w:trPr>
        <w:tc>
          <w:tcPr>
            <w:tcW w:w="9800" w:type="dxa"/>
            <w:gridSpan w:val="10"/>
            <w:tcBorders>
              <w:top w:val="nil"/>
              <w:left w:val="nil"/>
              <w:bottom w:val="nil"/>
              <w:right w:val="nil"/>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（二）中心监控系统</w:t>
            </w:r>
          </w:p>
        </w:tc>
      </w:tr>
      <w:tr>
        <w:tblPrEx>
          <w:tblLayout w:type="fixed"/>
          <w:tblCellMar>
            <w:top w:w="0" w:type="dxa"/>
            <w:left w:w="108" w:type="dxa"/>
            <w:bottom w:w="0" w:type="dxa"/>
            <w:right w:w="108" w:type="dxa"/>
          </w:tblCellMar>
        </w:tblPrEx>
        <w:trPr>
          <w:trHeight w:val="345"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序号</w:t>
            </w:r>
          </w:p>
        </w:tc>
        <w:tc>
          <w:tcPr>
            <w:tcW w:w="128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名 称</w:t>
            </w:r>
          </w:p>
        </w:tc>
        <w:tc>
          <w:tcPr>
            <w:tcW w:w="666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技 术 参 数</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单位</w:t>
            </w:r>
          </w:p>
        </w:tc>
        <w:tc>
          <w:tcPr>
            <w:tcW w:w="70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数量</w:t>
            </w:r>
          </w:p>
        </w:tc>
      </w:tr>
      <w:tr>
        <w:tblPrEx>
          <w:tblLayout w:type="fixed"/>
          <w:tblCellMar>
            <w:top w:w="0" w:type="dxa"/>
            <w:left w:w="108" w:type="dxa"/>
            <w:bottom w:w="0" w:type="dxa"/>
            <w:right w:w="108" w:type="dxa"/>
          </w:tblCellMar>
        </w:tblPrEx>
        <w:trPr>
          <w:trHeight w:val="42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1</w:t>
            </w:r>
          </w:p>
        </w:tc>
        <w:tc>
          <w:tcPr>
            <w:tcW w:w="1288"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云台摄像机</w:t>
            </w:r>
          </w:p>
        </w:tc>
        <w:tc>
          <w:tcPr>
            <w:tcW w:w="6669"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highlight w:val="none"/>
              </w:rPr>
            </w:pPr>
            <w:r>
              <w:rPr>
                <w:rFonts w:hint="eastAsia" w:ascii="仿宋" w:hAnsi="仿宋" w:eastAsia="仿宋" w:cs="宋体"/>
                <w:color w:val="000000"/>
                <w:kern w:val="0"/>
                <w:highlight w:val="none"/>
              </w:rPr>
              <w:t>200万1/2.8＂CMOS 超宽动态ICR日夜型半球型PTZ网络摄像机；</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支持温湿度显示屏接入</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图像：</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最小照度：彩色：0.005Lux @ (F1.6，AGC ON)；黑白：0.001Lux @ (F1.6，AGC ON)</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快门：1秒至1/30,000秒；支持慢快门</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镜头：2.8-12mm, 水平视场角105°~33°；</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宽动态范围 120dB；</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功能：</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视频压缩标准 H.265/H.264/MJPEG；</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主码流分辨率与帧率 </w:t>
            </w:r>
          </w:p>
          <w:p>
            <w:pPr>
              <w:rPr>
                <w:rFonts w:ascii="仿宋" w:hAnsi="仿宋" w:eastAsia="仿宋" w:cs="宋体"/>
                <w:color w:val="000000"/>
                <w:kern w:val="0"/>
                <w:highlight w:val="none"/>
              </w:rPr>
            </w:pPr>
            <w:r>
              <w:rPr>
                <w:rFonts w:ascii="仿宋" w:hAnsi="仿宋" w:eastAsia="仿宋" w:cs="宋体"/>
                <w:color w:val="000000"/>
                <w:kern w:val="0"/>
                <w:highlight w:val="none"/>
              </w:rPr>
              <w:t xml:space="preserve">50Hz: 25fps (1920×1080,1280×960,1280×720), 50fps (1280×960,1280×720) ; </w:t>
            </w:r>
          </w:p>
          <w:p>
            <w:pPr>
              <w:rPr>
                <w:rFonts w:ascii="仿宋" w:hAnsi="仿宋" w:eastAsia="仿宋" w:cs="宋体"/>
                <w:color w:val="000000"/>
                <w:kern w:val="0"/>
                <w:highlight w:val="none"/>
              </w:rPr>
            </w:pPr>
            <w:r>
              <w:rPr>
                <w:rFonts w:ascii="仿宋" w:hAnsi="仿宋" w:eastAsia="仿宋" w:cs="宋体"/>
                <w:color w:val="000000"/>
                <w:kern w:val="0"/>
                <w:highlight w:val="none"/>
              </w:rPr>
              <w:t>60Hz: 30fps (1920×1080,1280×960,1280×720), 60fps (1280×960,1280×720)</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第三码流分辨率与帧率 ：独立于主码流设置,最高支持:50Hz: 25fps(1920 × 1080)；60Hz: 30fps(1920 × 1080)；</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支持感兴趣区域ROI功能；</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存储功能：支持Micro SD（即为TF卡）/SDHC /SDXC卡(</w:t>
            </w:r>
            <w:r>
              <w:rPr>
                <w:rFonts w:ascii="仿宋" w:hAnsi="仿宋" w:eastAsia="仿宋" w:cs="宋体"/>
                <w:color w:val="000000"/>
                <w:kern w:val="0"/>
                <w:highlight w:val="none"/>
              </w:rPr>
              <w:t>≥</w:t>
            </w:r>
            <w:r>
              <w:rPr>
                <w:rFonts w:hint="eastAsia" w:ascii="仿宋" w:hAnsi="仿宋" w:eastAsia="仿宋" w:cs="宋体"/>
                <w:color w:val="000000"/>
                <w:kern w:val="0"/>
                <w:highlight w:val="none"/>
              </w:rPr>
              <w:t>256G)断网本地存储及断网续传,NAS(NFS,SMB/CIFS均支持)；</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智能功能：人脸侦测、区域入侵侦测、越界侦测、进入区域侦测、离开区域侦测、物品遗留侦测、物品拿取侦测、移动侦测、视频遮挡侦测</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水平及垂直范围：水平350°监控无死角；垂直0°-90°</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键控速度：水平0.1°-60°/s;垂直：0.1°-50°/s；速度可设</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协议：支持GB/T28181协议、支持E家协议、支持萤石云接入</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接口：</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支持一进一出音频</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支持一进一出报警</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支持HD-SDI:1080P@25fps/30fps，720P@50fps/60fps，1080I@50fps/60fps，1080P@50fps/60fps</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支持RS485控制接口</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工作温度和湿度：-10℃~50℃,湿度小于95%(无凝结)；</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电源供应： DC12V；</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功耗：9 MAX</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电源：电源需另配，电源适配器为圆头，1A适配器即可</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防护等级 IP66；</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防暴等级 IK10；</w:t>
            </w:r>
          </w:p>
        </w:tc>
        <w:tc>
          <w:tcPr>
            <w:tcW w:w="709"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台</w:t>
            </w:r>
          </w:p>
        </w:tc>
        <w:tc>
          <w:tcPr>
            <w:tcW w:w="707"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ascii="仿宋" w:hAnsi="仿宋" w:eastAsia="仿宋" w:cs="宋体"/>
                <w:color w:val="000000"/>
                <w:kern w:val="0"/>
                <w:highlight w:val="none"/>
              </w:rPr>
              <w:t>8</w:t>
            </w:r>
          </w:p>
        </w:tc>
      </w:tr>
      <w:tr>
        <w:tblPrEx>
          <w:tblLayout w:type="fixed"/>
          <w:tblCellMar>
            <w:top w:w="0" w:type="dxa"/>
            <w:left w:w="108" w:type="dxa"/>
            <w:bottom w:w="0" w:type="dxa"/>
            <w:right w:w="108" w:type="dxa"/>
          </w:tblCellMar>
        </w:tblPrEx>
        <w:trPr>
          <w:trHeight w:val="42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2</w:t>
            </w:r>
          </w:p>
        </w:tc>
        <w:tc>
          <w:tcPr>
            <w:tcW w:w="12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半球摄像机</w:t>
            </w:r>
          </w:p>
        </w:tc>
        <w:tc>
          <w:tcPr>
            <w:tcW w:w="6669"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kern w:val="0"/>
                <w:highlight w:val="none"/>
              </w:rPr>
            </w:pPr>
            <w:r>
              <w:rPr>
                <w:rFonts w:hint="eastAsia" w:ascii="仿宋" w:hAnsi="仿宋" w:eastAsia="仿宋" w:cs="宋体"/>
                <w:color w:val="000000"/>
                <w:kern w:val="0"/>
                <w:highlight w:val="none"/>
              </w:rPr>
              <w:t>200万1/2.7”CMOS ICR日夜型半球型网络摄像机；最小照度 0.01 Lux @(F1.2,AGC ON), 0 Lux with IR；快门 1/3秒至1/100,000秒；镜头2.8mm, 水平视场角: 113.5°°(4mm、6mm、8mm可选)；调整角度 水平:0°~360°;垂直:0°~ 75°;旋转:0°~360°；宽动态范围 120dB；视频压缩标准 H.265 / H.264；帧率 50Hz: 25fps (1920 × 1080,1280 × 960,1280 × 720)；感兴趣区域 ROI支持三码流分别设置1个固定区域；存储功能 支持Micro SD/SDHC /SDXC卡(128G)断网本地存储,NAS(NFS,SMB/CIFS均支持)；支持智能后检索，配合NVR支持事件的二次检索分析；智能功能：越界侦测,区域入侵侦测,场景变更侦测,人脸侦测,虚焦侦测,物品遗留侦测,物品拾取侦测,非法停车侦测,人员聚集侦测,徘徊侦测,快速移动侦测,进入区域侦测,离开区域侦测，音频异常侦测；工作温度和湿度 -10℃~40℃,湿度小于95%(无凝结)；电源供应 DC12V±25% ；功耗 5.5W MAX (ICR切换瞬间7.5W)；红外照射距离 EXIR：20-30米；内置麦克风；1对音频输入（Line in）/输出接口（插线式）、1对报警输入/输出（三极管：超过30毫安建议加继电器）接口</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台</w:t>
            </w:r>
          </w:p>
        </w:tc>
        <w:tc>
          <w:tcPr>
            <w:tcW w:w="7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ascii="仿宋" w:hAnsi="仿宋" w:eastAsia="仿宋" w:cs="宋体"/>
                <w:color w:val="000000"/>
                <w:kern w:val="0"/>
                <w:highlight w:val="none"/>
              </w:rPr>
              <w:t>4</w:t>
            </w:r>
          </w:p>
        </w:tc>
      </w:tr>
      <w:tr>
        <w:tblPrEx>
          <w:tblLayout w:type="fixed"/>
          <w:tblCellMar>
            <w:top w:w="0" w:type="dxa"/>
            <w:left w:w="108" w:type="dxa"/>
            <w:bottom w:w="0" w:type="dxa"/>
            <w:right w:w="108" w:type="dxa"/>
          </w:tblCellMar>
        </w:tblPrEx>
        <w:trPr>
          <w:trHeight w:val="39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ascii="仿宋" w:hAnsi="仿宋" w:eastAsia="仿宋" w:cs="宋体"/>
                <w:color w:val="000000"/>
                <w:kern w:val="0"/>
                <w:highlight w:val="none"/>
              </w:rPr>
              <w:t>3</w:t>
            </w:r>
          </w:p>
        </w:tc>
        <w:tc>
          <w:tcPr>
            <w:tcW w:w="1288"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视频录像机</w:t>
            </w:r>
          </w:p>
        </w:tc>
        <w:tc>
          <w:tcPr>
            <w:tcW w:w="6669"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宋体"/>
                <w:color w:val="000000"/>
                <w:kern w:val="0"/>
                <w:highlight w:val="none"/>
              </w:rPr>
            </w:pPr>
            <w:r>
              <w:rPr>
                <w:rFonts w:hint="eastAsia" w:ascii="仿宋" w:hAnsi="仿宋" w:eastAsia="仿宋" w:cs="宋体"/>
                <w:color w:val="000000"/>
                <w:kern w:val="0"/>
                <w:highlight w:val="none"/>
              </w:rPr>
              <w:t>2U标准机架式IP存储，嵌入式处理器，嵌入式软硬件设计；支持32路高清，256M带宽网络视频接入，160M网络带宽输出；支持关键视频添加标签和加锁保护、断网续传、SMART 2.0等功能；2个千兆以太网口，充分满足网络预览、回放以及备份应用。</w:t>
            </w:r>
          </w:p>
        </w:tc>
        <w:tc>
          <w:tcPr>
            <w:tcW w:w="709"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台</w:t>
            </w:r>
          </w:p>
        </w:tc>
        <w:tc>
          <w:tcPr>
            <w:tcW w:w="707"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ascii="仿宋" w:hAnsi="仿宋" w:eastAsia="仿宋" w:cs="宋体"/>
                <w:color w:val="000000"/>
                <w:kern w:val="0"/>
                <w:highlight w:val="none"/>
              </w:rPr>
              <w:t>1</w:t>
            </w:r>
          </w:p>
        </w:tc>
      </w:tr>
      <w:tr>
        <w:tblPrEx>
          <w:tblLayout w:type="fixed"/>
          <w:tblCellMar>
            <w:top w:w="0" w:type="dxa"/>
            <w:left w:w="108" w:type="dxa"/>
            <w:bottom w:w="0" w:type="dxa"/>
            <w:right w:w="108" w:type="dxa"/>
          </w:tblCellMar>
        </w:tblPrEx>
        <w:trPr>
          <w:trHeight w:val="42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ascii="仿宋" w:hAnsi="仿宋" w:eastAsia="仿宋" w:cs="宋体"/>
                <w:color w:val="000000"/>
                <w:kern w:val="0"/>
                <w:highlight w:val="none"/>
              </w:rPr>
              <w:t>4</w:t>
            </w:r>
          </w:p>
        </w:tc>
        <w:tc>
          <w:tcPr>
            <w:tcW w:w="1288"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监控硬盘</w:t>
            </w:r>
          </w:p>
        </w:tc>
        <w:tc>
          <w:tcPr>
            <w:tcW w:w="6669"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highlight w:val="none"/>
              </w:rPr>
            </w:pPr>
            <w:r>
              <w:rPr>
                <w:rFonts w:hint="eastAsia" w:ascii="仿宋" w:hAnsi="仿宋" w:eastAsia="仿宋" w:cs="宋体"/>
                <w:color w:val="000000"/>
                <w:kern w:val="0"/>
                <w:highlight w:val="none"/>
              </w:rPr>
              <w:t>容量（GB）</w:t>
            </w:r>
            <w:r>
              <w:rPr>
                <w:rFonts w:ascii="仿宋" w:hAnsi="仿宋" w:eastAsia="仿宋" w:cs="宋体"/>
                <w:color w:val="000000"/>
                <w:kern w:val="0"/>
                <w:highlight w:val="none"/>
              </w:rPr>
              <w:t>≥</w:t>
            </w:r>
            <w:r>
              <w:rPr>
                <w:rFonts w:hint="eastAsia" w:ascii="仿宋" w:hAnsi="仿宋" w:eastAsia="仿宋" w:cs="宋体"/>
                <w:color w:val="000000"/>
                <w:kern w:val="0"/>
                <w:highlight w:val="none"/>
              </w:rPr>
              <w:t>4000</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接口SATA3</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转速（rpm）5900</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缓存</w:t>
            </w:r>
            <w:r>
              <w:rPr>
                <w:rFonts w:ascii="仿宋" w:hAnsi="仿宋" w:eastAsia="仿宋" w:cs="宋体"/>
                <w:color w:val="000000"/>
                <w:kern w:val="0"/>
                <w:highlight w:val="none"/>
              </w:rPr>
              <w:t>≥</w:t>
            </w:r>
            <w:r>
              <w:rPr>
                <w:rFonts w:hint="eastAsia" w:ascii="仿宋" w:hAnsi="仿宋" w:eastAsia="仿宋" w:cs="宋体"/>
                <w:color w:val="000000"/>
                <w:kern w:val="0"/>
                <w:highlight w:val="none"/>
              </w:rPr>
              <w:t>64MB</w:t>
            </w:r>
          </w:p>
        </w:tc>
        <w:tc>
          <w:tcPr>
            <w:tcW w:w="709"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块</w:t>
            </w:r>
          </w:p>
        </w:tc>
        <w:tc>
          <w:tcPr>
            <w:tcW w:w="707"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ascii="仿宋" w:hAnsi="仿宋" w:eastAsia="仿宋" w:cs="宋体"/>
                <w:color w:val="000000"/>
                <w:kern w:val="0"/>
                <w:highlight w:val="none"/>
              </w:rPr>
              <w:t>6</w:t>
            </w:r>
          </w:p>
        </w:tc>
      </w:tr>
      <w:tr>
        <w:tblPrEx>
          <w:tblLayout w:type="fixed"/>
          <w:tblCellMar>
            <w:top w:w="0" w:type="dxa"/>
            <w:left w:w="108" w:type="dxa"/>
            <w:bottom w:w="0" w:type="dxa"/>
            <w:right w:w="108" w:type="dxa"/>
          </w:tblCellMar>
        </w:tblPrEx>
        <w:trPr>
          <w:trHeight w:val="405"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ascii="仿宋" w:hAnsi="仿宋" w:eastAsia="仿宋" w:cs="宋体"/>
                <w:color w:val="000000"/>
                <w:kern w:val="0"/>
                <w:highlight w:val="none"/>
              </w:rPr>
              <w:t>5</w:t>
            </w:r>
          </w:p>
        </w:tc>
        <w:tc>
          <w:tcPr>
            <w:tcW w:w="1288"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拾音器</w:t>
            </w:r>
          </w:p>
        </w:tc>
        <w:tc>
          <w:tcPr>
            <w:tcW w:w="6669"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highlight w:val="none"/>
              </w:rPr>
            </w:pPr>
            <w:r>
              <w:rPr>
                <w:rFonts w:hint="eastAsia" w:ascii="仿宋" w:hAnsi="仿宋" w:eastAsia="仿宋" w:cs="宋体"/>
                <w:color w:val="000000"/>
                <w:kern w:val="0"/>
                <w:highlight w:val="none"/>
              </w:rPr>
              <w:t>拾音范围</w:t>
            </w:r>
            <w:r>
              <w:rPr>
                <w:rFonts w:ascii="仿宋" w:hAnsi="仿宋" w:eastAsia="仿宋" w:cs="宋体"/>
                <w:color w:val="000000"/>
                <w:kern w:val="0"/>
                <w:highlight w:val="none"/>
              </w:rPr>
              <w:t>≥</w:t>
            </w:r>
            <w:r>
              <w:rPr>
                <w:rFonts w:hint="eastAsia" w:ascii="仿宋" w:hAnsi="仿宋" w:eastAsia="仿宋" w:cs="宋体"/>
                <w:color w:val="000000"/>
                <w:kern w:val="0"/>
                <w:highlight w:val="none"/>
              </w:rPr>
              <w:t>70平方米；音频传输距离</w:t>
            </w:r>
            <w:r>
              <w:rPr>
                <w:rFonts w:ascii="仿宋" w:hAnsi="仿宋" w:eastAsia="仿宋" w:cs="宋体"/>
                <w:color w:val="000000"/>
                <w:kern w:val="0"/>
                <w:highlight w:val="none"/>
              </w:rPr>
              <w:t>≥</w:t>
            </w:r>
            <w:r>
              <w:rPr>
                <w:rFonts w:hint="eastAsia" w:ascii="仿宋" w:hAnsi="仿宋" w:eastAsia="仿宋" w:cs="宋体"/>
                <w:color w:val="000000"/>
                <w:kern w:val="0"/>
                <w:highlight w:val="none"/>
              </w:rPr>
              <w:t>3000米；灵敏度-34dB；信噪比60dB；安装方式：吸顶安装（自带底座转接盘）；连接方式 3芯导线（红-电源  黑-公共地  白-音频）；电源DC12V（9V-18V）；推荐电源：DC12V/1A，两线；</w:t>
            </w:r>
          </w:p>
        </w:tc>
        <w:tc>
          <w:tcPr>
            <w:tcW w:w="709"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台</w:t>
            </w:r>
          </w:p>
        </w:tc>
        <w:tc>
          <w:tcPr>
            <w:tcW w:w="707" w:type="dxa"/>
            <w:gridSpan w:val="2"/>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ascii="仿宋" w:hAnsi="仿宋" w:eastAsia="仿宋" w:cs="宋体"/>
                <w:color w:val="000000"/>
                <w:kern w:val="0"/>
                <w:highlight w:val="none"/>
              </w:rPr>
              <w:t>4</w:t>
            </w:r>
          </w:p>
        </w:tc>
      </w:tr>
      <w:tr>
        <w:tblPrEx>
          <w:tblLayout w:type="fixed"/>
          <w:tblCellMar>
            <w:top w:w="0" w:type="dxa"/>
            <w:left w:w="108" w:type="dxa"/>
            <w:bottom w:w="0" w:type="dxa"/>
            <w:right w:w="108" w:type="dxa"/>
          </w:tblCellMar>
        </w:tblPrEx>
        <w:trPr>
          <w:trHeight w:val="540" w:hRule="atLeast"/>
        </w:trPr>
        <w:tc>
          <w:tcPr>
            <w:tcW w:w="436"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ascii="仿宋" w:hAnsi="仿宋" w:eastAsia="仿宋" w:cs="宋体"/>
                <w:color w:val="000000"/>
                <w:kern w:val="0"/>
                <w:highlight w:val="none"/>
              </w:rPr>
              <w:t>6</w:t>
            </w:r>
          </w:p>
        </w:tc>
        <w:tc>
          <w:tcPr>
            <w:tcW w:w="127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中控电脑</w:t>
            </w:r>
          </w:p>
        </w:tc>
        <w:tc>
          <w:tcPr>
            <w:tcW w:w="6669"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highlight w:val="none"/>
              </w:rPr>
            </w:pPr>
            <w:r>
              <w:rPr>
                <w:rFonts w:hint="eastAsia" w:ascii="仿宋" w:hAnsi="仿宋" w:eastAsia="仿宋" w:cs="宋体"/>
                <w:color w:val="000000"/>
                <w:kern w:val="0"/>
                <w:highlight w:val="none"/>
              </w:rPr>
              <w:t>显示器：</w:t>
            </w:r>
            <w:r>
              <w:rPr>
                <w:rFonts w:ascii="仿宋" w:hAnsi="仿宋" w:eastAsia="仿宋" w:cs="宋体"/>
                <w:color w:val="000000"/>
                <w:kern w:val="0"/>
                <w:highlight w:val="none"/>
              </w:rPr>
              <w:t>≥</w:t>
            </w:r>
            <w:r>
              <w:rPr>
                <w:rFonts w:hint="eastAsia" w:ascii="仿宋" w:hAnsi="仿宋" w:eastAsia="仿宋" w:cs="宋体"/>
                <w:color w:val="000000"/>
                <w:kern w:val="0"/>
                <w:highlight w:val="none"/>
              </w:rPr>
              <w:t>21.5寸液晶显示器</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集成声卡：1000Mbps以太网卡</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处理器：i5-7500，核心数四核</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显存容量：独立</w:t>
            </w:r>
            <w:r>
              <w:rPr>
                <w:rFonts w:ascii="仿宋" w:hAnsi="仿宋" w:eastAsia="仿宋" w:cs="宋体"/>
                <w:color w:val="000000"/>
                <w:kern w:val="0"/>
                <w:highlight w:val="none"/>
              </w:rPr>
              <w:t>≥</w:t>
            </w:r>
            <w:r>
              <w:rPr>
                <w:rFonts w:hint="eastAsia" w:ascii="仿宋" w:hAnsi="仿宋" w:eastAsia="仿宋" w:cs="宋体"/>
                <w:color w:val="000000"/>
                <w:kern w:val="0"/>
                <w:highlight w:val="none"/>
              </w:rPr>
              <w:t>2GB</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内存容量：</w:t>
            </w:r>
            <w:r>
              <w:rPr>
                <w:rFonts w:ascii="仿宋" w:hAnsi="仿宋" w:eastAsia="仿宋" w:cs="宋体"/>
                <w:color w:val="000000"/>
                <w:kern w:val="0"/>
                <w:highlight w:val="none"/>
              </w:rPr>
              <w:t>≥</w:t>
            </w:r>
            <w:r>
              <w:rPr>
                <w:rFonts w:hint="eastAsia" w:ascii="仿宋" w:hAnsi="仿宋" w:eastAsia="仿宋" w:cs="宋体"/>
                <w:color w:val="000000"/>
                <w:kern w:val="0"/>
                <w:highlight w:val="none"/>
              </w:rPr>
              <w:t>8GB</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硬盘容量：</w:t>
            </w:r>
            <w:r>
              <w:rPr>
                <w:rFonts w:ascii="仿宋" w:hAnsi="仿宋" w:eastAsia="仿宋" w:cs="宋体"/>
                <w:color w:val="000000"/>
                <w:kern w:val="0"/>
                <w:highlight w:val="none"/>
              </w:rPr>
              <w:t>≥</w:t>
            </w:r>
            <w:r>
              <w:rPr>
                <w:rFonts w:hint="eastAsia" w:ascii="仿宋" w:hAnsi="仿宋" w:eastAsia="仿宋" w:cs="宋体"/>
                <w:color w:val="000000"/>
                <w:kern w:val="0"/>
                <w:highlight w:val="none"/>
              </w:rPr>
              <w:t>1TB</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台</w:t>
            </w:r>
          </w:p>
        </w:tc>
        <w:tc>
          <w:tcPr>
            <w:tcW w:w="707"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ascii="仿宋" w:hAnsi="仿宋" w:eastAsia="仿宋" w:cs="宋体"/>
                <w:color w:val="000000"/>
                <w:kern w:val="0"/>
                <w:highlight w:val="none"/>
              </w:rPr>
              <w:t>1</w:t>
            </w:r>
          </w:p>
        </w:tc>
      </w:tr>
      <w:tr>
        <w:tblPrEx>
          <w:tblLayout w:type="fixed"/>
          <w:tblCellMar>
            <w:top w:w="0" w:type="dxa"/>
            <w:left w:w="108" w:type="dxa"/>
            <w:bottom w:w="0" w:type="dxa"/>
            <w:right w:w="108" w:type="dxa"/>
          </w:tblCellMar>
        </w:tblPrEx>
        <w:trPr>
          <w:trHeight w:val="270" w:hRule="atLeast"/>
        </w:trPr>
        <w:tc>
          <w:tcPr>
            <w:tcW w:w="436"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ascii="仿宋" w:hAnsi="仿宋" w:eastAsia="仿宋" w:cs="宋体"/>
                <w:color w:val="000000"/>
                <w:kern w:val="0"/>
                <w:highlight w:val="none"/>
              </w:rPr>
              <w:t>7</w:t>
            </w:r>
          </w:p>
        </w:tc>
        <w:tc>
          <w:tcPr>
            <w:tcW w:w="127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ascii="仿宋" w:hAnsi="仿宋" w:eastAsia="仿宋" w:cs="宋体"/>
                <w:color w:val="000000"/>
                <w:kern w:val="0"/>
                <w:highlight w:val="none"/>
              </w:rPr>
              <w:t>UPS备用电源</w:t>
            </w:r>
          </w:p>
        </w:tc>
        <w:tc>
          <w:tcPr>
            <w:tcW w:w="6669"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highlight w:val="none"/>
              </w:rPr>
            </w:pPr>
            <w:r>
              <w:rPr>
                <w:rFonts w:hint="eastAsia" w:ascii="仿宋" w:hAnsi="仿宋" w:eastAsia="仿宋" w:cs="宋体"/>
                <w:color w:val="000000"/>
                <w:kern w:val="0"/>
                <w:highlight w:val="none"/>
              </w:rPr>
              <w:t>1.简洁  紧凑  大方的机器外观</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2.超宽输入市电输入范围</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3.卓越的处理微确保可靠运行</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4.自动调节市电升压 降压 稳定电压输出</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5.市电重启功能</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6.输出模拟正弦波</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容量2000VA/1200W 电压 220VAC</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电压范围 81-145VAC/162-290VAC</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频率 60/50HZ(自动侦测)</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支持300W功率设备30分钟供电</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台</w:t>
            </w:r>
          </w:p>
        </w:tc>
        <w:tc>
          <w:tcPr>
            <w:tcW w:w="707"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1</w:t>
            </w:r>
          </w:p>
        </w:tc>
      </w:tr>
      <w:tr>
        <w:tblPrEx>
          <w:tblLayout w:type="fixed"/>
          <w:tblCellMar>
            <w:top w:w="0" w:type="dxa"/>
            <w:left w:w="108" w:type="dxa"/>
            <w:bottom w:w="0" w:type="dxa"/>
            <w:right w:w="108" w:type="dxa"/>
          </w:tblCellMar>
        </w:tblPrEx>
        <w:trPr>
          <w:trHeight w:val="270" w:hRule="atLeast"/>
        </w:trPr>
        <w:tc>
          <w:tcPr>
            <w:tcW w:w="436"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ascii="仿宋" w:hAnsi="仿宋" w:eastAsia="仿宋" w:cs="宋体"/>
                <w:color w:val="000000"/>
                <w:kern w:val="0"/>
                <w:highlight w:val="none"/>
              </w:rPr>
              <w:t>8</w:t>
            </w:r>
          </w:p>
        </w:tc>
        <w:tc>
          <w:tcPr>
            <w:tcW w:w="127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1</w:t>
            </w:r>
            <w:r>
              <w:rPr>
                <w:rFonts w:ascii="仿宋" w:hAnsi="仿宋" w:eastAsia="仿宋" w:cs="宋体"/>
                <w:color w:val="000000"/>
                <w:kern w:val="0"/>
                <w:highlight w:val="none"/>
              </w:rPr>
              <w:t>M</w:t>
            </w:r>
            <w:r>
              <w:rPr>
                <w:rFonts w:hint="eastAsia" w:ascii="仿宋" w:hAnsi="仿宋" w:eastAsia="仿宋" w:cs="宋体"/>
                <w:color w:val="000000"/>
                <w:kern w:val="0"/>
                <w:highlight w:val="none"/>
              </w:rPr>
              <w:t>机柜</w:t>
            </w:r>
          </w:p>
        </w:tc>
        <w:tc>
          <w:tcPr>
            <w:tcW w:w="6669"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highlight w:val="none"/>
              </w:rPr>
            </w:pPr>
            <w:r>
              <w:rPr>
                <w:rFonts w:hint="eastAsia" w:ascii="仿宋" w:hAnsi="仿宋" w:eastAsia="仿宋" w:cs="宋体"/>
                <w:color w:val="000000"/>
                <w:kern w:val="0"/>
                <w:highlight w:val="none"/>
              </w:rPr>
              <w:t>高度：1</w:t>
            </w:r>
            <w:r>
              <w:rPr>
                <w:rFonts w:ascii="仿宋" w:hAnsi="仿宋" w:eastAsia="仿宋" w:cs="宋体"/>
                <w:color w:val="000000"/>
                <w:kern w:val="0"/>
                <w:highlight w:val="none"/>
              </w:rPr>
              <w:t>0</w:t>
            </w:r>
            <w:r>
              <w:rPr>
                <w:rFonts w:hint="eastAsia" w:ascii="仿宋" w:hAnsi="仿宋" w:eastAsia="仿宋" w:cs="宋体"/>
                <w:color w:val="000000"/>
                <w:kern w:val="0"/>
                <w:highlight w:val="none"/>
              </w:rPr>
              <w:t>00mm</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宽度：600mm</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深度：</w:t>
            </w:r>
            <w:r>
              <w:rPr>
                <w:rFonts w:ascii="仿宋" w:hAnsi="仿宋" w:eastAsia="仿宋" w:cs="宋体"/>
                <w:color w:val="000000"/>
                <w:kern w:val="0"/>
                <w:highlight w:val="none"/>
              </w:rPr>
              <w:t>6</w:t>
            </w:r>
            <w:r>
              <w:rPr>
                <w:rFonts w:hint="eastAsia" w:ascii="仿宋" w:hAnsi="仿宋" w:eastAsia="仿宋" w:cs="宋体"/>
                <w:color w:val="000000"/>
                <w:kern w:val="0"/>
                <w:highlight w:val="none"/>
              </w:rPr>
              <w:t>00mm</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台</w:t>
            </w:r>
          </w:p>
        </w:tc>
        <w:tc>
          <w:tcPr>
            <w:tcW w:w="707"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ascii="仿宋" w:hAnsi="仿宋" w:eastAsia="仿宋" w:cs="宋体"/>
                <w:color w:val="000000"/>
                <w:kern w:val="0"/>
                <w:highlight w:val="none"/>
              </w:rPr>
              <w:t>1</w:t>
            </w:r>
          </w:p>
        </w:tc>
      </w:tr>
      <w:tr>
        <w:tblPrEx>
          <w:tblLayout w:type="fixed"/>
          <w:tblCellMar>
            <w:top w:w="0" w:type="dxa"/>
            <w:left w:w="108" w:type="dxa"/>
            <w:bottom w:w="0" w:type="dxa"/>
            <w:right w:w="108" w:type="dxa"/>
          </w:tblCellMar>
        </w:tblPrEx>
        <w:trPr>
          <w:trHeight w:val="270" w:hRule="atLeast"/>
        </w:trPr>
        <w:tc>
          <w:tcPr>
            <w:tcW w:w="436"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ascii="仿宋" w:hAnsi="仿宋" w:eastAsia="仿宋" w:cs="宋体"/>
                <w:color w:val="000000"/>
                <w:kern w:val="0"/>
                <w:highlight w:val="none"/>
              </w:rPr>
              <w:t>9</w:t>
            </w:r>
          </w:p>
        </w:tc>
        <w:tc>
          <w:tcPr>
            <w:tcW w:w="127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2</w:t>
            </w:r>
            <w:r>
              <w:rPr>
                <w:rFonts w:ascii="仿宋" w:hAnsi="仿宋" w:eastAsia="仿宋" w:cs="宋体"/>
                <w:color w:val="000000"/>
                <w:kern w:val="0"/>
                <w:highlight w:val="none"/>
              </w:rPr>
              <w:t>M</w:t>
            </w:r>
            <w:r>
              <w:rPr>
                <w:rFonts w:hint="eastAsia" w:ascii="仿宋" w:hAnsi="仿宋" w:eastAsia="仿宋" w:cs="宋体"/>
                <w:color w:val="000000"/>
                <w:kern w:val="0"/>
                <w:highlight w:val="none"/>
              </w:rPr>
              <w:t>机柜</w:t>
            </w:r>
          </w:p>
        </w:tc>
        <w:tc>
          <w:tcPr>
            <w:tcW w:w="6669"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highlight w:val="none"/>
              </w:rPr>
            </w:pPr>
            <w:r>
              <w:rPr>
                <w:rFonts w:hint="eastAsia" w:ascii="仿宋" w:hAnsi="仿宋" w:eastAsia="仿宋" w:cs="宋体"/>
                <w:color w:val="000000"/>
                <w:kern w:val="0"/>
                <w:highlight w:val="none"/>
              </w:rPr>
              <w:t>规格：600*1000*2055（±5%）（毫米）</w:t>
            </w:r>
          </w:p>
          <w:p>
            <w:pPr>
              <w:rPr>
                <w:rFonts w:ascii="仿宋" w:hAnsi="仿宋" w:eastAsia="仿宋" w:cs="宋体"/>
                <w:color w:val="000000"/>
                <w:kern w:val="0"/>
                <w:highlight w:val="none"/>
              </w:rPr>
            </w:pPr>
            <w:r>
              <w:rPr>
                <w:rFonts w:hint="eastAsia" w:ascii="仿宋" w:hAnsi="仿宋" w:eastAsia="仿宋" w:cs="宋体"/>
                <w:color w:val="000000"/>
                <w:kern w:val="0"/>
                <w:highlight w:val="none"/>
              </w:rPr>
              <w:t>用于网络搭建</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台</w:t>
            </w:r>
          </w:p>
        </w:tc>
        <w:tc>
          <w:tcPr>
            <w:tcW w:w="707"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1</w:t>
            </w:r>
          </w:p>
        </w:tc>
      </w:tr>
      <w:tr>
        <w:tblPrEx>
          <w:tblLayout w:type="fixed"/>
          <w:tblCellMar>
            <w:top w:w="0" w:type="dxa"/>
            <w:left w:w="108" w:type="dxa"/>
            <w:bottom w:w="0" w:type="dxa"/>
            <w:right w:w="108" w:type="dxa"/>
          </w:tblCellMar>
        </w:tblPrEx>
        <w:trPr>
          <w:trHeight w:val="630" w:hRule="atLeast"/>
        </w:trPr>
        <w:tc>
          <w:tcPr>
            <w:tcW w:w="436" w:type="dxa"/>
            <w:gridSpan w:val="2"/>
            <w:tcBorders>
              <w:top w:val="nil"/>
              <w:left w:val="nil"/>
              <w:bottom w:val="nil"/>
              <w:right w:val="nil"/>
            </w:tcBorders>
            <w:shd w:val="clear" w:color="auto" w:fill="auto"/>
            <w:vAlign w:val="center"/>
          </w:tcPr>
          <w:p>
            <w:pPr>
              <w:rPr>
                <w:rFonts w:ascii="仿宋" w:hAnsi="仿宋" w:eastAsia="仿宋"/>
                <w:color w:val="000000"/>
                <w:kern w:val="0"/>
                <w:highlight w:val="none"/>
              </w:rPr>
            </w:pPr>
          </w:p>
        </w:tc>
        <w:tc>
          <w:tcPr>
            <w:tcW w:w="9364" w:type="dxa"/>
            <w:gridSpan w:val="8"/>
            <w:tcBorders>
              <w:top w:val="nil"/>
              <w:left w:val="nil"/>
              <w:bottom w:val="nil"/>
              <w:right w:val="nil"/>
            </w:tcBorders>
            <w:shd w:val="clear" w:color="auto" w:fill="auto"/>
            <w:vAlign w:val="center"/>
          </w:tcPr>
          <w:p>
            <w:pPr>
              <w:jc w:val="center"/>
              <w:rPr>
                <w:rFonts w:ascii="仿宋" w:hAnsi="仿宋" w:eastAsia="仿宋" w:cs="宋体"/>
                <w:b/>
                <w:bCs/>
                <w:color w:val="000000"/>
                <w:kern w:val="0"/>
                <w:highlight w:val="none"/>
              </w:rPr>
            </w:pPr>
          </w:p>
          <w:p>
            <w:pPr>
              <w:jc w:val="center"/>
              <w:rPr>
                <w:rFonts w:ascii="仿宋" w:hAnsi="仿宋" w:eastAsia="仿宋" w:cs="宋体"/>
                <w:b/>
                <w:bCs/>
                <w:color w:val="000000"/>
                <w:kern w:val="0"/>
                <w:highlight w:val="none"/>
              </w:rPr>
            </w:pPr>
          </w:p>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（三）技能训练与录播硬件配置</w:t>
            </w:r>
          </w:p>
        </w:tc>
      </w:tr>
      <w:tr>
        <w:tblPrEx>
          <w:tblLayout w:type="fixed"/>
          <w:tblCellMar>
            <w:top w:w="0" w:type="dxa"/>
            <w:left w:w="108" w:type="dxa"/>
            <w:bottom w:w="0" w:type="dxa"/>
            <w:right w:w="108" w:type="dxa"/>
          </w:tblCellMar>
        </w:tblPrEx>
        <w:trPr>
          <w:trHeight w:val="405" w:hRule="atLeast"/>
        </w:trPr>
        <w:tc>
          <w:tcPr>
            <w:tcW w:w="4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序号</w:t>
            </w:r>
          </w:p>
        </w:tc>
        <w:tc>
          <w:tcPr>
            <w:tcW w:w="127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名 称</w:t>
            </w:r>
          </w:p>
        </w:tc>
        <w:tc>
          <w:tcPr>
            <w:tcW w:w="666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技 术 参 数</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单位</w:t>
            </w:r>
          </w:p>
        </w:tc>
        <w:tc>
          <w:tcPr>
            <w:tcW w:w="70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数量</w:t>
            </w:r>
          </w:p>
        </w:tc>
      </w:tr>
      <w:tr>
        <w:tblPrEx>
          <w:tblLayout w:type="fixed"/>
          <w:tblCellMar>
            <w:top w:w="0" w:type="dxa"/>
            <w:left w:w="108" w:type="dxa"/>
            <w:bottom w:w="0" w:type="dxa"/>
            <w:right w:w="108" w:type="dxa"/>
          </w:tblCellMar>
        </w:tblPrEx>
        <w:trPr>
          <w:trHeight w:val="20" w:hRule="atLeast"/>
        </w:trPr>
        <w:tc>
          <w:tcPr>
            <w:tcW w:w="4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ascii="仿宋" w:hAnsi="仿宋" w:eastAsia="仿宋" w:cs="宋体"/>
                <w:b/>
                <w:bCs/>
                <w:color w:val="000000"/>
                <w:kern w:val="0"/>
                <w:highlight w:val="none"/>
              </w:rPr>
              <w:t>1</w:t>
            </w:r>
          </w:p>
        </w:tc>
        <w:tc>
          <w:tcPr>
            <w:tcW w:w="127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医教终端</w:t>
            </w:r>
          </w:p>
        </w:tc>
        <w:tc>
          <w:tcPr>
            <w:tcW w:w="6669" w:type="dxa"/>
            <w:gridSpan w:val="2"/>
            <w:tcBorders>
              <w:top w:val="single" w:color="auto" w:sz="4" w:space="0"/>
              <w:left w:val="nil"/>
              <w:bottom w:val="single" w:color="auto" w:sz="4" w:space="0"/>
              <w:right w:val="single" w:color="auto" w:sz="4" w:space="0"/>
            </w:tcBorders>
            <w:shd w:val="clear" w:color="auto" w:fill="auto"/>
            <w:vAlign w:val="center"/>
          </w:tcPr>
          <w:p>
            <w:pPr>
              <w:pStyle w:val="39"/>
              <w:spacing w:line="276" w:lineRule="auto"/>
              <w:rPr>
                <w:rFonts w:ascii="仿宋" w:hAnsi="仿宋" w:eastAsia="仿宋"/>
                <w:color w:val="000000"/>
                <w:highlight w:val="none"/>
              </w:rPr>
            </w:pPr>
            <w:r>
              <w:rPr>
                <w:rFonts w:hint="eastAsia" w:ascii="仿宋" w:hAnsi="仿宋" w:eastAsia="仿宋"/>
                <w:color w:val="000000"/>
                <w:sz w:val="21"/>
                <w:szCs w:val="21"/>
                <w:highlight w:val="none"/>
              </w:rPr>
              <w:t xml:space="preserve">支持 </w:t>
            </w:r>
            <w:r>
              <w:rPr>
                <w:rFonts w:ascii="仿宋" w:hAnsi="仿宋" w:eastAsia="仿宋"/>
                <w:color w:val="000000"/>
                <w:sz w:val="21"/>
                <w:szCs w:val="21"/>
                <w:highlight w:val="none"/>
              </w:rPr>
              <w:t>3G-SDI</w:t>
            </w:r>
            <w:r>
              <w:rPr>
                <w:rFonts w:hint="eastAsia" w:ascii="仿宋" w:hAnsi="仿宋" w:eastAsia="仿宋"/>
                <w:color w:val="000000"/>
                <w:sz w:val="21"/>
                <w:szCs w:val="21"/>
                <w:highlight w:val="none"/>
              </w:rPr>
              <w:t>、</w:t>
            </w:r>
            <w:r>
              <w:rPr>
                <w:rFonts w:ascii="仿宋" w:hAnsi="仿宋" w:eastAsia="仿宋"/>
                <w:color w:val="000000"/>
                <w:sz w:val="21"/>
                <w:szCs w:val="21"/>
                <w:highlight w:val="none"/>
              </w:rPr>
              <w:t>HDMI</w:t>
            </w:r>
            <w:r>
              <w:rPr>
                <w:rFonts w:hint="eastAsia" w:ascii="仿宋" w:hAnsi="仿宋" w:eastAsia="仿宋"/>
                <w:color w:val="000000"/>
                <w:sz w:val="21"/>
                <w:szCs w:val="21"/>
                <w:highlight w:val="none"/>
              </w:rPr>
              <w:t>、</w:t>
            </w:r>
            <w:r>
              <w:rPr>
                <w:rFonts w:ascii="仿宋" w:hAnsi="仿宋" w:eastAsia="仿宋"/>
                <w:color w:val="000000"/>
                <w:sz w:val="21"/>
                <w:szCs w:val="21"/>
                <w:highlight w:val="none"/>
              </w:rPr>
              <w:t xml:space="preserve">VGA </w:t>
            </w:r>
            <w:r>
              <w:rPr>
                <w:rFonts w:hint="eastAsia" w:ascii="仿宋" w:hAnsi="仿宋" w:eastAsia="仿宋"/>
                <w:color w:val="000000"/>
                <w:sz w:val="21"/>
                <w:szCs w:val="21"/>
                <w:highlight w:val="none"/>
              </w:rPr>
              <w:t xml:space="preserve">及 </w:t>
            </w:r>
            <w:r>
              <w:rPr>
                <w:rFonts w:ascii="仿宋" w:hAnsi="仿宋" w:eastAsia="仿宋"/>
                <w:color w:val="000000"/>
                <w:sz w:val="21"/>
                <w:szCs w:val="21"/>
                <w:highlight w:val="none"/>
              </w:rPr>
              <w:t xml:space="preserve">DVI-I </w:t>
            </w:r>
            <w:r>
              <w:rPr>
                <w:rFonts w:hint="eastAsia" w:ascii="仿宋" w:hAnsi="仿宋" w:eastAsia="仿宋"/>
                <w:color w:val="000000"/>
                <w:sz w:val="21"/>
                <w:szCs w:val="21"/>
                <w:highlight w:val="none"/>
              </w:rPr>
              <w:t xml:space="preserve">等 </w:t>
            </w:r>
            <w:r>
              <w:rPr>
                <w:rFonts w:ascii="仿宋" w:hAnsi="仿宋" w:eastAsia="仿宋"/>
                <w:color w:val="000000"/>
                <w:sz w:val="21"/>
                <w:szCs w:val="21"/>
                <w:highlight w:val="none"/>
              </w:rPr>
              <w:t xml:space="preserve">4 </w:t>
            </w:r>
            <w:r>
              <w:rPr>
                <w:rFonts w:hint="eastAsia" w:ascii="仿宋" w:hAnsi="仿宋" w:eastAsia="仿宋"/>
                <w:color w:val="000000"/>
                <w:sz w:val="21"/>
                <w:szCs w:val="21"/>
                <w:highlight w:val="none"/>
              </w:rPr>
              <w:t>种高清视频接口，</w:t>
            </w:r>
            <w:r>
              <w:rPr>
                <w:rFonts w:ascii="仿宋" w:hAnsi="仿宋" w:eastAsia="仿宋"/>
                <w:color w:val="000000"/>
                <w:sz w:val="21"/>
                <w:szCs w:val="21"/>
                <w:highlight w:val="none"/>
              </w:rPr>
              <w:t>S-VIDEO</w:t>
            </w:r>
            <w:r>
              <w:rPr>
                <w:rFonts w:hint="eastAsia" w:ascii="仿宋" w:hAnsi="仿宋" w:eastAsia="仿宋"/>
                <w:color w:val="000000"/>
                <w:sz w:val="21"/>
                <w:szCs w:val="21"/>
                <w:highlight w:val="none"/>
              </w:rPr>
              <w:t xml:space="preserve">和 </w:t>
            </w:r>
            <w:r>
              <w:rPr>
                <w:rFonts w:ascii="仿宋" w:hAnsi="仿宋" w:eastAsia="仿宋"/>
                <w:color w:val="000000"/>
                <w:sz w:val="21"/>
                <w:szCs w:val="21"/>
                <w:highlight w:val="none"/>
              </w:rPr>
              <w:t xml:space="preserve">CVBS </w:t>
            </w:r>
            <w:r>
              <w:rPr>
                <w:rFonts w:hint="eastAsia" w:ascii="仿宋" w:hAnsi="仿宋" w:eastAsia="仿宋"/>
                <w:color w:val="000000"/>
                <w:sz w:val="21"/>
                <w:szCs w:val="21"/>
                <w:highlight w:val="none"/>
              </w:rPr>
              <w:t xml:space="preserve">等 </w:t>
            </w:r>
            <w:r>
              <w:rPr>
                <w:rFonts w:ascii="仿宋" w:hAnsi="仿宋" w:eastAsia="仿宋"/>
                <w:color w:val="000000"/>
                <w:sz w:val="21"/>
                <w:szCs w:val="21"/>
                <w:highlight w:val="none"/>
              </w:rPr>
              <w:t xml:space="preserve">2 </w:t>
            </w:r>
            <w:r>
              <w:rPr>
                <w:rFonts w:hint="eastAsia" w:ascii="仿宋" w:hAnsi="仿宋" w:eastAsia="仿宋"/>
                <w:color w:val="000000"/>
                <w:sz w:val="21"/>
                <w:szCs w:val="21"/>
                <w:highlight w:val="none"/>
              </w:rPr>
              <w:t xml:space="preserve">种标清视频接口，实现信号同步实时采集; 支持多路硬环通，信号无损无延时; 支持画中画和多画面融合录播(可配置); 支持 </w:t>
            </w:r>
            <w:r>
              <w:rPr>
                <w:rFonts w:ascii="仿宋" w:hAnsi="仿宋" w:eastAsia="仿宋"/>
                <w:color w:val="000000"/>
                <w:sz w:val="21"/>
                <w:szCs w:val="21"/>
                <w:highlight w:val="none"/>
              </w:rPr>
              <w:t xml:space="preserve">HDMI2.0 </w:t>
            </w:r>
            <w:r>
              <w:rPr>
                <w:rFonts w:hint="eastAsia" w:ascii="仿宋" w:hAnsi="仿宋" w:eastAsia="仿宋"/>
                <w:color w:val="000000"/>
                <w:sz w:val="21"/>
                <w:szCs w:val="21"/>
                <w:highlight w:val="none"/>
              </w:rPr>
              <w:t xml:space="preserve">和 </w:t>
            </w:r>
            <w:r>
              <w:rPr>
                <w:rFonts w:ascii="仿宋" w:hAnsi="仿宋" w:eastAsia="仿宋"/>
                <w:color w:val="000000"/>
                <w:sz w:val="21"/>
                <w:szCs w:val="21"/>
                <w:highlight w:val="none"/>
              </w:rPr>
              <w:t xml:space="preserve">VGA </w:t>
            </w:r>
            <w:r>
              <w:rPr>
                <w:rFonts w:hint="eastAsia" w:ascii="仿宋" w:hAnsi="仿宋" w:eastAsia="仿宋"/>
                <w:color w:val="000000"/>
                <w:sz w:val="21"/>
                <w:szCs w:val="21"/>
                <w:highlight w:val="none"/>
              </w:rPr>
              <w:t xml:space="preserve">解码输出; 支持前面板按键操作，支持一键开启、暂停或停止视频录制等多项操作; 支持脚踏板开关控制录像、抓图; 支持红外遥控器操作控制;支持多路混音、回音消除、啸叫抑制等处理; 支持 </w:t>
            </w:r>
            <w:r>
              <w:rPr>
                <w:rFonts w:ascii="仿宋" w:hAnsi="仿宋" w:eastAsia="仿宋"/>
                <w:color w:val="000000"/>
                <w:sz w:val="21"/>
                <w:szCs w:val="21"/>
                <w:highlight w:val="none"/>
              </w:rPr>
              <w:t xml:space="preserve">RS485 </w:t>
            </w:r>
            <w:r>
              <w:rPr>
                <w:rFonts w:hint="eastAsia" w:ascii="仿宋" w:hAnsi="仿宋" w:eastAsia="仿宋"/>
                <w:color w:val="000000"/>
                <w:sz w:val="21"/>
                <w:szCs w:val="21"/>
                <w:highlight w:val="none"/>
              </w:rPr>
              <w:t xml:space="preserve">通信接口， </w:t>
            </w:r>
            <w:r>
              <w:rPr>
                <w:rFonts w:ascii="仿宋" w:hAnsi="仿宋" w:eastAsia="仿宋"/>
                <w:color w:val="000000"/>
                <w:sz w:val="21"/>
                <w:szCs w:val="21"/>
                <w:highlight w:val="none"/>
              </w:rPr>
              <w:t>HIKVISION</w:t>
            </w:r>
            <w:r>
              <w:rPr>
                <w:rFonts w:hint="eastAsia" w:ascii="仿宋" w:hAnsi="仿宋" w:eastAsia="仿宋"/>
                <w:color w:val="000000"/>
                <w:sz w:val="21"/>
                <w:szCs w:val="21"/>
                <w:highlight w:val="none"/>
              </w:rPr>
              <w:t>、</w:t>
            </w:r>
            <w:r>
              <w:rPr>
                <w:rFonts w:ascii="仿宋" w:hAnsi="仿宋" w:eastAsia="仿宋"/>
                <w:color w:val="000000"/>
                <w:sz w:val="21"/>
                <w:szCs w:val="21"/>
                <w:highlight w:val="none"/>
              </w:rPr>
              <w:t xml:space="preserve">PELCO-P </w:t>
            </w:r>
            <w:r>
              <w:rPr>
                <w:rFonts w:hint="eastAsia" w:ascii="仿宋" w:hAnsi="仿宋" w:eastAsia="仿宋"/>
                <w:color w:val="000000"/>
                <w:sz w:val="21"/>
                <w:szCs w:val="21"/>
                <w:highlight w:val="none"/>
              </w:rPr>
              <w:t xml:space="preserve">和 </w:t>
            </w:r>
            <w:r>
              <w:rPr>
                <w:rFonts w:ascii="仿宋" w:hAnsi="仿宋" w:eastAsia="仿宋"/>
                <w:color w:val="000000"/>
                <w:sz w:val="21"/>
                <w:szCs w:val="21"/>
                <w:highlight w:val="none"/>
              </w:rPr>
              <w:t xml:space="preserve">PELCO-D </w:t>
            </w:r>
            <w:r>
              <w:rPr>
                <w:rFonts w:hint="eastAsia" w:ascii="仿宋" w:hAnsi="仿宋" w:eastAsia="仿宋"/>
                <w:color w:val="000000"/>
                <w:sz w:val="21"/>
                <w:szCs w:val="21"/>
                <w:highlight w:val="none"/>
              </w:rPr>
              <w:t xml:space="preserve">等通信协议，可实现 </w:t>
            </w:r>
            <w:r>
              <w:rPr>
                <w:rFonts w:ascii="仿宋" w:hAnsi="仿宋" w:eastAsia="仿宋"/>
                <w:color w:val="000000"/>
                <w:sz w:val="21"/>
                <w:szCs w:val="21"/>
                <w:highlight w:val="none"/>
              </w:rPr>
              <w:t xml:space="preserve">PTZ </w:t>
            </w:r>
            <w:r>
              <w:rPr>
                <w:rFonts w:hint="eastAsia" w:ascii="仿宋" w:hAnsi="仿宋" w:eastAsia="仿宋"/>
                <w:color w:val="000000"/>
                <w:sz w:val="21"/>
                <w:szCs w:val="21"/>
                <w:highlight w:val="none"/>
              </w:rPr>
              <w:t>控制; 支持硬盘、</w:t>
            </w:r>
            <w:r>
              <w:rPr>
                <w:rFonts w:ascii="仿宋" w:hAnsi="仿宋" w:eastAsia="仿宋"/>
                <w:color w:val="000000"/>
                <w:sz w:val="21"/>
                <w:szCs w:val="21"/>
                <w:highlight w:val="none"/>
              </w:rPr>
              <w:t xml:space="preserve">U </w:t>
            </w:r>
            <w:r>
              <w:rPr>
                <w:rFonts w:hint="eastAsia" w:ascii="仿宋" w:hAnsi="仿宋" w:eastAsia="仿宋"/>
                <w:color w:val="000000"/>
                <w:sz w:val="21"/>
                <w:szCs w:val="21"/>
                <w:highlight w:val="none"/>
              </w:rPr>
              <w:t xml:space="preserve">盘(移动硬盘)、中心存储多种录像存储方式; 支持 </w:t>
            </w:r>
            <w:r>
              <w:rPr>
                <w:rFonts w:ascii="仿宋" w:hAnsi="仿宋" w:eastAsia="仿宋"/>
                <w:color w:val="000000"/>
                <w:sz w:val="21"/>
                <w:szCs w:val="21"/>
                <w:highlight w:val="none"/>
              </w:rPr>
              <w:t xml:space="preserve">1 </w:t>
            </w:r>
            <w:r>
              <w:rPr>
                <w:rFonts w:hint="eastAsia" w:ascii="仿宋" w:hAnsi="仿宋" w:eastAsia="仿宋"/>
                <w:color w:val="000000"/>
                <w:sz w:val="21"/>
                <w:szCs w:val="21"/>
                <w:highlight w:val="none"/>
              </w:rPr>
              <w:t xml:space="preserve">个 </w:t>
            </w:r>
            <w:r>
              <w:rPr>
                <w:rFonts w:ascii="仿宋" w:hAnsi="仿宋" w:eastAsia="仿宋"/>
                <w:color w:val="000000"/>
                <w:sz w:val="21"/>
                <w:szCs w:val="21"/>
                <w:highlight w:val="none"/>
              </w:rPr>
              <w:t xml:space="preserve">SATA </w:t>
            </w:r>
            <w:r>
              <w:rPr>
                <w:rFonts w:hint="eastAsia" w:ascii="仿宋" w:hAnsi="仿宋" w:eastAsia="仿宋"/>
                <w:color w:val="000000"/>
                <w:sz w:val="21"/>
                <w:szCs w:val="21"/>
                <w:highlight w:val="none"/>
              </w:rPr>
              <w:t xml:space="preserve">盘，最大可支持 </w:t>
            </w:r>
            <w:r>
              <w:rPr>
                <w:rFonts w:ascii="仿宋" w:hAnsi="仿宋" w:eastAsia="仿宋"/>
                <w:color w:val="000000"/>
                <w:sz w:val="21"/>
                <w:szCs w:val="21"/>
                <w:highlight w:val="none"/>
              </w:rPr>
              <w:t xml:space="preserve">2TB </w:t>
            </w:r>
            <w:r>
              <w:rPr>
                <w:rFonts w:hint="eastAsia" w:ascii="仿宋" w:hAnsi="仿宋" w:eastAsia="仿宋"/>
                <w:color w:val="000000"/>
                <w:sz w:val="21"/>
                <w:szCs w:val="21"/>
                <w:highlight w:val="none"/>
              </w:rPr>
              <w:t>硬盘; 支持</w:t>
            </w:r>
            <w:r>
              <w:rPr>
                <w:rFonts w:ascii="仿宋" w:hAnsi="仿宋" w:eastAsia="仿宋"/>
                <w:color w:val="000000"/>
                <w:sz w:val="21"/>
                <w:szCs w:val="21"/>
                <w:highlight w:val="none"/>
              </w:rPr>
              <w:t>USB3.0</w:t>
            </w:r>
            <w:r>
              <w:rPr>
                <w:rFonts w:hint="eastAsia" w:ascii="仿宋" w:hAnsi="仿宋" w:eastAsia="仿宋"/>
                <w:color w:val="000000"/>
                <w:sz w:val="21"/>
                <w:szCs w:val="21"/>
                <w:highlight w:val="none"/>
              </w:rPr>
              <w:t>，可实现音视频的高速录制和拷贝; 支持录像</w:t>
            </w:r>
            <w:r>
              <w:rPr>
                <w:rFonts w:ascii="仿宋" w:hAnsi="仿宋" w:eastAsia="仿宋"/>
                <w:color w:val="000000"/>
                <w:sz w:val="21"/>
                <w:szCs w:val="21"/>
                <w:highlight w:val="none"/>
              </w:rPr>
              <w:t>/</w:t>
            </w:r>
            <w:r>
              <w:rPr>
                <w:rFonts w:hint="eastAsia" w:ascii="仿宋" w:hAnsi="仿宋" w:eastAsia="仿宋"/>
                <w:color w:val="000000"/>
                <w:sz w:val="21"/>
                <w:szCs w:val="21"/>
                <w:highlight w:val="none"/>
              </w:rPr>
              <w:t xml:space="preserve">图片文件检索、回放，支持循环覆盖; 支持 </w:t>
            </w:r>
            <w:r>
              <w:rPr>
                <w:rFonts w:ascii="仿宋" w:hAnsi="仿宋" w:eastAsia="仿宋"/>
                <w:color w:val="000000"/>
                <w:sz w:val="21"/>
                <w:szCs w:val="21"/>
                <w:highlight w:val="none"/>
              </w:rPr>
              <w:t xml:space="preserve">MP4 </w:t>
            </w:r>
            <w:r>
              <w:rPr>
                <w:rFonts w:hint="eastAsia" w:ascii="仿宋" w:hAnsi="仿宋" w:eastAsia="仿宋"/>
                <w:color w:val="000000"/>
                <w:sz w:val="21"/>
                <w:szCs w:val="21"/>
                <w:highlight w:val="none"/>
              </w:rPr>
              <w:t xml:space="preserve">格式录像文件，单个录像时间长度可配(最大支持 </w:t>
            </w:r>
            <w:r>
              <w:rPr>
                <w:rFonts w:ascii="仿宋" w:hAnsi="仿宋" w:eastAsia="仿宋"/>
                <w:color w:val="000000"/>
                <w:sz w:val="21"/>
                <w:szCs w:val="21"/>
                <w:highlight w:val="none"/>
              </w:rPr>
              <w:t xml:space="preserve">12 </w:t>
            </w:r>
            <w:r>
              <w:rPr>
                <w:rFonts w:hint="eastAsia" w:ascii="仿宋" w:hAnsi="仿宋" w:eastAsia="仿宋"/>
                <w:color w:val="000000"/>
                <w:sz w:val="21"/>
                <w:szCs w:val="21"/>
                <w:highlight w:val="none"/>
              </w:rPr>
              <w:t>小时); 支持按关键字搜索，提高检索效率; 支持远程多设备间的音视频互动；通过医疗电气认证(</w:t>
            </w:r>
            <w:r>
              <w:rPr>
                <w:rFonts w:ascii="仿宋" w:hAnsi="仿宋" w:eastAsia="仿宋"/>
                <w:color w:val="000000"/>
                <w:sz w:val="21"/>
                <w:szCs w:val="21"/>
                <w:highlight w:val="none"/>
              </w:rPr>
              <w:t>IEC60601-1</w:t>
            </w:r>
            <w:r>
              <w:rPr>
                <w:rFonts w:hint="eastAsia" w:ascii="仿宋" w:hAnsi="仿宋" w:eastAsia="仿宋"/>
                <w:color w:val="000000"/>
                <w:sz w:val="21"/>
                <w:szCs w:val="21"/>
                <w:highlight w:val="none"/>
              </w:rPr>
              <w:t>、</w:t>
            </w:r>
            <w:r>
              <w:rPr>
                <w:rFonts w:ascii="仿宋" w:hAnsi="仿宋" w:eastAsia="仿宋"/>
                <w:color w:val="000000"/>
                <w:sz w:val="21"/>
                <w:szCs w:val="21"/>
                <w:highlight w:val="none"/>
              </w:rPr>
              <w:t>IEC60601-1-2</w:t>
            </w:r>
            <w:r>
              <w:rPr>
                <w:rFonts w:hint="eastAsia" w:ascii="仿宋" w:hAnsi="仿宋" w:eastAsia="仿宋"/>
                <w:color w:val="000000"/>
                <w:sz w:val="21"/>
                <w:szCs w:val="21"/>
                <w:highlight w:val="none"/>
              </w:rPr>
              <w:t xml:space="preserve">)；通过 </w:t>
            </w:r>
            <w:r>
              <w:rPr>
                <w:rFonts w:ascii="仿宋" w:hAnsi="仿宋" w:eastAsia="仿宋"/>
                <w:color w:val="000000"/>
                <w:sz w:val="21"/>
                <w:szCs w:val="21"/>
                <w:highlight w:val="none"/>
              </w:rPr>
              <w:t xml:space="preserve">CCC </w:t>
            </w:r>
            <w:r>
              <w:rPr>
                <w:rFonts w:hint="eastAsia" w:ascii="仿宋" w:hAnsi="仿宋" w:eastAsia="仿宋"/>
                <w:color w:val="000000"/>
                <w:sz w:val="21"/>
                <w:szCs w:val="21"/>
                <w:highlight w:val="none"/>
              </w:rPr>
              <w:t xml:space="preserve">认证 </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台</w:t>
            </w:r>
          </w:p>
        </w:tc>
        <w:tc>
          <w:tcPr>
            <w:tcW w:w="70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highlight w:val="none"/>
              </w:rPr>
            </w:pPr>
            <w:r>
              <w:rPr>
                <w:rFonts w:hint="eastAsia" w:ascii="仿宋" w:hAnsi="仿宋" w:eastAsia="仿宋" w:cs="宋体"/>
                <w:bCs/>
                <w:color w:val="000000"/>
                <w:kern w:val="0"/>
                <w:sz w:val="20"/>
                <w:highlight w:val="none"/>
              </w:rPr>
              <w:t>1</w:t>
            </w:r>
          </w:p>
        </w:tc>
      </w:tr>
      <w:tr>
        <w:tblPrEx>
          <w:tblLayout w:type="fixed"/>
          <w:tblCellMar>
            <w:top w:w="0" w:type="dxa"/>
            <w:left w:w="108" w:type="dxa"/>
            <w:bottom w:w="0" w:type="dxa"/>
            <w:right w:w="108" w:type="dxa"/>
          </w:tblCellMar>
        </w:tblPrEx>
        <w:trPr>
          <w:trHeight w:val="20" w:hRule="atLeast"/>
        </w:trPr>
        <w:tc>
          <w:tcPr>
            <w:tcW w:w="4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ascii="仿宋" w:hAnsi="仿宋" w:eastAsia="仿宋" w:cs="宋体"/>
                <w:b/>
                <w:bCs/>
                <w:color w:val="000000"/>
                <w:kern w:val="0"/>
                <w:highlight w:val="none"/>
              </w:rPr>
              <w:t>2</w:t>
            </w:r>
          </w:p>
        </w:tc>
        <w:tc>
          <w:tcPr>
            <w:tcW w:w="127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近景相机</w:t>
            </w:r>
          </w:p>
        </w:tc>
        <w:tc>
          <w:tcPr>
            <w:tcW w:w="6669" w:type="dxa"/>
            <w:gridSpan w:val="2"/>
            <w:tcBorders>
              <w:top w:val="single" w:color="auto" w:sz="4" w:space="0"/>
              <w:left w:val="nil"/>
              <w:bottom w:val="single" w:color="auto" w:sz="4" w:space="0"/>
              <w:right w:val="single" w:color="auto" w:sz="4" w:space="0"/>
            </w:tcBorders>
            <w:shd w:val="clear" w:color="auto" w:fill="auto"/>
            <w:vAlign w:val="center"/>
          </w:tcPr>
          <w:p>
            <w:pPr>
              <w:pStyle w:val="39"/>
              <w:spacing w:line="276" w:lineRule="auto"/>
              <w:rPr>
                <w:rFonts w:ascii="仿宋" w:hAnsi="仿宋" w:eastAsia="仿宋"/>
                <w:color w:val="000000"/>
                <w:highlight w:val="none"/>
              </w:rPr>
            </w:pPr>
            <w:r>
              <w:rPr>
                <w:rFonts w:hint="eastAsia" w:ascii="仿宋" w:hAnsi="仿宋" w:eastAsia="仿宋"/>
                <w:color w:val="000000"/>
                <w:sz w:val="21"/>
                <w:szCs w:val="21"/>
                <w:highlight w:val="none"/>
              </w:rPr>
              <w:t>最大支持</w:t>
            </w:r>
            <w:r>
              <w:rPr>
                <w:rFonts w:ascii="仿宋" w:hAnsi="仿宋" w:eastAsia="仿宋"/>
                <w:color w:val="000000"/>
                <w:sz w:val="21"/>
                <w:szCs w:val="21"/>
                <w:highlight w:val="none"/>
              </w:rPr>
              <w:t>1920×1080@60fps</w:t>
            </w:r>
            <w:r>
              <w:rPr>
                <w:rFonts w:hint="eastAsia" w:ascii="仿宋" w:hAnsi="仿宋" w:eastAsia="仿宋"/>
                <w:color w:val="000000"/>
                <w:sz w:val="21"/>
                <w:szCs w:val="21"/>
                <w:highlight w:val="none"/>
              </w:rPr>
              <w:t>高清画面输出，</w:t>
            </w:r>
            <w:r>
              <w:rPr>
                <w:rFonts w:ascii="仿宋" w:hAnsi="仿宋" w:eastAsia="仿宋"/>
                <w:color w:val="000000"/>
                <w:sz w:val="21"/>
                <w:szCs w:val="21"/>
                <w:highlight w:val="none"/>
              </w:rPr>
              <w:t>&gt;50dB</w:t>
            </w:r>
            <w:r>
              <w:rPr>
                <w:rFonts w:hint="eastAsia" w:ascii="仿宋" w:hAnsi="仿宋" w:eastAsia="仿宋"/>
                <w:color w:val="000000"/>
                <w:sz w:val="21"/>
                <w:szCs w:val="21"/>
                <w:highlight w:val="none"/>
              </w:rPr>
              <w:t xml:space="preserve">的宽动态范围; 视频输出接口为 </w:t>
            </w:r>
            <w:r>
              <w:rPr>
                <w:rFonts w:ascii="仿宋" w:hAnsi="仿宋" w:eastAsia="仿宋"/>
                <w:color w:val="000000"/>
                <w:sz w:val="21"/>
                <w:szCs w:val="21"/>
                <w:highlight w:val="none"/>
              </w:rPr>
              <w:t xml:space="preserve">3G-SDI </w:t>
            </w:r>
            <w:r>
              <w:rPr>
                <w:rFonts w:hint="eastAsia" w:ascii="仿宋" w:hAnsi="仿宋" w:eastAsia="仿宋"/>
                <w:color w:val="000000"/>
                <w:sz w:val="21"/>
                <w:szCs w:val="21"/>
                <w:highlight w:val="none"/>
              </w:rPr>
              <w:t xml:space="preserve">接口，实现无损耗数字信号传输; 内置 </w:t>
            </w:r>
            <w:r>
              <w:rPr>
                <w:rFonts w:ascii="仿宋" w:hAnsi="仿宋" w:eastAsia="仿宋"/>
                <w:color w:val="000000"/>
                <w:sz w:val="21"/>
                <w:szCs w:val="21"/>
                <w:highlight w:val="none"/>
              </w:rPr>
              <w:t xml:space="preserve">ND </w:t>
            </w:r>
            <w:r>
              <w:rPr>
                <w:rFonts w:hint="eastAsia" w:ascii="仿宋" w:hAnsi="仿宋" w:eastAsia="仿宋"/>
                <w:color w:val="000000"/>
                <w:sz w:val="21"/>
                <w:szCs w:val="21"/>
                <w:highlight w:val="none"/>
              </w:rPr>
              <w:t xml:space="preserve">滤镜，配合多种场景模式，更适于无影灯下拍摄支持画面冻结功能 支持强光抑制、防闪烁，可在高达 </w:t>
            </w:r>
            <w:r>
              <w:rPr>
                <w:rFonts w:ascii="仿宋" w:hAnsi="仿宋" w:eastAsia="仿宋"/>
                <w:color w:val="000000"/>
                <w:sz w:val="21"/>
                <w:szCs w:val="21"/>
                <w:highlight w:val="none"/>
              </w:rPr>
              <w:t xml:space="preserve">180,000lux </w:t>
            </w:r>
            <w:r>
              <w:rPr>
                <w:rFonts w:hint="eastAsia" w:ascii="仿宋" w:hAnsi="仿宋" w:eastAsia="仿宋"/>
                <w:color w:val="000000"/>
                <w:sz w:val="21"/>
                <w:szCs w:val="21"/>
                <w:highlight w:val="none"/>
              </w:rPr>
              <w:t xml:space="preserve">高照度无影灯环境下，提供图像清晰、色彩真实、细节丰富的优质图像支持快速启动和低延时功能，启动时间小于 </w:t>
            </w:r>
            <w:r>
              <w:rPr>
                <w:rFonts w:ascii="仿宋" w:hAnsi="仿宋" w:eastAsia="仿宋"/>
                <w:color w:val="000000"/>
                <w:sz w:val="21"/>
                <w:szCs w:val="21"/>
                <w:highlight w:val="none"/>
              </w:rPr>
              <w:t>10s</w:t>
            </w:r>
            <w:r>
              <w:rPr>
                <w:rFonts w:hint="eastAsia" w:ascii="仿宋" w:hAnsi="仿宋" w:eastAsia="仿宋"/>
                <w:color w:val="000000"/>
                <w:sz w:val="21"/>
                <w:szCs w:val="21"/>
                <w:highlight w:val="none"/>
              </w:rPr>
              <w:t>，视频输出延时小于</w:t>
            </w:r>
            <w:r>
              <w:rPr>
                <w:rFonts w:ascii="仿宋" w:hAnsi="仿宋" w:eastAsia="仿宋"/>
                <w:color w:val="000000"/>
                <w:sz w:val="21"/>
                <w:szCs w:val="21"/>
                <w:highlight w:val="none"/>
              </w:rPr>
              <w:t>80ms</w:t>
            </w:r>
            <w:r>
              <w:rPr>
                <w:rFonts w:hint="eastAsia" w:ascii="仿宋" w:hAnsi="仿宋" w:eastAsia="仿宋"/>
                <w:color w:val="000000"/>
                <w:sz w:val="21"/>
                <w:szCs w:val="21"/>
                <w:highlight w:val="none"/>
              </w:rPr>
              <w:t xml:space="preserve">; 支持标准的 </w:t>
            </w:r>
            <w:r>
              <w:rPr>
                <w:rFonts w:ascii="仿宋" w:hAnsi="仿宋" w:eastAsia="仿宋"/>
                <w:color w:val="000000"/>
                <w:sz w:val="21"/>
                <w:szCs w:val="21"/>
                <w:highlight w:val="none"/>
              </w:rPr>
              <w:t xml:space="preserve">API </w:t>
            </w:r>
            <w:r>
              <w:rPr>
                <w:rFonts w:hint="eastAsia" w:ascii="仿宋" w:hAnsi="仿宋" w:eastAsia="仿宋"/>
                <w:color w:val="000000"/>
                <w:sz w:val="21"/>
                <w:szCs w:val="21"/>
                <w:highlight w:val="none"/>
              </w:rPr>
              <w:t xml:space="preserve">开发接口；支持 </w:t>
            </w:r>
            <w:r>
              <w:rPr>
                <w:rFonts w:ascii="仿宋" w:hAnsi="仿宋" w:eastAsia="仿宋"/>
                <w:color w:val="000000"/>
                <w:sz w:val="21"/>
                <w:szCs w:val="21"/>
                <w:highlight w:val="none"/>
              </w:rPr>
              <w:t xml:space="preserve">RS-485 </w:t>
            </w:r>
            <w:r>
              <w:rPr>
                <w:rFonts w:hint="eastAsia" w:ascii="仿宋" w:hAnsi="仿宋" w:eastAsia="仿宋"/>
                <w:color w:val="000000"/>
                <w:sz w:val="21"/>
                <w:szCs w:val="21"/>
                <w:highlight w:val="none"/>
              </w:rPr>
              <w:t xml:space="preserve">控制下对 </w:t>
            </w:r>
            <w:r>
              <w:rPr>
                <w:rFonts w:ascii="仿宋" w:hAnsi="仿宋" w:eastAsia="仿宋"/>
                <w:color w:val="000000"/>
                <w:sz w:val="21"/>
                <w:szCs w:val="21"/>
                <w:highlight w:val="none"/>
              </w:rPr>
              <w:t xml:space="preserve">HIKVISION </w:t>
            </w:r>
            <w:r>
              <w:rPr>
                <w:rFonts w:hint="eastAsia" w:ascii="仿宋" w:hAnsi="仿宋" w:eastAsia="仿宋"/>
                <w:color w:val="000000"/>
                <w:sz w:val="21"/>
                <w:szCs w:val="21"/>
                <w:highlight w:val="none"/>
              </w:rPr>
              <w:t xml:space="preserve">协议的自动识别; </w:t>
            </w:r>
            <w:r>
              <w:rPr>
                <w:rFonts w:ascii="仿宋" w:hAnsi="仿宋" w:eastAsia="仿宋"/>
                <w:color w:val="000000"/>
                <w:sz w:val="21"/>
                <w:szCs w:val="21"/>
                <w:highlight w:val="none"/>
              </w:rPr>
              <w:t xml:space="preserve">10 </w:t>
            </w:r>
            <w:r>
              <w:rPr>
                <w:rFonts w:hint="eastAsia" w:ascii="仿宋" w:hAnsi="仿宋" w:eastAsia="仿宋"/>
                <w:color w:val="000000"/>
                <w:sz w:val="21"/>
                <w:szCs w:val="21"/>
                <w:highlight w:val="none"/>
              </w:rPr>
              <w:t>倍光学变焦; 支持断电状态记忆功能; 通过医疗电气认证(IEC60601-1、IEC60601-1-2)</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台</w:t>
            </w:r>
          </w:p>
        </w:tc>
        <w:tc>
          <w:tcPr>
            <w:tcW w:w="70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highlight w:val="none"/>
              </w:rPr>
            </w:pPr>
            <w:r>
              <w:rPr>
                <w:rFonts w:hint="eastAsia" w:ascii="仿宋" w:hAnsi="仿宋" w:eastAsia="仿宋" w:cs="宋体"/>
                <w:bCs/>
                <w:color w:val="000000"/>
                <w:kern w:val="0"/>
                <w:highlight w:val="none"/>
              </w:rPr>
              <w:t>1</w:t>
            </w:r>
          </w:p>
        </w:tc>
      </w:tr>
      <w:tr>
        <w:tblPrEx>
          <w:tblLayout w:type="fixed"/>
          <w:tblCellMar>
            <w:top w:w="0" w:type="dxa"/>
            <w:left w:w="108" w:type="dxa"/>
            <w:bottom w:w="0" w:type="dxa"/>
            <w:right w:w="108" w:type="dxa"/>
          </w:tblCellMar>
        </w:tblPrEx>
        <w:trPr>
          <w:trHeight w:val="20" w:hRule="atLeast"/>
        </w:trPr>
        <w:tc>
          <w:tcPr>
            <w:tcW w:w="4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ascii="仿宋" w:hAnsi="仿宋" w:eastAsia="仿宋" w:cs="宋体"/>
                <w:b/>
                <w:bCs/>
                <w:color w:val="000000"/>
                <w:kern w:val="0"/>
                <w:highlight w:val="none"/>
              </w:rPr>
              <w:t>3</w:t>
            </w:r>
          </w:p>
        </w:tc>
        <w:tc>
          <w:tcPr>
            <w:tcW w:w="127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全景相机</w:t>
            </w:r>
          </w:p>
        </w:tc>
        <w:tc>
          <w:tcPr>
            <w:tcW w:w="6669" w:type="dxa"/>
            <w:gridSpan w:val="2"/>
            <w:tcBorders>
              <w:top w:val="single" w:color="auto" w:sz="4" w:space="0"/>
              <w:left w:val="nil"/>
              <w:bottom w:val="single" w:color="auto" w:sz="4" w:space="0"/>
              <w:right w:val="single" w:color="auto" w:sz="4" w:space="0"/>
            </w:tcBorders>
            <w:shd w:val="clear" w:color="auto" w:fill="auto"/>
            <w:vAlign w:val="center"/>
          </w:tcPr>
          <w:p>
            <w:pPr>
              <w:pStyle w:val="39"/>
              <w:spacing w:line="276" w:lineRule="auto"/>
              <w:rPr>
                <w:rFonts w:ascii="仿宋" w:hAnsi="仿宋" w:eastAsia="仿宋"/>
                <w:color w:val="000000"/>
                <w:highlight w:val="none"/>
              </w:rPr>
            </w:pPr>
            <w:r>
              <w:rPr>
                <w:rFonts w:hint="eastAsia" w:ascii="仿宋" w:hAnsi="仿宋" w:eastAsia="仿宋"/>
                <w:color w:val="000000"/>
                <w:sz w:val="21"/>
                <w:szCs w:val="21"/>
                <w:highlight w:val="none"/>
              </w:rPr>
              <w:t xml:space="preserve">支持 </w:t>
            </w:r>
            <w:r>
              <w:rPr>
                <w:rFonts w:ascii="仿宋" w:hAnsi="仿宋" w:eastAsia="仿宋"/>
                <w:color w:val="000000"/>
                <w:sz w:val="21"/>
                <w:szCs w:val="21"/>
                <w:highlight w:val="none"/>
              </w:rPr>
              <w:t xml:space="preserve">200 </w:t>
            </w:r>
            <w:r>
              <w:rPr>
                <w:rFonts w:hint="eastAsia" w:ascii="仿宋" w:hAnsi="仿宋" w:eastAsia="仿宋"/>
                <w:color w:val="000000"/>
                <w:sz w:val="21"/>
                <w:szCs w:val="21"/>
                <w:highlight w:val="none"/>
              </w:rPr>
              <w:t xml:space="preserve">万像素的图像传感器，支持最大 </w:t>
            </w:r>
            <w:r>
              <w:rPr>
                <w:rFonts w:ascii="仿宋" w:hAnsi="仿宋" w:eastAsia="仿宋"/>
                <w:color w:val="000000"/>
                <w:sz w:val="21"/>
                <w:szCs w:val="21"/>
                <w:highlight w:val="none"/>
              </w:rPr>
              <w:t>1920</w:t>
            </w:r>
            <w:r>
              <w:rPr>
                <w:rFonts w:hint="eastAsia" w:ascii="仿宋" w:hAnsi="仿宋" w:eastAsia="仿宋"/>
                <w:color w:val="000000"/>
                <w:sz w:val="21"/>
                <w:szCs w:val="21"/>
                <w:highlight w:val="none"/>
              </w:rPr>
              <w:t>×</w:t>
            </w:r>
            <w:r>
              <w:rPr>
                <w:rFonts w:ascii="仿宋" w:hAnsi="仿宋" w:eastAsia="仿宋"/>
                <w:color w:val="000000"/>
                <w:sz w:val="21"/>
                <w:szCs w:val="21"/>
                <w:highlight w:val="none"/>
              </w:rPr>
              <w:t xml:space="preserve">1080@60fps </w:t>
            </w:r>
            <w:r>
              <w:rPr>
                <w:rFonts w:hint="eastAsia" w:ascii="仿宋" w:hAnsi="仿宋" w:eastAsia="仿宋"/>
                <w:color w:val="000000"/>
                <w:sz w:val="21"/>
                <w:szCs w:val="21"/>
                <w:highlight w:val="none"/>
              </w:rPr>
              <w:t xml:space="preserve">高清画面输出；镜头具有 </w:t>
            </w:r>
            <w:r>
              <w:rPr>
                <w:rFonts w:ascii="仿宋" w:hAnsi="仿宋" w:eastAsia="仿宋"/>
                <w:color w:val="000000"/>
                <w:sz w:val="21"/>
                <w:szCs w:val="21"/>
                <w:highlight w:val="none"/>
              </w:rPr>
              <w:t xml:space="preserve">23 </w:t>
            </w:r>
            <w:r>
              <w:rPr>
                <w:rFonts w:hint="eastAsia" w:ascii="仿宋" w:hAnsi="仿宋" w:eastAsia="仿宋"/>
                <w:color w:val="000000"/>
                <w:sz w:val="21"/>
                <w:szCs w:val="21"/>
                <w:highlight w:val="none"/>
              </w:rPr>
              <w:t>倍光学变倍 支持超低照度，</w:t>
            </w:r>
            <w:r>
              <w:rPr>
                <w:rFonts w:ascii="仿宋" w:hAnsi="仿宋" w:eastAsia="仿宋"/>
                <w:color w:val="000000"/>
                <w:sz w:val="21"/>
                <w:szCs w:val="21"/>
                <w:highlight w:val="none"/>
              </w:rPr>
              <w:t>0.05Lux/F1.6(</w:t>
            </w:r>
            <w:r>
              <w:rPr>
                <w:rFonts w:hint="eastAsia" w:ascii="仿宋" w:hAnsi="仿宋" w:eastAsia="仿宋"/>
                <w:color w:val="000000"/>
                <w:sz w:val="21"/>
                <w:szCs w:val="21"/>
                <w:highlight w:val="none"/>
              </w:rPr>
              <w:t>彩色</w:t>
            </w:r>
            <w:r>
              <w:rPr>
                <w:rFonts w:ascii="仿宋" w:hAnsi="仿宋" w:eastAsia="仿宋"/>
                <w:color w:val="000000"/>
                <w:sz w:val="21"/>
                <w:szCs w:val="21"/>
                <w:highlight w:val="none"/>
              </w:rPr>
              <w:t>),0.01Lux/F1.6(</w:t>
            </w:r>
            <w:r>
              <w:rPr>
                <w:rFonts w:hint="eastAsia" w:ascii="仿宋" w:hAnsi="仿宋" w:eastAsia="仿宋"/>
                <w:color w:val="000000"/>
                <w:sz w:val="21"/>
                <w:szCs w:val="21"/>
                <w:highlight w:val="none"/>
              </w:rPr>
              <w:t>黑白</w:t>
            </w:r>
            <w:r>
              <w:rPr>
                <w:rFonts w:ascii="仿宋" w:hAnsi="仿宋" w:eastAsia="仿宋"/>
                <w:color w:val="000000"/>
                <w:sz w:val="21"/>
                <w:szCs w:val="21"/>
                <w:highlight w:val="none"/>
              </w:rPr>
              <w:t xml:space="preserve">) </w:t>
            </w:r>
            <w:r>
              <w:rPr>
                <w:rFonts w:hint="eastAsia" w:ascii="仿宋" w:hAnsi="仿宋" w:eastAsia="仿宋"/>
                <w:color w:val="000000"/>
                <w:sz w:val="21"/>
                <w:szCs w:val="21"/>
                <w:highlight w:val="none"/>
              </w:rPr>
              <w:t xml:space="preserve">；支持先进 </w:t>
            </w:r>
            <w:r>
              <w:rPr>
                <w:rFonts w:ascii="仿宋" w:hAnsi="仿宋" w:eastAsia="仿宋"/>
                <w:color w:val="000000"/>
                <w:sz w:val="21"/>
                <w:szCs w:val="21"/>
                <w:highlight w:val="none"/>
              </w:rPr>
              <w:t xml:space="preserve">3D </w:t>
            </w:r>
            <w:r>
              <w:rPr>
                <w:rFonts w:hint="eastAsia" w:ascii="仿宋" w:hAnsi="仿宋" w:eastAsia="仿宋"/>
                <w:color w:val="000000"/>
                <w:sz w:val="21"/>
                <w:szCs w:val="21"/>
                <w:highlight w:val="none"/>
              </w:rPr>
              <w:t xml:space="preserve">降噪技术； 支持 </w:t>
            </w:r>
            <w:r>
              <w:rPr>
                <w:rFonts w:ascii="仿宋" w:hAnsi="仿宋" w:eastAsia="仿宋"/>
                <w:color w:val="000000"/>
                <w:sz w:val="21"/>
                <w:szCs w:val="21"/>
                <w:highlight w:val="none"/>
              </w:rPr>
              <w:t>HDMI</w:t>
            </w:r>
            <w:r>
              <w:rPr>
                <w:rFonts w:hint="eastAsia" w:ascii="仿宋" w:hAnsi="仿宋" w:eastAsia="仿宋"/>
                <w:color w:val="000000"/>
                <w:sz w:val="21"/>
                <w:szCs w:val="21"/>
                <w:highlight w:val="none"/>
              </w:rPr>
              <w:t>、</w:t>
            </w:r>
            <w:r>
              <w:rPr>
                <w:rFonts w:ascii="仿宋" w:hAnsi="仿宋" w:eastAsia="仿宋"/>
                <w:color w:val="000000"/>
                <w:sz w:val="21"/>
                <w:szCs w:val="21"/>
                <w:highlight w:val="none"/>
              </w:rPr>
              <w:t>3G-SDI</w:t>
            </w:r>
            <w:r>
              <w:rPr>
                <w:rFonts w:hint="eastAsia" w:ascii="仿宋" w:hAnsi="仿宋" w:eastAsia="仿宋"/>
                <w:color w:val="000000"/>
                <w:sz w:val="21"/>
                <w:szCs w:val="21"/>
                <w:highlight w:val="none"/>
              </w:rPr>
              <w:t xml:space="preserve">、有线 </w:t>
            </w:r>
            <w:r>
              <w:rPr>
                <w:rFonts w:ascii="仿宋" w:hAnsi="仿宋" w:eastAsia="仿宋"/>
                <w:color w:val="000000"/>
                <w:sz w:val="21"/>
                <w:szCs w:val="21"/>
                <w:highlight w:val="none"/>
              </w:rPr>
              <w:t xml:space="preserve">LAN </w:t>
            </w:r>
            <w:r>
              <w:rPr>
                <w:rFonts w:hint="eastAsia" w:ascii="仿宋" w:hAnsi="仿宋" w:eastAsia="仿宋"/>
                <w:color w:val="000000"/>
                <w:sz w:val="21"/>
                <w:szCs w:val="21"/>
                <w:highlight w:val="none"/>
              </w:rPr>
              <w:t xml:space="preserve">等多种视频输出接口； 支持 </w:t>
            </w:r>
            <w:r>
              <w:rPr>
                <w:rFonts w:ascii="仿宋" w:hAnsi="仿宋" w:eastAsia="仿宋"/>
                <w:color w:val="000000"/>
                <w:sz w:val="21"/>
                <w:szCs w:val="21"/>
                <w:highlight w:val="none"/>
              </w:rPr>
              <w:t>H.265</w:t>
            </w:r>
            <w:r>
              <w:rPr>
                <w:rFonts w:hint="eastAsia" w:ascii="仿宋" w:hAnsi="仿宋" w:eastAsia="仿宋"/>
                <w:color w:val="000000"/>
                <w:sz w:val="21"/>
                <w:szCs w:val="21"/>
                <w:highlight w:val="none"/>
              </w:rPr>
              <w:t>、</w:t>
            </w:r>
            <w:r>
              <w:rPr>
                <w:rFonts w:ascii="仿宋" w:hAnsi="仿宋" w:eastAsia="仿宋"/>
                <w:color w:val="000000"/>
                <w:sz w:val="21"/>
                <w:szCs w:val="21"/>
                <w:highlight w:val="none"/>
              </w:rPr>
              <w:t>H.264</w:t>
            </w:r>
            <w:r>
              <w:rPr>
                <w:rFonts w:hint="eastAsia" w:ascii="仿宋" w:hAnsi="仿宋" w:eastAsia="仿宋"/>
                <w:color w:val="000000"/>
                <w:sz w:val="21"/>
                <w:szCs w:val="21"/>
                <w:highlight w:val="none"/>
              </w:rPr>
              <w:t>、</w:t>
            </w:r>
            <w:r>
              <w:rPr>
                <w:rFonts w:ascii="仿宋" w:hAnsi="仿宋" w:eastAsia="仿宋"/>
                <w:color w:val="000000"/>
                <w:sz w:val="21"/>
                <w:szCs w:val="21"/>
                <w:highlight w:val="none"/>
              </w:rPr>
              <w:t xml:space="preserve">MJPEG </w:t>
            </w:r>
            <w:r>
              <w:rPr>
                <w:rFonts w:hint="eastAsia" w:ascii="仿宋" w:hAnsi="仿宋" w:eastAsia="仿宋"/>
                <w:color w:val="000000"/>
                <w:sz w:val="21"/>
                <w:szCs w:val="21"/>
                <w:highlight w:val="none"/>
              </w:rPr>
              <w:t xml:space="preserve">等视频压缩标准；支持 </w:t>
            </w:r>
            <w:r>
              <w:rPr>
                <w:rFonts w:ascii="仿宋" w:hAnsi="仿宋" w:eastAsia="仿宋"/>
                <w:color w:val="000000"/>
                <w:sz w:val="21"/>
                <w:szCs w:val="21"/>
                <w:highlight w:val="none"/>
              </w:rPr>
              <w:t xml:space="preserve">G.711alaw/G.711ulaw/G.722.1/G.726/MP2L2/AAC/PCM </w:t>
            </w:r>
            <w:r>
              <w:rPr>
                <w:rFonts w:hint="eastAsia" w:ascii="仿宋" w:hAnsi="仿宋" w:eastAsia="仿宋"/>
                <w:color w:val="000000"/>
                <w:sz w:val="21"/>
                <w:szCs w:val="21"/>
                <w:highlight w:val="none"/>
              </w:rPr>
              <w:t xml:space="preserve">等多种音频压缩标准；支持 </w:t>
            </w:r>
            <w:r>
              <w:rPr>
                <w:rFonts w:ascii="仿宋" w:hAnsi="仿宋" w:eastAsia="仿宋"/>
                <w:color w:val="000000"/>
                <w:sz w:val="21"/>
                <w:szCs w:val="21"/>
                <w:highlight w:val="none"/>
              </w:rPr>
              <w:t xml:space="preserve">1 </w:t>
            </w:r>
            <w:r>
              <w:rPr>
                <w:rFonts w:hint="eastAsia" w:ascii="仿宋" w:hAnsi="仿宋" w:eastAsia="仿宋"/>
                <w:color w:val="000000"/>
                <w:sz w:val="21"/>
                <w:szCs w:val="21"/>
                <w:highlight w:val="none"/>
              </w:rPr>
              <w:t xml:space="preserve">路音频输入和 </w:t>
            </w:r>
            <w:r>
              <w:rPr>
                <w:rFonts w:ascii="仿宋" w:hAnsi="仿宋" w:eastAsia="仿宋"/>
                <w:color w:val="000000"/>
                <w:sz w:val="21"/>
                <w:szCs w:val="21"/>
                <w:highlight w:val="none"/>
              </w:rPr>
              <w:t xml:space="preserve">1 </w:t>
            </w:r>
            <w:r>
              <w:rPr>
                <w:rFonts w:hint="eastAsia" w:ascii="仿宋" w:hAnsi="仿宋" w:eastAsia="仿宋"/>
                <w:color w:val="000000"/>
                <w:sz w:val="21"/>
                <w:szCs w:val="21"/>
                <w:highlight w:val="none"/>
              </w:rPr>
              <w:t>路音频输出；支持控制接口:</w:t>
            </w:r>
            <w:r>
              <w:rPr>
                <w:rFonts w:ascii="仿宋" w:hAnsi="仿宋" w:eastAsia="仿宋"/>
                <w:color w:val="000000"/>
                <w:sz w:val="21"/>
                <w:szCs w:val="21"/>
                <w:highlight w:val="none"/>
              </w:rPr>
              <w:t>RS485</w:t>
            </w:r>
            <w:r>
              <w:rPr>
                <w:rFonts w:hint="eastAsia" w:ascii="仿宋" w:hAnsi="仿宋" w:eastAsia="仿宋"/>
                <w:color w:val="000000"/>
                <w:sz w:val="21"/>
                <w:szCs w:val="21"/>
                <w:highlight w:val="none"/>
              </w:rPr>
              <w:t xml:space="preserve">;支持 </w:t>
            </w:r>
            <w:r>
              <w:rPr>
                <w:rFonts w:ascii="仿宋" w:hAnsi="仿宋" w:eastAsia="仿宋"/>
                <w:color w:val="000000"/>
                <w:sz w:val="21"/>
                <w:szCs w:val="21"/>
                <w:highlight w:val="none"/>
              </w:rPr>
              <w:t>PELCO-D</w:t>
            </w:r>
            <w:r>
              <w:rPr>
                <w:rFonts w:hint="eastAsia" w:ascii="仿宋" w:hAnsi="仿宋" w:eastAsia="仿宋"/>
                <w:color w:val="000000"/>
                <w:sz w:val="21"/>
                <w:szCs w:val="21"/>
                <w:highlight w:val="none"/>
              </w:rPr>
              <w:t>、</w:t>
            </w:r>
            <w:r>
              <w:rPr>
                <w:rFonts w:ascii="仿宋" w:hAnsi="仿宋" w:eastAsia="仿宋"/>
                <w:color w:val="000000"/>
                <w:sz w:val="21"/>
                <w:szCs w:val="21"/>
                <w:highlight w:val="none"/>
              </w:rPr>
              <w:t xml:space="preserve">PELCO-P </w:t>
            </w:r>
            <w:r>
              <w:rPr>
                <w:rFonts w:hint="eastAsia" w:ascii="仿宋" w:hAnsi="仿宋" w:eastAsia="仿宋"/>
                <w:color w:val="000000"/>
                <w:sz w:val="21"/>
                <w:szCs w:val="21"/>
                <w:highlight w:val="none"/>
              </w:rPr>
              <w:t xml:space="preserve">等控制协议，支持自动识别协议；支持 </w:t>
            </w:r>
            <w:r>
              <w:rPr>
                <w:rFonts w:ascii="仿宋" w:hAnsi="仿宋" w:eastAsia="仿宋"/>
                <w:color w:val="000000"/>
                <w:sz w:val="21"/>
                <w:szCs w:val="21"/>
                <w:highlight w:val="none"/>
              </w:rPr>
              <w:t xml:space="preserve">120dB </w:t>
            </w:r>
            <w:r>
              <w:rPr>
                <w:rFonts w:hint="eastAsia" w:ascii="仿宋" w:hAnsi="仿宋" w:eastAsia="仿宋"/>
                <w:color w:val="000000"/>
                <w:sz w:val="21"/>
                <w:szCs w:val="21"/>
                <w:highlight w:val="none"/>
              </w:rPr>
              <w:t xml:space="preserve">超宽动态、透雾、强光抑制、电子防抖等 </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台</w:t>
            </w:r>
          </w:p>
        </w:tc>
        <w:tc>
          <w:tcPr>
            <w:tcW w:w="70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highlight w:val="none"/>
              </w:rPr>
            </w:pPr>
            <w:r>
              <w:rPr>
                <w:rFonts w:hint="eastAsia" w:ascii="仿宋" w:hAnsi="仿宋" w:eastAsia="仿宋" w:cs="宋体"/>
                <w:bCs/>
                <w:color w:val="000000"/>
                <w:kern w:val="0"/>
                <w:highlight w:val="none"/>
              </w:rPr>
              <w:t>1</w:t>
            </w:r>
          </w:p>
        </w:tc>
      </w:tr>
      <w:tr>
        <w:tblPrEx>
          <w:tblLayout w:type="fixed"/>
          <w:tblCellMar>
            <w:top w:w="0" w:type="dxa"/>
            <w:left w:w="108" w:type="dxa"/>
            <w:bottom w:w="0" w:type="dxa"/>
            <w:right w:w="108" w:type="dxa"/>
          </w:tblCellMar>
        </w:tblPrEx>
        <w:trPr>
          <w:trHeight w:val="20" w:hRule="atLeast"/>
        </w:trPr>
        <w:tc>
          <w:tcPr>
            <w:tcW w:w="4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ascii="仿宋" w:hAnsi="仿宋" w:eastAsia="仿宋" w:cs="宋体"/>
                <w:b/>
                <w:bCs/>
                <w:color w:val="000000"/>
                <w:kern w:val="0"/>
                <w:highlight w:val="none"/>
              </w:rPr>
              <w:t>4</w:t>
            </w:r>
          </w:p>
        </w:tc>
        <w:tc>
          <w:tcPr>
            <w:tcW w:w="127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车体（柜体、脚轮、支臂）</w:t>
            </w:r>
          </w:p>
        </w:tc>
        <w:tc>
          <w:tcPr>
            <w:tcW w:w="6669" w:type="dxa"/>
            <w:gridSpan w:val="2"/>
            <w:tcBorders>
              <w:top w:val="single" w:color="auto" w:sz="4" w:space="0"/>
              <w:left w:val="nil"/>
              <w:bottom w:val="single" w:color="auto" w:sz="4" w:space="0"/>
              <w:right w:val="single" w:color="auto" w:sz="4" w:space="0"/>
            </w:tcBorders>
            <w:shd w:val="clear" w:color="auto" w:fill="auto"/>
            <w:vAlign w:val="center"/>
          </w:tcPr>
          <w:p>
            <w:pPr>
              <w:pStyle w:val="39"/>
              <w:spacing w:line="276" w:lineRule="auto"/>
              <w:rPr>
                <w:rFonts w:ascii="仿宋" w:hAnsi="仿宋" w:eastAsia="仿宋"/>
                <w:color w:val="000000"/>
                <w:sz w:val="21"/>
                <w:szCs w:val="21"/>
                <w:highlight w:val="none"/>
              </w:rPr>
            </w:pPr>
            <w:r>
              <w:rPr>
                <w:rFonts w:hint="eastAsia" w:ascii="仿宋" w:hAnsi="仿宋" w:eastAsia="仿宋"/>
                <w:color w:val="000000"/>
                <w:sz w:val="21"/>
                <w:szCs w:val="21"/>
                <w:highlight w:val="none"/>
              </w:rPr>
              <w:t>推车设计、无需布线；全新一体式吊臂设计，走线隐蔽，摆臂灵活，可在多个示教室进行直播示教，单人操作，移动方便，部署简单，使用方法灵活；高清晰、兼容性强；推车搭载全景摄像机、近景摄像机采用医用摄像机达到</w:t>
            </w:r>
            <w:r>
              <w:rPr>
                <w:rFonts w:ascii="仿宋" w:hAnsi="仿宋" w:eastAsia="仿宋"/>
                <w:color w:val="000000"/>
                <w:sz w:val="21"/>
                <w:szCs w:val="21"/>
                <w:highlight w:val="none"/>
              </w:rPr>
              <w:t>1080P</w:t>
            </w:r>
            <w:r>
              <w:rPr>
                <w:rFonts w:hint="eastAsia" w:ascii="仿宋" w:hAnsi="仿宋" w:eastAsia="仿宋"/>
                <w:color w:val="000000"/>
                <w:sz w:val="21"/>
                <w:szCs w:val="21"/>
                <w:highlight w:val="none"/>
              </w:rPr>
              <w:t>效果，兼容监护仪、腔镜、</w:t>
            </w:r>
            <w:r>
              <w:rPr>
                <w:rFonts w:ascii="仿宋" w:hAnsi="仿宋" w:eastAsia="仿宋"/>
                <w:color w:val="000000"/>
                <w:sz w:val="21"/>
                <w:szCs w:val="21"/>
                <w:highlight w:val="none"/>
              </w:rPr>
              <w:t xml:space="preserve">C </w:t>
            </w:r>
            <w:r>
              <w:rPr>
                <w:rFonts w:hint="eastAsia" w:ascii="仿宋" w:hAnsi="仿宋" w:eastAsia="仿宋"/>
                <w:color w:val="000000"/>
                <w:sz w:val="21"/>
                <w:szCs w:val="21"/>
                <w:highlight w:val="none"/>
              </w:rPr>
              <w:t xml:space="preserve">臂等各类器械视频信号的同时接入，性能强大， 兼容 </w:t>
            </w:r>
            <w:r>
              <w:rPr>
                <w:rFonts w:ascii="仿宋" w:hAnsi="仿宋" w:eastAsia="仿宋"/>
                <w:color w:val="000000"/>
                <w:sz w:val="21"/>
                <w:szCs w:val="21"/>
                <w:highlight w:val="none"/>
              </w:rPr>
              <w:t xml:space="preserve">6 </w:t>
            </w:r>
            <w:r>
              <w:rPr>
                <w:rFonts w:hint="eastAsia" w:ascii="仿宋" w:hAnsi="仿宋" w:eastAsia="仿宋"/>
                <w:color w:val="000000"/>
                <w:sz w:val="21"/>
                <w:szCs w:val="21"/>
                <w:highlight w:val="none"/>
              </w:rPr>
              <w:t>种信号输入:</w:t>
            </w:r>
            <w:r>
              <w:rPr>
                <w:rFonts w:ascii="仿宋" w:hAnsi="仿宋" w:eastAsia="仿宋"/>
                <w:color w:val="000000"/>
                <w:sz w:val="21"/>
                <w:szCs w:val="21"/>
                <w:highlight w:val="none"/>
              </w:rPr>
              <w:t>DVI</w:t>
            </w:r>
            <w:r>
              <w:rPr>
                <w:rFonts w:hint="eastAsia" w:ascii="仿宋" w:hAnsi="仿宋" w:eastAsia="仿宋"/>
                <w:color w:val="000000"/>
                <w:sz w:val="21"/>
                <w:szCs w:val="21"/>
                <w:highlight w:val="none"/>
              </w:rPr>
              <w:t>、</w:t>
            </w:r>
            <w:r>
              <w:rPr>
                <w:rFonts w:ascii="仿宋" w:hAnsi="仿宋" w:eastAsia="仿宋"/>
                <w:color w:val="000000"/>
                <w:sz w:val="21"/>
                <w:szCs w:val="21"/>
                <w:highlight w:val="none"/>
              </w:rPr>
              <w:t>SDI</w:t>
            </w:r>
            <w:r>
              <w:rPr>
                <w:rFonts w:hint="eastAsia" w:ascii="仿宋" w:hAnsi="仿宋" w:eastAsia="仿宋"/>
                <w:color w:val="000000"/>
                <w:sz w:val="21"/>
                <w:szCs w:val="21"/>
                <w:highlight w:val="none"/>
              </w:rPr>
              <w:t>、</w:t>
            </w:r>
            <w:r>
              <w:rPr>
                <w:rFonts w:ascii="仿宋" w:hAnsi="仿宋" w:eastAsia="仿宋"/>
                <w:color w:val="000000"/>
                <w:sz w:val="21"/>
                <w:szCs w:val="21"/>
                <w:highlight w:val="none"/>
              </w:rPr>
              <w:t>HDMI</w:t>
            </w:r>
            <w:r>
              <w:rPr>
                <w:rFonts w:hint="eastAsia" w:ascii="仿宋" w:hAnsi="仿宋" w:eastAsia="仿宋"/>
                <w:color w:val="000000"/>
                <w:sz w:val="21"/>
                <w:szCs w:val="21"/>
                <w:highlight w:val="none"/>
              </w:rPr>
              <w:t>、</w:t>
            </w:r>
            <w:r>
              <w:rPr>
                <w:rFonts w:ascii="仿宋" w:hAnsi="仿宋" w:eastAsia="仿宋"/>
                <w:color w:val="000000"/>
                <w:sz w:val="21"/>
                <w:szCs w:val="21"/>
                <w:highlight w:val="none"/>
              </w:rPr>
              <w:t>S-VIDEO</w:t>
            </w:r>
            <w:r>
              <w:rPr>
                <w:rFonts w:hint="eastAsia" w:ascii="仿宋" w:hAnsi="仿宋" w:eastAsia="仿宋"/>
                <w:color w:val="000000"/>
                <w:sz w:val="21"/>
                <w:szCs w:val="21"/>
                <w:highlight w:val="none"/>
              </w:rPr>
              <w:t>、</w:t>
            </w:r>
            <w:r>
              <w:rPr>
                <w:rFonts w:ascii="仿宋" w:hAnsi="仿宋" w:eastAsia="仿宋"/>
                <w:color w:val="000000"/>
                <w:sz w:val="21"/>
                <w:szCs w:val="21"/>
                <w:highlight w:val="none"/>
              </w:rPr>
              <w:t>CVBS</w:t>
            </w:r>
            <w:r>
              <w:rPr>
                <w:rFonts w:hint="eastAsia" w:ascii="仿宋" w:hAnsi="仿宋" w:eastAsia="仿宋"/>
                <w:color w:val="000000"/>
                <w:sz w:val="21"/>
                <w:szCs w:val="21"/>
                <w:highlight w:val="none"/>
              </w:rPr>
              <w:t>、</w:t>
            </w:r>
            <w:r>
              <w:rPr>
                <w:rFonts w:ascii="仿宋" w:hAnsi="仿宋" w:eastAsia="仿宋"/>
                <w:color w:val="000000"/>
                <w:sz w:val="21"/>
                <w:szCs w:val="21"/>
                <w:highlight w:val="none"/>
              </w:rPr>
              <w:t>VGA</w:t>
            </w:r>
            <w:r>
              <w:rPr>
                <w:rFonts w:hint="eastAsia" w:ascii="仿宋" w:hAnsi="仿宋" w:eastAsia="仿宋"/>
                <w:color w:val="000000"/>
                <w:sz w:val="21"/>
                <w:szCs w:val="21"/>
                <w:highlight w:val="none"/>
              </w:rPr>
              <w:t>。音视频交互多路视频多显示同时输出，可选同步单屏、双屏高清输出，画面无缝切换、多画面组合。 直播、教学通过院内局域网和会议室进行音视频互动，满足多人远程观摩、学习需求，来提升医生的技能操作经验，并为操作视频归档，方便学生后期观看学习</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台</w:t>
            </w:r>
          </w:p>
        </w:tc>
        <w:tc>
          <w:tcPr>
            <w:tcW w:w="70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highlight w:val="none"/>
              </w:rPr>
            </w:pPr>
            <w:r>
              <w:rPr>
                <w:rFonts w:hint="eastAsia" w:ascii="仿宋" w:hAnsi="仿宋" w:eastAsia="仿宋" w:cs="宋体"/>
                <w:bCs/>
                <w:color w:val="000000"/>
                <w:kern w:val="0"/>
                <w:highlight w:val="none"/>
              </w:rPr>
              <w:t>1</w:t>
            </w:r>
          </w:p>
        </w:tc>
      </w:tr>
      <w:tr>
        <w:tblPrEx>
          <w:tblLayout w:type="fixed"/>
          <w:tblCellMar>
            <w:top w:w="0" w:type="dxa"/>
            <w:left w:w="108" w:type="dxa"/>
            <w:bottom w:w="0" w:type="dxa"/>
            <w:right w:w="108" w:type="dxa"/>
          </w:tblCellMar>
        </w:tblPrEx>
        <w:trPr>
          <w:trHeight w:val="405" w:hRule="atLeast"/>
        </w:trPr>
        <w:tc>
          <w:tcPr>
            <w:tcW w:w="9800" w:type="dxa"/>
            <w:gridSpan w:val="10"/>
            <w:tcBorders>
              <w:top w:val="nil"/>
              <w:left w:val="nil"/>
              <w:bottom w:val="single" w:color="auto" w:sz="4" w:space="0"/>
              <w:right w:val="nil"/>
            </w:tcBorders>
            <w:shd w:val="clear" w:color="auto" w:fill="auto"/>
            <w:vAlign w:val="center"/>
          </w:tcPr>
          <w:p>
            <w:pPr>
              <w:spacing w:line="276" w:lineRule="auto"/>
              <w:jc w:val="center"/>
              <w:rPr>
                <w:rFonts w:ascii="仿宋" w:hAnsi="仿宋" w:eastAsia="仿宋" w:cs="宋体"/>
                <w:b/>
                <w:bCs/>
                <w:color w:val="000000"/>
                <w:kern w:val="0"/>
                <w:sz w:val="24"/>
                <w:highlight w:val="none"/>
              </w:rPr>
            </w:pPr>
          </w:p>
          <w:p>
            <w:pPr>
              <w:spacing w:line="276" w:lineRule="auto"/>
              <w:jc w:val="center"/>
              <w:rPr>
                <w:rFonts w:ascii="仿宋" w:hAnsi="仿宋" w:eastAsia="仿宋" w:cs="宋体"/>
                <w:b/>
                <w:bCs/>
                <w:color w:val="000000"/>
                <w:kern w:val="0"/>
                <w:sz w:val="24"/>
                <w:highlight w:val="none"/>
              </w:rPr>
            </w:pPr>
            <w:r>
              <w:rPr>
                <w:rFonts w:hint="eastAsia" w:ascii="仿宋" w:hAnsi="仿宋" w:eastAsia="仿宋" w:cs="宋体"/>
                <w:b/>
                <w:bCs/>
                <w:color w:val="000000"/>
                <w:kern w:val="0"/>
                <w:sz w:val="24"/>
                <w:highlight w:val="none"/>
              </w:rPr>
              <w:t>（四）技能训练硬件配置</w:t>
            </w:r>
          </w:p>
        </w:tc>
      </w:tr>
      <w:tr>
        <w:tblPrEx>
          <w:tblLayout w:type="fixed"/>
          <w:tblCellMar>
            <w:top w:w="0" w:type="dxa"/>
            <w:left w:w="108" w:type="dxa"/>
            <w:bottom w:w="0" w:type="dxa"/>
            <w:right w:w="108" w:type="dxa"/>
          </w:tblCellMar>
        </w:tblPrEx>
        <w:trPr>
          <w:trHeight w:val="270" w:hRule="atLeast"/>
        </w:trPr>
        <w:tc>
          <w:tcPr>
            <w:tcW w:w="543"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序号</w:t>
            </w:r>
          </w:p>
        </w:tc>
        <w:tc>
          <w:tcPr>
            <w:tcW w:w="1279" w:type="dxa"/>
            <w:gridSpan w:val="2"/>
            <w:tcBorders>
              <w:top w:val="nil"/>
              <w:left w:val="nil"/>
              <w:bottom w:val="single" w:color="auto" w:sz="4" w:space="0"/>
              <w:right w:val="single" w:color="auto" w:sz="4" w:space="0"/>
            </w:tcBorders>
            <w:shd w:val="clear" w:color="auto" w:fill="auto"/>
            <w:vAlign w:val="center"/>
          </w:tcPr>
          <w:p>
            <w:pPr>
              <w:spacing w:line="276" w:lineRule="auto"/>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名 称</w:t>
            </w:r>
          </w:p>
        </w:tc>
        <w:tc>
          <w:tcPr>
            <w:tcW w:w="6670" w:type="dxa"/>
            <w:gridSpan w:val="2"/>
            <w:tcBorders>
              <w:top w:val="nil"/>
              <w:left w:val="nil"/>
              <w:bottom w:val="single" w:color="auto" w:sz="4" w:space="0"/>
              <w:right w:val="single" w:color="auto" w:sz="4" w:space="0"/>
            </w:tcBorders>
            <w:shd w:val="clear" w:color="auto" w:fill="auto"/>
            <w:vAlign w:val="center"/>
          </w:tcPr>
          <w:p>
            <w:pPr>
              <w:spacing w:line="276" w:lineRule="auto"/>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技 术 参 数</w:t>
            </w:r>
          </w:p>
        </w:tc>
        <w:tc>
          <w:tcPr>
            <w:tcW w:w="93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单位</w:t>
            </w:r>
          </w:p>
        </w:tc>
        <w:tc>
          <w:tcPr>
            <w:tcW w:w="37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bCs/>
                <w:color w:val="000000"/>
                <w:kern w:val="0"/>
                <w:highlight w:val="none"/>
              </w:rPr>
            </w:pPr>
            <w:r>
              <w:rPr>
                <w:rFonts w:hint="eastAsia" w:ascii="仿宋" w:hAnsi="仿宋" w:eastAsia="仿宋" w:cs="宋体"/>
                <w:b/>
                <w:bCs/>
                <w:color w:val="000000"/>
                <w:kern w:val="0"/>
                <w:highlight w:val="none"/>
              </w:rPr>
              <w:t>数量</w:t>
            </w:r>
          </w:p>
        </w:tc>
      </w:tr>
      <w:tr>
        <w:tblPrEx>
          <w:tblLayout w:type="fixed"/>
          <w:tblCellMar>
            <w:top w:w="0" w:type="dxa"/>
            <w:left w:w="108" w:type="dxa"/>
            <w:bottom w:w="0" w:type="dxa"/>
            <w:right w:w="108" w:type="dxa"/>
          </w:tblCellMar>
        </w:tblPrEx>
        <w:trPr>
          <w:trHeight w:val="810" w:hRule="atLeast"/>
        </w:trPr>
        <w:tc>
          <w:tcPr>
            <w:tcW w:w="543" w:type="dxa"/>
            <w:gridSpan w:val="3"/>
            <w:tcBorders>
              <w:top w:val="nil"/>
              <w:left w:val="single" w:color="auto" w:sz="4" w:space="0"/>
              <w:bottom w:val="single" w:color="auto" w:sz="4" w:space="0"/>
              <w:right w:val="single" w:color="auto" w:sz="4" w:space="0"/>
            </w:tcBorders>
            <w:shd w:val="clear" w:color="auto" w:fill="auto"/>
            <w:vAlign w:val="center"/>
          </w:tcPr>
          <w:p>
            <w:pPr>
              <w:jc w:val="center"/>
              <w:rPr>
                <w:highlight w:val="none"/>
              </w:rPr>
            </w:pPr>
            <w:r>
              <w:rPr>
                <w:rFonts w:hint="eastAsia"/>
                <w:color w:val="000000"/>
                <w:sz w:val="20"/>
                <w:szCs w:val="20"/>
                <w:highlight w:val="none"/>
              </w:rPr>
              <w:t>1</w:t>
            </w:r>
          </w:p>
        </w:tc>
        <w:tc>
          <w:tcPr>
            <w:tcW w:w="1279" w:type="dxa"/>
            <w:gridSpan w:val="2"/>
            <w:tcBorders>
              <w:top w:val="nil"/>
              <w:left w:val="nil"/>
              <w:bottom w:val="single" w:color="auto" w:sz="4" w:space="0"/>
              <w:right w:val="single" w:color="auto" w:sz="4" w:space="0"/>
            </w:tcBorders>
            <w:shd w:val="clear" w:color="auto" w:fill="auto"/>
            <w:vAlign w:val="center"/>
          </w:tcPr>
          <w:p>
            <w:pPr>
              <w:spacing w:line="276" w:lineRule="auto"/>
              <w:rPr>
                <w:rFonts w:ascii="仿宋" w:hAnsi="仿宋" w:eastAsia="仿宋"/>
                <w:color w:val="000000"/>
                <w:kern w:val="0"/>
                <w:szCs w:val="20"/>
                <w:highlight w:val="none"/>
              </w:rPr>
            </w:pPr>
            <w:r>
              <w:rPr>
                <w:rFonts w:hint="eastAsia" w:ascii="仿宋" w:hAnsi="仿宋" w:eastAsia="仿宋"/>
                <w:color w:val="000000"/>
                <w:szCs w:val="20"/>
                <w:highlight w:val="none"/>
              </w:rPr>
              <w:t>高智能数字化综合急救技能训练系统（ACLS高级生命支持、计算机软件控制）</w:t>
            </w:r>
          </w:p>
        </w:tc>
        <w:tc>
          <w:tcPr>
            <w:tcW w:w="6670" w:type="dxa"/>
            <w:gridSpan w:val="2"/>
            <w:tcBorders>
              <w:top w:val="nil"/>
              <w:left w:val="nil"/>
              <w:bottom w:val="single" w:color="auto" w:sz="4" w:space="0"/>
              <w:right w:val="single" w:color="auto" w:sz="4" w:space="0"/>
            </w:tcBorders>
            <w:shd w:val="clear" w:color="auto" w:fill="auto"/>
            <w:vAlign w:val="center"/>
          </w:tcPr>
          <w:p>
            <w:pPr>
              <w:spacing w:line="276" w:lineRule="auto"/>
              <w:rPr>
                <w:rFonts w:ascii="仿宋" w:hAnsi="仿宋" w:eastAsia="仿宋"/>
                <w:color w:val="000000"/>
                <w:szCs w:val="20"/>
                <w:highlight w:val="none"/>
              </w:rPr>
            </w:pPr>
            <w:r>
              <w:rPr>
                <w:rFonts w:hint="eastAsia" w:ascii="仿宋" w:hAnsi="仿宋" w:eastAsia="仿宋" w:cs="宋体"/>
                <w:color w:val="000000"/>
                <w:kern w:val="0"/>
                <w:sz w:val="20"/>
                <w:szCs w:val="20"/>
                <w:highlight w:val="none"/>
                <w:lang w:eastAsia="zh-CN"/>
              </w:rPr>
              <w:t>★</w:t>
            </w:r>
            <w:r>
              <w:rPr>
                <w:rFonts w:hint="eastAsia" w:ascii="仿宋" w:hAnsi="仿宋" w:eastAsia="仿宋" w:cs="宋体"/>
                <w:color w:val="000000"/>
                <w:kern w:val="0"/>
                <w:sz w:val="20"/>
                <w:szCs w:val="20"/>
                <w:highlight w:val="none"/>
              </w:rPr>
              <w:t>可与临床技能中心信息管理系统进行数据对接，使用临床技能中心信息管理系统自动生成考题并打分。</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主要功能：</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（1）头颈部：</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1.生命体征模拟：瞳孔观察，瞳孔液晶显示为CSTN伪彩、65k色、RGB，可在1-9mm之间调节正常、散大、缩小等状态，颈动脉，生动再现病人呻吟、咳嗽、呕吐声音。</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2.呼吸模式：模拟正常呼吸、叹气样呼吸、陈-施氏呼吸、库什摩呼吸、毕奥呼吸。</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3.气道管理技术：标准口、鼻插管，气管切开术，支持仰头举颏法、推举下颌法开放气道。牙齿受压报警。</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4.多媒体动画同步显示插管位置，采用听诊，可检测插管位置，模拟牙关紧咬、舌小肿、咽部水肿、喉痉挛、单双侧肺阻塞。主气道堵塞等体征。</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（2）胸腹部：</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1.CPR操作训练：可进行口对口、口对鼻、简易呼吸器对口、多种通气方式；电子监控气道开放、吹气次数、吹气频率、吹气量、按压次数、按压频率、按压位置和按压深度；自动判断人工呼吸与胸外。</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2.按压的比例；实时数据显示，抢救成功后，模拟人的瞳孔由散大变为正常，颈动脉搏动，出现自主呼吸。</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3.可与不同厂家、不同型号的除颤起搏器配套使用，实现真实除颤起搏。</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4.模拟除颤起搏：多媒体动画展示医用除颤仪操作流程，与模拟除颤起搏器配套使用，可实现除颤起搏。可选择除颤能量，最大除颤能量达到360J。</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5.可与不同厂家、不同型号的AED配套使用，实现真实AED训练。</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6.多媒体动画展示AED操作过程，与模拟自动体外模拟除颤仪配套使用，可实现AED训练。全程中文语音提示，提供贴片电极和纽扣电极，自动检测心率并分析是否需要除颤。</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7.可与不同厂家、不同型号的心电监护仪配套使用，实现真实心电监护。</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 xml:space="preserve">8.使用指夹式血氧探头，监测血氧，可与模拟多参数模拟心电监护仪配套使用，可实现模拟心电监护。内部储存多种心电图。多参数模拟监护仪LCD屏幕提供12导联心电图、血氧饱和度、呼吸、二氧化碳、血压（动脉血压、中心静脉压、肺动脉压、无创血压）、心输出量等。 </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9.可听诊数百种声音，包括正常心音、异常心音、正常呼吸音、异常呼吸音、正常肠鸣音、异常肠鸣音等。</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10.股动脉搏动。</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（3）四肢：</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1.左手血压测量、双侧手背浅静脉输液/穿刺和双侧肌肉注射，手臂的静脉高度仿真，手感真实，穿刺正确有明显落空感并有回血，皮肤及血管可更换。</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2.模拟人可互换男女外生殖器，可进行导尿操作训练, 双大腿股外侧肌内注射操作训练。</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3.模拟人踝关节可左右旋转。</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（4）软件：</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1.多媒体动画展示注射泵/输液泵的操作流程，可选择药物进行操作。</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2.软件内保存几百道试题，支持心电图，急救理论知识、急救场景、病例、CPR训练与考核。用户可根据教学内容添加试题。</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3.急救场景脚本训练/考核：软件自带数十个急救场景，涵盖室颤/无脉搏室速、无脉搏心电活动、心室停搏、急性冠状动脉综合征、心动过缓、不稳定性心动过速、稳定性心动过速、急性中风等心脏病急救案例，帮助及培训医师在不同类别心脏病的临床急救操作流程。</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4.提供多种药物治疗和典型的辅助检查，胸片，超声心电图、12导联心电图等。</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5.软件提供多种常见病例，丰富的多媒体动画，生动再现真实急救情景。用户可自编辑急救病例，病情变化和学员操作过程，软件自动记录。</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6.局域网络教学：全体教学、自学、练习及考核，教师机可监控所有学生机的操作状态。</w:t>
            </w:r>
          </w:p>
        </w:tc>
        <w:tc>
          <w:tcPr>
            <w:tcW w:w="93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个</w:t>
            </w:r>
          </w:p>
        </w:tc>
        <w:tc>
          <w:tcPr>
            <w:tcW w:w="37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0"/>
                <w:highlight w:val="none"/>
              </w:rPr>
            </w:pPr>
            <w:r>
              <w:rPr>
                <w:rFonts w:hint="eastAsia" w:ascii="仿宋" w:hAnsi="仿宋" w:eastAsia="仿宋" w:cs="宋体"/>
                <w:color w:val="000000"/>
                <w:kern w:val="0"/>
                <w:sz w:val="20"/>
                <w:highlight w:val="none"/>
              </w:rPr>
              <w:t>1</w:t>
            </w:r>
          </w:p>
        </w:tc>
      </w:tr>
      <w:tr>
        <w:tblPrEx>
          <w:tblLayout w:type="fixed"/>
          <w:tblCellMar>
            <w:top w:w="0" w:type="dxa"/>
            <w:left w:w="108" w:type="dxa"/>
            <w:bottom w:w="0" w:type="dxa"/>
            <w:right w:w="108" w:type="dxa"/>
          </w:tblCellMar>
        </w:tblPrEx>
        <w:trPr>
          <w:trHeight w:val="810" w:hRule="atLeast"/>
        </w:trPr>
        <w:tc>
          <w:tcPr>
            <w:tcW w:w="543" w:type="dxa"/>
            <w:gridSpan w:val="3"/>
            <w:tcBorders>
              <w:top w:val="nil"/>
              <w:left w:val="single" w:color="auto" w:sz="4" w:space="0"/>
              <w:bottom w:val="single" w:color="auto" w:sz="4" w:space="0"/>
              <w:right w:val="single" w:color="auto" w:sz="4" w:space="0"/>
            </w:tcBorders>
            <w:shd w:val="clear" w:color="auto" w:fill="auto"/>
            <w:vAlign w:val="center"/>
          </w:tcPr>
          <w:p>
            <w:pPr>
              <w:jc w:val="center"/>
              <w:rPr>
                <w:highlight w:val="none"/>
              </w:rPr>
            </w:pPr>
            <w:r>
              <w:rPr>
                <w:rFonts w:hint="eastAsia"/>
                <w:color w:val="000000"/>
                <w:sz w:val="20"/>
                <w:szCs w:val="20"/>
                <w:highlight w:val="none"/>
              </w:rPr>
              <w:t>2</w:t>
            </w:r>
          </w:p>
        </w:tc>
        <w:tc>
          <w:tcPr>
            <w:tcW w:w="1279"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Cs w:val="20"/>
                <w:highlight w:val="none"/>
              </w:rPr>
            </w:pPr>
            <w:r>
              <w:rPr>
                <w:rFonts w:hint="eastAsia" w:ascii="仿宋" w:hAnsi="仿宋" w:eastAsia="仿宋"/>
                <w:color w:val="000000"/>
                <w:szCs w:val="20"/>
                <w:highlight w:val="none"/>
              </w:rPr>
              <w:t>模拟心脏除颤仪</w:t>
            </w:r>
          </w:p>
        </w:tc>
        <w:tc>
          <w:tcPr>
            <w:tcW w:w="6670" w:type="dxa"/>
            <w:gridSpan w:val="2"/>
            <w:tcBorders>
              <w:top w:val="nil"/>
              <w:left w:val="nil"/>
              <w:bottom w:val="single" w:color="auto" w:sz="4" w:space="0"/>
              <w:right w:val="single" w:color="auto" w:sz="4" w:space="0"/>
            </w:tcBorders>
            <w:shd w:val="clear" w:color="auto" w:fill="auto"/>
            <w:vAlign w:val="center"/>
          </w:tcPr>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1.液晶显示器，最大除颤能量可达360J；</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2.起到同样真实的操作效果；</w:t>
            </w:r>
          </w:p>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3.除颤、起搏、心电监护三合一功能。</w:t>
            </w:r>
          </w:p>
        </w:tc>
        <w:tc>
          <w:tcPr>
            <w:tcW w:w="93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个</w:t>
            </w:r>
          </w:p>
        </w:tc>
        <w:tc>
          <w:tcPr>
            <w:tcW w:w="37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0"/>
                <w:highlight w:val="none"/>
              </w:rPr>
            </w:pPr>
            <w:r>
              <w:rPr>
                <w:rFonts w:hint="eastAsia" w:ascii="仿宋" w:hAnsi="仿宋" w:eastAsia="仿宋" w:cs="宋体"/>
                <w:color w:val="000000"/>
                <w:kern w:val="0"/>
                <w:sz w:val="20"/>
                <w:highlight w:val="none"/>
              </w:rPr>
              <w:t>1</w:t>
            </w:r>
          </w:p>
        </w:tc>
      </w:tr>
      <w:tr>
        <w:tblPrEx>
          <w:tblLayout w:type="fixed"/>
          <w:tblCellMar>
            <w:top w:w="0" w:type="dxa"/>
            <w:left w:w="108" w:type="dxa"/>
            <w:bottom w:w="0" w:type="dxa"/>
            <w:right w:w="108" w:type="dxa"/>
          </w:tblCellMar>
        </w:tblPrEx>
        <w:trPr>
          <w:trHeight w:val="810" w:hRule="atLeast"/>
        </w:trPr>
        <w:tc>
          <w:tcPr>
            <w:tcW w:w="543" w:type="dxa"/>
            <w:gridSpan w:val="3"/>
            <w:tcBorders>
              <w:top w:val="nil"/>
              <w:left w:val="single" w:color="auto" w:sz="4" w:space="0"/>
              <w:bottom w:val="single" w:color="auto" w:sz="4" w:space="0"/>
              <w:right w:val="single" w:color="auto" w:sz="4" w:space="0"/>
            </w:tcBorders>
            <w:shd w:val="clear" w:color="auto" w:fill="auto"/>
            <w:vAlign w:val="center"/>
          </w:tcPr>
          <w:p>
            <w:pPr>
              <w:jc w:val="center"/>
              <w:rPr>
                <w:highlight w:val="none"/>
              </w:rPr>
            </w:pPr>
            <w:r>
              <w:rPr>
                <w:rFonts w:hint="eastAsia"/>
                <w:color w:val="000000"/>
                <w:sz w:val="20"/>
                <w:szCs w:val="20"/>
                <w:highlight w:val="none"/>
              </w:rPr>
              <w:t>3</w:t>
            </w:r>
          </w:p>
        </w:tc>
        <w:tc>
          <w:tcPr>
            <w:tcW w:w="1279"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olor w:val="000000"/>
                <w:szCs w:val="20"/>
                <w:highlight w:val="none"/>
              </w:rPr>
            </w:pPr>
            <w:r>
              <w:rPr>
                <w:rFonts w:hint="eastAsia" w:ascii="仿宋" w:hAnsi="仿宋" w:eastAsia="仿宋"/>
                <w:color w:val="000000"/>
                <w:szCs w:val="20"/>
                <w:highlight w:val="none"/>
              </w:rPr>
              <w:t>多参数监护模拟仪</w:t>
            </w:r>
          </w:p>
        </w:tc>
        <w:tc>
          <w:tcPr>
            <w:tcW w:w="6670" w:type="dxa"/>
            <w:gridSpan w:val="2"/>
            <w:tcBorders>
              <w:top w:val="nil"/>
              <w:left w:val="nil"/>
              <w:bottom w:val="single" w:color="auto" w:sz="4" w:space="0"/>
              <w:right w:val="single" w:color="auto" w:sz="4" w:space="0"/>
            </w:tcBorders>
            <w:shd w:val="clear" w:color="auto" w:fill="auto"/>
            <w:vAlign w:val="center"/>
          </w:tcPr>
          <w:p>
            <w:pPr>
              <w:spacing w:line="276" w:lineRule="auto"/>
              <w:rPr>
                <w:rFonts w:ascii="仿宋" w:hAnsi="仿宋" w:eastAsia="仿宋"/>
                <w:color w:val="000000"/>
                <w:szCs w:val="20"/>
                <w:highlight w:val="none"/>
              </w:rPr>
            </w:pPr>
            <w:r>
              <w:rPr>
                <w:rFonts w:hint="eastAsia" w:ascii="仿宋" w:hAnsi="仿宋" w:eastAsia="仿宋"/>
                <w:color w:val="000000"/>
                <w:szCs w:val="20"/>
                <w:highlight w:val="none"/>
              </w:rPr>
              <w:t>LCD屏幕提供5导联心电图（测量心率、血氧饱和度、血压、呼吸频率、呼出来二氧化碳分压、体温、中心静脉压）。</w:t>
            </w:r>
          </w:p>
        </w:tc>
        <w:tc>
          <w:tcPr>
            <w:tcW w:w="93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台</w:t>
            </w:r>
          </w:p>
        </w:tc>
        <w:tc>
          <w:tcPr>
            <w:tcW w:w="37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0"/>
                <w:highlight w:val="none"/>
              </w:rPr>
            </w:pPr>
            <w:r>
              <w:rPr>
                <w:rFonts w:hint="eastAsia" w:ascii="仿宋" w:hAnsi="仿宋" w:eastAsia="仿宋" w:cs="宋体"/>
                <w:color w:val="000000"/>
                <w:kern w:val="0"/>
                <w:sz w:val="20"/>
                <w:highlight w:val="none"/>
              </w:rPr>
              <w:t>1</w:t>
            </w:r>
          </w:p>
        </w:tc>
      </w:tr>
      <w:tr>
        <w:tblPrEx>
          <w:tblLayout w:type="fixed"/>
          <w:tblCellMar>
            <w:top w:w="0" w:type="dxa"/>
            <w:left w:w="108" w:type="dxa"/>
            <w:bottom w:w="0" w:type="dxa"/>
            <w:right w:w="108" w:type="dxa"/>
          </w:tblCellMar>
        </w:tblPrEx>
        <w:trPr>
          <w:trHeight w:val="810" w:hRule="atLeast"/>
        </w:trPr>
        <w:tc>
          <w:tcPr>
            <w:tcW w:w="543" w:type="dxa"/>
            <w:gridSpan w:val="3"/>
            <w:tcBorders>
              <w:top w:val="nil"/>
              <w:left w:val="single" w:color="auto" w:sz="4" w:space="0"/>
              <w:bottom w:val="single" w:color="auto" w:sz="4" w:space="0"/>
              <w:right w:val="single" w:color="auto" w:sz="4" w:space="0"/>
            </w:tcBorders>
            <w:shd w:val="clear" w:color="auto" w:fill="auto"/>
            <w:vAlign w:val="center"/>
          </w:tcPr>
          <w:p>
            <w:pPr>
              <w:jc w:val="center"/>
              <w:rPr>
                <w:highlight w:val="none"/>
              </w:rPr>
            </w:pPr>
            <w:r>
              <w:rPr>
                <w:rFonts w:hint="eastAsia"/>
                <w:color w:val="000000"/>
                <w:sz w:val="20"/>
                <w:szCs w:val="20"/>
                <w:highlight w:val="none"/>
              </w:rPr>
              <w:t>4</w:t>
            </w:r>
          </w:p>
        </w:tc>
        <w:tc>
          <w:tcPr>
            <w:tcW w:w="1279" w:type="dxa"/>
            <w:gridSpan w:val="2"/>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(网络版)智能化心肺检查教学系统</w:t>
            </w:r>
          </w:p>
        </w:tc>
        <w:tc>
          <w:tcPr>
            <w:tcW w:w="6670" w:type="dxa"/>
            <w:gridSpan w:val="2"/>
            <w:tcBorders>
              <w:top w:val="nil"/>
              <w:left w:val="nil"/>
              <w:bottom w:val="single" w:color="auto" w:sz="4" w:space="0"/>
              <w:right w:val="single" w:color="auto" w:sz="4" w:space="0"/>
            </w:tcBorders>
            <w:shd w:val="clear" w:color="auto" w:fill="auto"/>
          </w:tcPr>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lang w:eastAsia="zh-CN"/>
              </w:rPr>
              <w:t>★</w:t>
            </w:r>
            <w:r>
              <w:rPr>
                <w:rFonts w:hint="eastAsia" w:ascii="仿宋" w:hAnsi="仿宋" w:eastAsia="仿宋" w:cs="宋体"/>
                <w:color w:val="000000"/>
                <w:kern w:val="0"/>
                <w:sz w:val="20"/>
                <w:szCs w:val="20"/>
                <w:highlight w:val="none"/>
              </w:rPr>
              <w:t>可与临床技能中心信息管理系统进行数据对接，使用临床技能中心信息管理系统自动生成考题并打分。</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一、心肺检查电子标准化病人：</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1.实现智能化听诊，将电子听诊器放在仿真人体的任何一个听诊部位，都能听到各自相应的体征，如同在真实病人身上进行体格检查；</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2.每名心肺检查电子标准化病人可提供典型的≥80名心脏病人和≥60名肺脏病人综合体征的查体训练；</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3.采用“听诊器”听诊，大大提升了心音、呼吸音的听诊效果，稳定性、耐用性大幅提高；</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4.心脏听诊除常规的五个瓣膜听诊区，还有“心尖内侧听诊部位”、“心脏明显增大后的心尖听诊部位”及“胸骨左缘第四肋间听诊部位”。</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5.设有与临床一致的呼吸音听诊部位，实现胸前背后满肺野的听诊，且左侧前胸的呼吸音听诊均伴有相应的心音；</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6.采用震动传感器，模拟舒张期细震颤、收缩期细震颤和连续性细震颤；</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7.具有“心尖搏动”的触诊；</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8.具有模拟二尖瓣关闭不全、主动脉瓣狭窄杂音传导的听诊，肺动脉瓣狭窄杂音传导的听诊；</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8.教师主控机具有“扩听示教”功能，在电子标准化病人身体的每一个听诊部位，可通过电子听诊器将其心音、呼吸音听诊体征直接扩放输出，供大家同时听诊，方便教师示教、讲解。</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二、网络化交互式教学主控制平台：</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1.实验室局域网络结构，分为教师主控机和学生实验机。</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2.具备全体教学、分组教学、实时示教、网络监控、网络考试功能。</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三、系列教学软件：（中、英文版，网络版）</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1、心脏听诊和肺脏听诊教学软件：</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教学软件根据全国高等医药院校最新版统编教材为蓝本设计编排。软件采集不少于200种真实患者的心音、呼吸音，配制相应的心音图、呼吸音图，制作不少于300幅二、三维动画，绘制大量静态示意图，将相关的解剖、生理、病理、血流动力学图、心音图等有机地结合在一起，阐述了心音、呼吸音的产生机理、听诊方法、听诊特点、出现时期、传导方向等重点教学内容。</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鉴别听诊，选择了几十对性质差异不大、易混淆、难区别的心音、呼吸音进行鉴别，反复对照直至区别掌握。</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2、听诊考核与练习软件</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提供随机试卷考核和自制试卷考核两种形式，考试成绩可打印、存档。</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随机试卷考核：根据教学大纲要求编制随机考试与练习题库，系统随机编制上百组试题、练习题，难易程度自动搭配，题量与时间可任意设定，计算机自动判卷评分，并列出试卷的正确答案。</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自制试卷考核：教师自主选题、编制试卷，教师可填充、修改题库。</w:t>
            </w:r>
          </w:p>
        </w:tc>
        <w:tc>
          <w:tcPr>
            <w:tcW w:w="93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个</w:t>
            </w:r>
          </w:p>
        </w:tc>
        <w:tc>
          <w:tcPr>
            <w:tcW w:w="37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0"/>
                <w:highlight w:val="none"/>
              </w:rPr>
            </w:pPr>
            <w:r>
              <w:rPr>
                <w:rFonts w:hint="eastAsia" w:ascii="仿宋" w:hAnsi="仿宋" w:eastAsia="仿宋" w:cs="宋体"/>
                <w:color w:val="000000"/>
                <w:kern w:val="0"/>
                <w:sz w:val="20"/>
                <w:highlight w:val="none"/>
              </w:rPr>
              <w:t>1</w:t>
            </w:r>
          </w:p>
        </w:tc>
      </w:tr>
      <w:tr>
        <w:tblPrEx>
          <w:tblLayout w:type="fixed"/>
          <w:tblCellMar>
            <w:top w:w="0" w:type="dxa"/>
            <w:left w:w="108" w:type="dxa"/>
            <w:bottom w:w="0" w:type="dxa"/>
            <w:right w:w="108" w:type="dxa"/>
          </w:tblCellMar>
        </w:tblPrEx>
        <w:trPr>
          <w:trHeight w:val="810" w:hRule="atLeast"/>
        </w:trPr>
        <w:tc>
          <w:tcPr>
            <w:tcW w:w="543" w:type="dxa"/>
            <w:gridSpan w:val="3"/>
            <w:tcBorders>
              <w:top w:val="nil"/>
              <w:left w:val="single" w:color="auto" w:sz="4" w:space="0"/>
              <w:bottom w:val="single" w:color="auto" w:sz="4" w:space="0"/>
              <w:right w:val="single" w:color="auto" w:sz="4" w:space="0"/>
            </w:tcBorders>
            <w:shd w:val="clear" w:color="auto" w:fill="auto"/>
            <w:vAlign w:val="center"/>
          </w:tcPr>
          <w:p>
            <w:pPr>
              <w:jc w:val="center"/>
              <w:rPr>
                <w:highlight w:val="none"/>
              </w:rPr>
            </w:pPr>
            <w:r>
              <w:rPr>
                <w:rFonts w:hint="eastAsia"/>
                <w:color w:val="000000"/>
                <w:sz w:val="20"/>
                <w:szCs w:val="20"/>
                <w:highlight w:val="none"/>
              </w:rPr>
              <w:t>5</w:t>
            </w:r>
          </w:p>
        </w:tc>
        <w:tc>
          <w:tcPr>
            <w:tcW w:w="1279" w:type="dxa"/>
            <w:gridSpan w:val="2"/>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(网络版)智能化腹部检查教学系统</w:t>
            </w:r>
          </w:p>
        </w:tc>
        <w:tc>
          <w:tcPr>
            <w:tcW w:w="6670" w:type="dxa"/>
            <w:gridSpan w:val="2"/>
            <w:tcBorders>
              <w:top w:val="nil"/>
              <w:left w:val="nil"/>
              <w:bottom w:val="single" w:color="auto" w:sz="4" w:space="0"/>
              <w:right w:val="single" w:color="auto" w:sz="4" w:space="0"/>
            </w:tcBorders>
            <w:shd w:val="clear" w:color="auto" w:fill="auto"/>
          </w:tcPr>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lang w:eastAsia="zh-CN"/>
              </w:rPr>
              <w:t>★</w:t>
            </w:r>
            <w:r>
              <w:rPr>
                <w:rFonts w:hint="eastAsia" w:ascii="仿宋" w:hAnsi="仿宋" w:eastAsia="仿宋" w:cs="宋体"/>
                <w:color w:val="000000"/>
                <w:kern w:val="0"/>
                <w:sz w:val="20"/>
                <w:szCs w:val="20"/>
                <w:highlight w:val="none"/>
              </w:rPr>
              <w:t>可与临床技能中心信息管理系统进行数据对接，使用临床技能中心信息管理系统自动生成考题并打分。</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一、腹部检查电子标准化病人：</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1.呈现仰卧屈腿的腹部检查体位，腹部柔软，肋弓下缘、剑突、腹上角、腹直肌、脐、髂前上棘、耻骨等体表标志准确。</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2.能模拟43种腹部检查体征，同机器人一样实现智能化控制，真实地模仿人体腹式呼吸和腹式呼吸时肝、胆囊、脾在膈肌下的运动。</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3.肝脏触诊：有多种不同肿大程度的肝脏；有多种不同表面形态的肝脏（有的边缘不整、有的表面有大小结节）。</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4.脾脏触诊：有多种不同肿大程度的脾脏触诊，较大的脾可触到脾的切迹。</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5.胆囊触诊：有触痛的肿大胆囊，无触痛的肿大胆囊，墨菲氏征阳性检查，单纯胆囊触痛与墨菲氏征阳性检查的区别。</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6.具有十种压痛、反跳痛体征的腹部疾病。</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7.具有多种腹部血管杂音听诊和肠鸣音听诊体征。</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二、网络化交互式教学主控制平台：</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1.实验室局域网络结构，分为教师主控机和学生实验机。</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2.具备全体教学、分组教学、实时示教、网络监控、网络考试功能。</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三、腹部触诊教学与考核软件：（中、英文版，网络版）</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制作大量多媒体动画及活动影像，直观表现了肝、胆囊、脾的解剖特点、生理机制，表述肝、胆囊、脾肿大的常见疾病、简要发生病理及临床意义，重点阐明肝、胆囊、脾的触诊机理、触诊内容、触诊方法、常见错误、技能掌握关键点、肝、脾肿大的测量方法等必须掌握的重要内容以及腹部常见疾病压痛、反跳痛、腹部血管杂音和肠鸣音的听诊等教学内容。</w:t>
            </w:r>
          </w:p>
        </w:tc>
        <w:tc>
          <w:tcPr>
            <w:tcW w:w="93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个</w:t>
            </w:r>
          </w:p>
        </w:tc>
        <w:tc>
          <w:tcPr>
            <w:tcW w:w="37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0"/>
                <w:highlight w:val="none"/>
              </w:rPr>
            </w:pPr>
            <w:r>
              <w:rPr>
                <w:rFonts w:hint="eastAsia" w:ascii="仿宋" w:hAnsi="仿宋" w:eastAsia="仿宋" w:cs="宋体"/>
                <w:color w:val="000000"/>
                <w:kern w:val="0"/>
                <w:sz w:val="20"/>
                <w:highlight w:val="none"/>
              </w:rPr>
              <w:t>1</w:t>
            </w:r>
          </w:p>
        </w:tc>
      </w:tr>
      <w:tr>
        <w:tblPrEx>
          <w:tblLayout w:type="fixed"/>
          <w:tblCellMar>
            <w:top w:w="0" w:type="dxa"/>
            <w:left w:w="108" w:type="dxa"/>
            <w:bottom w:w="0" w:type="dxa"/>
            <w:right w:w="108" w:type="dxa"/>
          </w:tblCellMar>
        </w:tblPrEx>
        <w:trPr>
          <w:trHeight w:val="810" w:hRule="atLeast"/>
        </w:trPr>
        <w:tc>
          <w:tcPr>
            <w:tcW w:w="543" w:type="dxa"/>
            <w:gridSpan w:val="3"/>
            <w:tcBorders>
              <w:top w:val="nil"/>
              <w:left w:val="single" w:color="auto" w:sz="4" w:space="0"/>
              <w:bottom w:val="single" w:color="auto" w:sz="4" w:space="0"/>
              <w:right w:val="single" w:color="auto" w:sz="4" w:space="0"/>
            </w:tcBorders>
            <w:shd w:val="clear" w:color="auto" w:fill="auto"/>
            <w:vAlign w:val="center"/>
          </w:tcPr>
          <w:p>
            <w:pPr>
              <w:jc w:val="center"/>
              <w:rPr>
                <w:highlight w:val="none"/>
              </w:rPr>
            </w:pPr>
            <w:r>
              <w:rPr>
                <w:rFonts w:hint="eastAsia"/>
                <w:color w:val="000000"/>
                <w:sz w:val="20"/>
                <w:szCs w:val="20"/>
                <w:highlight w:val="none"/>
              </w:rPr>
              <w:t>6</w:t>
            </w:r>
          </w:p>
        </w:tc>
        <w:tc>
          <w:tcPr>
            <w:tcW w:w="127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膝关节腔内注射模型（带电子）</w:t>
            </w:r>
          </w:p>
        </w:tc>
        <w:tc>
          <w:tcPr>
            <w:tcW w:w="6670" w:type="dxa"/>
            <w:gridSpan w:val="2"/>
            <w:tcBorders>
              <w:top w:val="nil"/>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1</w:t>
            </w:r>
            <w:r>
              <w:rPr>
                <w:rFonts w:ascii="仿宋" w:hAnsi="仿宋" w:eastAsia="仿宋" w:cs="宋体"/>
                <w:color w:val="000000"/>
                <w:kern w:val="0"/>
                <w:highlight w:val="none"/>
              </w:rPr>
              <w:t>.</w:t>
            </w:r>
            <w:r>
              <w:rPr>
                <w:rFonts w:hint="eastAsia" w:ascii="仿宋" w:hAnsi="仿宋" w:eastAsia="仿宋" w:cs="宋体"/>
                <w:color w:val="000000"/>
                <w:kern w:val="0"/>
                <w:highlight w:val="none"/>
              </w:rPr>
              <w:t>采用进口高分子材料，皮肤和肌肉分层清楚，具有完整的膝关节解剖结构，体表标志明显。</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2</w:t>
            </w:r>
            <w:r>
              <w:rPr>
                <w:rFonts w:ascii="仿宋" w:hAnsi="仿宋" w:eastAsia="仿宋" w:cs="宋体"/>
                <w:color w:val="000000"/>
                <w:kern w:val="0"/>
                <w:highlight w:val="none"/>
              </w:rPr>
              <w:t>.</w:t>
            </w:r>
            <w:r>
              <w:rPr>
                <w:rFonts w:hint="eastAsia" w:ascii="仿宋" w:hAnsi="仿宋" w:eastAsia="仿宋" w:cs="宋体"/>
                <w:color w:val="000000"/>
                <w:kern w:val="0"/>
                <w:highlight w:val="none"/>
              </w:rPr>
              <w:t>可反复进行穿刺，标准的穿刺体位，易于针刺并有逼真的进针感。</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3</w:t>
            </w:r>
            <w:r>
              <w:rPr>
                <w:rFonts w:ascii="仿宋" w:hAnsi="仿宋" w:eastAsia="仿宋" w:cs="宋体"/>
                <w:color w:val="000000"/>
                <w:kern w:val="0"/>
                <w:highlight w:val="none"/>
              </w:rPr>
              <w:t>.</w:t>
            </w:r>
            <w:r>
              <w:rPr>
                <w:rFonts w:hint="eastAsia" w:ascii="仿宋" w:hAnsi="仿宋" w:eastAsia="仿宋" w:cs="宋体"/>
                <w:color w:val="000000"/>
                <w:kern w:val="0"/>
                <w:highlight w:val="none"/>
              </w:rPr>
              <w:t>可一个单向阀向滑囊内反复注入液体，模拟滑囊液。</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4</w:t>
            </w:r>
            <w:r>
              <w:rPr>
                <w:rFonts w:ascii="仿宋" w:hAnsi="仿宋" w:eastAsia="仿宋" w:cs="宋体"/>
                <w:color w:val="000000"/>
                <w:kern w:val="0"/>
                <w:highlight w:val="none"/>
              </w:rPr>
              <w:t>.</w:t>
            </w:r>
            <w:r>
              <w:rPr>
                <w:rFonts w:hint="eastAsia" w:ascii="仿宋" w:hAnsi="仿宋" w:eastAsia="仿宋" w:cs="宋体"/>
                <w:color w:val="000000"/>
                <w:kern w:val="0"/>
                <w:highlight w:val="none"/>
              </w:rPr>
              <w:t>滑囊自动封口。</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5</w:t>
            </w:r>
            <w:r>
              <w:rPr>
                <w:rFonts w:ascii="仿宋" w:hAnsi="仿宋" w:eastAsia="仿宋" w:cs="宋体"/>
                <w:color w:val="000000"/>
                <w:kern w:val="0"/>
                <w:highlight w:val="none"/>
              </w:rPr>
              <w:t>.</w:t>
            </w:r>
            <w:r>
              <w:rPr>
                <w:rFonts w:hint="eastAsia" w:ascii="仿宋" w:hAnsi="仿宋" w:eastAsia="仿宋" w:cs="宋体"/>
                <w:color w:val="000000"/>
                <w:kern w:val="0"/>
                <w:highlight w:val="none"/>
              </w:rPr>
              <w:t>智能评判系统：每个部位穿刺正确时，在控制盒上会有相应绿灯提示。</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6</w:t>
            </w:r>
            <w:r>
              <w:rPr>
                <w:rFonts w:ascii="仿宋" w:hAnsi="仿宋" w:eastAsia="仿宋" w:cs="宋体"/>
                <w:color w:val="000000"/>
                <w:kern w:val="0"/>
                <w:highlight w:val="none"/>
              </w:rPr>
              <w:t>.</w:t>
            </w:r>
            <w:r>
              <w:rPr>
                <w:rFonts w:hint="eastAsia" w:ascii="仿宋" w:hAnsi="仿宋" w:eastAsia="仿宋" w:cs="宋体"/>
                <w:color w:val="000000"/>
                <w:kern w:val="0"/>
                <w:highlight w:val="none"/>
              </w:rPr>
              <w:t>皮肤表面可用肥皂水清洁，皮肤可更换。</w:t>
            </w:r>
          </w:p>
        </w:tc>
        <w:tc>
          <w:tcPr>
            <w:tcW w:w="93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个</w:t>
            </w:r>
          </w:p>
        </w:tc>
        <w:tc>
          <w:tcPr>
            <w:tcW w:w="37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0"/>
                <w:highlight w:val="none"/>
              </w:rPr>
            </w:pPr>
            <w:r>
              <w:rPr>
                <w:rFonts w:hint="eastAsia" w:ascii="仿宋" w:hAnsi="仿宋" w:eastAsia="仿宋" w:cs="宋体"/>
                <w:color w:val="000000"/>
                <w:kern w:val="0"/>
                <w:sz w:val="20"/>
                <w:highlight w:val="none"/>
              </w:rPr>
              <w:t>1</w:t>
            </w:r>
          </w:p>
        </w:tc>
      </w:tr>
      <w:tr>
        <w:tblPrEx>
          <w:tblLayout w:type="fixed"/>
          <w:tblCellMar>
            <w:top w:w="0" w:type="dxa"/>
            <w:left w:w="108" w:type="dxa"/>
            <w:bottom w:w="0" w:type="dxa"/>
            <w:right w:w="108" w:type="dxa"/>
          </w:tblCellMar>
        </w:tblPrEx>
        <w:trPr>
          <w:trHeight w:val="810" w:hRule="atLeast"/>
        </w:trPr>
        <w:tc>
          <w:tcPr>
            <w:tcW w:w="543" w:type="dxa"/>
            <w:gridSpan w:val="3"/>
            <w:tcBorders>
              <w:top w:val="nil"/>
              <w:left w:val="single" w:color="auto" w:sz="4" w:space="0"/>
              <w:bottom w:val="single" w:color="auto" w:sz="4" w:space="0"/>
              <w:right w:val="single" w:color="auto" w:sz="4" w:space="0"/>
            </w:tcBorders>
            <w:shd w:val="clear" w:color="auto" w:fill="auto"/>
            <w:vAlign w:val="center"/>
          </w:tcPr>
          <w:p>
            <w:pPr>
              <w:jc w:val="center"/>
              <w:rPr>
                <w:highlight w:val="none"/>
              </w:rPr>
            </w:pPr>
            <w:r>
              <w:rPr>
                <w:rFonts w:hint="eastAsia"/>
                <w:color w:val="000000"/>
                <w:sz w:val="20"/>
                <w:szCs w:val="20"/>
                <w:highlight w:val="none"/>
              </w:rPr>
              <w:t>7</w:t>
            </w:r>
          </w:p>
        </w:tc>
        <w:tc>
          <w:tcPr>
            <w:tcW w:w="127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sz w:val="20"/>
                <w:szCs w:val="20"/>
                <w:highlight w:val="none"/>
              </w:rPr>
              <w:t>高级直肠指诊检查模型</w:t>
            </w:r>
          </w:p>
        </w:tc>
        <w:tc>
          <w:tcPr>
            <w:tcW w:w="6670" w:type="dxa"/>
            <w:gridSpan w:val="2"/>
            <w:tcBorders>
              <w:top w:val="nil"/>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前列腺触诊：</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1. 正常前列腺：模拟栗子大小，横径4cm，垂直径3cm，前后径2cm。前列腺体的后面中间有一纵行的浅沟即前列腺沟。</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2. 良性前列腺增生：前列腺I度增生，前列腺肿大，模拟鸡蛋大小，前列腺后面平坦，中间沟变浅。</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3. 良性前列腺增生：前列腺II度增生，前列腺中度肿大，模拟鸭蛋大小，前列腺中间沟消失。</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4. 良性前列腺增生：前列腺III度增生，前列腺重度肿大，表面规则，质地硬，模拟鹅蛋大小，前列腺底部不能触及；</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直肠触诊：</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1. 正常直肠；</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2. 直肠息肉：单发性较多，多数为带蒂的息肉。</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3. 直肠癌早期：直肠后壁表面可触及结节肿块，质地较硬。</w:t>
            </w:r>
          </w:p>
          <w:p>
            <w:pPr>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4. 直肠癌晚期：直肠后壁可触及较大结节肿块，表面凹凸不平，质地坚硬，为直肠癌晚期发展阶段。</w:t>
            </w:r>
          </w:p>
        </w:tc>
        <w:tc>
          <w:tcPr>
            <w:tcW w:w="93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个</w:t>
            </w:r>
          </w:p>
        </w:tc>
        <w:tc>
          <w:tcPr>
            <w:tcW w:w="37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0"/>
                <w:highlight w:val="none"/>
              </w:rPr>
            </w:pPr>
            <w:r>
              <w:rPr>
                <w:rFonts w:hint="eastAsia" w:ascii="仿宋" w:hAnsi="仿宋" w:eastAsia="仿宋" w:cs="宋体"/>
                <w:color w:val="000000"/>
                <w:kern w:val="0"/>
                <w:sz w:val="20"/>
                <w:highlight w:val="none"/>
              </w:rPr>
              <w:t>1</w:t>
            </w:r>
          </w:p>
        </w:tc>
      </w:tr>
      <w:tr>
        <w:tblPrEx>
          <w:tblLayout w:type="fixed"/>
          <w:tblCellMar>
            <w:top w:w="0" w:type="dxa"/>
            <w:left w:w="108" w:type="dxa"/>
            <w:bottom w:w="0" w:type="dxa"/>
            <w:right w:w="108" w:type="dxa"/>
          </w:tblCellMar>
        </w:tblPrEx>
        <w:trPr>
          <w:trHeight w:val="810" w:hRule="atLeast"/>
        </w:trPr>
        <w:tc>
          <w:tcPr>
            <w:tcW w:w="543" w:type="dxa"/>
            <w:gridSpan w:val="3"/>
            <w:tcBorders>
              <w:top w:val="nil"/>
              <w:left w:val="single" w:color="auto" w:sz="4" w:space="0"/>
              <w:bottom w:val="single" w:color="auto" w:sz="4" w:space="0"/>
              <w:right w:val="single" w:color="auto" w:sz="4" w:space="0"/>
            </w:tcBorders>
            <w:shd w:val="clear" w:color="auto" w:fill="auto"/>
            <w:vAlign w:val="center"/>
          </w:tcPr>
          <w:p>
            <w:pPr>
              <w:jc w:val="center"/>
              <w:rPr>
                <w:highlight w:val="none"/>
              </w:rPr>
            </w:pPr>
            <w:r>
              <w:rPr>
                <w:rFonts w:hint="eastAsia"/>
                <w:color w:val="000000"/>
                <w:sz w:val="20"/>
                <w:szCs w:val="20"/>
                <w:highlight w:val="none"/>
              </w:rPr>
              <w:t>8</w:t>
            </w:r>
          </w:p>
        </w:tc>
        <w:tc>
          <w:tcPr>
            <w:tcW w:w="1279" w:type="dxa"/>
            <w:gridSpan w:val="2"/>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外科切口缝合手</w:t>
            </w:r>
          </w:p>
        </w:tc>
        <w:tc>
          <w:tcPr>
            <w:tcW w:w="6670" w:type="dxa"/>
            <w:gridSpan w:val="2"/>
            <w:tcBorders>
              <w:top w:val="nil"/>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1.可进行切开、缝合、拆线、包扎等外科基本技能的练习。</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2.皮肤弹性和柔韧性极佳，可反复进行几百次缝合练习，当缝合线拉紧时也不会造成皮肤的撕裂。</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3.并有多处已切开伤口，暴露模拟红色皮下和肌肉组织。</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4.除了已有几处伤口外，也可以进行多部位的切开缝合练习。</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highlight w:val="none"/>
              </w:rPr>
              <w:t>5.配有切开缝合器械和缝合针线。</w:t>
            </w:r>
          </w:p>
        </w:tc>
        <w:tc>
          <w:tcPr>
            <w:tcW w:w="93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个</w:t>
            </w:r>
          </w:p>
        </w:tc>
        <w:tc>
          <w:tcPr>
            <w:tcW w:w="37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0"/>
                <w:highlight w:val="none"/>
              </w:rPr>
            </w:pPr>
            <w:r>
              <w:rPr>
                <w:rFonts w:hint="eastAsia" w:ascii="仿宋" w:hAnsi="仿宋" w:eastAsia="仿宋" w:cs="宋体"/>
                <w:color w:val="000000"/>
                <w:kern w:val="0"/>
                <w:sz w:val="20"/>
                <w:highlight w:val="none"/>
              </w:rPr>
              <w:t>1</w:t>
            </w:r>
          </w:p>
        </w:tc>
      </w:tr>
      <w:tr>
        <w:tblPrEx>
          <w:tblLayout w:type="fixed"/>
          <w:tblCellMar>
            <w:top w:w="0" w:type="dxa"/>
            <w:left w:w="108" w:type="dxa"/>
            <w:bottom w:w="0" w:type="dxa"/>
            <w:right w:w="108" w:type="dxa"/>
          </w:tblCellMar>
        </w:tblPrEx>
        <w:trPr>
          <w:trHeight w:val="810" w:hRule="atLeast"/>
        </w:trPr>
        <w:tc>
          <w:tcPr>
            <w:tcW w:w="543" w:type="dxa"/>
            <w:gridSpan w:val="3"/>
            <w:tcBorders>
              <w:top w:val="nil"/>
              <w:left w:val="single" w:color="auto" w:sz="4" w:space="0"/>
              <w:bottom w:val="single" w:color="auto" w:sz="4" w:space="0"/>
              <w:right w:val="single" w:color="auto" w:sz="4" w:space="0"/>
            </w:tcBorders>
            <w:shd w:val="clear" w:color="auto" w:fill="auto"/>
            <w:vAlign w:val="center"/>
          </w:tcPr>
          <w:p>
            <w:pPr>
              <w:jc w:val="center"/>
              <w:rPr>
                <w:highlight w:val="none"/>
              </w:rPr>
            </w:pPr>
            <w:r>
              <w:rPr>
                <w:rFonts w:hint="eastAsia"/>
                <w:color w:val="000000"/>
                <w:sz w:val="20"/>
                <w:szCs w:val="20"/>
                <w:highlight w:val="none"/>
              </w:rPr>
              <w:t>9</w:t>
            </w:r>
          </w:p>
        </w:tc>
        <w:tc>
          <w:tcPr>
            <w:tcW w:w="1279" w:type="dxa"/>
            <w:gridSpan w:val="2"/>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外科切口缝合脚</w:t>
            </w:r>
          </w:p>
        </w:tc>
        <w:tc>
          <w:tcPr>
            <w:tcW w:w="6670" w:type="dxa"/>
            <w:gridSpan w:val="2"/>
            <w:tcBorders>
              <w:top w:val="nil"/>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1.可进行切开、缝合、拆线、包扎等外科基本技能的练习。</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2.皮肤弹性和柔韧性极佳，可反复进行几百次缝合练习，当缝合线拉紧时也不会造成皮肤的撕裂。</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3.并有多处已切开伤口，暴露模拟红色皮下和肌肉组织。</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4.除了已有几处伤口外，也可以进行多部位的切开缝合练习。</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highlight w:val="none"/>
              </w:rPr>
              <w:t>5.配有切开缝合器械和缝合针线。</w:t>
            </w:r>
          </w:p>
        </w:tc>
        <w:tc>
          <w:tcPr>
            <w:tcW w:w="93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个</w:t>
            </w:r>
          </w:p>
        </w:tc>
        <w:tc>
          <w:tcPr>
            <w:tcW w:w="37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0"/>
                <w:highlight w:val="none"/>
              </w:rPr>
            </w:pPr>
            <w:r>
              <w:rPr>
                <w:rFonts w:hint="eastAsia" w:ascii="仿宋" w:hAnsi="仿宋" w:eastAsia="仿宋" w:cs="宋体"/>
                <w:color w:val="000000"/>
                <w:kern w:val="0"/>
                <w:sz w:val="20"/>
                <w:highlight w:val="none"/>
              </w:rPr>
              <w:t>1</w:t>
            </w:r>
          </w:p>
        </w:tc>
      </w:tr>
      <w:tr>
        <w:tblPrEx>
          <w:tblLayout w:type="fixed"/>
          <w:tblCellMar>
            <w:top w:w="0" w:type="dxa"/>
            <w:left w:w="108" w:type="dxa"/>
            <w:bottom w:w="0" w:type="dxa"/>
            <w:right w:w="108" w:type="dxa"/>
          </w:tblCellMar>
        </w:tblPrEx>
        <w:trPr>
          <w:trHeight w:val="810" w:hRule="atLeast"/>
        </w:trPr>
        <w:tc>
          <w:tcPr>
            <w:tcW w:w="543" w:type="dxa"/>
            <w:gridSpan w:val="3"/>
            <w:tcBorders>
              <w:top w:val="nil"/>
              <w:left w:val="single" w:color="auto" w:sz="4" w:space="0"/>
              <w:bottom w:val="single" w:color="auto" w:sz="4" w:space="0"/>
              <w:right w:val="single" w:color="auto" w:sz="4" w:space="0"/>
            </w:tcBorders>
            <w:shd w:val="clear" w:color="auto" w:fill="auto"/>
            <w:vAlign w:val="center"/>
          </w:tcPr>
          <w:p>
            <w:pPr>
              <w:jc w:val="center"/>
              <w:rPr>
                <w:highlight w:val="none"/>
              </w:rPr>
            </w:pPr>
            <w:r>
              <w:rPr>
                <w:rFonts w:hint="eastAsia"/>
                <w:color w:val="000000"/>
                <w:sz w:val="20"/>
                <w:szCs w:val="20"/>
                <w:highlight w:val="none"/>
              </w:rPr>
              <w:t>10</w:t>
            </w:r>
          </w:p>
        </w:tc>
        <w:tc>
          <w:tcPr>
            <w:tcW w:w="1279" w:type="dxa"/>
            <w:gridSpan w:val="2"/>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高级耳部检查模型</w:t>
            </w:r>
          </w:p>
        </w:tc>
        <w:tc>
          <w:tcPr>
            <w:tcW w:w="6670" w:type="dxa"/>
            <w:gridSpan w:val="2"/>
            <w:tcBorders>
              <w:top w:val="nil"/>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1.精确的耳廓、外耳道、鼓膜等解剖结构；</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2.可用耳镜进行耳内病变的检查；</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3.可进行耵聍清理操作练习；</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提供多种耳朵病变组件，更换方便，组件包括：</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   1.正常耳廓；</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   2.正常鼓膜；</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   3.鼓膜充血；</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   4.鼓膜内陷；</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   5.鼓膜小穿孔；</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   6.鼓膜全穿孔；</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   7.外伤性鼓膜穿孔；</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   8.干性中央性穿孔；</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   9.鼓膜切开置管；</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   10.鼓膜鼓室硬化症；</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   11.鼓室硬化症新月体硬化斑；</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   12.浆液性中耳炎渗液；</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   13.早期急性中耳炎充血；</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 xml:space="preserve">   14.慢性化脓性中耳炎；</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highlight w:val="none"/>
              </w:rPr>
              <w:t xml:space="preserve">   15.胆脂瘤与外耳道骨瘤。</w:t>
            </w:r>
          </w:p>
        </w:tc>
        <w:tc>
          <w:tcPr>
            <w:tcW w:w="93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个</w:t>
            </w:r>
          </w:p>
        </w:tc>
        <w:tc>
          <w:tcPr>
            <w:tcW w:w="37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0"/>
                <w:highlight w:val="none"/>
              </w:rPr>
            </w:pPr>
            <w:r>
              <w:rPr>
                <w:rFonts w:hint="eastAsia" w:ascii="仿宋" w:hAnsi="仿宋" w:eastAsia="仿宋" w:cs="宋体"/>
                <w:color w:val="000000"/>
                <w:kern w:val="0"/>
                <w:sz w:val="20"/>
                <w:highlight w:val="none"/>
              </w:rPr>
              <w:t>1</w:t>
            </w:r>
          </w:p>
        </w:tc>
      </w:tr>
      <w:tr>
        <w:tblPrEx>
          <w:tblLayout w:type="fixed"/>
          <w:tblCellMar>
            <w:top w:w="0" w:type="dxa"/>
            <w:left w:w="108" w:type="dxa"/>
            <w:bottom w:w="0" w:type="dxa"/>
            <w:right w:w="108" w:type="dxa"/>
          </w:tblCellMar>
        </w:tblPrEx>
        <w:trPr>
          <w:trHeight w:val="810" w:hRule="atLeast"/>
        </w:trPr>
        <w:tc>
          <w:tcPr>
            <w:tcW w:w="543" w:type="dxa"/>
            <w:gridSpan w:val="3"/>
            <w:tcBorders>
              <w:top w:val="nil"/>
              <w:left w:val="single" w:color="auto" w:sz="4" w:space="0"/>
              <w:bottom w:val="single" w:color="auto" w:sz="4" w:space="0"/>
              <w:right w:val="single" w:color="auto" w:sz="4" w:space="0"/>
            </w:tcBorders>
            <w:shd w:val="clear" w:color="auto" w:fill="auto"/>
            <w:vAlign w:val="center"/>
          </w:tcPr>
          <w:p>
            <w:pPr>
              <w:jc w:val="center"/>
              <w:rPr>
                <w:highlight w:val="none"/>
              </w:rPr>
            </w:pPr>
            <w:r>
              <w:rPr>
                <w:rFonts w:hint="eastAsia"/>
                <w:color w:val="000000"/>
                <w:sz w:val="20"/>
                <w:szCs w:val="20"/>
                <w:highlight w:val="none"/>
              </w:rPr>
              <w:t>11</w:t>
            </w:r>
          </w:p>
        </w:tc>
        <w:tc>
          <w:tcPr>
            <w:tcW w:w="1279" w:type="dxa"/>
            <w:gridSpan w:val="2"/>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缝合练习模块（附底座）</w:t>
            </w:r>
          </w:p>
        </w:tc>
        <w:tc>
          <w:tcPr>
            <w:tcW w:w="6670" w:type="dxa"/>
            <w:gridSpan w:val="2"/>
            <w:tcBorders>
              <w:top w:val="nil"/>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1.可进行切开、缝合、拆线外科基本技能的练习。</w:t>
            </w:r>
          </w:p>
          <w:p>
            <w:pPr>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2.附底座。</w:t>
            </w:r>
          </w:p>
        </w:tc>
        <w:tc>
          <w:tcPr>
            <w:tcW w:w="93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台</w:t>
            </w:r>
          </w:p>
        </w:tc>
        <w:tc>
          <w:tcPr>
            <w:tcW w:w="37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0"/>
                <w:highlight w:val="none"/>
              </w:rPr>
            </w:pPr>
            <w:r>
              <w:rPr>
                <w:rFonts w:hint="eastAsia" w:ascii="仿宋" w:hAnsi="仿宋" w:eastAsia="仿宋" w:cs="宋体"/>
                <w:color w:val="000000"/>
                <w:kern w:val="0"/>
                <w:sz w:val="20"/>
                <w:highlight w:val="none"/>
              </w:rPr>
              <w:t>1</w:t>
            </w:r>
            <w:r>
              <w:rPr>
                <w:rFonts w:ascii="仿宋" w:hAnsi="仿宋" w:eastAsia="仿宋" w:cs="宋体"/>
                <w:color w:val="000000"/>
                <w:kern w:val="0"/>
                <w:sz w:val="20"/>
                <w:highlight w:val="none"/>
              </w:rPr>
              <w:t>0</w:t>
            </w:r>
          </w:p>
        </w:tc>
      </w:tr>
      <w:tr>
        <w:tblPrEx>
          <w:tblLayout w:type="fixed"/>
          <w:tblCellMar>
            <w:top w:w="0" w:type="dxa"/>
            <w:left w:w="108" w:type="dxa"/>
            <w:bottom w:w="0" w:type="dxa"/>
            <w:right w:w="108" w:type="dxa"/>
          </w:tblCellMar>
        </w:tblPrEx>
        <w:trPr>
          <w:trHeight w:val="810" w:hRule="atLeast"/>
        </w:trPr>
        <w:tc>
          <w:tcPr>
            <w:tcW w:w="543" w:type="dxa"/>
            <w:gridSpan w:val="3"/>
            <w:tcBorders>
              <w:top w:val="nil"/>
              <w:left w:val="single" w:color="auto" w:sz="4" w:space="0"/>
              <w:bottom w:val="single" w:color="auto" w:sz="4" w:space="0"/>
              <w:right w:val="single" w:color="auto" w:sz="4" w:space="0"/>
            </w:tcBorders>
            <w:shd w:val="clear" w:color="auto" w:fill="auto"/>
            <w:vAlign w:val="center"/>
          </w:tcPr>
          <w:p>
            <w:pPr>
              <w:jc w:val="center"/>
              <w:rPr>
                <w:highlight w:val="none"/>
              </w:rPr>
            </w:pPr>
            <w:r>
              <w:rPr>
                <w:rFonts w:hint="eastAsia"/>
                <w:color w:val="000000"/>
                <w:sz w:val="20"/>
                <w:szCs w:val="20"/>
                <w:highlight w:val="none"/>
              </w:rPr>
              <w:t>12</w:t>
            </w:r>
          </w:p>
        </w:tc>
        <w:tc>
          <w:tcPr>
            <w:tcW w:w="1279" w:type="dxa"/>
            <w:gridSpan w:val="2"/>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脂肪瘤切除术练习模块</w:t>
            </w:r>
          </w:p>
        </w:tc>
        <w:tc>
          <w:tcPr>
            <w:tcW w:w="6670" w:type="dxa"/>
            <w:gridSpan w:val="2"/>
            <w:tcBorders>
              <w:top w:val="nil"/>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1.提供3块脂肪瘤切除术练习模块。</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highlight w:val="none"/>
              </w:rPr>
              <w:t>2.主要应用于外科局部小手术的操作训练</w:t>
            </w:r>
          </w:p>
        </w:tc>
        <w:tc>
          <w:tcPr>
            <w:tcW w:w="93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个</w:t>
            </w:r>
          </w:p>
        </w:tc>
        <w:tc>
          <w:tcPr>
            <w:tcW w:w="37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0"/>
                <w:highlight w:val="none"/>
              </w:rPr>
            </w:pPr>
            <w:r>
              <w:rPr>
                <w:rFonts w:hint="eastAsia" w:ascii="仿宋" w:hAnsi="仿宋" w:eastAsia="仿宋" w:cs="宋体"/>
                <w:color w:val="000000"/>
                <w:kern w:val="0"/>
                <w:sz w:val="20"/>
                <w:highlight w:val="none"/>
              </w:rPr>
              <w:t>1</w:t>
            </w:r>
            <w:r>
              <w:rPr>
                <w:rFonts w:ascii="仿宋" w:hAnsi="仿宋" w:eastAsia="仿宋" w:cs="宋体"/>
                <w:color w:val="000000"/>
                <w:kern w:val="0"/>
                <w:sz w:val="20"/>
                <w:highlight w:val="none"/>
              </w:rPr>
              <w:t>0</w:t>
            </w:r>
          </w:p>
        </w:tc>
      </w:tr>
      <w:tr>
        <w:tblPrEx>
          <w:tblLayout w:type="fixed"/>
          <w:tblCellMar>
            <w:top w:w="0" w:type="dxa"/>
            <w:left w:w="108" w:type="dxa"/>
            <w:bottom w:w="0" w:type="dxa"/>
            <w:right w:w="108" w:type="dxa"/>
          </w:tblCellMar>
        </w:tblPrEx>
        <w:trPr>
          <w:trHeight w:val="810" w:hRule="atLeast"/>
        </w:trPr>
        <w:tc>
          <w:tcPr>
            <w:tcW w:w="543" w:type="dxa"/>
            <w:gridSpan w:val="3"/>
            <w:tcBorders>
              <w:top w:val="nil"/>
              <w:left w:val="single" w:color="auto" w:sz="4" w:space="0"/>
              <w:bottom w:val="single" w:color="auto" w:sz="4" w:space="0"/>
              <w:right w:val="single" w:color="auto" w:sz="4" w:space="0"/>
            </w:tcBorders>
            <w:shd w:val="clear" w:color="auto" w:fill="auto"/>
            <w:vAlign w:val="center"/>
          </w:tcPr>
          <w:p>
            <w:pPr>
              <w:jc w:val="center"/>
              <w:rPr>
                <w:highlight w:val="none"/>
              </w:rPr>
            </w:pPr>
            <w:r>
              <w:rPr>
                <w:rFonts w:hint="eastAsia"/>
                <w:color w:val="000000"/>
                <w:sz w:val="20"/>
                <w:szCs w:val="20"/>
                <w:highlight w:val="none"/>
              </w:rPr>
              <w:t>13</w:t>
            </w:r>
          </w:p>
        </w:tc>
        <w:tc>
          <w:tcPr>
            <w:tcW w:w="1279" w:type="dxa"/>
            <w:gridSpan w:val="2"/>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表皮常见病变处理训练模块</w:t>
            </w:r>
          </w:p>
        </w:tc>
        <w:tc>
          <w:tcPr>
            <w:tcW w:w="6670" w:type="dxa"/>
            <w:gridSpan w:val="2"/>
            <w:tcBorders>
              <w:top w:val="nil"/>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1.包含三种病变模型：皮赘、皮肤痣、皮脂溢性角化病。</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highlight w:val="none"/>
              </w:rPr>
              <w:t>2.可进行皮赘剪除术、皮肤痣切除术、皮脂溢性角化刮除术等基本技术训练。</w:t>
            </w:r>
          </w:p>
        </w:tc>
        <w:tc>
          <w:tcPr>
            <w:tcW w:w="93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个</w:t>
            </w:r>
          </w:p>
        </w:tc>
        <w:tc>
          <w:tcPr>
            <w:tcW w:w="37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0"/>
                <w:highlight w:val="none"/>
              </w:rPr>
            </w:pPr>
            <w:r>
              <w:rPr>
                <w:rFonts w:hint="eastAsia" w:ascii="仿宋" w:hAnsi="仿宋" w:eastAsia="仿宋" w:cs="宋体"/>
                <w:color w:val="000000"/>
                <w:kern w:val="0"/>
                <w:sz w:val="20"/>
                <w:highlight w:val="none"/>
              </w:rPr>
              <w:t>1</w:t>
            </w:r>
            <w:r>
              <w:rPr>
                <w:rFonts w:ascii="仿宋" w:hAnsi="仿宋" w:eastAsia="仿宋" w:cs="宋体"/>
                <w:color w:val="000000"/>
                <w:kern w:val="0"/>
                <w:sz w:val="20"/>
                <w:highlight w:val="none"/>
              </w:rPr>
              <w:t>0</w:t>
            </w:r>
          </w:p>
        </w:tc>
      </w:tr>
      <w:tr>
        <w:tblPrEx>
          <w:tblLayout w:type="fixed"/>
          <w:tblCellMar>
            <w:top w:w="0" w:type="dxa"/>
            <w:left w:w="108" w:type="dxa"/>
            <w:bottom w:w="0" w:type="dxa"/>
            <w:right w:w="108" w:type="dxa"/>
          </w:tblCellMar>
        </w:tblPrEx>
        <w:trPr>
          <w:trHeight w:val="810" w:hRule="atLeast"/>
        </w:trPr>
        <w:tc>
          <w:tcPr>
            <w:tcW w:w="543" w:type="dxa"/>
            <w:gridSpan w:val="3"/>
            <w:tcBorders>
              <w:top w:val="nil"/>
              <w:left w:val="single" w:color="auto" w:sz="4" w:space="0"/>
              <w:bottom w:val="single" w:color="auto" w:sz="4" w:space="0"/>
              <w:right w:val="single" w:color="auto" w:sz="4" w:space="0"/>
            </w:tcBorders>
            <w:shd w:val="clear" w:color="auto" w:fill="auto"/>
            <w:vAlign w:val="center"/>
          </w:tcPr>
          <w:p>
            <w:pPr>
              <w:jc w:val="center"/>
              <w:rPr>
                <w:highlight w:val="none"/>
              </w:rPr>
            </w:pPr>
            <w:r>
              <w:rPr>
                <w:rFonts w:hint="eastAsia"/>
                <w:color w:val="000000"/>
                <w:sz w:val="20"/>
                <w:szCs w:val="20"/>
                <w:highlight w:val="none"/>
              </w:rPr>
              <w:t>14</w:t>
            </w:r>
          </w:p>
        </w:tc>
        <w:tc>
          <w:tcPr>
            <w:tcW w:w="1279" w:type="dxa"/>
            <w:gridSpan w:val="2"/>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高级乳腺视诊与触诊模型</w:t>
            </w:r>
          </w:p>
        </w:tc>
        <w:tc>
          <w:tcPr>
            <w:tcW w:w="6670" w:type="dxa"/>
            <w:gridSpan w:val="2"/>
            <w:tcBorders>
              <w:top w:val="nil"/>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1.包含各种常见乳腺肿瘤的典型体征，专门针对女性乳腺临床诊断和自我检查；</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2.塑胶材料制作，质地柔软，触感真实；</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3.乳房分区提供不同的病理特征；</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4.模型提供以下病变：</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（1）结节：质地坚硬，表面不光滑，可视为恶性肿瘤；</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（2）质地相对柔软，表面平滑，可视为良性肿瘤；</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（3）淋巴转移：腋窝及颈部可触及质地较硬的淋巴结节；</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（4）乳头的改变：乳头凹陷；乳头破溃及血性液体溢出；</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highlight w:val="none"/>
              </w:rPr>
              <w:t>（5）皮肤的改变：皮肤凹陷，橘皮样外观。</w:t>
            </w:r>
          </w:p>
        </w:tc>
        <w:tc>
          <w:tcPr>
            <w:tcW w:w="93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个</w:t>
            </w:r>
          </w:p>
        </w:tc>
        <w:tc>
          <w:tcPr>
            <w:tcW w:w="37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0"/>
                <w:highlight w:val="none"/>
              </w:rPr>
            </w:pPr>
            <w:r>
              <w:rPr>
                <w:rFonts w:hint="eastAsia" w:ascii="仿宋" w:hAnsi="仿宋" w:eastAsia="仿宋" w:cs="宋体"/>
                <w:color w:val="000000"/>
                <w:kern w:val="0"/>
                <w:sz w:val="20"/>
                <w:highlight w:val="none"/>
              </w:rPr>
              <w:t>1</w:t>
            </w:r>
          </w:p>
        </w:tc>
      </w:tr>
      <w:tr>
        <w:tblPrEx>
          <w:tblLayout w:type="fixed"/>
          <w:tblCellMar>
            <w:top w:w="0" w:type="dxa"/>
            <w:left w:w="108" w:type="dxa"/>
            <w:bottom w:w="0" w:type="dxa"/>
            <w:right w:w="108" w:type="dxa"/>
          </w:tblCellMar>
        </w:tblPrEx>
        <w:trPr>
          <w:trHeight w:val="810" w:hRule="atLeast"/>
        </w:trPr>
        <w:tc>
          <w:tcPr>
            <w:tcW w:w="543" w:type="dxa"/>
            <w:gridSpan w:val="3"/>
            <w:tcBorders>
              <w:top w:val="nil"/>
              <w:left w:val="single" w:color="auto" w:sz="4" w:space="0"/>
              <w:bottom w:val="single" w:color="auto" w:sz="4" w:space="0"/>
              <w:right w:val="single" w:color="auto" w:sz="4" w:space="0"/>
            </w:tcBorders>
            <w:shd w:val="clear" w:color="auto" w:fill="auto"/>
            <w:vAlign w:val="center"/>
          </w:tcPr>
          <w:p>
            <w:pPr>
              <w:jc w:val="center"/>
              <w:rPr>
                <w:highlight w:val="none"/>
              </w:rPr>
            </w:pPr>
            <w:r>
              <w:rPr>
                <w:rFonts w:hint="eastAsia"/>
                <w:color w:val="000000"/>
                <w:sz w:val="20"/>
                <w:szCs w:val="20"/>
                <w:highlight w:val="none"/>
              </w:rPr>
              <w:t>15</w:t>
            </w:r>
          </w:p>
        </w:tc>
        <w:tc>
          <w:tcPr>
            <w:tcW w:w="1279" w:type="dxa"/>
            <w:gridSpan w:val="2"/>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高级男性导尿模型</w:t>
            </w:r>
          </w:p>
        </w:tc>
        <w:tc>
          <w:tcPr>
            <w:tcW w:w="6670" w:type="dxa"/>
            <w:gridSpan w:val="2"/>
            <w:tcBorders>
              <w:top w:val="nil"/>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1.模型参照男性内外生殖器解剖结构设计；</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2.润滑过的导尿管可以通过尿道口插入尿道，进入膀胱；</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3.当导尿管进入膀胱时，模拟尿液就会从导尿管口流出；</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highlight w:val="none"/>
              </w:rPr>
              <w:t>4.导尿通过粘膜皱壁、尿道球部及尿道内括约肌时，将会体验到如同真人般的狭窄感，可以通过改变体位和阴茎的位置，使导管顺利插入。</w:t>
            </w:r>
          </w:p>
        </w:tc>
        <w:tc>
          <w:tcPr>
            <w:tcW w:w="93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个</w:t>
            </w:r>
          </w:p>
        </w:tc>
        <w:tc>
          <w:tcPr>
            <w:tcW w:w="37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0"/>
                <w:highlight w:val="none"/>
              </w:rPr>
            </w:pPr>
            <w:r>
              <w:rPr>
                <w:rFonts w:hint="eastAsia" w:ascii="仿宋" w:hAnsi="仿宋" w:eastAsia="仿宋" w:cs="宋体"/>
                <w:color w:val="000000"/>
                <w:kern w:val="0"/>
                <w:sz w:val="20"/>
                <w:highlight w:val="none"/>
              </w:rPr>
              <w:t>1</w:t>
            </w:r>
          </w:p>
        </w:tc>
      </w:tr>
      <w:tr>
        <w:tblPrEx>
          <w:tblLayout w:type="fixed"/>
          <w:tblCellMar>
            <w:top w:w="0" w:type="dxa"/>
            <w:left w:w="108" w:type="dxa"/>
            <w:bottom w:w="0" w:type="dxa"/>
            <w:right w:w="108" w:type="dxa"/>
          </w:tblCellMar>
        </w:tblPrEx>
        <w:trPr>
          <w:trHeight w:val="810" w:hRule="atLeast"/>
        </w:trPr>
        <w:tc>
          <w:tcPr>
            <w:tcW w:w="543" w:type="dxa"/>
            <w:gridSpan w:val="3"/>
            <w:tcBorders>
              <w:top w:val="nil"/>
              <w:left w:val="single" w:color="auto" w:sz="4" w:space="0"/>
              <w:bottom w:val="single" w:color="auto" w:sz="4" w:space="0"/>
              <w:right w:val="single" w:color="auto" w:sz="4" w:space="0"/>
            </w:tcBorders>
            <w:shd w:val="clear" w:color="auto" w:fill="auto"/>
            <w:vAlign w:val="center"/>
          </w:tcPr>
          <w:p>
            <w:pPr>
              <w:jc w:val="center"/>
              <w:rPr>
                <w:highlight w:val="none"/>
              </w:rPr>
            </w:pPr>
            <w:r>
              <w:rPr>
                <w:rFonts w:hint="eastAsia"/>
                <w:color w:val="000000"/>
                <w:sz w:val="20"/>
                <w:szCs w:val="20"/>
                <w:highlight w:val="none"/>
              </w:rPr>
              <w:t>16</w:t>
            </w:r>
          </w:p>
        </w:tc>
        <w:tc>
          <w:tcPr>
            <w:tcW w:w="1279" w:type="dxa"/>
            <w:gridSpan w:val="2"/>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高级女性导尿模型</w:t>
            </w:r>
          </w:p>
        </w:tc>
        <w:tc>
          <w:tcPr>
            <w:tcW w:w="6670" w:type="dxa"/>
            <w:gridSpan w:val="2"/>
            <w:tcBorders>
              <w:top w:val="nil"/>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1.模仿中年女性的外生殖器的会阴，大腿处于外展位；</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2.模型包括膀胱、尿道、尿道括约肌等解剖结构；</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3.小阴唇可以向两旁分开以暴露阴蒂、尿道口及阴道口；</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4.当导尿管插入尿道，通过尿道括约肌进入膀胱时，有真实的阻力与压力；</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highlight w:val="none"/>
              </w:rPr>
              <w:t>5.当导管进入膀胱时，模拟尿液将从导管中流出。</w:t>
            </w:r>
          </w:p>
        </w:tc>
        <w:tc>
          <w:tcPr>
            <w:tcW w:w="93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个</w:t>
            </w:r>
          </w:p>
        </w:tc>
        <w:tc>
          <w:tcPr>
            <w:tcW w:w="37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0"/>
                <w:highlight w:val="none"/>
              </w:rPr>
            </w:pPr>
            <w:r>
              <w:rPr>
                <w:rFonts w:hint="eastAsia" w:ascii="仿宋" w:hAnsi="仿宋" w:eastAsia="仿宋" w:cs="宋体"/>
                <w:color w:val="000000"/>
                <w:kern w:val="0"/>
                <w:sz w:val="20"/>
                <w:highlight w:val="none"/>
              </w:rPr>
              <w:t>1</w:t>
            </w:r>
          </w:p>
        </w:tc>
      </w:tr>
      <w:tr>
        <w:tblPrEx>
          <w:tblLayout w:type="fixed"/>
          <w:tblCellMar>
            <w:top w:w="0" w:type="dxa"/>
            <w:left w:w="108" w:type="dxa"/>
            <w:bottom w:w="0" w:type="dxa"/>
            <w:right w:w="108" w:type="dxa"/>
          </w:tblCellMar>
        </w:tblPrEx>
        <w:trPr>
          <w:trHeight w:val="810" w:hRule="atLeast"/>
        </w:trPr>
        <w:tc>
          <w:tcPr>
            <w:tcW w:w="543" w:type="dxa"/>
            <w:gridSpan w:val="3"/>
            <w:tcBorders>
              <w:top w:val="nil"/>
              <w:left w:val="single" w:color="auto" w:sz="4" w:space="0"/>
              <w:bottom w:val="single" w:color="auto" w:sz="4" w:space="0"/>
              <w:right w:val="single" w:color="auto" w:sz="4" w:space="0"/>
            </w:tcBorders>
            <w:shd w:val="clear" w:color="auto" w:fill="auto"/>
            <w:vAlign w:val="center"/>
          </w:tcPr>
          <w:p>
            <w:pPr>
              <w:jc w:val="center"/>
              <w:rPr>
                <w:highlight w:val="none"/>
              </w:rPr>
            </w:pPr>
            <w:r>
              <w:rPr>
                <w:rFonts w:hint="eastAsia"/>
                <w:color w:val="000000"/>
                <w:sz w:val="20"/>
                <w:szCs w:val="20"/>
                <w:highlight w:val="none"/>
              </w:rPr>
              <w:t>17</w:t>
            </w:r>
          </w:p>
        </w:tc>
        <w:tc>
          <w:tcPr>
            <w:tcW w:w="1279" w:type="dxa"/>
            <w:gridSpan w:val="2"/>
            <w:tcBorders>
              <w:top w:val="nil"/>
              <w:left w:val="nil"/>
              <w:bottom w:val="single" w:color="auto" w:sz="4" w:space="0"/>
              <w:right w:val="single" w:color="auto" w:sz="4" w:space="0"/>
            </w:tcBorders>
            <w:shd w:val="clear" w:color="auto" w:fill="auto"/>
            <w:vAlign w:val="center"/>
          </w:tcPr>
          <w:p>
            <w:pPr>
              <w:jc w:val="center"/>
              <w:textAlignment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高级糖尿病足护理模型</w:t>
            </w:r>
          </w:p>
        </w:tc>
        <w:tc>
          <w:tcPr>
            <w:tcW w:w="6670" w:type="dxa"/>
            <w:gridSpan w:val="2"/>
            <w:tcBorders>
              <w:top w:val="nil"/>
              <w:left w:val="nil"/>
              <w:bottom w:val="single" w:color="auto" w:sz="4" w:space="0"/>
              <w:right w:val="single" w:color="auto" w:sz="4" w:space="0"/>
            </w:tcBorders>
            <w:shd w:val="clear" w:color="auto" w:fill="auto"/>
            <w:vAlign w:val="center"/>
          </w:tcPr>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1.模型为糖尿病导致的足部病理变化，可进行病变的护理；</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2.侵入性创伤第1、2、3脚趾周围产生轻微的感染；</w:t>
            </w:r>
          </w:p>
          <w:p>
            <w:pPr>
              <w:adjustRightInd w:val="0"/>
              <w:snapToGrid w:val="0"/>
              <w:spacing w:line="276" w:lineRule="auto"/>
              <w:rPr>
                <w:rFonts w:ascii="仿宋" w:hAnsi="仿宋" w:eastAsia="仿宋" w:cs="宋体"/>
                <w:color w:val="000000"/>
                <w:kern w:val="0"/>
                <w:highlight w:val="none"/>
              </w:rPr>
            </w:pPr>
            <w:r>
              <w:rPr>
                <w:rFonts w:hint="eastAsia" w:ascii="仿宋" w:hAnsi="仿宋" w:eastAsia="仿宋" w:cs="宋体"/>
                <w:color w:val="000000"/>
                <w:kern w:val="0"/>
                <w:highlight w:val="none"/>
              </w:rPr>
              <w:t>3.展示严重的足部病变，如脚趾截肢、夏柯氏足和坏疽等；</w:t>
            </w:r>
          </w:p>
          <w:p>
            <w:pPr>
              <w:adjustRightInd w:val="0"/>
              <w:snapToGrid w:val="0"/>
              <w:spacing w:line="276" w:lineRule="auto"/>
              <w:rPr>
                <w:rFonts w:ascii="仿宋" w:hAnsi="仿宋" w:eastAsia="仿宋" w:cs="宋体"/>
                <w:color w:val="000000"/>
                <w:kern w:val="0"/>
                <w:sz w:val="20"/>
                <w:szCs w:val="20"/>
                <w:highlight w:val="none"/>
              </w:rPr>
            </w:pPr>
            <w:r>
              <w:rPr>
                <w:rFonts w:hint="eastAsia" w:ascii="仿宋" w:hAnsi="仿宋" w:eastAsia="仿宋" w:cs="宋体"/>
                <w:color w:val="000000"/>
                <w:kern w:val="0"/>
                <w:highlight w:val="none"/>
              </w:rPr>
              <w:t>4.模型材料柔软有弹性，脚趾可弯曲。</w:t>
            </w:r>
          </w:p>
        </w:tc>
        <w:tc>
          <w:tcPr>
            <w:tcW w:w="93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highlight w:val="none"/>
              </w:rPr>
            </w:pPr>
            <w:r>
              <w:rPr>
                <w:rFonts w:hint="eastAsia" w:ascii="仿宋" w:hAnsi="仿宋" w:eastAsia="仿宋" w:cs="宋体"/>
                <w:color w:val="000000"/>
                <w:kern w:val="0"/>
                <w:highlight w:val="none"/>
              </w:rPr>
              <w:t>个</w:t>
            </w:r>
          </w:p>
        </w:tc>
        <w:tc>
          <w:tcPr>
            <w:tcW w:w="376" w:type="dxa"/>
            <w:tcBorders>
              <w:top w:val="nil"/>
              <w:left w:val="nil"/>
              <w:bottom w:val="single" w:color="auto" w:sz="4" w:space="0"/>
              <w:right w:val="single" w:color="auto" w:sz="4" w:space="0"/>
            </w:tcBorders>
            <w:shd w:val="clear" w:color="auto" w:fill="auto"/>
            <w:vAlign w:val="center"/>
          </w:tcPr>
          <w:p>
            <w:pPr>
              <w:rPr>
                <w:rFonts w:ascii="仿宋" w:hAnsi="仿宋" w:eastAsia="仿宋" w:cs="宋体"/>
                <w:color w:val="000000"/>
                <w:kern w:val="0"/>
                <w:sz w:val="20"/>
                <w:highlight w:val="none"/>
              </w:rPr>
            </w:pPr>
            <w:r>
              <w:rPr>
                <w:rFonts w:hint="eastAsia" w:ascii="仿宋" w:hAnsi="仿宋" w:eastAsia="仿宋" w:cs="宋体"/>
                <w:color w:val="000000"/>
                <w:kern w:val="0"/>
                <w:sz w:val="20"/>
                <w:highlight w:val="none"/>
              </w:rPr>
              <w:t>1</w:t>
            </w:r>
          </w:p>
        </w:tc>
      </w:tr>
    </w:tbl>
    <w:p>
      <w:pPr>
        <w:spacing w:line="360" w:lineRule="auto"/>
        <w:rPr>
          <w:rFonts w:ascii="仿宋" w:hAnsi="仿宋" w:eastAsia="仿宋"/>
          <w:color w:val="000000"/>
          <w:sz w:val="24"/>
          <w:highlight w:val="none"/>
        </w:rPr>
      </w:pP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七、商务条款</w:t>
      </w:r>
    </w:p>
    <w:p>
      <w:pPr>
        <w:spacing w:line="360" w:lineRule="auto"/>
        <w:rPr>
          <w:rFonts w:ascii="仿宋" w:hAnsi="仿宋" w:eastAsia="仿宋"/>
          <w:b/>
          <w:color w:val="000000"/>
          <w:sz w:val="24"/>
          <w:highlight w:val="none"/>
        </w:rPr>
      </w:pPr>
      <w:r>
        <w:rPr>
          <w:rFonts w:ascii="仿宋" w:hAnsi="仿宋" w:eastAsia="仿宋"/>
          <w:b/>
          <w:color w:val="000000"/>
          <w:sz w:val="24"/>
          <w:highlight w:val="none"/>
        </w:rPr>
        <w:t>1</w:t>
      </w:r>
      <w:r>
        <w:rPr>
          <w:rFonts w:hint="eastAsia" w:ascii="仿宋" w:hAnsi="仿宋" w:eastAsia="仿宋"/>
          <w:b/>
          <w:color w:val="000000"/>
          <w:sz w:val="24"/>
          <w:highlight w:val="none"/>
        </w:rPr>
        <w:t>、付款方式</w:t>
      </w:r>
    </w:p>
    <w:p>
      <w:pPr>
        <w:spacing w:line="360" w:lineRule="auto"/>
        <w:rPr>
          <w:rFonts w:ascii="仿宋" w:hAnsi="仿宋" w:eastAsia="仿宋"/>
          <w:color w:val="000000"/>
          <w:sz w:val="24"/>
          <w:highlight w:val="none"/>
        </w:rPr>
      </w:pPr>
      <w:r>
        <w:rPr>
          <w:rFonts w:ascii="仿宋" w:hAnsi="仿宋" w:eastAsia="仿宋"/>
          <w:color w:val="000000"/>
          <w:sz w:val="24"/>
          <w:highlight w:val="none"/>
        </w:rPr>
        <w:t>1.1</w:t>
      </w:r>
      <w:r>
        <w:rPr>
          <w:rFonts w:hint="eastAsia" w:ascii="仿宋" w:hAnsi="仿宋" w:eastAsia="仿宋"/>
          <w:color w:val="000000"/>
          <w:sz w:val="24"/>
          <w:highlight w:val="none"/>
        </w:rPr>
        <w:t>合同签订后一个月内，采购人预付合同金额的1</w:t>
      </w:r>
      <w:r>
        <w:rPr>
          <w:rFonts w:ascii="仿宋" w:hAnsi="仿宋" w:eastAsia="仿宋"/>
          <w:color w:val="000000"/>
          <w:sz w:val="24"/>
          <w:highlight w:val="none"/>
        </w:rPr>
        <w:t>0</w:t>
      </w:r>
      <w:r>
        <w:rPr>
          <w:rFonts w:hint="eastAsia" w:ascii="仿宋" w:hAnsi="仿宋" w:eastAsia="仿宋"/>
          <w:color w:val="000000"/>
          <w:sz w:val="24"/>
          <w:highlight w:val="none"/>
        </w:rPr>
        <w:t>％，开收款收据。</w:t>
      </w:r>
    </w:p>
    <w:p>
      <w:pPr>
        <w:spacing w:line="360" w:lineRule="auto"/>
        <w:rPr>
          <w:rFonts w:ascii="仿宋" w:hAnsi="仿宋" w:eastAsia="仿宋"/>
          <w:color w:val="000000"/>
          <w:sz w:val="24"/>
          <w:highlight w:val="none"/>
        </w:rPr>
      </w:pPr>
      <w:r>
        <w:rPr>
          <w:rFonts w:ascii="仿宋" w:hAnsi="仿宋" w:eastAsia="仿宋"/>
          <w:color w:val="000000"/>
          <w:sz w:val="24"/>
          <w:highlight w:val="none"/>
        </w:rPr>
        <w:t>1.2</w:t>
      </w:r>
      <w:r>
        <w:rPr>
          <w:rFonts w:hint="eastAsia" w:ascii="仿宋" w:hAnsi="仿宋" w:eastAsia="仿宋"/>
          <w:color w:val="000000"/>
          <w:sz w:val="24"/>
          <w:highlight w:val="none"/>
        </w:rPr>
        <w:t>本系统试运行正常运转、提交符合要求的全科案例30个后，采购人于</w:t>
      </w:r>
      <w:r>
        <w:rPr>
          <w:rFonts w:ascii="仿宋" w:hAnsi="仿宋" w:eastAsia="仿宋"/>
          <w:color w:val="000000"/>
          <w:sz w:val="24"/>
          <w:highlight w:val="none"/>
        </w:rPr>
        <w:t>15</w:t>
      </w:r>
      <w:r>
        <w:rPr>
          <w:rFonts w:hint="eastAsia" w:ascii="仿宋" w:hAnsi="仿宋" w:eastAsia="仿宋"/>
          <w:color w:val="000000"/>
          <w:sz w:val="24"/>
          <w:highlight w:val="none"/>
        </w:rPr>
        <w:t>个工作日内支付合同款项的2</w:t>
      </w:r>
      <w:r>
        <w:rPr>
          <w:rFonts w:ascii="仿宋" w:hAnsi="仿宋" w:eastAsia="仿宋"/>
          <w:color w:val="000000"/>
          <w:sz w:val="24"/>
          <w:highlight w:val="none"/>
        </w:rPr>
        <w:t>0%</w:t>
      </w:r>
      <w:r>
        <w:rPr>
          <w:rFonts w:hint="eastAsia" w:ascii="仿宋" w:hAnsi="仿宋" w:eastAsia="仿宋"/>
          <w:color w:val="000000"/>
          <w:sz w:val="24"/>
          <w:highlight w:val="none"/>
        </w:rPr>
        <w:t>，开收款收据。</w:t>
      </w:r>
    </w:p>
    <w:p>
      <w:pPr>
        <w:spacing w:line="360" w:lineRule="auto"/>
        <w:rPr>
          <w:rFonts w:ascii="仿宋" w:hAnsi="仿宋" w:eastAsia="仿宋"/>
          <w:color w:val="000000"/>
          <w:sz w:val="24"/>
          <w:highlight w:val="none"/>
        </w:rPr>
      </w:pPr>
      <w:r>
        <w:rPr>
          <w:rFonts w:ascii="仿宋" w:hAnsi="仿宋" w:eastAsia="仿宋"/>
          <w:color w:val="000000"/>
          <w:sz w:val="24"/>
          <w:highlight w:val="none"/>
        </w:rPr>
        <w:t>1.3</w:t>
      </w:r>
      <w:r>
        <w:rPr>
          <w:rFonts w:hint="eastAsia" w:ascii="仿宋" w:hAnsi="仿宋" w:eastAsia="仿宋"/>
          <w:color w:val="000000"/>
          <w:sz w:val="24"/>
          <w:highlight w:val="none"/>
        </w:rPr>
        <w:t>中标人在试运转</w:t>
      </w:r>
      <w:r>
        <w:rPr>
          <w:rFonts w:ascii="仿宋" w:hAnsi="仿宋" w:eastAsia="仿宋"/>
          <w:color w:val="000000"/>
          <w:sz w:val="24"/>
          <w:highlight w:val="none"/>
        </w:rPr>
        <w:t>1</w:t>
      </w:r>
      <w:r>
        <w:rPr>
          <w:rFonts w:hint="eastAsia" w:ascii="仿宋" w:hAnsi="仿宋" w:eastAsia="仿宋"/>
          <w:color w:val="000000"/>
          <w:sz w:val="24"/>
          <w:highlight w:val="none"/>
        </w:rPr>
        <w:t>个月后提交验收报告，采购人在</w:t>
      </w:r>
      <w:r>
        <w:rPr>
          <w:rFonts w:ascii="仿宋" w:hAnsi="仿宋" w:eastAsia="仿宋"/>
          <w:color w:val="000000"/>
          <w:sz w:val="24"/>
          <w:highlight w:val="none"/>
        </w:rPr>
        <w:t>15</w:t>
      </w:r>
      <w:r>
        <w:rPr>
          <w:rFonts w:hint="eastAsia" w:ascii="仿宋" w:hAnsi="仿宋" w:eastAsia="仿宋"/>
          <w:color w:val="000000"/>
          <w:sz w:val="24"/>
          <w:highlight w:val="none"/>
        </w:rPr>
        <w:t>个工作日内组织最终验收工作。采购人在系统通过最终验后收支付合同款项的10</w:t>
      </w:r>
      <w:r>
        <w:rPr>
          <w:rFonts w:ascii="仿宋" w:hAnsi="仿宋" w:eastAsia="仿宋"/>
          <w:color w:val="000000"/>
          <w:sz w:val="24"/>
          <w:highlight w:val="none"/>
        </w:rPr>
        <w:t>%</w:t>
      </w:r>
      <w:r>
        <w:rPr>
          <w:rFonts w:hint="eastAsia" w:ascii="仿宋" w:hAnsi="仿宋" w:eastAsia="仿宋"/>
          <w:color w:val="000000"/>
          <w:sz w:val="24"/>
          <w:highlight w:val="none"/>
        </w:rPr>
        <w:t>，中标人在付款前向采购人提供子系统的全额正规发票一张。</w:t>
      </w:r>
    </w:p>
    <w:p>
      <w:pPr>
        <w:spacing w:line="360" w:lineRule="auto"/>
        <w:rPr>
          <w:rFonts w:hint="eastAsia" w:ascii="仿宋" w:hAnsi="仿宋" w:eastAsia="仿宋"/>
          <w:color w:val="000000"/>
          <w:sz w:val="24"/>
          <w:highlight w:val="none"/>
          <w:lang w:val="en-US" w:eastAsia="zh-CN"/>
        </w:rPr>
      </w:pPr>
      <w:r>
        <w:rPr>
          <w:rFonts w:ascii="仿宋" w:hAnsi="仿宋" w:eastAsia="仿宋"/>
          <w:color w:val="000000"/>
          <w:sz w:val="24"/>
          <w:highlight w:val="none"/>
        </w:rPr>
        <w:t>1.4</w:t>
      </w:r>
      <w:r>
        <w:rPr>
          <w:rFonts w:hint="eastAsia" w:ascii="仿宋" w:hAnsi="仿宋" w:eastAsia="仿宋"/>
          <w:color w:val="000000"/>
          <w:sz w:val="24"/>
          <w:highlight w:val="none"/>
        </w:rPr>
        <w:t>自项目验收合格之日起计算</w:t>
      </w:r>
      <w:r>
        <w:rPr>
          <w:rFonts w:hint="eastAsia" w:ascii="仿宋" w:hAnsi="仿宋" w:eastAsia="仿宋"/>
          <w:color w:val="000000"/>
          <w:sz w:val="24"/>
          <w:highlight w:val="none"/>
          <w:lang w:eastAsia="zh-CN"/>
        </w:rPr>
        <w:t>系统正常运行</w:t>
      </w:r>
      <w:r>
        <w:rPr>
          <w:rFonts w:hint="eastAsia" w:ascii="仿宋" w:hAnsi="仿宋" w:eastAsia="仿宋"/>
          <w:color w:val="000000"/>
          <w:sz w:val="24"/>
          <w:highlight w:val="none"/>
          <w:lang w:val="en-US" w:eastAsia="zh-CN"/>
        </w:rPr>
        <w:t>6个月后，采购人于</w:t>
      </w:r>
      <w:r>
        <w:rPr>
          <w:rFonts w:ascii="仿宋" w:hAnsi="仿宋" w:eastAsia="仿宋"/>
          <w:color w:val="000000"/>
          <w:sz w:val="24"/>
          <w:highlight w:val="none"/>
        </w:rPr>
        <w:t>15</w:t>
      </w:r>
      <w:r>
        <w:rPr>
          <w:rFonts w:hint="eastAsia" w:ascii="仿宋" w:hAnsi="仿宋" w:eastAsia="仿宋"/>
          <w:color w:val="000000"/>
          <w:sz w:val="24"/>
          <w:highlight w:val="none"/>
        </w:rPr>
        <w:t>个工作日内</w:t>
      </w:r>
      <w:r>
        <w:rPr>
          <w:rFonts w:hint="eastAsia" w:ascii="仿宋" w:hAnsi="仿宋" w:eastAsia="仿宋"/>
          <w:color w:val="000000"/>
          <w:sz w:val="24"/>
          <w:highlight w:val="none"/>
          <w:lang w:val="en-US" w:eastAsia="zh-CN"/>
        </w:rPr>
        <w:t>支付余款55%。</w:t>
      </w:r>
    </w:p>
    <w:p>
      <w:pPr>
        <w:spacing w:line="360" w:lineRule="auto"/>
        <w:rPr>
          <w:rFonts w:ascii="仿宋" w:hAnsi="仿宋" w:eastAsia="仿宋"/>
          <w:color w:val="000000"/>
          <w:sz w:val="24"/>
          <w:highlight w:val="none"/>
        </w:rPr>
      </w:pPr>
      <w:r>
        <w:rPr>
          <w:rFonts w:ascii="仿宋" w:hAnsi="仿宋" w:eastAsia="仿宋"/>
          <w:color w:val="000000"/>
          <w:sz w:val="24"/>
          <w:highlight w:val="none"/>
        </w:rPr>
        <w:t>1.</w:t>
      </w:r>
      <w:r>
        <w:rPr>
          <w:rFonts w:hint="eastAsia" w:ascii="仿宋" w:hAnsi="仿宋" w:eastAsia="仿宋"/>
          <w:color w:val="000000"/>
          <w:sz w:val="24"/>
          <w:highlight w:val="none"/>
          <w:lang w:val="en-US" w:eastAsia="zh-CN"/>
        </w:rPr>
        <w:t>5</w:t>
      </w:r>
      <w:r>
        <w:rPr>
          <w:rFonts w:hint="eastAsia" w:ascii="仿宋" w:hAnsi="仿宋" w:eastAsia="仿宋"/>
          <w:color w:val="000000"/>
          <w:sz w:val="24"/>
          <w:highlight w:val="none"/>
        </w:rPr>
        <w:t>合同金额的</w:t>
      </w:r>
      <w:r>
        <w:rPr>
          <w:rFonts w:ascii="仿宋" w:hAnsi="仿宋" w:eastAsia="仿宋"/>
          <w:color w:val="000000"/>
          <w:sz w:val="24"/>
          <w:highlight w:val="none"/>
        </w:rPr>
        <w:t>5</w:t>
      </w:r>
      <w:r>
        <w:rPr>
          <w:rFonts w:hint="eastAsia" w:ascii="仿宋" w:hAnsi="仿宋" w:eastAsia="仿宋"/>
          <w:color w:val="000000"/>
          <w:sz w:val="24"/>
          <w:highlight w:val="none"/>
        </w:rPr>
        <w:t>％作为系统质保金，质保金有效期为一年，自项目验收合格之日起计算。质保金</w:t>
      </w:r>
      <w:r>
        <w:rPr>
          <w:rFonts w:hint="eastAsia" w:ascii="仿宋" w:hAnsi="仿宋" w:eastAsia="仿宋"/>
          <w:color w:val="000000"/>
          <w:sz w:val="24"/>
          <w:highlight w:val="none"/>
          <w:lang w:eastAsia="zh-CN"/>
        </w:rPr>
        <w:t>于</w:t>
      </w:r>
      <w:r>
        <w:rPr>
          <w:rFonts w:hint="eastAsia" w:ascii="仿宋" w:hAnsi="仿宋" w:eastAsia="仿宋"/>
          <w:color w:val="000000"/>
          <w:sz w:val="24"/>
          <w:highlight w:val="none"/>
        </w:rPr>
        <w:t>有效期结束</w:t>
      </w:r>
      <w:r>
        <w:rPr>
          <w:rFonts w:ascii="仿宋" w:hAnsi="仿宋" w:eastAsia="仿宋"/>
          <w:color w:val="000000"/>
          <w:sz w:val="24"/>
          <w:highlight w:val="none"/>
        </w:rPr>
        <w:t>15</w:t>
      </w:r>
      <w:r>
        <w:rPr>
          <w:rFonts w:hint="eastAsia" w:ascii="仿宋" w:hAnsi="仿宋" w:eastAsia="仿宋"/>
          <w:color w:val="000000"/>
          <w:sz w:val="24"/>
          <w:highlight w:val="none"/>
        </w:rPr>
        <w:t>个工作日内</w:t>
      </w:r>
      <w:r>
        <w:rPr>
          <w:rFonts w:hint="eastAsia" w:ascii="仿宋" w:hAnsi="仿宋" w:eastAsia="仿宋"/>
          <w:color w:val="000000"/>
          <w:sz w:val="24"/>
          <w:highlight w:val="none"/>
          <w:lang w:eastAsia="zh-CN"/>
        </w:rPr>
        <w:t>由采购人</w:t>
      </w:r>
      <w:r>
        <w:rPr>
          <w:rFonts w:hint="eastAsia" w:ascii="仿宋" w:hAnsi="仿宋" w:eastAsia="仿宋"/>
          <w:color w:val="000000"/>
          <w:sz w:val="24"/>
          <w:highlight w:val="none"/>
        </w:rPr>
        <w:t>支付。</w:t>
      </w:r>
    </w:p>
    <w:p>
      <w:pPr>
        <w:spacing w:line="360" w:lineRule="auto"/>
        <w:rPr>
          <w:rFonts w:ascii="仿宋" w:hAnsi="仿宋" w:eastAsia="仿宋"/>
          <w:b/>
          <w:color w:val="000000"/>
          <w:sz w:val="24"/>
          <w:highlight w:val="none"/>
        </w:rPr>
      </w:pPr>
      <w:r>
        <w:rPr>
          <w:rFonts w:ascii="仿宋" w:hAnsi="仿宋" w:eastAsia="仿宋"/>
          <w:b/>
          <w:color w:val="000000"/>
          <w:sz w:val="24"/>
          <w:highlight w:val="none"/>
        </w:rPr>
        <w:t>2</w:t>
      </w:r>
      <w:r>
        <w:rPr>
          <w:rFonts w:hint="eastAsia" w:ascii="仿宋" w:hAnsi="仿宋" w:eastAsia="仿宋"/>
          <w:b/>
          <w:color w:val="000000"/>
          <w:sz w:val="24"/>
          <w:highlight w:val="none"/>
        </w:rPr>
        <w:t>、合同履约保证金</w:t>
      </w:r>
    </w:p>
    <w:p>
      <w:pPr>
        <w:spacing w:line="360" w:lineRule="auto"/>
        <w:rPr>
          <w:rFonts w:ascii="仿宋" w:hAnsi="仿宋" w:eastAsia="仿宋"/>
          <w:color w:val="000000"/>
          <w:sz w:val="24"/>
          <w:highlight w:val="none"/>
        </w:rPr>
      </w:pPr>
      <w:r>
        <w:rPr>
          <w:rFonts w:ascii="仿宋" w:hAnsi="仿宋" w:eastAsia="仿宋"/>
          <w:color w:val="000000"/>
          <w:sz w:val="24"/>
          <w:highlight w:val="none"/>
        </w:rPr>
        <w:t>2.1</w:t>
      </w:r>
      <w:r>
        <w:rPr>
          <w:rFonts w:hint="eastAsia" w:ascii="仿宋" w:hAnsi="仿宋" w:eastAsia="仿宋"/>
          <w:color w:val="000000"/>
          <w:sz w:val="24"/>
          <w:highlight w:val="none"/>
        </w:rPr>
        <w:t>中标人向采购人提供履约担保，须向采购人提交中标金额5</w:t>
      </w:r>
      <w:r>
        <w:rPr>
          <w:rFonts w:ascii="仿宋" w:hAnsi="仿宋" w:eastAsia="仿宋"/>
          <w:color w:val="000000"/>
          <w:sz w:val="24"/>
          <w:highlight w:val="none"/>
        </w:rPr>
        <w:t>%</w:t>
      </w:r>
      <w:r>
        <w:rPr>
          <w:rFonts w:hint="eastAsia" w:ascii="仿宋" w:hAnsi="仿宋" w:eastAsia="仿宋"/>
          <w:color w:val="000000"/>
          <w:sz w:val="24"/>
          <w:highlight w:val="none"/>
        </w:rPr>
        <w:t>的履约保证金（银行汇票、银行转账支票、电汇）。</w:t>
      </w:r>
    </w:p>
    <w:p>
      <w:pPr>
        <w:spacing w:line="360" w:lineRule="auto"/>
        <w:rPr>
          <w:rFonts w:ascii="仿宋" w:hAnsi="仿宋" w:eastAsia="仿宋"/>
          <w:color w:val="000000"/>
          <w:sz w:val="24"/>
          <w:highlight w:val="none"/>
        </w:rPr>
      </w:pPr>
      <w:r>
        <w:rPr>
          <w:rFonts w:ascii="仿宋" w:hAnsi="仿宋" w:eastAsia="仿宋"/>
          <w:color w:val="000000"/>
          <w:sz w:val="24"/>
          <w:highlight w:val="none"/>
        </w:rPr>
        <w:t>2.2</w:t>
      </w:r>
      <w:r>
        <w:rPr>
          <w:rFonts w:hint="eastAsia" w:ascii="仿宋" w:hAnsi="仿宋" w:eastAsia="仿宋"/>
          <w:color w:val="000000"/>
          <w:sz w:val="24"/>
          <w:highlight w:val="none"/>
        </w:rPr>
        <w:t>履约担保的有效期：履约担保有效期自履约保证金交纳之日起至项目验收合格之日后</w:t>
      </w:r>
      <w:r>
        <w:rPr>
          <w:rFonts w:ascii="仿宋" w:hAnsi="仿宋" w:eastAsia="仿宋"/>
          <w:color w:val="000000"/>
          <w:sz w:val="24"/>
          <w:highlight w:val="none"/>
        </w:rPr>
        <w:t>28</w:t>
      </w:r>
      <w:r>
        <w:rPr>
          <w:rFonts w:hint="eastAsia" w:ascii="仿宋" w:hAnsi="仿宋" w:eastAsia="仿宋"/>
          <w:color w:val="000000"/>
          <w:sz w:val="24"/>
          <w:highlight w:val="none"/>
        </w:rPr>
        <w:t>天内有效。</w:t>
      </w:r>
    </w:p>
    <w:p>
      <w:pPr>
        <w:spacing w:line="360" w:lineRule="auto"/>
        <w:rPr>
          <w:rFonts w:ascii="仿宋" w:hAnsi="仿宋" w:eastAsia="仿宋"/>
          <w:color w:val="000000"/>
          <w:sz w:val="24"/>
          <w:highlight w:val="none"/>
        </w:rPr>
      </w:pPr>
      <w:r>
        <w:rPr>
          <w:rFonts w:ascii="仿宋" w:hAnsi="仿宋" w:eastAsia="仿宋"/>
          <w:color w:val="000000"/>
          <w:sz w:val="24"/>
          <w:highlight w:val="none"/>
        </w:rPr>
        <w:t>2.3</w:t>
      </w:r>
      <w:r>
        <w:rPr>
          <w:rFonts w:hint="eastAsia" w:ascii="仿宋" w:hAnsi="仿宋" w:eastAsia="仿宋"/>
          <w:color w:val="000000"/>
          <w:sz w:val="24"/>
          <w:highlight w:val="none"/>
        </w:rPr>
        <w:t>履约保证金的补足：甲方根据本合同约定行使处分履约保证金权利后应当及时书面通知乙方，乙方应当接到通知后</w:t>
      </w:r>
      <w:r>
        <w:rPr>
          <w:rFonts w:ascii="仿宋" w:hAnsi="仿宋" w:eastAsia="仿宋"/>
          <w:color w:val="000000"/>
          <w:sz w:val="24"/>
          <w:highlight w:val="none"/>
        </w:rPr>
        <w:t>5</w:t>
      </w:r>
      <w:r>
        <w:rPr>
          <w:rFonts w:hint="eastAsia" w:ascii="仿宋" w:hAnsi="仿宋" w:eastAsia="仿宋"/>
          <w:color w:val="000000"/>
          <w:sz w:val="24"/>
          <w:highlight w:val="none"/>
        </w:rPr>
        <w:t>个工作日补足，以使整个合同期内的履约保证金始终维持在相当于中标金额的5</w:t>
      </w:r>
      <w:r>
        <w:rPr>
          <w:rFonts w:ascii="仿宋" w:hAnsi="仿宋" w:eastAsia="仿宋"/>
          <w:color w:val="000000"/>
          <w:sz w:val="24"/>
          <w:highlight w:val="none"/>
        </w:rPr>
        <w:t>%</w:t>
      </w:r>
      <w:r>
        <w:rPr>
          <w:rFonts w:hint="eastAsia" w:ascii="仿宋" w:hAnsi="仿宋" w:eastAsia="仿宋"/>
          <w:color w:val="000000"/>
          <w:sz w:val="24"/>
          <w:highlight w:val="none"/>
        </w:rPr>
        <w:t>的数额。</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3、质量保证及售后服务</w:t>
      </w:r>
    </w:p>
    <w:p>
      <w:pPr>
        <w:spacing w:line="360" w:lineRule="auto"/>
        <w:rPr>
          <w:rFonts w:ascii="仿宋" w:hAnsi="仿宋" w:eastAsia="仿宋"/>
          <w:color w:val="000000"/>
          <w:sz w:val="24"/>
          <w:highlight w:val="none"/>
        </w:rPr>
      </w:pPr>
      <w:r>
        <w:rPr>
          <w:rFonts w:ascii="仿宋" w:hAnsi="仿宋" w:eastAsia="仿宋"/>
          <w:color w:val="000000"/>
          <w:sz w:val="24"/>
          <w:highlight w:val="none"/>
        </w:rPr>
        <w:t>3.1</w:t>
      </w:r>
      <w:r>
        <w:rPr>
          <w:rFonts w:hint="eastAsia" w:ascii="仿宋" w:hAnsi="仿宋" w:eastAsia="仿宋"/>
          <w:color w:val="000000"/>
          <w:sz w:val="24"/>
          <w:highlight w:val="none"/>
        </w:rPr>
        <w:t>中标人对本项目自完成整体验收之日起，为采购人提供为期5年的免费维保服务。维护服务包括：</w:t>
      </w:r>
    </w:p>
    <w:p>
      <w:pPr>
        <w:spacing w:line="360" w:lineRule="auto"/>
        <w:rPr>
          <w:rFonts w:ascii="仿宋" w:hAnsi="仿宋" w:eastAsia="仿宋"/>
          <w:sz w:val="24"/>
          <w:highlight w:val="none"/>
        </w:rPr>
      </w:pPr>
      <w:r>
        <w:rPr>
          <w:rFonts w:hint="eastAsia" w:ascii="仿宋" w:hAnsi="仿宋" w:eastAsia="仿宋"/>
          <w:sz w:val="24"/>
          <w:highlight w:val="none"/>
        </w:rPr>
        <w:t>（1）</w:t>
      </w:r>
      <w:r>
        <w:rPr>
          <w:rFonts w:hint="eastAsia" w:ascii="仿宋" w:hAnsi="仿宋" w:eastAsia="仿宋"/>
          <w:b/>
          <w:sz w:val="24"/>
          <w:highlight w:val="none"/>
        </w:rPr>
        <w:t>预防性维护服务：</w:t>
      </w:r>
      <w:r>
        <w:rPr>
          <w:rFonts w:hint="eastAsia" w:ascii="仿宋" w:hAnsi="仿宋" w:eastAsia="仿宋"/>
          <w:sz w:val="24"/>
          <w:highlight w:val="none"/>
        </w:rPr>
        <w:t>中标人按公认的标准行业指南合理要求对系统设备进行预防性维护服务。预防性维护服务将在非高峰控制时间进行，并且应尽可能减少预防性维护计划对系统的界面运行造成不利影响。</w:t>
      </w:r>
    </w:p>
    <w:p>
      <w:pPr>
        <w:spacing w:line="360" w:lineRule="auto"/>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b/>
          <w:sz w:val="24"/>
          <w:highlight w:val="none"/>
        </w:rPr>
        <w:t>故障纠正维护服务：</w:t>
      </w:r>
      <w:r>
        <w:rPr>
          <w:rFonts w:hint="eastAsia" w:ascii="仿宋" w:hAnsi="仿宋" w:eastAsia="仿宋"/>
          <w:sz w:val="24"/>
          <w:highlight w:val="none"/>
        </w:rPr>
        <w:t>故障纠正维护服务将包括更换或修理在缺陷责任期期间由于设计或制造错误、异常磨损或维护错误而造成的损坏、出现故障或磨损的系统和任何部件，进行所有必要的软件修改硬件更换，以纠正错误。</w:t>
      </w:r>
    </w:p>
    <w:p>
      <w:pPr>
        <w:spacing w:line="360" w:lineRule="auto"/>
        <w:rPr>
          <w:rFonts w:ascii="仿宋" w:hAnsi="仿宋" w:eastAsia="仿宋"/>
          <w:color w:val="000000"/>
          <w:sz w:val="24"/>
          <w:highlight w:val="none"/>
        </w:rPr>
      </w:pPr>
      <w:r>
        <w:rPr>
          <w:rFonts w:hint="eastAsia" w:ascii="仿宋" w:hAnsi="仿宋" w:eastAsia="仿宋"/>
          <w:b/>
          <w:bCs/>
          <w:color w:val="000000"/>
          <w:sz w:val="24"/>
          <w:highlight w:val="none"/>
        </w:rPr>
        <w:t>（</w:t>
      </w:r>
      <w:r>
        <w:rPr>
          <w:rFonts w:ascii="仿宋" w:hAnsi="仿宋" w:eastAsia="仿宋"/>
          <w:b/>
          <w:bCs/>
          <w:color w:val="000000"/>
          <w:sz w:val="24"/>
          <w:highlight w:val="none"/>
        </w:rPr>
        <w:t>3</w:t>
      </w:r>
      <w:r>
        <w:rPr>
          <w:rFonts w:hint="eastAsia" w:ascii="仿宋" w:hAnsi="仿宋" w:eastAsia="仿宋"/>
          <w:b/>
          <w:bCs/>
          <w:color w:val="000000"/>
          <w:sz w:val="24"/>
          <w:highlight w:val="none"/>
        </w:rPr>
        <w:t>）软硬件维护：</w:t>
      </w:r>
      <w:r>
        <w:rPr>
          <w:rFonts w:hint="eastAsia" w:ascii="仿宋" w:hAnsi="仿宋" w:eastAsia="仿宋"/>
          <w:color w:val="000000"/>
          <w:sz w:val="24"/>
          <w:highlight w:val="none"/>
        </w:rPr>
        <w:t>硬件终身维护（易损件、消耗品除外），维保期内免费维修，故障严重者可免费更换，且无偿供应零配件，维保期后成本价供应。计算机控制系统类硬件，应用软件部分免费升级；软件系统终身免费升级更新。</w:t>
      </w:r>
    </w:p>
    <w:p>
      <w:pPr>
        <w:spacing w:line="360" w:lineRule="auto"/>
        <w:rPr>
          <w:rFonts w:ascii="仿宋" w:hAnsi="仿宋" w:eastAsia="仿宋"/>
          <w:color w:val="000000"/>
          <w:sz w:val="24"/>
          <w:highlight w:val="none"/>
        </w:rPr>
      </w:pPr>
      <w:r>
        <w:rPr>
          <w:rFonts w:hint="eastAsia" w:ascii="仿宋" w:hAnsi="仿宋" w:eastAsia="仿宋"/>
          <w:b/>
          <w:bCs/>
          <w:color w:val="000000"/>
          <w:sz w:val="24"/>
          <w:highlight w:val="none"/>
        </w:rPr>
        <w:t>（4）服务时间：</w:t>
      </w:r>
      <w:r>
        <w:rPr>
          <w:rFonts w:hint="eastAsia" w:ascii="仿宋" w:hAnsi="仿宋" w:eastAsia="仿宋"/>
          <w:color w:val="000000"/>
          <w:sz w:val="24"/>
          <w:highlight w:val="none"/>
        </w:rPr>
        <w:t>提供7*24小时的售后维护服务。</w:t>
      </w:r>
    </w:p>
    <w:p>
      <w:pPr>
        <w:spacing w:line="360" w:lineRule="auto"/>
        <w:rPr>
          <w:rFonts w:ascii="仿宋" w:hAnsi="仿宋" w:eastAsia="仿宋"/>
          <w:color w:val="000000"/>
          <w:sz w:val="24"/>
          <w:highlight w:val="none"/>
        </w:rPr>
      </w:pPr>
      <w:r>
        <w:rPr>
          <w:rFonts w:hint="eastAsia" w:ascii="仿宋" w:hAnsi="仿宋" w:eastAsia="仿宋"/>
          <w:b/>
          <w:bCs/>
          <w:color w:val="000000"/>
          <w:sz w:val="24"/>
          <w:highlight w:val="none"/>
        </w:rPr>
        <w:t>（5）技术支持方式：</w:t>
      </w:r>
      <w:r>
        <w:rPr>
          <w:rFonts w:hint="eastAsia" w:ascii="仿宋" w:hAnsi="仿宋" w:eastAsia="仿宋"/>
          <w:color w:val="000000"/>
          <w:sz w:val="24"/>
          <w:highlight w:val="none"/>
        </w:rPr>
        <w:t>由资深技术工程人员提供专业的技术指导与支持。可提供多种渠道的技术支持，包括：现场技术支持、日常技术支持热线、技术支持Email、技术支持传真等。</w:t>
      </w:r>
    </w:p>
    <w:p>
      <w:pPr>
        <w:spacing w:line="360" w:lineRule="auto"/>
        <w:rPr>
          <w:rFonts w:ascii="仿宋" w:hAnsi="仿宋" w:eastAsia="仿宋"/>
          <w:color w:val="000000"/>
          <w:sz w:val="24"/>
          <w:highlight w:val="none"/>
        </w:rPr>
      </w:pPr>
      <w:r>
        <w:rPr>
          <w:rFonts w:hint="eastAsia" w:ascii="仿宋" w:hAnsi="仿宋" w:eastAsia="仿宋"/>
          <w:b/>
          <w:bCs/>
          <w:color w:val="000000"/>
          <w:sz w:val="24"/>
          <w:highlight w:val="none"/>
        </w:rPr>
        <w:t>（6）现场技术支持：</w:t>
      </w:r>
      <w:r>
        <w:rPr>
          <w:rFonts w:hint="eastAsia" w:ascii="仿宋" w:hAnsi="仿宋" w:eastAsia="仿宋"/>
          <w:color w:val="000000"/>
          <w:sz w:val="24"/>
          <w:highlight w:val="none"/>
        </w:rPr>
        <w:t>对于相应的需要提供现场技术支持服务的需求，中标人应组织安排相关技术人员在电话支持和远程支持的同时，尽速赶赴现场，现场诊断、检测故障，解决问题。</w:t>
      </w:r>
    </w:p>
    <w:p>
      <w:pPr>
        <w:spacing w:line="360" w:lineRule="auto"/>
        <w:rPr>
          <w:rFonts w:ascii="仿宋" w:hAnsi="仿宋" w:eastAsia="仿宋"/>
          <w:color w:val="000000"/>
          <w:sz w:val="24"/>
          <w:highlight w:val="none"/>
        </w:rPr>
      </w:pPr>
      <w:r>
        <w:rPr>
          <w:rFonts w:ascii="仿宋" w:hAnsi="仿宋" w:eastAsia="仿宋"/>
          <w:color w:val="000000"/>
          <w:sz w:val="24"/>
          <w:highlight w:val="none"/>
        </w:rPr>
        <w:t>3.2</w:t>
      </w:r>
      <w:r>
        <w:rPr>
          <w:rFonts w:hint="eastAsia" w:ascii="仿宋" w:hAnsi="仿宋" w:eastAsia="仿宋"/>
          <w:color w:val="000000"/>
          <w:sz w:val="24"/>
          <w:highlight w:val="none"/>
        </w:rPr>
        <w:t>在本项目实施及维保期间内，中标人保证其维护响应时限是</w:t>
      </w:r>
      <w:r>
        <w:rPr>
          <w:rFonts w:ascii="仿宋" w:hAnsi="仿宋" w:eastAsia="仿宋"/>
          <w:color w:val="000000"/>
          <w:sz w:val="24"/>
          <w:highlight w:val="none"/>
        </w:rPr>
        <w:t>2小时内</w:t>
      </w:r>
      <w:r>
        <w:rPr>
          <w:rFonts w:hint="eastAsia" w:ascii="仿宋" w:hAnsi="仿宋" w:eastAsia="仿宋"/>
          <w:color w:val="000000"/>
          <w:sz w:val="24"/>
          <w:highlight w:val="none"/>
        </w:rPr>
        <w:t>电话响应，</w:t>
      </w:r>
      <w:r>
        <w:rPr>
          <w:rFonts w:ascii="仿宋" w:hAnsi="仿宋" w:eastAsia="仿宋"/>
          <w:color w:val="000000"/>
          <w:sz w:val="24"/>
          <w:highlight w:val="none"/>
        </w:rPr>
        <w:t>4</w:t>
      </w:r>
      <w:r>
        <w:rPr>
          <w:rFonts w:hint="eastAsia" w:ascii="仿宋" w:hAnsi="仿宋" w:eastAsia="仿宋"/>
          <w:color w:val="000000"/>
          <w:sz w:val="24"/>
          <w:highlight w:val="none"/>
        </w:rPr>
        <w:t>小时</w:t>
      </w:r>
      <w:r>
        <w:rPr>
          <w:rFonts w:ascii="仿宋" w:hAnsi="仿宋" w:eastAsia="仿宋"/>
          <w:color w:val="000000"/>
          <w:sz w:val="24"/>
          <w:highlight w:val="none"/>
        </w:rPr>
        <w:t>内提出解决方案，如无法远程解决问题，24</w:t>
      </w:r>
      <w:r>
        <w:rPr>
          <w:rFonts w:hint="eastAsia" w:ascii="仿宋" w:hAnsi="仿宋" w:eastAsia="仿宋"/>
          <w:color w:val="000000"/>
          <w:sz w:val="24"/>
          <w:highlight w:val="none"/>
        </w:rPr>
        <w:t>小时内</w:t>
      </w:r>
      <w:r>
        <w:rPr>
          <w:rFonts w:ascii="仿宋" w:hAnsi="仿宋" w:eastAsia="仿宋"/>
          <w:color w:val="000000"/>
          <w:sz w:val="24"/>
          <w:highlight w:val="none"/>
        </w:rPr>
        <w:t>到场</w:t>
      </w:r>
      <w:r>
        <w:rPr>
          <w:rFonts w:hint="eastAsia" w:ascii="仿宋" w:hAnsi="仿宋" w:eastAsia="仿宋"/>
          <w:color w:val="000000"/>
          <w:sz w:val="24"/>
          <w:highlight w:val="none"/>
        </w:rPr>
        <w:t>解决用户问题。如不能解决问题或无法按时到达，则每次从本合同项目质保金中扣除</w:t>
      </w:r>
      <w:r>
        <w:rPr>
          <w:rFonts w:ascii="仿宋" w:hAnsi="仿宋" w:eastAsia="仿宋"/>
          <w:color w:val="000000"/>
          <w:sz w:val="24"/>
          <w:highlight w:val="none"/>
        </w:rPr>
        <w:t>1000</w:t>
      </w:r>
      <w:r>
        <w:rPr>
          <w:rFonts w:hint="eastAsia" w:ascii="仿宋" w:hAnsi="仿宋" w:eastAsia="仿宋"/>
          <w:color w:val="000000"/>
          <w:sz w:val="24"/>
          <w:highlight w:val="none"/>
        </w:rPr>
        <w:t>元。</w:t>
      </w:r>
    </w:p>
    <w:p>
      <w:pPr>
        <w:spacing w:line="360" w:lineRule="auto"/>
        <w:rPr>
          <w:rFonts w:ascii="仿宋" w:hAnsi="仿宋" w:eastAsia="仿宋"/>
          <w:color w:val="000000"/>
          <w:sz w:val="24"/>
          <w:highlight w:val="none"/>
        </w:rPr>
      </w:pPr>
      <w:r>
        <w:rPr>
          <w:rFonts w:ascii="仿宋" w:hAnsi="仿宋" w:eastAsia="仿宋"/>
          <w:color w:val="000000"/>
          <w:sz w:val="24"/>
          <w:highlight w:val="none"/>
        </w:rPr>
        <w:t>3.3</w:t>
      </w:r>
      <w:r>
        <w:rPr>
          <w:rFonts w:hint="eastAsia" w:ascii="仿宋" w:hAnsi="仿宋" w:eastAsia="仿宋"/>
          <w:color w:val="000000"/>
          <w:sz w:val="24"/>
          <w:highlight w:val="none"/>
        </w:rPr>
        <w:t>在本项目实施及维保期间内，乙方对合同范围内的产品提供免费的更新、升级服务。</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4、违约责任</w:t>
      </w:r>
    </w:p>
    <w:p>
      <w:pPr>
        <w:spacing w:line="360" w:lineRule="auto"/>
        <w:rPr>
          <w:rFonts w:ascii="仿宋" w:hAnsi="仿宋" w:eastAsia="仿宋"/>
          <w:color w:val="000000"/>
          <w:sz w:val="24"/>
          <w:highlight w:val="none"/>
        </w:rPr>
      </w:pPr>
      <w:r>
        <w:rPr>
          <w:rFonts w:ascii="仿宋" w:hAnsi="仿宋" w:eastAsia="仿宋"/>
          <w:color w:val="000000"/>
          <w:sz w:val="24"/>
          <w:highlight w:val="none"/>
        </w:rPr>
        <w:t>4.1</w:t>
      </w:r>
      <w:r>
        <w:rPr>
          <w:rFonts w:hint="eastAsia" w:ascii="仿宋" w:hAnsi="仿宋" w:eastAsia="仿宋"/>
          <w:color w:val="000000"/>
          <w:sz w:val="24"/>
          <w:highlight w:val="none"/>
        </w:rPr>
        <w:t>中标人逾期交付产品的，应按逾期产品总额每日百分之三向采购人支付违约金，从待付货款中扣除。逾期超过约定日期</w:t>
      </w:r>
      <w:r>
        <w:rPr>
          <w:rFonts w:ascii="仿宋" w:hAnsi="仿宋" w:eastAsia="仿宋"/>
          <w:color w:val="000000"/>
          <w:sz w:val="24"/>
          <w:highlight w:val="none"/>
        </w:rPr>
        <w:t>10</w:t>
      </w:r>
      <w:r>
        <w:rPr>
          <w:rFonts w:hint="eastAsia" w:ascii="仿宋" w:hAnsi="仿宋" w:eastAsia="仿宋"/>
          <w:color w:val="000000"/>
          <w:sz w:val="24"/>
          <w:highlight w:val="none"/>
        </w:rPr>
        <w:t>个工作日不能交货的，采购人可解除双方合同。中标人因逾期交货或因其他违约行为导致采购人解除合同的，应向采购人支付合同总值</w:t>
      </w:r>
      <w:r>
        <w:rPr>
          <w:rFonts w:ascii="仿宋" w:hAnsi="仿宋" w:eastAsia="仿宋"/>
          <w:color w:val="000000"/>
          <w:sz w:val="24"/>
          <w:highlight w:val="none"/>
        </w:rPr>
        <w:t>30%</w:t>
      </w:r>
      <w:r>
        <w:rPr>
          <w:rFonts w:hint="eastAsia" w:ascii="仿宋" w:hAnsi="仿宋" w:eastAsia="仿宋"/>
          <w:color w:val="000000"/>
          <w:sz w:val="24"/>
          <w:highlight w:val="none"/>
        </w:rPr>
        <w:t>的违约金，如造成采购人损失超过违约金的，超出部分由中标人继续承担赔偿责任。</w:t>
      </w:r>
    </w:p>
    <w:p>
      <w:pPr>
        <w:spacing w:line="360" w:lineRule="auto"/>
        <w:rPr>
          <w:rFonts w:ascii="仿宋" w:hAnsi="仿宋" w:eastAsia="仿宋"/>
          <w:color w:val="000000"/>
          <w:sz w:val="24"/>
          <w:highlight w:val="none"/>
        </w:rPr>
      </w:pPr>
      <w:r>
        <w:rPr>
          <w:rFonts w:ascii="仿宋" w:hAnsi="仿宋" w:eastAsia="仿宋"/>
          <w:color w:val="000000"/>
          <w:sz w:val="24"/>
          <w:highlight w:val="none"/>
        </w:rPr>
        <w:t>4.2</w:t>
      </w:r>
      <w:r>
        <w:rPr>
          <w:rFonts w:hint="eastAsia" w:ascii="仿宋" w:hAnsi="仿宋" w:eastAsia="仿宋"/>
          <w:color w:val="000000"/>
          <w:sz w:val="24"/>
          <w:highlight w:val="none"/>
        </w:rPr>
        <w:t>中标人所交的产品品种、型号、规格、技术参数、质量不符合招标采购文件规定标准的，采购人有权拒收该货物，中标人愿意更换货物但逾期交货的，按中标人逾期交货处理。中标人拒绝更换货物的，采购方可单方面解除合同。</w:t>
      </w:r>
    </w:p>
    <w:p>
      <w:pPr>
        <w:spacing w:line="360" w:lineRule="auto"/>
        <w:rPr>
          <w:rFonts w:ascii="仿宋" w:hAnsi="仿宋" w:eastAsia="仿宋"/>
          <w:b/>
          <w:color w:val="000000"/>
          <w:sz w:val="24"/>
          <w:highlight w:val="none"/>
        </w:rPr>
      </w:pPr>
      <w:r>
        <w:rPr>
          <w:rFonts w:ascii="仿宋" w:hAnsi="仿宋" w:eastAsia="仿宋"/>
          <w:b/>
          <w:color w:val="000000"/>
          <w:sz w:val="24"/>
          <w:highlight w:val="none"/>
        </w:rPr>
        <w:t>5</w:t>
      </w:r>
      <w:r>
        <w:rPr>
          <w:rFonts w:hint="eastAsia" w:ascii="仿宋" w:hAnsi="仿宋" w:eastAsia="仿宋"/>
          <w:b/>
          <w:color w:val="000000"/>
          <w:sz w:val="24"/>
          <w:highlight w:val="none"/>
        </w:rPr>
        <w:t>、培训</w:t>
      </w:r>
    </w:p>
    <w:p>
      <w:pPr>
        <w:spacing w:line="360" w:lineRule="auto"/>
        <w:rPr>
          <w:rFonts w:ascii="仿宋" w:hAnsi="仿宋" w:eastAsia="仿宋"/>
          <w:color w:val="000000"/>
          <w:sz w:val="24"/>
          <w:highlight w:val="none"/>
        </w:rPr>
      </w:pPr>
      <w:r>
        <w:rPr>
          <w:rFonts w:ascii="仿宋" w:hAnsi="仿宋" w:eastAsia="仿宋"/>
          <w:color w:val="000000"/>
          <w:sz w:val="24"/>
          <w:highlight w:val="none"/>
        </w:rPr>
        <w:t>5.1</w:t>
      </w:r>
      <w:r>
        <w:rPr>
          <w:rFonts w:hint="eastAsia" w:ascii="仿宋" w:hAnsi="仿宋" w:eastAsia="仿宋"/>
          <w:color w:val="000000"/>
          <w:sz w:val="24"/>
          <w:highlight w:val="none"/>
        </w:rPr>
        <w:t>中标人应对医院的相关操作和技术人员进行培训，使其能熟练掌握该系统。</w:t>
      </w:r>
    </w:p>
    <w:p>
      <w:pPr>
        <w:spacing w:line="360" w:lineRule="auto"/>
        <w:rPr>
          <w:rFonts w:ascii="仿宋" w:hAnsi="仿宋" w:eastAsia="仿宋"/>
          <w:b/>
          <w:color w:val="000000"/>
          <w:sz w:val="24"/>
          <w:highlight w:val="none"/>
        </w:rPr>
      </w:pPr>
      <w:r>
        <w:rPr>
          <w:rFonts w:ascii="仿宋" w:hAnsi="仿宋" w:eastAsia="仿宋"/>
          <w:b/>
          <w:color w:val="000000"/>
          <w:sz w:val="24"/>
          <w:highlight w:val="none"/>
        </w:rPr>
        <w:t>6</w:t>
      </w:r>
      <w:r>
        <w:rPr>
          <w:rFonts w:hint="eastAsia" w:ascii="仿宋" w:hAnsi="仿宋" w:eastAsia="仿宋"/>
          <w:b/>
          <w:color w:val="000000"/>
          <w:sz w:val="24"/>
          <w:highlight w:val="none"/>
        </w:rPr>
        <w:t>、安装调试</w:t>
      </w:r>
    </w:p>
    <w:p>
      <w:pPr>
        <w:spacing w:line="360" w:lineRule="auto"/>
        <w:rPr>
          <w:rFonts w:ascii="仿宋" w:hAnsi="仿宋" w:eastAsia="仿宋"/>
          <w:color w:val="000000"/>
          <w:sz w:val="24"/>
          <w:highlight w:val="none"/>
        </w:rPr>
      </w:pPr>
      <w:r>
        <w:rPr>
          <w:rFonts w:ascii="仿宋" w:hAnsi="仿宋" w:eastAsia="仿宋"/>
          <w:color w:val="000000"/>
          <w:sz w:val="24"/>
          <w:highlight w:val="none"/>
        </w:rPr>
        <w:t>6.1</w:t>
      </w:r>
      <w:r>
        <w:rPr>
          <w:rFonts w:hint="eastAsia" w:ascii="仿宋" w:hAnsi="仿宋" w:eastAsia="仿宋"/>
          <w:color w:val="000000"/>
          <w:sz w:val="24"/>
          <w:highlight w:val="none"/>
        </w:rPr>
        <w:t>安装地点：采购人指定地点。</w:t>
      </w:r>
    </w:p>
    <w:p>
      <w:pPr>
        <w:spacing w:line="360" w:lineRule="auto"/>
        <w:rPr>
          <w:rFonts w:ascii="仿宋" w:hAnsi="仿宋" w:eastAsia="仿宋"/>
          <w:color w:val="000000"/>
          <w:sz w:val="24"/>
          <w:highlight w:val="none"/>
        </w:rPr>
      </w:pPr>
      <w:r>
        <w:rPr>
          <w:rFonts w:ascii="仿宋" w:hAnsi="仿宋" w:eastAsia="仿宋"/>
          <w:color w:val="000000"/>
          <w:sz w:val="24"/>
          <w:highlight w:val="none"/>
        </w:rPr>
        <w:t>6.2</w:t>
      </w:r>
      <w:r>
        <w:rPr>
          <w:rFonts w:hint="eastAsia" w:ascii="仿宋" w:hAnsi="仿宋" w:eastAsia="仿宋"/>
          <w:color w:val="000000"/>
          <w:sz w:val="24"/>
          <w:highlight w:val="none"/>
        </w:rPr>
        <w:t>安装完成时间：接到采购人通知后</w:t>
      </w:r>
      <w:r>
        <w:rPr>
          <w:rFonts w:ascii="仿宋" w:hAnsi="仿宋" w:eastAsia="仿宋"/>
          <w:color w:val="000000"/>
          <w:sz w:val="24"/>
          <w:highlight w:val="none"/>
        </w:rPr>
        <w:t>1</w:t>
      </w:r>
      <w:r>
        <w:rPr>
          <w:rFonts w:hint="eastAsia" w:ascii="仿宋" w:hAnsi="仿宋" w:eastAsia="仿宋"/>
          <w:color w:val="000000"/>
          <w:sz w:val="24"/>
          <w:highlight w:val="none"/>
        </w:rPr>
        <w:t>周内完成安装和调试，如在规定的时间内由于中标人的原因不能完成安装和调试，中标人应承担由此给采购人造成的损失。</w:t>
      </w:r>
    </w:p>
    <w:p>
      <w:pPr>
        <w:spacing w:line="360" w:lineRule="auto"/>
        <w:rPr>
          <w:rFonts w:ascii="仿宋" w:hAnsi="仿宋" w:eastAsia="仿宋"/>
          <w:color w:val="000000"/>
          <w:sz w:val="24"/>
          <w:highlight w:val="none"/>
        </w:rPr>
      </w:pPr>
      <w:r>
        <w:rPr>
          <w:rFonts w:ascii="仿宋" w:hAnsi="仿宋" w:eastAsia="仿宋"/>
          <w:color w:val="000000"/>
          <w:sz w:val="24"/>
          <w:highlight w:val="none"/>
        </w:rPr>
        <w:t>6.3</w:t>
      </w:r>
      <w:r>
        <w:rPr>
          <w:rFonts w:hint="eastAsia" w:ascii="仿宋" w:hAnsi="仿宋" w:eastAsia="仿宋"/>
          <w:color w:val="000000"/>
          <w:sz w:val="24"/>
          <w:highlight w:val="none"/>
        </w:rPr>
        <w:t>安装标准：符合我国国家有关技术规范要求和技术标准。</w:t>
      </w:r>
    </w:p>
    <w:p>
      <w:pPr>
        <w:spacing w:line="360" w:lineRule="auto"/>
        <w:rPr>
          <w:rFonts w:ascii="仿宋" w:hAnsi="仿宋" w:eastAsia="仿宋"/>
          <w:color w:val="000000"/>
          <w:sz w:val="24"/>
          <w:highlight w:val="none"/>
        </w:rPr>
      </w:pPr>
      <w:r>
        <w:rPr>
          <w:rFonts w:ascii="仿宋" w:hAnsi="仿宋" w:eastAsia="仿宋"/>
          <w:color w:val="000000"/>
          <w:sz w:val="24"/>
          <w:highlight w:val="none"/>
        </w:rPr>
        <w:t>6.4</w:t>
      </w:r>
      <w:r>
        <w:rPr>
          <w:rFonts w:hint="eastAsia" w:ascii="仿宋" w:hAnsi="仿宋" w:eastAsia="仿宋"/>
          <w:color w:val="000000"/>
          <w:sz w:val="24"/>
          <w:highlight w:val="none"/>
        </w:rPr>
        <w:t>安装调试过程中发生的费用由中标人负责。</w:t>
      </w:r>
    </w:p>
    <w:p>
      <w:pPr>
        <w:spacing w:line="360" w:lineRule="auto"/>
        <w:rPr>
          <w:rFonts w:ascii="仿宋" w:hAnsi="仿宋" w:eastAsia="仿宋"/>
          <w:color w:val="000000"/>
          <w:sz w:val="24"/>
          <w:highlight w:val="none"/>
        </w:rPr>
      </w:pPr>
      <w:r>
        <w:rPr>
          <w:rFonts w:ascii="仿宋" w:hAnsi="仿宋" w:eastAsia="仿宋"/>
          <w:color w:val="000000"/>
          <w:sz w:val="24"/>
          <w:highlight w:val="none"/>
        </w:rPr>
        <w:t>6.5</w:t>
      </w:r>
      <w:r>
        <w:rPr>
          <w:rFonts w:hint="eastAsia" w:ascii="仿宋" w:hAnsi="仿宋" w:eastAsia="仿宋"/>
          <w:color w:val="000000"/>
          <w:sz w:val="24"/>
          <w:highlight w:val="none"/>
        </w:rPr>
        <w:t>中标人应在投标文件中提供其安装调试过程中采购人需配合的内容。</w:t>
      </w:r>
    </w:p>
    <w:p>
      <w:pPr>
        <w:spacing w:line="360" w:lineRule="auto"/>
        <w:rPr>
          <w:rFonts w:ascii="仿宋" w:hAnsi="仿宋" w:eastAsia="仿宋"/>
          <w:color w:val="000000"/>
          <w:sz w:val="24"/>
          <w:highlight w:val="none"/>
        </w:rPr>
      </w:pPr>
      <w:r>
        <w:rPr>
          <w:rFonts w:ascii="仿宋" w:hAnsi="仿宋" w:eastAsia="仿宋"/>
          <w:color w:val="000000"/>
          <w:sz w:val="24"/>
          <w:highlight w:val="none"/>
        </w:rPr>
        <w:t>6.6</w:t>
      </w:r>
      <w:r>
        <w:rPr>
          <w:rFonts w:hint="eastAsia" w:ascii="仿宋" w:hAnsi="仿宋" w:eastAsia="仿宋"/>
          <w:color w:val="000000"/>
          <w:sz w:val="24"/>
          <w:highlight w:val="none"/>
        </w:rPr>
        <w:t>在项目实施过程中，向医院提供齐全的电子版和书面的操作说明等文档。</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7、验收</w:t>
      </w:r>
    </w:p>
    <w:p>
      <w:pPr>
        <w:spacing w:line="360" w:lineRule="auto"/>
        <w:rPr>
          <w:rFonts w:ascii="仿宋" w:hAnsi="仿宋" w:eastAsia="仿宋"/>
          <w:color w:val="000000"/>
          <w:sz w:val="24"/>
          <w:highlight w:val="none"/>
        </w:rPr>
      </w:pPr>
      <w:r>
        <w:rPr>
          <w:rFonts w:ascii="仿宋" w:hAnsi="仿宋" w:eastAsia="仿宋"/>
          <w:color w:val="000000"/>
          <w:sz w:val="24"/>
          <w:highlight w:val="none"/>
        </w:rPr>
        <w:t>7.1</w:t>
      </w:r>
      <w:r>
        <w:rPr>
          <w:rFonts w:hint="eastAsia" w:ascii="仿宋" w:hAnsi="仿宋" w:eastAsia="仿宋"/>
          <w:color w:val="000000"/>
          <w:sz w:val="24"/>
          <w:highlight w:val="none"/>
        </w:rPr>
        <w:t>投标商应提供项目相关软件、设备的有效验收文件，经用户认可后，作为验收标准。用户对项目验收合格后，双方共同签署验收合格证书并加盖公章。验收中发现软件、设备达不到验收标准或合同规定的性能指标，卖方必须修改相应内容，以满足用户需求。</w:t>
      </w:r>
    </w:p>
    <w:p>
      <w:pPr>
        <w:spacing w:line="360" w:lineRule="auto"/>
        <w:rPr>
          <w:rFonts w:ascii="仿宋" w:hAnsi="仿宋" w:eastAsia="仿宋"/>
          <w:color w:val="000000"/>
          <w:sz w:val="24"/>
          <w:highlight w:val="none"/>
        </w:rPr>
      </w:pPr>
      <w:r>
        <w:rPr>
          <w:rFonts w:ascii="仿宋" w:hAnsi="仿宋" w:eastAsia="仿宋"/>
          <w:color w:val="000000"/>
          <w:sz w:val="24"/>
          <w:highlight w:val="none"/>
        </w:rPr>
        <w:t>7.2</w:t>
      </w:r>
      <w:r>
        <w:rPr>
          <w:rFonts w:hint="eastAsia" w:ascii="仿宋" w:hAnsi="仿宋" w:eastAsia="仿宋"/>
          <w:color w:val="000000"/>
          <w:sz w:val="24"/>
          <w:highlight w:val="none"/>
        </w:rPr>
        <w:t>验收费用由投标商负责。</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8、交货</w:t>
      </w:r>
    </w:p>
    <w:p>
      <w:pPr>
        <w:spacing w:line="360" w:lineRule="auto"/>
        <w:rPr>
          <w:rFonts w:ascii="仿宋" w:hAnsi="仿宋" w:eastAsia="仿宋"/>
          <w:color w:val="000000"/>
          <w:sz w:val="24"/>
          <w:highlight w:val="none"/>
        </w:rPr>
      </w:pPr>
      <w:r>
        <w:rPr>
          <w:rFonts w:ascii="仿宋" w:hAnsi="仿宋" w:eastAsia="仿宋"/>
          <w:color w:val="000000"/>
          <w:sz w:val="24"/>
          <w:highlight w:val="none"/>
        </w:rPr>
        <w:t>8.1</w:t>
      </w:r>
      <w:r>
        <w:rPr>
          <w:rFonts w:hint="eastAsia" w:ascii="仿宋" w:hAnsi="仿宋" w:eastAsia="仿宋"/>
          <w:color w:val="000000"/>
          <w:sz w:val="24"/>
          <w:highlight w:val="none"/>
        </w:rPr>
        <w:t>交货期：6个月。</w:t>
      </w:r>
    </w:p>
    <w:p>
      <w:pPr>
        <w:spacing w:line="360" w:lineRule="auto"/>
        <w:rPr>
          <w:rFonts w:ascii="仿宋" w:hAnsi="仿宋" w:eastAsia="仿宋"/>
          <w:color w:val="000000"/>
          <w:sz w:val="24"/>
          <w:highlight w:val="none"/>
        </w:rPr>
      </w:pPr>
      <w:r>
        <w:rPr>
          <w:rFonts w:ascii="仿宋" w:hAnsi="仿宋" w:eastAsia="仿宋"/>
          <w:color w:val="000000"/>
          <w:sz w:val="24"/>
          <w:highlight w:val="none"/>
        </w:rPr>
        <w:t>8.2</w:t>
      </w:r>
      <w:r>
        <w:rPr>
          <w:rFonts w:hint="eastAsia" w:ascii="仿宋" w:hAnsi="仿宋" w:eastAsia="仿宋"/>
          <w:color w:val="000000"/>
          <w:sz w:val="24"/>
          <w:highlight w:val="none"/>
        </w:rPr>
        <w:t>交货地点：采购人指定地点。</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lang w:val="en-US" w:eastAsia="zh-CN"/>
        </w:rPr>
        <w:t>9</w:t>
      </w:r>
      <w:r>
        <w:rPr>
          <w:rFonts w:ascii="仿宋" w:hAnsi="仿宋" w:eastAsia="仿宋"/>
          <w:b/>
          <w:color w:val="000000"/>
          <w:sz w:val="24"/>
          <w:highlight w:val="none"/>
        </w:rPr>
        <w:t xml:space="preserve">. </w:t>
      </w:r>
      <w:r>
        <w:rPr>
          <w:rFonts w:hint="eastAsia" w:ascii="仿宋" w:hAnsi="仿宋" w:eastAsia="仿宋"/>
          <w:b/>
          <w:color w:val="000000"/>
          <w:sz w:val="24"/>
          <w:highlight w:val="none"/>
        </w:rPr>
        <w:t>合同的终止</w:t>
      </w:r>
    </w:p>
    <w:p>
      <w:pPr>
        <w:spacing w:line="360" w:lineRule="auto"/>
        <w:rPr>
          <w:rFonts w:ascii="仿宋" w:hAnsi="仿宋" w:eastAsia="仿宋"/>
          <w:color w:val="000000"/>
          <w:sz w:val="24"/>
          <w:highlight w:val="none"/>
        </w:rPr>
      </w:pPr>
      <w:r>
        <w:rPr>
          <w:rFonts w:hint="eastAsia" w:ascii="仿宋" w:hAnsi="仿宋" w:eastAsia="仿宋"/>
          <w:color w:val="000000"/>
          <w:sz w:val="24"/>
          <w:highlight w:val="none"/>
          <w:lang w:val="en-US" w:eastAsia="zh-CN"/>
        </w:rPr>
        <w:t>9</w:t>
      </w:r>
      <w:r>
        <w:rPr>
          <w:rFonts w:ascii="仿宋" w:hAnsi="仿宋" w:eastAsia="仿宋"/>
          <w:color w:val="000000"/>
          <w:sz w:val="24"/>
          <w:highlight w:val="none"/>
        </w:rPr>
        <w:t>.1</w:t>
      </w:r>
      <w:r>
        <w:rPr>
          <w:rFonts w:hint="eastAsia" w:ascii="仿宋" w:hAnsi="仿宋" w:eastAsia="仿宋"/>
          <w:color w:val="000000"/>
          <w:sz w:val="24"/>
          <w:highlight w:val="none"/>
        </w:rPr>
        <w:t>合同执行期内，经向检察机关查询，发现中标人有行贿犯罪记录的，即取消中标资格或停止采购合同。</w:t>
      </w:r>
    </w:p>
    <w:p>
      <w:pPr>
        <w:adjustRightInd w:val="0"/>
        <w:snapToGrid w:val="0"/>
        <w:spacing w:line="360" w:lineRule="auto"/>
        <w:ind w:firstLine="640" w:firstLineChars="200"/>
        <w:rPr>
          <w:rFonts w:ascii="仿宋" w:hAnsi="仿宋" w:eastAsia="仿宋"/>
          <w:sz w:val="32"/>
          <w:szCs w:val="24"/>
          <w:highlight w:val="none"/>
        </w:rPr>
      </w:pPr>
      <w:r>
        <w:rPr>
          <w:rFonts w:ascii="仿宋" w:hAnsi="仿宋" w:eastAsia="仿宋"/>
          <w:sz w:val="32"/>
          <w:szCs w:val="24"/>
          <w:highlight w:val="none"/>
        </w:rPr>
        <w:br w:type="page"/>
      </w:r>
    </w:p>
    <w:p>
      <w:pPr>
        <w:adjustRightInd w:val="0"/>
        <w:snapToGrid w:val="0"/>
        <w:spacing w:line="560" w:lineRule="exact"/>
        <w:ind w:firstLine="2162" w:firstLineChars="600"/>
        <w:rPr>
          <w:rFonts w:ascii="华文中宋" w:hAnsi="华文中宋" w:eastAsia="华文中宋"/>
          <w:b/>
          <w:sz w:val="36"/>
          <w:szCs w:val="36"/>
          <w:highlight w:val="none"/>
        </w:rPr>
      </w:pPr>
      <w:r>
        <w:rPr>
          <w:rFonts w:hint="eastAsia" w:ascii="华文中宋" w:hAnsi="华文中宋" w:eastAsia="华文中宋"/>
          <w:b/>
          <w:sz w:val="36"/>
          <w:szCs w:val="36"/>
          <w:highlight w:val="none"/>
        </w:rPr>
        <w:t>第四部分  评审原则及方法</w:t>
      </w:r>
    </w:p>
    <w:p>
      <w:pPr>
        <w:autoSpaceDE w:val="0"/>
        <w:autoSpaceDN w:val="0"/>
        <w:adjustRightInd w:val="0"/>
        <w:snapToGrid w:val="0"/>
        <w:spacing w:line="560" w:lineRule="exact"/>
        <w:ind w:firstLine="420"/>
        <w:rPr>
          <w:rFonts w:ascii="仿宋_GB2312" w:eastAsia="仿宋_GB2312"/>
          <w:color w:val="000000"/>
          <w:kern w:val="0"/>
          <w:sz w:val="24"/>
          <w:szCs w:val="24"/>
          <w:highlight w:val="none"/>
          <w:lang w:val="zh-CN"/>
        </w:rPr>
      </w:pPr>
      <w:r>
        <w:rPr>
          <w:rFonts w:hint="eastAsia" w:ascii="仿宋_GB2312" w:hAnsi="宋体" w:eastAsia="仿宋_GB2312" w:cs="宋体"/>
          <w:color w:val="000000"/>
          <w:kern w:val="0"/>
          <w:sz w:val="24"/>
          <w:szCs w:val="24"/>
          <w:highlight w:val="none"/>
          <w:lang w:val="zh-CN"/>
        </w:rPr>
        <w:t>根据《中华人民共和国政府采购法》等有关法规，结合杭州市江干区四季青街道社区卫生服务中心的</w:t>
      </w:r>
      <w:r>
        <w:rPr>
          <w:rFonts w:hint="eastAsia" w:ascii="仿宋_GB2312" w:hAnsi="宋体" w:eastAsia="仿宋_GB2312" w:cs="宋体"/>
          <w:kern w:val="0"/>
          <w:sz w:val="24"/>
          <w:szCs w:val="24"/>
          <w:highlight w:val="none"/>
          <w:lang w:val="zh-CN"/>
        </w:rPr>
        <w:t>实际情况，遵循公开、公平、公正、科学、择优原则和诚实、信</w:t>
      </w:r>
      <w:r>
        <w:rPr>
          <w:rFonts w:hint="eastAsia" w:ascii="仿宋_GB2312" w:hAnsi="宋体" w:eastAsia="仿宋_GB2312" w:cs="宋体"/>
          <w:color w:val="000000"/>
          <w:kern w:val="0"/>
          <w:sz w:val="24"/>
          <w:szCs w:val="24"/>
          <w:highlight w:val="none"/>
          <w:lang w:val="zh-CN"/>
        </w:rPr>
        <w:t>誉、效率的服务原则，制定本评审办法。</w:t>
      </w:r>
    </w:p>
    <w:p>
      <w:pPr>
        <w:autoSpaceDE w:val="0"/>
        <w:autoSpaceDN w:val="0"/>
        <w:adjustRightInd w:val="0"/>
        <w:snapToGrid w:val="0"/>
        <w:spacing w:line="560" w:lineRule="exact"/>
        <w:ind w:firstLine="420"/>
        <w:rPr>
          <w:rFonts w:ascii="仿宋_GB2312" w:eastAsia="仿宋_GB2312"/>
          <w:color w:val="000000"/>
          <w:kern w:val="0"/>
          <w:sz w:val="24"/>
          <w:szCs w:val="24"/>
          <w:highlight w:val="none"/>
          <w:lang w:val="zh-CN"/>
        </w:rPr>
      </w:pPr>
      <w:r>
        <w:rPr>
          <w:rFonts w:hint="eastAsia" w:ascii="仿宋_GB2312" w:hAnsi="宋体" w:eastAsia="仿宋_GB2312" w:cs="宋体"/>
          <w:color w:val="000000"/>
          <w:kern w:val="0"/>
          <w:sz w:val="24"/>
          <w:szCs w:val="24"/>
          <w:highlight w:val="none"/>
          <w:lang w:val="zh-CN"/>
        </w:rPr>
        <w:t>一、本次评审办法采用综合评分法。</w:t>
      </w:r>
    </w:p>
    <w:p>
      <w:pPr>
        <w:autoSpaceDE w:val="0"/>
        <w:autoSpaceDN w:val="0"/>
        <w:adjustRightInd w:val="0"/>
        <w:snapToGrid w:val="0"/>
        <w:spacing w:line="560" w:lineRule="exact"/>
        <w:ind w:firstLine="420"/>
        <w:rPr>
          <w:rFonts w:ascii="仿宋_GB2312" w:eastAsia="仿宋_GB2312"/>
          <w:color w:val="000000"/>
          <w:kern w:val="0"/>
          <w:sz w:val="24"/>
          <w:szCs w:val="24"/>
          <w:highlight w:val="none"/>
          <w:lang w:val="zh-CN"/>
        </w:rPr>
      </w:pPr>
      <w:r>
        <w:rPr>
          <w:rFonts w:hint="eastAsia" w:ascii="仿宋_GB2312" w:hAnsi="宋体" w:eastAsia="仿宋_GB2312" w:cs="宋体"/>
          <w:color w:val="000000"/>
          <w:kern w:val="0"/>
          <w:sz w:val="24"/>
          <w:szCs w:val="24"/>
          <w:highlight w:val="none"/>
          <w:lang w:val="zh-CN"/>
        </w:rPr>
        <w:t>二、评审工作由评审委员会负责，评审委员会由采购人按有关规定组成。</w:t>
      </w:r>
    </w:p>
    <w:p>
      <w:pPr>
        <w:autoSpaceDE w:val="0"/>
        <w:autoSpaceDN w:val="0"/>
        <w:adjustRightInd w:val="0"/>
        <w:snapToGrid w:val="0"/>
        <w:spacing w:line="560" w:lineRule="exact"/>
        <w:ind w:firstLine="420"/>
        <w:rPr>
          <w:rFonts w:ascii="仿宋_GB2312" w:eastAsia="仿宋_GB2312"/>
          <w:color w:val="000000"/>
          <w:kern w:val="0"/>
          <w:sz w:val="24"/>
          <w:szCs w:val="24"/>
          <w:highlight w:val="none"/>
          <w:lang w:val="zh-CN"/>
        </w:rPr>
      </w:pPr>
      <w:r>
        <w:rPr>
          <w:rFonts w:hint="eastAsia" w:ascii="仿宋_GB2312" w:hAnsi="宋体" w:eastAsia="仿宋_GB2312" w:cs="宋体"/>
          <w:color w:val="000000"/>
          <w:kern w:val="0"/>
          <w:sz w:val="24"/>
          <w:szCs w:val="24"/>
          <w:highlight w:val="none"/>
          <w:lang w:val="zh-CN"/>
        </w:rPr>
        <w:t>三、开标程序</w:t>
      </w:r>
    </w:p>
    <w:p>
      <w:pPr>
        <w:spacing w:line="560" w:lineRule="exact"/>
        <w:ind w:right="3" w:firstLine="480" w:firstLineChars="200"/>
        <w:rPr>
          <w:rFonts w:ascii="仿宋_GB2312" w:eastAsia="仿宋_GB2312"/>
          <w:color w:val="000000"/>
          <w:spacing w:val="4"/>
          <w:sz w:val="24"/>
          <w:szCs w:val="24"/>
          <w:highlight w:val="none"/>
        </w:rPr>
      </w:pPr>
      <w:r>
        <w:rPr>
          <w:rFonts w:hint="eastAsia" w:ascii="仿宋_GB2312" w:hAnsi="宋体" w:eastAsia="仿宋_GB2312"/>
          <w:sz w:val="24"/>
          <w:szCs w:val="24"/>
          <w:highlight w:val="none"/>
        </w:rPr>
        <w:t>1、在投标截止时间后，采购人举行开标会议。参加开标的各授权供应商代表及相关单位人员应</w:t>
      </w:r>
      <w:r>
        <w:rPr>
          <w:rFonts w:hint="eastAsia" w:ascii="仿宋_GB2312" w:hAnsi="宋体" w:eastAsia="仿宋_GB2312" w:cs="宋体"/>
          <w:color w:val="000000"/>
          <w:sz w:val="24"/>
          <w:szCs w:val="24"/>
          <w:highlight w:val="none"/>
        </w:rPr>
        <w:t>提供供应商代表授权委托书（详细格式见第五部分）和身份证原件等相关材料登记、签到。</w:t>
      </w:r>
    </w:p>
    <w:p>
      <w:pPr>
        <w:adjustRightInd w:val="0"/>
        <w:snapToGrid w:val="0"/>
        <w:spacing w:line="560" w:lineRule="exact"/>
        <w:ind w:firstLine="480" w:firstLineChars="200"/>
        <w:rPr>
          <w:rFonts w:ascii="仿宋_GB2312" w:hAnsi="宋体" w:eastAsia="仿宋_GB2312"/>
          <w:b/>
          <w:color w:val="FF0000"/>
          <w:sz w:val="24"/>
          <w:szCs w:val="24"/>
          <w:highlight w:val="none"/>
        </w:rPr>
      </w:pPr>
      <w:r>
        <w:rPr>
          <w:rFonts w:hint="eastAsia" w:ascii="仿宋_GB2312" w:hAnsi="宋体" w:eastAsia="仿宋_GB2312"/>
          <w:sz w:val="24"/>
          <w:szCs w:val="24"/>
          <w:highlight w:val="none"/>
        </w:rPr>
        <w:t>2、本次开标，先开资信文件和技术文件，再开商务报价文件。</w:t>
      </w:r>
    </w:p>
    <w:p>
      <w:pPr>
        <w:autoSpaceDE w:val="0"/>
        <w:autoSpaceDN w:val="0"/>
        <w:adjustRightInd w:val="0"/>
        <w:snapToGrid w:val="0"/>
        <w:spacing w:line="560" w:lineRule="exact"/>
        <w:ind w:firstLine="480" w:firstLineChars="200"/>
        <w:rPr>
          <w:rFonts w:ascii="仿宋_GB2312" w:hAnsi="宋体" w:eastAsia="仿宋_GB2312" w:cs="Arial"/>
          <w:kern w:val="0"/>
          <w:sz w:val="24"/>
          <w:szCs w:val="24"/>
          <w:highlight w:val="none"/>
          <w:lang w:val="zh-CN"/>
        </w:rPr>
      </w:pPr>
      <w:r>
        <w:rPr>
          <w:rFonts w:hint="eastAsia" w:ascii="仿宋_GB2312" w:hAnsi="宋体" w:eastAsia="仿宋_GB2312" w:cs="Arial"/>
          <w:kern w:val="0"/>
          <w:sz w:val="24"/>
          <w:szCs w:val="24"/>
          <w:highlight w:val="none"/>
          <w:lang w:val="zh-CN"/>
        </w:rPr>
        <w:t>3、如通过技术标的有效投标单位为不足三家的，经有关主管单位批准后转入其他招标方式。</w:t>
      </w:r>
    </w:p>
    <w:p>
      <w:pPr>
        <w:autoSpaceDE w:val="0"/>
        <w:autoSpaceDN w:val="0"/>
        <w:adjustRightInd w:val="0"/>
        <w:snapToGrid w:val="0"/>
        <w:spacing w:line="560" w:lineRule="exact"/>
        <w:ind w:firstLine="384"/>
        <w:rPr>
          <w:rFonts w:ascii="仿宋_GB2312" w:eastAsia="仿宋_GB2312"/>
          <w:color w:val="000000"/>
          <w:kern w:val="0"/>
          <w:sz w:val="24"/>
          <w:szCs w:val="24"/>
          <w:highlight w:val="none"/>
          <w:lang w:val="zh-CN"/>
        </w:rPr>
      </w:pPr>
      <w:r>
        <w:rPr>
          <w:rFonts w:hint="eastAsia" w:ascii="仿宋_GB2312" w:hAnsi="宋体" w:eastAsia="仿宋_GB2312" w:cs="宋体"/>
          <w:color w:val="000000"/>
          <w:kern w:val="0"/>
          <w:sz w:val="24"/>
          <w:szCs w:val="24"/>
          <w:highlight w:val="none"/>
          <w:lang w:val="zh-CN"/>
        </w:rPr>
        <w:t>四、技术资信标的评定</w:t>
      </w:r>
    </w:p>
    <w:p>
      <w:pPr>
        <w:autoSpaceDE w:val="0"/>
        <w:autoSpaceDN w:val="0"/>
        <w:adjustRightInd w:val="0"/>
        <w:snapToGrid w:val="0"/>
        <w:spacing w:line="560" w:lineRule="exact"/>
        <w:ind w:firstLine="480" w:firstLineChars="200"/>
        <w:rPr>
          <w:rFonts w:ascii="仿宋_GB2312" w:hAnsi="宋体" w:eastAsia="仿宋_GB2312" w:cs="Arial"/>
          <w:kern w:val="0"/>
          <w:sz w:val="24"/>
          <w:szCs w:val="24"/>
          <w:highlight w:val="none"/>
          <w:lang w:val="zh-CN"/>
        </w:rPr>
      </w:pPr>
      <w:r>
        <w:rPr>
          <w:rFonts w:hint="eastAsia" w:ascii="仿宋_GB2312" w:hAnsi="宋体" w:eastAsia="仿宋_GB2312" w:cs="Arial"/>
          <w:kern w:val="0"/>
          <w:sz w:val="24"/>
          <w:szCs w:val="24"/>
          <w:highlight w:val="none"/>
          <w:lang w:val="zh-CN"/>
        </w:rPr>
        <w:t>1、符合性审查</w:t>
      </w:r>
    </w:p>
    <w:p>
      <w:pPr>
        <w:autoSpaceDE w:val="0"/>
        <w:autoSpaceDN w:val="0"/>
        <w:adjustRightInd w:val="0"/>
        <w:snapToGrid w:val="0"/>
        <w:spacing w:line="560" w:lineRule="exact"/>
        <w:ind w:firstLine="384"/>
        <w:rPr>
          <w:rFonts w:ascii="仿宋_GB2312" w:hAnsi="宋体" w:eastAsia="仿宋_GB2312" w:cs="Arial"/>
          <w:kern w:val="0"/>
          <w:sz w:val="24"/>
          <w:szCs w:val="24"/>
          <w:highlight w:val="none"/>
          <w:lang w:val="zh-CN"/>
        </w:rPr>
      </w:pPr>
      <w:r>
        <w:rPr>
          <w:rFonts w:hint="eastAsia" w:ascii="仿宋_GB2312" w:hAnsi="宋体" w:eastAsia="仿宋_GB2312" w:cs="Arial"/>
          <w:kern w:val="0"/>
          <w:sz w:val="24"/>
          <w:szCs w:val="24"/>
          <w:highlight w:val="none"/>
          <w:lang w:val="zh-CN"/>
        </w:rPr>
        <w:t>依据招标文件的规定，从投标文件的有效性、完整性和对招标文件的响应程度进行审查，以确定是否对招标文件的实质性要求作出响应。</w:t>
      </w:r>
    </w:p>
    <w:p>
      <w:pPr>
        <w:autoSpaceDE w:val="0"/>
        <w:autoSpaceDN w:val="0"/>
        <w:adjustRightInd w:val="0"/>
        <w:snapToGrid w:val="0"/>
        <w:spacing w:line="560" w:lineRule="exact"/>
        <w:ind w:firstLine="384"/>
        <w:rPr>
          <w:rFonts w:ascii="仿宋_GB2312" w:hAnsi="宋体" w:eastAsia="仿宋_GB2312" w:cs="Arial"/>
          <w:kern w:val="0"/>
          <w:sz w:val="24"/>
          <w:szCs w:val="24"/>
          <w:highlight w:val="none"/>
          <w:lang w:val="zh-CN"/>
        </w:rPr>
      </w:pPr>
      <w:r>
        <w:rPr>
          <w:rFonts w:hint="eastAsia" w:ascii="仿宋_GB2312" w:hAnsi="宋体" w:eastAsia="仿宋_GB2312" w:cs="Arial"/>
          <w:kern w:val="0"/>
          <w:sz w:val="24"/>
          <w:szCs w:val="24"/>
          <w:highlight w:val="none"/>
          <w:lang w:val="zh-CN"/>
        </w:rPr>
        <w:t>实质上响应的投标应该是与招标文件要求的全部条款、条件和规格，没有重大偏离的投标。</w:t>
      </w:r>
    </w:p>
    <w:p>
      <w:pPr>
        <w:autoSpaceDE w:val="0"/>
        <w:autoSpaceDN w:val="0"/>
        <w:adjustRightInd w:val="0"/>
        <w:snapToGrid w:val="0"/>
        <w:spacing w:line="560" w:lineRule="exact"/>
        <w:ind w:firstLine="480" w:firstLineChars="200"/>
        <w:rPr>
          <w:rFonts w:ascii="仿宋_GB2312" w:hAnsi="宋体" w:eastAsia="仿宋_GB2312" w:cs="Arial"/>
          <w:kern w:val="0"/>
          <w:sz w:val="24"/>
          <w:szCs w:val="24"/>
          <w:highlight w:val="none"/>
          <w:lang w:val="zh-CN"/>
        </w:rPr>
      </w:pPr>
      <w:r>
        <w:rPr>
          <w:rFonts w:hint="eastAsia" w:ascii="仿宋_GB2312" w:hAnsi="宋体" w:eastAsia="仿宋_GB2312" w:cs="Arial"/>
          <w:kern w:val="0"/>
          <w:sz w:val="24"/>
          <w:szCs w:val="24"/>
          <w:highlight w:val="none"/>
          <w:lang w:val="zh-CN"/>
        </w:rPr>
        <w:t>2、澄清有关问题。为有利于对投标文件的比较和评议，对投标文件中含义不明确、同类问题表述不一致或者有明显文字和计算错误的内容，评审委员会可以书面形式要求投标人作出必要的澄清、说明或者纠正。投标人的澄清、说明或者补正应当采用书面形式，由其全权代表签字，并不得超出投标文件的范围或者改变投标文件的实质性内容。</w:t>
      </w:r>
    </w:p>
    <w:p>
      <w:pPr>
        <w:autoSpaceDE w:val="0"/>
        <w:autoSpaceDN w:val="0"/>
        <w:adjustRightInd w:val="0"/>
        <w:snapToGrid w:val="0"/>
        <w:spacing w:line="560" w:lineRule="exact"/>
        <w:ind w:firstLine="480" w:firstLineChars="200"/>
        <w:rPr>
          <w:rFonts w:ascii="仿宋_GB2312" w:hAnsi="宋体" w:eastAsia="仿宋_GB2312" w:cs="Arial"/>
          <w:kern w:val="0"/>
          <w:sz w:val="24"/>
          <w:szCs w:val="24"/>
          <w:highlight w:val="none"/>
          <w:lang w:val="zh-CN"/>
        </w:rPr>
      </w:pPr>
      <w:r>
        <w:rPr>
          <w:rFonts w:hint="eastAsia" w:ascii="仿宋_GB2312" w:hAnsi="宋体" w:eastAsia="仿宋_GB2312" w:cs="Arial"/>
          <w:kern w:val="0"/>
          <w:sz w:val="24"/>
          <w:szCs w:val="24"/>
          <w:highlight w:val="none"/>
          <w:lang w:val="zh-CN"/>
        </w:rPr>
        <w:t>3、该评分分值由评审委员会根据评审情况在分值范围内独立打分，小数点后保留2位小数（具体分值设定详见表格）。经统计，得出各投标人的最终评审分，按最终评审分高到低顺序排列。得分相同的，按投标报价由低到高顺序排列。得分且投标报价相同的，按技术指标优劣顺序排列，并形成评审意见。根据上述评审原则，分值安排如下：</w:t>
      </w:r>
    </w:p>
    <w:tbl>
      <w:tblPr>
        <w:tblStyle w:val="49"/>
        <w:tblpPr w:leftFromText="180" w:rightFromText="180" w:vertAnchor="text" w:horzAnchor="page" w:tblpX="1073" w:tblpY="363"/>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92"/>
        <w:gridCol w:w="852"/>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both"/>
              <w:rPr>
                <w:rFonts w:ascii="仿宋_GB2312" w:eastAsia="仿宋_GB2312" w:cs="宋体"/>
                <w:b/>
                <w:bCs/>
                <w:color w:val="000000"/>
                <w:kern w:val="0"/>
                <w:highlight w:val="none"/>
              </w:rPr>
            </w:pPr>
            <w:r>
              <w:rPr>
                <w:rFonts w:hint="eastAsia" w:ascii="仿宋_GB2312" w:hAnsi="宋体" w:eastAsia="仿宋_GB2312" w:cs="宋体"/>
                <w:b/>
                <w:bCs/>
                <w:color w:val="000000"/>
                <w:kern w:val="0"/>
                <w:highlight w:val="none"/>
              </w:rPr>
              <w:t>评审类别</w:t>
            </w:r>
          </w:p>
        </w:tc>
        <w:tc>
          <w:tcPr>
            <w:tcW w:w="992" w:type="dxa"/>
            <w:tcBorders>
              <w:top w:val="single" w:color="auto" w:sz="4" w:space="0"/>
              <w:left w:val="single" w:color="auto" w:sz="4" w:space="0"/>
              <w:bottom w:val="single" w:color="auto" w:sz="4" w:space="0"/>
              <w:right w:val="single" w:color="auto" w:sz="4" w:space="0"/>
            </w:tcBorders>
            <w:vAlign w:val="center"/>
          </w:tcPr>
          <w:p>
            <w:pPr>
              <w:ind w:leftChars="-51" w:right="-105" w:rightChars="-50" w:hanging="108" w:hangingChars="51"/>
              <w:jc w:val="both"/>
              <w:rPr>
                <w:rFonts w:ascii="仿宋_GB2312" w:eastAsia="仿宋_GB2312"/>
                <w:b/>
                <w:bCs/>
                <w:color w:val="000000"/>
                <w:kern w:val="0"/>
                <w:highlight w:val="none"/>
              </w:rPr>
            </w:pPr>
            <w:r>
              <w:rPr>
                <w:rFonts w:hint="eastAsia" w:ascii="仿宋_GB2312" w:hAnsi="宋体" w:eastAsia="仿宋_GB2312" w:cs="宋体"/>
                <w:b/>
                <w:bCs/>
                <w:color w:val="000000"/>
                <w:kern w:val="0"/>
                <w:highlight w:val="none"/>
              </w:rPr>
              <w:t>评审项目</w:t>
            </w:r>
          </w:p>
        </w:tc>
        <w:tc>
          <w:tcPr>
            <w:tcW w:w="852" w:type="dxa"/>
            <w:tcBorders>
              <w:top w:val="single" w:color="auto" w:sz="4" w:space="0"/>
              <w:left w:val="single" w:color="auto" w:sz="4" w:space="0"/>
              <w:bottom w:val="single" w:color="auto" w:sz="4" w:space="0"/>
              <w:right w:val="single" w:color="auto" w:sz="4" w:space="0"/>
            </w:tcBorders>
            <w:vAlign w:val="center"/>
          </w:tcPr>
          <w:p>
            <w:pPr>
              <w:jc w:val="both"/>
              <w:rPr>
                <w:rFonts w:ascii="仿宋_GB2312" w:eastAsia="仿宋_GB2312"/>
                <w:b/>
                <w:bCs/>
                <w:color w:val="000000"/>
                <w:kern w:val="0"/>
                <w:highlight w:val="none"/>
              </w:rPr>
            </w:pPr>
            <w:r>
              <w:rPr>
                <w:rFonts w:hint="eastAsia" w:ascii="仿宋_GB2312" w:hAnsi="宋体" w:eastAsia="仿宋_GB2312" w:cs="宋体"/>
                <w:b/>
                <w:bCs/>
                <w:color w:val="000000"/>
                <w:kern w:val="0"/>
                <w:highlight w:val="none"/>
              </w:rPr>
              <w:t>标准分</w:t>
            </w:r>
          </w:p>
        </w:tc>
        <w:tc>
          <w:tcPr>
            <w:tcW w:w="7371" w:type="dxa"/>
            <w:tcBorders>
              <w:top w:val="single" w:color="auto" w:sz="4" w:space="0"/>
              <w:left w:val="single" w:color="auto" w:sz="4" w:space="0"/>
              <w:bottom w:val="single" w:color="auto" w:sz="4" w:space="0"/>
              <w:right w:val="single" w:color="auto" w:sz="4" w:space="0"/>
            </w:tcBorders>
            <w:vAlign w:val="center"/>
          </w:tcPr>
          <w:p>
            <w:pPr>
              <w:jc w:val="both"/>
              <w:rPr>
                <w:rFonts w:ascii="仿宋_GB2312" w:eastAsia="仿宋_GB2312"/>
                <w:b/>
                <w:bCs/>
                <w:color w:val="000000"/>
                <w:kern w:val="0"/>
                <w:highlight w:val="none"/>
              </w:rPr>
            </w:pPr>
            <w:r>
              <w:rPr>
                <w:rFonts w:hint="eastAsia" w:ascii="仿宋_GB2312" w:hAnsi="宋体" w:eastAsia="仿宋_GB2312" w:cs="宋体"/>
                <w:b/>
                <w:bCs/>
                <w:color w:val="000000"/>
                <w:kern w:val="0"/>
                <w:highlight w:val="none"/>
              </w:rPr>
              <w:t>评分内容及标准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816" w:type="dxa"/>
            <w:tcBorders>
              <w:top w:val="single" w:color="auto" w:sz="4" w:space="0"/>
              <w:left w:val="single" w:color="auto" w:sz="4" w:space="0"/>
              <w:right w:val="single" w:color="auto" w:sz="4" w:space="0"/>
            </w:tcBorders>
            <w:vAlign w:val="center"/>
          </w:tcPr>
          <w:p>
            <w:pPr>
              <w:jc w:val="both"/>
              <w:rPr>
                <w:rFonts w:ascii="仿宋_GB2312" w:eastAsia="仿宋_GB2312"/>
                <w:color w:val="000000"/>
                <w:kern w:val="0"/>
                <w:highlight w:val="none"/>
              </w:rPr>
            </w:pPr>
            <w:r>
              <w:rPr>
                <w:rFonts w:hint="eastAsia" w:ascii="仿宋_GB2312" w:hAnsi="宋体" w:eastAsia="仿宋_GB2312" w:cs="宋体"/>
                <w:color w:val="000000"/>
                <w:kern w:val="0"/>
                <w:highlight w:val="none"/>
              </w:rPr>
              <w:t>报价部分30分</w:t>
            </w:r>
          </w:p>
        </w:tc>
        <w:tc>
          <w:tcPr>
            <w:tcW w:w="992" w:type="dxa"/>
            <w:tcBorders>
              <w:top w:val="single" w:color="auto" w:sz="4" w:space="0"/>
              <w:left w:val="single" w:color="auto" w:sz="4" w:space="0"/>
              <w:right w:val="single" w:color="auto" w:sz="4" w:space="0"/>
            </w:tcBorders>
            <w:vAlign w:val="center"/>
          </w:tcPr>
          <w:p>
            <w:pPr>
              <w:ind w:left="-107" w:leftChars="-51" w:right="-105" w:rightChars="-50"/>
              <w:jc w:val="both"/>
              <w:rPr>
                <w:rFonts w:ascii="仿宋_GB2312" w:eastAsia="仿宋_GB2312"/>
                <w:color w:val="000000"/>
                <w:kern w:val="0"/>
                <w:highlight w:val="none"/>
              </w:rPr>
            </w:pPr>
            <w:r>
              <w:rPr>
                <w:rFonts w:hint="eastAsia" w:ascii="仿宋_GB2312" w:hAnsi="宋体" w:eastAsia="仿宋_GB2312" w:cs="宋体"/>
                <w:color w:val="000000"/>
                <w:kern w:val="0"/>
                <w:highlight w:val="none"/>
              </w:rPr>
              <w:t>投标报价</w:t>
            </w:r>
          </w:p>
        </w:tc>
        <w:tc>
          <w:tcPr>
            <w:tcW w:w="852" w:type="dxa"/>
            <w:tcBorders>
              <w:top w:val="single" w:color="auto" w:sz="4" w:space="0"/>
              <w:left w:val="single" w:color="auto" w:sz="4" w:space="0"/>
              <w:right w:val="single" w:color="auto" w:sz="4" w:space="0"/>
            </w:tcBorders>
            <w:vAlign w:val="center"/>
          </w:tcPr>
          <w:p>
            <w:pPr>
              <w:jc w:val="center"/>
              <w:rPr>
                <w:rFonts w:ascii="仿宋_GB2312" w:hAnsi="宋体" w:eastAsia="仿宋_GB2312" w:cs="宋体"/>
                <w:color w:val="000000"/>
                <w:kern w:val="0"/>
                <w:highlight w:val="none"/>
              </w:rPr>
            </w:pPr>
            <w:r>
              <w:rPr>
                <w:rFonts w:hint="eastAsia" w:ascii="仿宋_GB2312" w:hAnsi="宋体" w:eastAsia="仿宋_GB2312" w:cs="宋体"/>
                <w:color w:val="000000"/>
                <w:kern w:val="0"/>
                <w:highlight w:val="none"/>
              </w:rPr>
              <w:t>30分</w:t>
            </w:r>
          </w:p>
        </w:tc>
        <w:tc>
          <w:tcPr>
            <w:tcW w:w="7371" w:type="dxa"/>
            <w:tcBorders>
              <w:top w:val="single" w:color="auto" w:sz="4" w:space="0"/>
              <w:left w:val="single" w:color="auto" w:sz="4" w:space="0"/>
              <w:right w:val="single" w:color="auto" w:sz="4" w:space="0"/>
            </w:tcBorders>
            <w:vAlign w:val="center"/>
          </w:tcPr>
          <w:p>
            <w:pPr>
              <w:spacing w:line="276" w:lineRule="auto"/>
              <w:jc w:val="both"/>
              <w:rPr>
                <w:rFonts w:ascii="仿宋_GB2312" w:hAnsi="宋体" w:eastAsia="仿宋_GB2312" w:cs="宋体"/>
                <w:color w:val="000000"/>
                <w:highlight w:val="none"/>
              </w:rPr>
            </w:pPr>
            <w:r>
              <w:rPr>
                <w:rFonts w:hint="eastAsia" w:ascii="仿宋_GB2312" w:hAnsi="宋体" w:eastAsia="仿宋_GB2312" w:cs="宋体"/>
                <w:color w:val="000000"/>
                <w:highlight w:val="none"/>
              </w:rPr>
              <w:t>按满足招标文件要求且根据采购人核定的采购基准价设定评分标准，投标报价对应评分标准获得相应得分，满分30分。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816" w:type="dxa"/>
            <w:vMerge w:val="restart"/>
            <w:tcBorders>
              <w:top w:val="single" w:color="auto" w:sz="4" w:space="0"/>
              <w:left w:val="single" w:color="auto" w:sz="4" w:space="0"/>
              <w:right w:val="single" w:color="auto" w:sz="4" w:space="0"/>
            </w:tcBorders>
            <w:vAlign w:val="center"/>
          </w:tcPr>
          <w:p>
            <w:pPr>
              <w:autoSpaceDE w:val="0"/>
              <w:autoSpaceDN w:val="0"/>
              <w:adjustRightInd w:val="0"/>
              <w:jc w:val="both"/>
              <w:rPr>
                <w:rFonts w:ascii="仿宋_GB2312" w:eastAsia="仿宋_GB2312"/>
                <w:color w:val="000000"/>
                <w:kern w:val="0"/>
                <w:highlight w:val="none"/>
                <w:lang w:val="zh-CN"/>
              </w:rPr>
            </w:pPr>
            <w:r>
              <w:rPr>
                <w:rFonts w:hint="eastAsia" w:ascii="仿宋_GB2312" w:hAnsi="宋体" w:eastAsia="仿宋_GB2312" w:cs="宋体"/>
                <w:color w:val="000000"/>
                <w:kern w:val="0"/>
                <w:highlight w:val="none"/>
              </w:rPr>
              <w:t>资信部分 15分</w:t>
            </w:r>
          </w:p>
        </w:tc>
        <w:tc>
          <w:tcPr>
            <w:tcW w:w="992" w:type="dxa"/>
            <w:tcBorders>
              <w:top w:val="single" w:color="auto" w:sz="4" w:space="0"/>
              <w:left w:val="single" w:color="auto" w:sz="4" w:space="0"/>
              <w:right w:val="single" w:color="auto" w:sz="4" w:space="0"/>
            </w:tcBorders>
            <w:vAlign w:val="center"/>
          </w:tcPr>
          <w:p>
            <w:pPr>
              <w:adjustRightInd w:val="0"/>
              <w:snapToGrid w:val="0"/>
              <w:spacing w:line="340" w:lineRule="exact"/>
              <w:ind w:left="-107" w:leftChars="-51" w:right="-105" w:rightChars="-50"/>
              <w:jc w:val="both"/>
              <w:rPr>
                <w:rFonts w:ascii="仿宋_GB2312" w:hAnsi="宋体" w:eastAsia="仿宋_GB2312" w:cs="宋体"/>
                <w:color w:val="000000"/>
                <w:highlight w:val="none"/>
              </w:rPr>
            </w:pPr>
            <w:r>
              <w:rPr>
                <w:rFonts w:hint="eastAsia" w:ascii="仿宋_GB2312" w:hAnsi="宋体" w:eastAsia="仿宋_GB2312" w:cs="宋体"/>
                <w:color w:val="000000"/>
                <w:highlight w:val="none"/>
              </w:rPr>
              <w:t>企业情况</w:t>
            </w:r>
          </w:p>
        </w:tc>
        <w:tc>
          <w:tcPr>
            <w:tcW w:w="852" w:type="dxa"/>
            <w:tcBorders>
              <w:top w:val="single" w:color="auto" w:sz="4" w:space="0"/>
              <w:left w:val="single" w:color="auto" w:sz="4" w:space="0"/>
              <w:right w:val="single" w:color="auto" w:sz="4" w:space="0"/>
            </w:tcBorders>
            <w:vAlign w:val="center"/>
          </w:tcPr>
          <w:p>
            <w:pPr>
              <w:adjustRightInd w:val="0"/>
              <w:snapToGrid w:val="0"/>
              <w:spacing w:line="340" w:lineRule="exact"/>
              <w:jc w:val="center"/>
              <w:rPr>
                <w:rFonts w:ascii="仿宋_GB2312" w:hAnsi="宋体" w:eastAsia="仿宋_GB2312" w:cs="宋体"/>
                <w:color w:val="000000"/>
                <w:kern w:val="0"/>
                <w:highlight w:val="none"/>
              </w:rPr>
            </w:pPr>
            <w:r>
              <w:rPr>
                <w:rFonts w:hint="eastAsia" w:ascii="仿宋_GB2312" w:hAnsi="宋体" w:eastAsia="仿宋_GB2312" w:cs="宋体"/>
                <w:color w:val="000000"/>
                <w:kern w:val="0"/>
                <w:highlight w:val="none"/>
              </w:rPr>
              <w:t>3</w:t>
            </w:r>
            <w:r>
              <w:rPr>
                <w:rFonts w:hint="eastAsia" w:ascii="仿宋_GB2312" w:hAnsi="宋体" w:eastAsia="仿宋_GB2312" w:cs="宋体"/>
                <w:color w:val="000000"/>
                <w:kern w:val="0"/>
                <w:highlight w:val="none"/>
                <w:lang w:val="zh-CN"/>
              </w:rPr>
              <w:t>分</w:t>
            </w:r>
          </w:p>
        </w:tc>
        <w:tc>
          <w:tcPr>
            <w:tcW w:w="7371" w:type="dxa"/>
            <w:tcBorders>
              <w:top w:val="single" w:color="auto" w:sz="4" w:space="0"/>
              <w:left w:val="single" w:color="auto" w:sz="4" w:space="0"/>
              <w:right w:val="single" w:color="auto" w:sz="4" w:space="0"/>
            </w:tcBorders>
            <w:vAlign w:val="center"/>
          </w:tcPr>
          <w:p>
            <w:pPr>
              <w:adjustRightInd w:val="0"/>
              <w:snapToGrid w:val="0"/>
              <w:spacing w:line="276" w:lineRule="auto"/>
              <w:jc w:val="both"/>
              <w:rPr>
                <w:rFonts w:ascii="仿宋_GB2312" w:hAnsi="宋体" w:eastAsia="仿宋_GB2312" w:cs="宋体"/>
                <w:color w:val="000000"/>
                <w:highlight w:val="none"/>
              </w:rPr>
            </w:pPr>
            <w:r>
              <w:rPr>
                <w:rFonts w:hint="eastAsia" w:ascii="仿宋_GB2312" w:hAnsi="宋体" w:eastAsia="仿宋_GB2312" w:cs="仿宋_GB2312"/>
                <w:color w:val="000000"/>
                <w:kern w:val="0"/>
                <w:highlight w:val="none"/>
              </w:rPr>
              <w:t>根据投标人提供的资料完整性及真实性，所反映企业规模、综合实力、项目实施能力、设备拥有情况等的比较，企业的知名度、信誉、银行信用、财务状况及履约情况等酌情打分，最高3分。（以上资料开标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816" w:type="dxa"/>
            <w:vMerge w:val="continue"/>
            <w:tcBorders>
              <w:top w:val="single" w:color="auto" w:sz="4" w:space="0"/>
              <w:left w:val="single" w:color="auto" w:sz="4" w:space="0"/>
              <w:right w:val="single" w:color="auto" w:sz="4" w:space="0"/>
            </w:tcBorders>
            <w:vAlign w:val="center"/>
          </w:tcPr>
          <w:p>
            <w:pPr>
              <w:autoSpaceDE w:val="0"/>
              <w:autoSpaceDN w:val="0"/>
              <w:adjustRightInd w:val="0"/>
              <w:jc w:val="both"/>
              <w:rPr>
                <w:rFonts w:ascii="仿宋_GB2312" w:hAnsi="宋体" w:eastAsia="仿宋_GB2312" w:cs="宋体"/>
                <w:color w:val="000000"/>
                <w:kern w:val="0"/>
                <w:highlight w:val="none"/>
              </w:rPr>
            </w:pPr>
          </w:p>
        </w:tc>
        <w:tc>
          <w:tcPr>
            <w:tcW w:w="992" w:type="dxa"/>
            <w:tcBorders>
              <w:top w:val="single" w:color="auto" w:sz="4" w:space="0"/>
              <w:left w:val="single" w:color="auto" w:sz="4" w:space="0"/>
              <w:right w:val="single" w:color="auto" w:sz="4" w:space="0"/>
            </w:tcBorders>
            <w:vAlign w:val="center"/>
          </w:tcPr>
          <w:p>
            <w:pPr>
              <w:adjustRightInd w:val="0"/>
              <w:snapToGrid w:val="0"/>
              <w:spacing w:line="340" w:lineRule="exact"/>
              <w:ind w:left="-107" w:leftChars="-51" w:right="-105" w:rightChars="-50"/>
              <w:jc w:val="both"/>
              <w:rPr>
                <w:rFonts w:ascii="仿宋_GB2312" w:hAnsi="宋体" w:eastAsia="仿宋_GB2312" w:cs="宋体"/>
                <w:color w:val="000000"/>
                <w:highlight w:val="none"/>
              </w:rPr>
            </w:pPr>
            <w:r>
              <w:rPr>
                <w:rFonts w:hint="eastAsia" w:ascii="仿宋_GB2312" w:hAnsi="宋体" w:eastAsia="仿宋_GB2312" w:cs="宋体"/>
                <w:color w:val="000000"/>
                <w:highlight w:val="none"/>
              </w:rPr>
              <w:t>软件著作权</w:t>
            </w:r>
          </w:p>
        </w:tc>
        <w:tc>
          <w:tcPr>
            <w:tcW w:w="852" w:type="dxa"/>
            <w:tcBorders>
              <w:top w:val="single" w:color="auto" w:sz="4" w:space="0"/>
              <w:left w:val="single" w:color="auto" w:sz="4" w:space="0"/>
              <w:right w:val="single" w:color="auto" w:sz="4" w:space="0"/>
            </w:tcBorders>
            <w:vAlign w:val="center"/>
          </w:tcPr>
          <w:p>
            <w:pPr>
              <w:adjustRightInd w:val="0"/>
              <w:snapToGrid w:val="0"/>
              <w:spacing w:line="340" w:lineRule="exact"/>
              <w:jc w:val="center"/>
              <w:rPr>
                <w:rFonts w:ascii="仿宋_GB2312" w:hAnsi="宋体" w:eastAsia="仿宋_GB2312" w:cs="宋体"/>
                <w:color w:val="000000"/>
                <w:kern w:val="0"/>
                <w:highlight w:val="none"/>
              </w:rPr>
            </w:pPr>
            <w:r>
              <w:rPr>
                <w:rFonts w:hint="eastAsia" w:ascii="仿宋_GB2312" w:hAnsi="宋体" w:eastAsia="仿宋_GB2312" w:cs="宋体"/>
                <w:color w:val="000000"/>
                <w:kern w:val="0"/>
                <w:highlight w:val="none"/>
              </w:rPr>
              <w:t>2分</w:t>
            </w:r>
          </w:p>
        </w:tc>
        <w:tc>
          <w:tcPr>
            <w:tcW w:w="7371" w:type="dxa"/>
            <w:tcBorders>
              <w:top w:val="single" w:color="auto" w:sz="4" w:space="0"/>
              <w:left w:val="single" w:color="auto" w:sz="4" w:space="0"/>
              <w:right w:val="single" w:color="auto" w:sz="4" w:space="0"/>
            </w:tcBorders>
            <w:vAlign w:val="center"/>
          </w:tcPr>
          <w:p>
            <w:pPr>
              <w:adjustRightInd w:val="0"/>
              <w:snapToGrid w:val="0"/>
              <w:spacing w:line="276" w:lineRule="auto"/>
              <w:jc w:val="both"/>
              <w:rPr>
                <w:rFonts w:ascii="仿宋_GB2312" w:hAnsi="宋体" w:eastAsia="仿宋_GB2312" w:cs="宋体"/>
                <w:color w:val="000000"/>
                <w:highlight w:val="none"/>
              </w:rPr>
            </w:pPr>
            <w:r>
              <w:rPr>
                <w:rFonts w:hint="eastAsia" w:ascii="仿宋" w:hAnsi="仿宋" w:eastAsia="仿宋"/>
                <w:color w:val="000000"/>
                <w:highlight w:val="none"/>
              </w:rPr>
              <w:t>投标人具有医学教学信息化类的软件著作权及第三方权威机构测试报告（投标人需要提供软件著作权证书及第三方权威机构测试报告复印件，加盖投标单位公章，否则不予认可）的，每个1分，最多得2分。</w:t>
            </w:r>
            <w:r>
              <w:rPr>
                <w:rFonts w:hint="eastAsia" w:ascii="仿宋_GB2312" w:hAnsi="宋体" w:eastAsia="仿宋_GB2312" w:cs="仿宋_GB2312"/>
                <w:color w:val="000000"/>
                <w:kern w:val="0"/>
                <w:highlight w:val="none"/>
              </w:rPr>
              <w:t>（以上资料开标时原件备查）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816" w:type="dxa"/>
            <w:vMerge w:val="continue"/>
            <w:tcBorders>
              <w:top w:val="single" w:color="auto" w:sz="4" w:space="0"/>
              <w:left w:val="single" w:color="auto" w:sz="4" w:space="0"/>
              <w:right w:val="single" w:color="auto" w:sz="4" w:space="0"/>
            </w:tcBorders>
            <w:vAlign w:val="center"/>
          </w:tcPr>
          <w:p>
            <w:pPr>
              <w:autoSpaceDE w:val="0"/>
              <w:autoSpaceDN w:val="0"/>
              <w:adjustRightInd w:val="0"/>
              <w:jc w:val="both"/>
              <w:rPr>
                <w:rFonts w:ascii="仿宋_GB2312" w:hAnsi="宋体" w:eastAsia="仿宋_GB2312" w:cs="宋体"/>
                <w:color w:val="000000"/>
                <w:kern w:val="0"/>
                <w:highlight w:val="none"/>
              </w:rPr>
            </w:pPr>
          </w:p>
        </w:tc>
        <w:tc>
          <w:tcPr>
            <w:tcW w:w="992" w:type="dxa"/>
            <w:tcBorders>
              <w:top w:val="single" w:color="auto" w:sz="4" w:space="0"/>
              <w:left w:val="single" w:color="auto" w:sz="4" w:space="0"/>
              <w:right w:val="single" w:color="auto" w:sz="4" w:space="0"/>
            </w:tcBorders>
            <w:vAlign w:val="center"/>
          </w:tcPr>
          <w:p>
            <w:pPr>
              <w:adjustRightInd w:val="0"/>
              <w:snapToGrid w:val="0"/>
              <w:spacing w:line="340" w:lineRule="exact"/>
              <w:ind w:left="0" w:leftChars="0" w:right="-105" w:rightChars="-50" w:firstLine="0" w:firstLineChars="0"/>
              <w:jc w:val="both"/>
              <w:rPr>
                <w:rFonts w:ascii="仿宋_GB2312" w:hAnsi="宋体" w:eastAsia="仿宋_GB2312" w:cs="宋体"/>
                <w:color w:val="000000"/>
                <w:highlight w:val="none"/>
              </w:rPr>
            </w:pPr>
            <w:r>
              <w:rPr>
                <w:rFonts w:hint="eastAsia" w:ascii="仿宋_GB2312" w:hAnsi="宋体" w:eastAsia="仿宋_GB2312" w:cs="宋体"/>
                <w:color w:val="000000"/>
                <w:highlight w:val="none"/>
              </w:rPr>
              <w:t>成功案例</w:t>
            </w:r>
          </w:p>
        </w:tc>
        <w:tc>
          <w:tcPr>
            <w:tcW w:w="852" w:type="dxa"/>
            <w:tcBorders>
              <w:top w:val="single" w:color="auto" w:sz="4" w:space="0"/>
              <w:left w:val="single" w:color="auto" w:sz="4" w:space="0"/>
              <w:right w:val="single" w:color="auto" w:sz="4" w:space="0"/>
            </w:tcBorders>
            <w:vAlign w:val="center"/>
          </w:tcPr>
          <w:p>
            <w:pPr>
              <w:jc w:val="center"/>
              <w:rPr>
                <w:rFonts w:ascii="仿宋_GB2312" w:hAnsi="宋体" w:eastAsia="仿宋_GB2312" w:cs="宋体"/>
                <w:highlight w:val="none"/>
              </w:rPr>
            </w:pPr>
            <w:r>
              <w:rPr>
                <w:rFonts w:hint="eastAsia" w:ascii="仿宋_GB2312" w:hAnsi="宋体" w:eastAsia="仿宋_GB2312" w:cs="宋体"/>
                <w:color w:val="000000"/>
                <w:kern w:val="0"/>
                <w:highlight w:val="none"/>
              </w:rPr>
              <w:t>10分</w:t>
            </w:r>
          </w:p>
        </w:tc>
        <w:tc>
          <w:tcPr>
            <w:tcW w:w="7371" w:type="dxa"/>
            <w:tcBorders>
              <w:top w:val="single" w:color="auto" w:sz="4" w:space="0"/>
              <w:left w:val="single" w:color="auto" w:sz="4" w:space="0"/>
              <w:right w:val="single" w:color="auto" w:sz="4" w:space="0"/>
            </w:tcBorders>
            <w:vAlign w:val="center"/>
          </w:tcPr>
          <w:p>
            <w:pPr>
              <w:adjustRightInd w:val="0"/>
              <w:snapToGrid w:val="0"/>
              <w:rPr>
                <w:rFonts w:ascii="仿宋" w:hAnsi="仿宋" w:eastAsia="仿宋"/>
                <w:color w:val="000000"/>
                <w:highlight w:val="none"/>
              </w:rPr>
            </w:pPr>
            <w:r>
              <w:rPr>
                <w:rFonts w:hint="eastAsia" w:ascii="仿宋" w:hAnsi="仿宋" w:eastAsia="仿宋"/>
                <w:color w:val="000000"/>
                <w:highlight w:val="none"/>
              </w:rPr>
              <w:t>投标人近</w:t>
            </w:r>
            <w:r>
              <w:rPr>
                <w:rFonts w:ascii="仿宋" w:hAnsi="仿宋" w:eastAsia="仿宋"/>
                <w:color w:val="000000"/>
                <w:highlight w:val="none"/>
              </w:rPr>
              <w:t>3</w:t>
            </w:r>
            <w:r>
              <w:rPr>
                <w:rFonts w:hint="eastAsia" w:ascii="仿宋" w:hAnsi="仿宋" w:eastAsia="仿宋"/>
                <w:color w:val="000000"/>
                <w:highlight w:val="none"/>
              </w:rPr>
              <w:t>年内（</w:t>
            </w:r>
            <w:r>
              <w:rPr>
                <w:rFonts w:ascii="仿宋" w:hAnsi="仿宋" w:eastAsia="仿宋"/>
                <w:color w:val="000000"/>
                <w:highlight w:val="none"/>
              </w:rPr>
              <w:t>201</w:t>
            </w:r>
            <w:r>
              <w:rPr>
                <w:rFonts w:hint="eastAsia" w:ascii="仿宋" w:hAnsi="仿宋" w:eastAsia="仿宋"/>
                <w:color w:val="000000"/>
                <w:highlight w:val="none"/>
              </w:rPr>
              <w:t>6年6月</w:t>
            </w:r>
            <w:r>
              <w:rPr>
                <w:rFonts w:ascii="仿宋" w:hAnsi="仿宋" w:eastAsia="仿宋"/>
                <w:color w:val="000000"/>
                <w:highlight w:val="none"/>
              </w:rPr>
              <w:t>1</w:t>
            </w:r>
            <w:r>
              <w:rPr>
                <w:rFonts w:hint="eastAsia" w:ascii="仿宋" w:hAnsi="仿宋" w:eastAsia="仿宋"/>
                <w:color w:val="000000"/>
                <w:highlight w:val="none"/>
              </w:rPr>
              <w:t>日至本采购活动招标公告发布前，以合同签订日期为准）每承担</w:t>
            </w:r>
            <w:r>
              <w:rPr>
                <w:rFonts w:ascii="仿宋" w:hAnsi="仿宋" w:eastAsia="仿宋"/>
                <w:color w:val="000000"/>
                <w:highlight w:val="none"/>
              </w:rPr>
              <w:t>1</w:t>
            </w:r>
            <w:r>
              <w:rPr>
                <w:rFonts w:hint="eastAsia" w:ascii="仿宋" w:hAnsi="仿宋" w:eastAsia="仿宋"/>
                <w:color w:val="000000"/>
                <w:highlight w:val="none"/>
              </w:rPr>
              <w:t>个相关类似信息化系统建设类的项目得</w:t>
            </w:r>
            <w:r>
              <w:rPr>
                <w:rFonts w:ascii="仿宋" w:hAnsi="仿宋" w:eastAsia="仿宋"/>
                <w:color w:val="000000"/>
                <w:highlight w:val="none"/>
              </w:rPr>
              <w:t>2</w:t>
            </w:r>
            <w:r>
              <w:rPr>
                <w:rFonts w:hint="eastAsia" w:ascii="仿宋" w:hAnsi="仿宋" w:eastAsia="仿宋"/>
                <w:color w:val="000000"/>
                <w:highlight w:val="none"/>
              </w:rPr>
              <w:t>分</w:t>
            </w:r>
            <w:r>
              <w:rPr>
                <w:rFonts w:ascii="仿宋" w:hAnsi="仿宋" w:eastAsia="仿宋"/>
                <w:color w:val="000000"/>
                <w:highlight w:val="none"/>
              </w:rPr>
              <w:t>,</w:t>
            </w:r>
            <w:r>
              <w:rPr>
                <w:rFonts w:hint="eastAsia" w:ascii="仿宋" w:hAnsi="仿宋" w:eastAsia="仿宋"/>
                <w:color w:val="000000"/>
                <w:highlight w:val="none"/>
              </w:rPr>
              <w:t>最多得10分。</w:t>
            </w:r>
          </w:p>
          <w:p>
            <w:pPr>
              <w:spacing w:line="276" w:lineRule="auto"/>
              <w:jc w:val="both"/>
              <w:rPr>
                <w:rFonts w:ascii="仿宋_GB2312" w:hAnsi="宋体" w:eastAsia="仿宋_GB2312" w:cs="宋体"/>
                <w:highlight w:val="none"/>
              </w:rPr>
            </w:pPr>
            <w:r>
              <w:rPr>
                <w:rFonts w:hint="eastAsia" w:ascii="仿宋" w:hAnsi="仿宋" w:eastAsia="仿宋"/>
                <w:color w:val="000000"/>
                <w:highlight w:val="none"/>
              </w:rPr>
              <w:t>注：投标人需提供采购合同</w:t>
            </w:r>
            <w:r>
              <w:rPr>
                <w:rFonts w:ascii="仿宋" w:hAnsi="仿宋" w:eastAsia="仿宋"/>
                <w:color w:val="000000"/>
                <w:highlight w:val="none"/>
              </w:rPr>
              <w:t xml:space="preserve">, </w:t>
            </w:r>
            <w:r>
              <w:rPr>
                <w:rFonts w:hint="eastAsia" w:ascii="仿宋" w:hAnsi="仿宋" w:eastAsia="仿宋"/>
                <w:color w:val="000000"/>
                <w:highlight w:val="none"/>
              </w:rPr>
              <w:t>中标通知书及验收文件（复印件作为证明材料，原件备查）。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816" w:type="dxa"/>
            <w:vMerge w:val="restart"/>
            <w:tcBorders>
              <w:top w:val="single" w:color="auto" w:sz="4" w:space="0"/>
              <w:left w:val="single" w:color="auto" w:sz="4" w:space="0"/>
              <w:bottom w:val="single" w:color="auto" w:sz="4" w:space="0"/>
              <w:right w:val="single" w:color="auto" w:sz="4" w:space="0"/>
            </w:tcBorders>
            <w:vAlign w:val="center"/>
          </w:tcPr>
          <w:p>
            <w:pPr>
              <w:jc w:val="both"/>
              <w:rPr>
                <w:rFonts w:ascii="仿宋_GB2312" w:hAnsi="宋体" w:eastAsia="仿宋_GB2312" w:cs="宋体"/>
                <w:color w:val="000000"/>
                <w:highlight w:val="none"/>
              </w:rPr>
            </w:pPr>
            <w:r>
              <w:rPr>
                <w:rFonts w:hint="eastAsia" w:ascii="仿宋_GB2312" w:hAnsi="宋体" w:eastAsia="仿宋_GB2312" w:cs="宋体"/>
                <w:color w:val="000000"/>
                <w:highlight w:val="none"/>
              </w:rPr>
              <w:t>技术部分   55分</w:t>
            </w:r>
          </w:p>
        </w:tc>
        <w:tc>
          <w:tcPr>
            <w:tcW w:w="992" w:type="dxa"/>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olor w:val="000000"/>
                <w:highlight w:val="none"/>
              </w:rPr>
            </w:pPr>
            <w:r>
              <w:rPr>
                <w:rFonts w:hint="eastAsia" w:ascii="仿宋" w:hAnsi="仿宋" w:eastAsia="仿宋"/>
                <w:color w:val="000000"/>
                <w:highlight w:val="none"/>
              </w:rPr>
              <w:t>整体技术指标响应情况</w:t>
            </w:r>
          </w:p>
        </w:tc>
        <w:tc>
          <w:tcPr>
            <w:tcW w:w="852" w:type="dxa"/>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olor w:val="000000"/>
                <w:highlight w:val="none"/>
              </w:rPr>
            </w:pPr>
            <w:r>
              <w:rPr>
                <w:rFonts w:ascii="仿宋" w:hAnsi="仿宋" w:eastAsia="仿宋"/>
                <w:color w:val="000000"/>
                <w:highlight w:val="none"/>
              </w:rPr>
              <w:t>15</w:t>
            </w:r>
            <w:r>
              <w:rPr>
                <w:rFonts w:hint="eastAsia" w:ascii="仿宋" w:hAnsi="仿宋" w:eastAsia="仿宋"/>
                <w:color w:val="000000"/>
                <w:highlight w:val="none"/>
              </w:rPr>
              <w:t>分</w:t>
            </w:r>
          </w:p>
        </w:tc>
        <w:tc>
          <w:tcPr>
            <w:tcW w:w="737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000000"/>
                <w:highlight w:val="none"/>
              </w:rPr>
            </w:pPr>
            <w:r>
              <w:rPr>
                <w:rFonts w:hint="eastAsia" w:ascii="仿宋" w:hAnsi="仿宋" w:eastAsia="仿宋"/>
                <w:color w:val="000000"/>
                <w:highlight w:val="none"/>
              </w:rPr>
              <w:t>投标人所投产品的技术指标完全满足采购文件参数要求的得15分；打</w:t>
            </w:r>
            <w:r>
              <w:rPr>
                <w:rFonts w:hint="eastAsia" w:ascii="仿宋" w:hAnsi="仿宋" w:eastAsia="仿宋"/>
                <w:color w:val="000000"/>
                <w:highlight w:val="none"/>
                <w:lang w:eastAsia="zh-CN"/>
              </w:rPr>
              <w:t>★</w:t>
            </w:r>
            <w:r>
              <w:rPr>
                <w:rFonts w:hint="eastAsia" w:ascii="仿宋" w:hAnsi="仿宋" w:eastAsia="仿宋"/>
                <w:color w:val="000000"/>
                <w:highlight w:val="none"/>
              </w:rPr>
              <w:t>号指标，每有一项负偏离扣</w:t>
            </w:r>
            <w:r>
              <w:rPr>
                <w:rFonts w:ascii="仿宋" w:hAnsi="仿宋" w:eastAsia="仿宋"/>
                <w:color w:val="000000"/>
                <w:highlight w:val="none"/>
              </w:rPr>
              <w:t>3</w:t>
            </w:r>
            <w:r>
              <w:rPr>
                <w:rFonts w:hint="eastAsia" w:ascii="仿宋" w:hAnsi="仿宋" w:eastAsia="仿宋"/>
                <w:color w:val="000000"/>
                <w:highlight w:val="none"/>
              </w:rPr>
              <w:t>分，其他指标每有一项负偏离扣1分，扣完为止；（以采购清单中要求的相关证明文件为准）；严重负偏离且影响产品性能的，经评委认定，本项可不得分。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jc w:val="both"/>
              <w:rPr>
                <w:rFonts w:ascii="仿宋_GB2312" w:hAnsi="宋体" w:eastAsia="仿宋_GB2312" w:cs="宋体"/>
                <w:color w:val="000000"/>
                <w:highlight w:val="none"/>
              </w:rPr>
            </w:pPr>
          </w:p>
        </w:tc>
        <w:tc>
          <w:tcPr>
            <w:tcW w:w="992" w:type="dxa"/>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olor w:val="000000"/>
                <w:highlight w:val="none"/>
              </w:rPr>
            </w:pPr>
            <w:r>
              <w:rPr>
                <w:rFonts w:hint="eastAsia" w:ascii="仿宋" w:hAnsi="仿宋" w:eastAsia="仿宋"/>
                <w:color w:val="000000"/>
                <w:highlight w:val="none"/>
              </w:rPr>
              <w:t>项目方案理解及总体设计方案</w:t>
            </w:r>
          </w:p>
        </w:tc>
        <w:tc>
          <w:tcPr>
            <w:tcW w:w="852" w:type="dxa"/>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olor w:val="000000"/>
                <w:highlight w:val="none"/>
              </w:rPr>
            </w:pPr>
            <w:r>
              <w:rPr>
                <w:rFonts w:hint="eastAsia" w:ascii="仿宋" w:hAnsi="仿宋" w:eastAsia="仿宋"/>
                <w:color w:val="000000"/>
                <w:highlight w:val="none"/>
              </w:rPr>
              <w:t>7分</w:t>
            </w:r>
          </w:p>
        </w:tc>
        <w:tc>
          <w:tcPr>
            <w:tcW w:w="737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000000"/>
                <w:highlight w:val="none"/>
              </w:rPr>
            </w:pPr>
            <w:r>
              <w:rPr>
                <w:rFonts w:hint="eastAsia" w:ascii="仿宋" w:hAnsi="仿宋" w:eastAsia="仿宋"/>
                <w:color w:val="000000"/>
                <w:highlight w:val="none"/>
              </w:rPr>
              <w:t>对项目需求理解深刻，分析全面、深入，对整个系统建设和未来发展方向有一定思路；对项目实施的重点关键环节把握到位</w:t>
            </w:r>
            <w:r>
              <w:rPr>
                <w:rFonts w:ascii="仿宋" w:hAnsi="仿宋" w:eastAsia="仿宋"/>
                <w:color w:val="000000"/>
                <w:highlight w:val="none"/>
              </w:rPr>
              <w:t>,</w:t>
            </w:r>
            <w:r>
              <w:rPr>
                <w:rFonts w:hint="eastAsia" w:ascii="仿宋" w:hAnsi="仿宋" w:eastAsia="仿宋"/>
                <w:color w:val="000000"/>
                <w:highlight w:val="none"/>
              </w:rPr>
              <w:t>充分理解用户的建设目标，以及重点难点的描述准确详细。根据项目方案理解及总体设计方案优劣评分，</w:t>
            </w:r>
            <w:r>
              <w:rPr>
                <w:rFonts w:hint="eastAsia" w:ascii="仿宋" w:hAnsi="仿宋" w:eastAsia="仿宋"/>
                <w:color w:val="000000"/>
                <w:highlight w:val="none"/>
                <w:lang w:eastAsia="zh-CN"/>
              </w:rPr>
              <w:t>方案详实可实施性高</w:t>
            </w:r>
            <w:r>
              <w:rPr>
                <w:rFonts w:hint="eastAsia" w:ascii="仿宋" w:hAnsi="仿宋" w:eastAsia="仿宋"/>
                <w:color w:val="000000"/>
                <w:highlight w:val="none"/>
              </w:rPr>
              <w:t>的5-7分，</w:t>
            </w:r>
            <w:r>
              <w:rPr>
                <w:rFonts w:hint="eastAsia" w:ascii="仿宋" w:hAnsi="仿宋" w:eastAsia="仿宋"/>
                <w:color w:val="000000"/>
                <w:highlight w:val="none"/>
                <w:lang w:eastAsia="zh-CN"/>
              </w:rPr>
              <w:t>方案</w:t>
            </w:r>
            <w:r>
              <w:rPr>
                <w:rFonts w:hint="eastAsia" w:ascii="仿宋" w:hAnsi="仿宋" w:eastAsia="仿宋"/>
                <w:color w:val="000000"/>
                <w:highlight w:val="none"/>
              </w:rPr>
              <w:t>一般</w:t>
            </w:r>
            <w:r>
              <w:rPr>
                <w:rFonts w:hint="eastAsia" w:ascii="仿宋" w:hAnsi="仿宋" w:eastAsia="仿宋"/>
                <w:color w:val="000000"/>
                <w:highlight w:val="none"/>
                <w:lang w:eastAsia="zh-CN"/>
              </w:rPr>
              <w:t>基本可操作</w:t>
            </w:r>
            <w:r>
              <w:rPr>
                <w:rFonts w:hint="eastAsia" w:ascii="仿宋" w:hAnsi="仿宋" w:eastAsia="仿宋"/>
                <w:color w:val="000000"/>
                <w:highlight w:val="none"/>
              </w:rPr>
              <w:t>的2-4分，</w:t>
            </w:r>
            <w:r>
              <w:rPr>
                <w:rFonts w:hint="eastAsia" w:ascii="仿宋" w:hAnsi="仿宋" w:eastAsia="仿宋"/>
                <w:color w:val="000000"/>
                <w:highlight w:val="none"/>
                <w:lang w:eastAsia="zh-CN"/>
              </w:rPr>
              <w:t>方案简单无实际操作指导意义</w:t>
            </w:r>
            <w:r>
              <w:rPr>
                <w:rFonts w:hint="eastAsia" w:ascii="仿宋" w:hAnsi="仿宋" w:eastAsia="仿宋"/>
                <w:color w:val="000000"/>
                <w:highlight w:val="none"/>
              </w:rPr>
              <w:t>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ind w:firstLine="210" w:firstLineChars="100"/>
              <w:jc w:val="both"/>
              <w:rPr>
                <w:rFonts w:ascii="仿宋_GB2312" w:hAnsi="宋体" w:eastAsia="仿宋_GB2312" w:cs="宋体"/>
                <w:color w:val="000000"/>
                <w:kern w:val="0"/>
                <w:highlight w:val="none"/>
              </w:rPr>
            </w:pPr>
          </w:p>
        </w:tc>
        <w:tc>
          <w:tcPr>
            <w:tcW w:w="992" w:type="dxa"/>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olor w:val="000000"/>
                <w:highlight w:val="none"/>
              </w:rPr>
            </w:pPr>
            <w:r>
              <w:rPr>
                <w:rFonts w:hint="eastAsia" w:ascii="仿宋" w:hAnsi="仿宋" w:eastAsia="仿宋"/>
                <w:color w:val="000000"/>
                <w:highlight w:val="none"/>
              </w:rPr>
              <w:t>整体系统演示</w:t>
            </w:r>
          </w:p>
        </w:tc>
        <w:tc>
          <w:tcPr>
            <w:tcW w:w="852" w:type="dxa"/>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olor w:val="000000"/>
                <w:highlight w:val="none"/>
              </w:rPr>
            </w:pPr>
            <w:r>
              <w:rPr>
                <w:rFonts w:ascii="仿宋" w:hAnsi="仿宋" w:eastAsia="仿宋"/>
                <w:color w:val="000000"/>
                <w:highlight w:val="none"/>
              </w:rPr>
              <w:t>1</w:t>
            </w:r>
            <w:r>
              <w:rPr>
                <w:rFonts w:hint="eastAsia" w:ascii="仿宋" w:hAnsi="仿宋" w:eastAsia="仿宋"/>
                <w:color w:val="000000"/>
                <w:highlight w:val="none"/>
              </w:rPr>
              <w:t>5分</w:t>
            </w:r>
          </w:p>
        </w:tc>
        <w:tc>
          <w:tcPr>
            <w:tcW w:w="7371" w:type="dxa"/>
            <w:tcBorders>
              <w:top w:val="single" w:color="auto" w:sz="4" w:space="0"/>
              <w:left w:val="single" w:color="auto" w:sz="4" w:space="0"/>
              <w:right w:val="single" w:color="auto" w:sz="4" w:space="0"/>
            </w:tcBorders>
            <w:vAlign w:val="center"/>
          </w:tcPr>
          <w:p>
            <w:pPr>
              <w:adjustRightInd w:val="0"/>
              <w:snapToGrid w:val="0"/>
              <w:rPr>
                <w:rFonts w:ascii="仿宋" w:hAnsi="仿宋" w:eastAsia="仿宋"/>
                <w:color w:val="000000"/>
                <w:highlight w:val="none"/>
              </w:rPr>
            </w:pPr>
            <w:r>
              <w:rPr>
                <w:rFonts w:hint="eastAsia" w:ascii="仿宋" w:hAnsi="仿宋" w:eastAsia="仿宋"/>
                <w:color w:val="000000"/>
                <w:highlight w:val="none"/>
              </w:rPr>
              <w:t>对项目产品，需对“</w:t>
            </w:r>
            <w:r>
              <w:rPr>
                <w:rFonts w:ascii="仿宋" w:hAnsi="仿宋" w:eastAsia="仿宋"/>
                <w:color w:val="000000"/>
                <w:highlight w:val="none"/>
              </w:rPr>
              <w:t>临床技能中心信息管理系统”、 “临床思维训练系统”</w:t>
            </w:r>
            <w:r>
              <w:rPr>
                <w:rFonts w:hint="eastAsia" w:ascii="仿宋" w:hAnsi="仿宋" w:eastAsia="仿宋"/>
                <w:color w:val="000000"/>
                <w:highlight w:val="none"/>
              </w:rPr>
              <w:t>进行现场演示并评审。应重点演示技术参数指标中打▲号指标</w:t>
            </w:r>
          </w:p>
          <w:p>
            <w:pPr>
              <w:adjustRightInd w:val="0"/>
              <w:snapToGrid w:val="0"/>
              <w:rPr>
                <w:rFonts w:ascii="仿宋" w:hAnsi="仿宋" w:eastAsia="仿宋"/>
                <w:color w:val="000000"/>
                <w:highlight w:val="none"/>
              </w:rPr>
            </w:pPr>
            <w:r>
              <w:rPr>
                <w:rFonts w:hint="eastAsia" w:ascii="仿宋" w:hAnsi="仿宋" w:eastAsia="仿宋"/>
                <w:color w:val="000000"/>
                <w:highlight w:val="none"/>
              </w:rPr>
              <w:t>对产品演示展示全面、内容优秀的，完全满足招标文件要求的得11-15分；</w:t>
            </w:r>
          </w:p>
          <w:p>
            <w:pPr>
              <w:adjustRightInd w:val="0"/>
              <w:snapToGrid w:val="0"/>
              <w:rPr>
                <w:rFonts w:ascii="仿宋" w:hAnsi="仿宋" w:eastAsia="仿宋"/>
                <w:color w:val="000000"/>
                <w:highlight w:val="none"/>
              </w:rPr>
            </w:pPr>
            <w:r>
              <w:rPr>
                <w:rFonts w:hint="eastAsia" w:ascii="仿宋" w:hAnsi="仿宋" w:eastAsia="仿宋"/>
                <w:color w:val="000000"/>
                <w:highlight w:val="none"/>
              </w:rPr>
              <w:t>对本项目建设需求展示基本全面的，基本满足招标文件要求的，得5-10分；</w:t>
            </w:r>
          </w:p>
          <w:p>
            <w:pPr>
              <w:adjustRightInd w:val="0"/>
              <w:snapToGrid w:val="0"/>
              <w:rPr>
                <w:rFonts w:ascii="仿宋" w:hAnsi="仿宋" w:eastAsia="仿宋"/>
                <w:color w:val="000000"/>
                <w:highlight w:val="none"/>
              </w:rPr>
            </w:pPr>
            <w:r>
              <w:rPr>
                <w:rFonts w:hint="eastAsia" w:ascii="仿宋" w:hAnsi="仿宋" w:eastAsia="仿宋"/>
                <w:color w:val="000000"/>
                <w:highlight w:val="none"/>
              </w:rPr>
              <w:t>对本项目建设需求展示不够全面、内容较差的，得0-4分。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ind w:firstLine="210" w:firstLineChars="100"/>
              <w:jc w:val="both"/>
              <w:rPr>
                <w:rFonts w:ascii="仿宋_GB2312" w:hAnsi="宋体" w:eastAsia="仿宋_GB2312" w:cs="宋体"/>
                <w:color w:val="000000"/>
                <w:kern w:val="0"/>
                <w:highlight w:val="none"/>
              </w:rPr>
            </w:pPr>
          </w:p>
        </w:tc>
        <w:tc>
          <w:tcPr>
            <w:tcW w:w="992" w:type="dxa"/>
            <w:tcBorders>
              <w:left w:val="single" w:color="auto" w:sz="4" w:space="0"/>
              <w:right w:val="single" w:color="auto" w:sz="4" w:space="0"/>
            </w:tcBorders>
            <w:vAlign w:val="center"/>
          </w:tcPr>
          <w:p>
            <w:pPr>
              <w:adjustRightInd w:val="0"/>
              <w:snapToGrid w:val="0"/>
              <w:jc w:val="center"/>
              <w:rPr>
                <w:rFonts w:ascii="仿宋" w:hAnsi="仿宋" w:eastAsia="仿宋"/>
                <w:color w:val="000000"/>
                <w:highlight w:val="none"/>
              </w:rPr>
            </w:pPr>
            <w:r>
              <w:rPr>
                <w:rFonts w:hint="eastAsia" w:ascii="仿宋" w:hAnsi="仿宋" w:eastAsia="仿宋"/>
                <w:color w:val="000000"/>
                <w:highlight w:val="none"/>
              </w:rPr>
              <w:t>项目实施方案</w:t>
            </w:r>
          </w:p>
        </w:tc>
        <w:tc>
          <w:tcPr>
            <w:tcW w:w="852" w:type="dxa"/>
            <w:tcBorders>
              <w:left w:val="single" w:color="auto" w:sz="4" w:space="0"/>
              <w:right w:val="single" w:color="auto" w:sz="4" w:space="0"/>
            </w:tcBorders>
            <w:vAlign w:val="center"/>
          </w:tcPr>
          <w:p>
            <w:pPr>
              <w:adjustRightInd w:val="0"/>
              <w:snapToGrid w:val="0"/>
              <w:jc w:val="center"/>
              <w:rPr>
                <w:rFonts w:ascii="仿宋" w:hAnsi="仿宋" w:eastAsia="仿宋"/>
                <w:color w:val="000000"/>
                <w:highlight w:val="none"/>
              </w:rPr>
            </w:pPr>
            <w:r>
              <w:rPr>
                <w:rFonts w:ascii="仿宋" w:hAnsi="仿宋" w:eastAsia="仿宋"/>
                <w:color w:val="000000"/>
                <w:highlight w:val="none"/>
              </w:rPr>
              <w:t>4</w:t>
            </w:r>
            <w:r>
              <w:rPr>
                <w:rFonts w:hint="eastAsia" w:ascii="仿宋" w:hAnsi="仿宋" w:eastAsia="仿宋"/>
                <w:color w:val="000000"/>
                <w:highlight w:val="none"/>
              </w:rPr>
              <w:t>分</w:t>
            </w:r>
          </w:p>
        </w:tc>
        <w:tc>
          <w:tcPr>
            <w:tcW w:w="7371" w:type="dxa"/>
            <w:tcBorders>
              <w:top w:val="single" w:color="auto" w:sz="4" w:space="0"/>
              <w:left w:val="single" w:color="auto" w:sz="4" w:space="0"/>
              <w:right w:val="single" w:color="auto" w:sz="4" w:space="0"/>
            </w:tcBorders>
            <w:vAlign w:val="center"/>
          </w:tcPr>
          <w:p>
            <w:pPr>
              <w:adjustRightInd w:val="0"/>
              <w:snapToGrid w:val="0"/>
              <w:rPr>
                <w:rFonts w:ascii="仿宋" w:hAnsi="仿宋" w:eastAsia="仿宋"/>
                <w:color w:val="000000"/>
                <w:highlight w:val="none"/>
              </w:rPr>
            </w:pPr>
            <w:r>
              <w:rPr>
                <w:rFonts w:hint="eastAsia" w:ascii="仿宋" w:hAnsi="仿宋" w:eastAsia="仿宋"/>
                <w:color w:val="000000"/>
                <w:highlight w:val="none"/>
              </w:rPr>
              <w:t>对总体设计、项目管理、系统建设、系统验收等关键工作安排合理，有措施完善的项目管理计划与项目进度控制，经评标委员会综合评价，</w:t>
            </w:r>
            <w:r>
              <w:rPr>
                <w:rFonts w:hint="eastAsia" w:ascii="仿宋" w:hAnsi="仿宋" w:eastAsia="仿宋"/>
                <w:color w:val="000000"/>
                <w:highlight w:val="none"/>
                <w:lang w:eastAsia="zh-CN"/>
              </w:rPr>
              <w:t>实施方案详实有科学性</w:t>
            </w:r>
            <w:r>
              <w:rPr>
                <w:rFonts w:hint="eastAsia" w:ascii="仿宋" w:hAnsi="仿宋" w:eastAsia="仿宋"/>
                <w:color w:val="000000"/>
                <w:highlight w:val="none"/>
              </w:rPr>
              <w:t>的3-4分，</w:t>
            </w:r>
            <w:r>
              <w:rPr>
                <w:rFonts w:hint="eastAsia" w:ascii="仿宋" w:hAnsi="仿宋" w:eastAsia="仿宋"/>
                <w:color w:val="000000"/>
                <w:highlight w:val="none"/>
                <w:lang w:eastAsia="zh-CN"/>
              </w:rPr>
              <w:t>方案及进度安排基本满足需求的</w:t>
            </w:r>
            <w:r>
              <w:rPr>
                <w:rFonts w:hint="eastAsia" w:ascii="仿宋" w:hAnsi="仿宋" w:eastAsia="仿宋"/>
                <w:color w:val="000000"/>
                <w:highlight w:val="none"/>
              </w:rPr>
              <w:t>的1-2分，</w:t>
            </w:r>
            <w:r>
              <w:rPr>
                <w:rFonts w:hint="eastAsia" w:ascii="仿宋" w:hAnsi="仿宋" w:eastAsia="仿宋"/>
                <w:color w:val="000000"/>
                <w:highlight w:val="none"/>
                <w:lang w:eastAsia="zh-CN"/>
              </w:rPr>
              <w:t>方案与进度不科学合理</w:t>
            </w:r>
            <w:r>
              <w:rPr>
                <w:rFonts w:hint="eastAsia" w:ascii="仿宋" w:hAnsi="仿宋" w:eastAsia="仿宋"/>
                <w:color w:val="000000"/>
                <w:highlight w:val="none"/>
              </w:rPr>
              <w:t>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ind w:firstLine="210" w:firstLineChars="100"/>
              <w:jc w:val="both"/>
              <w:rPr>
                <w:rFonts w:ascii="仿宋_GB2312" w:hAnsi="宋体" w:eastAsia="仿宋_GB2312" w:cs="宋体"/>
                <w:color w:val="000000"/>
                <w:kern w:val="0"/>
                <w:highlight w:val="none"/>
              </w:rPr>
            </w:pPr>
          </w:p>
        </w:tc>
        <w:tc>
          <w:tcPr>
            <w:tcW w:w="992" w:type="dxa"/>
            <w:vMerge w:val="restart"/>
            <w:tcBorders>
              <w:left w:val="single" w:color="auto" w:sz="4" w:space="0"/>
              <w:right w:val="single" w:color="auto" w:sz="4" w:space="0"/>
            </w:tcBorders>
            <w:vAlign w:val="center"/>
          </w:tcPr>
          <w:p>
            <w:pPr>
              <w:adjustRightInd w:val="0"/>
              <w:snapToGrid w:val="0"/>
              <w:jc w:val="center"/>
              <w:rPr>
                <w:rFonts w:ascii="仿宋" w:hAnsi="仿宋" w:eastAsia="仿宋"/>
                <w:color w:val="000000"/>
                <w:highlight w:val="none"/>
              </w:rPr>
            </w:pPr>
            <w:r>
              <w:rPr>
                <w:rFonts w:hint="eastAsia" w:ascii="仿宋" w:hAnsi="仿宋" w:eastAsia="仿宋"/>
                <w:color w:val="000000"/>
                <w:highlight w:val="none"/>
              </w:rPr>
              <w:t>项目成员情况</w:t>
            </w:r>
          </w:p>
        </w:tc>
        <w:tc>
          <w:tcPr>
            <w:tcW w:w="852" w:type="dxa"/>
            <w:tcBorders>
              <w:left w:val="single" w:color="auto" w:sz="4" w:space="0"/>
              <w:right w:val="single" w:color="auto" w:sz="4" w:space="0"/>
            </w:tcBorders>
            <w:vAlign w:val="center"/>
          </w:tcPr>
          <w:p>
            <w:pPr>
              <w:adjustRightInd w:val="0"/>
              <w:snapToGrid w:val="0"/>
              <w:jc w:val="center"/>
              <w:rPr>
                <w:rFonts w:ascii="仿宋" w:hAnsi="仿宋" w:eastAsia="仿宋"/>
                <w:color w:val="000000"/>
                <w:highlight w:val="none"/>
              </w:rPr>
            </w:pPr>
            <w:r>
              <w:rPr>
                <w:rFonts w:hint="eastAsia" w:ascii="仿宋" w:hAnsi="仿宋" w:eastAsia="仿宋"/>
                <w:color w:val="000000"/>
                <w:highlight w:val="none"/>
              </w:rPr>
              <w:t>2分</w:t>
            </w:r>
          </w:p>
        </w:tc>
        <w:tc>
          <w:tcPr>
            <w:tcW w:w="7371" w:type="dxa"/>
            <w:tcBorders>
              <w:top w:val="single" w:color="auto" w:sz="4" w:space="0"/>
              <w:left w:val="single" w:color="auto" w:sz="4" w:space="0"/>
              <w:right w:val="single" w:color="auto" w:sz="4" w:space="0"/>
            </w:tcBorders>
            <w:vAlign w:val="center"/>
          </w:tcPr>
          <w:p>
            <w:pPr>
              <w:adjustRightInd w:val="0"/>
              <w:snapToGrid w:val="0"/>
              <w:rPr>
                <w:rFonts w:ascii="仿宋" w:hAnsi="仿宋" w:eastAsia="仿宋"/>
                <w:color w:val="000000"/>
                <w:highlight w:val="none"/>
              </w:rPr>
            </w:pPr>
            <w:r>
              <w:rPr>
                <w:rFonts w:hint="eastAsia" w:ascii="仿宋" w:hAnsi="仿宋" w:eastAsia="仿宋"/>
                <w:color w:val="000000"/>
                <w:highlight w:val="none"/>
              </w:rPr>
              <w:t>提供承担本项目工作的项目经理具有相关证书（如：网络规划设计师证书、网络工程师证书、计算机信息系统集成项目经理资质证书）每有一项得</w:t>
            </w:r>
            <w:r>
              <w:rPr>
                <w:rFonts w:ascii="仿宋" w:hAnsi="仿宋" w:eastAsia="仿宋"/>
                <w:color w:val="000000"/>
                <w:highlight w:val="none"/>
              </w:rPr>
              <w:t>1</w:t>
            </w:r>
            <w:r>
              <w:rPr>
                <w:rFonts w:hint="eastAsia" w:ascii="仿宋" w:hAnsi="仿宋" w:eastAsia="仿宋"/>
                <w:color w:val="000000"/>
                <w:highlight w:val="none"/>
              </w:rPr>
              <w:t>分，最高得2分，未提供则为</w:t>
            </w:r>
            <w:r>
              <w:rPr>
                <w:rFonts w:ascii="仿宋" w:hAnsi="仿宋" w:eastAsia="仿宋"/>
                <w:color w:val="000000"/>
                <w:highlight w:val="none"/>
              </w:rPr>
              <w:t>0</w:t>
            </w:r>
            <w:r>
              <w:rPr>
                <w:rFonts w:hint="eastAsia" w:ascii="仿宋" w:hAnsi="仿宋" w:eastAsia="仿宋"/>
                <w:color w:val="00000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ind w:firstLine="210" w:firstLineChars="100"/>
              <w:jc w:val="both"/>
              <w:rPr>
                <w:rFonts w:ascii="仿宋_GB2312" w:hAnsi="宋体" w:eastAsia="仿宋_GB2312" w:cs="宋体"/>
                <w:color w:val="000000"/>
                <w:kern w:val="0"/>
                <w:highlight w:val="none"/>
              </w:rPr>
            </w:pPr>
          </w:p>
        </w:tc>
        <w:tc>
          <w:tcPr>
            <w:tcW w:w="992"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olor w:val="000000"/>
                <w:highlight w:val="none"/>
              </w:rPr>
            </w:pPr>
          </w:p>
        </w:tc>
        <w:tc>
          <w:tcPr>
            <w:tcW w:w="852" w:type="dxa"/>
            <w:tcBorders>
              <w:left w:val="single" w:color="auto" w:sz="4" w:space="0"/>
              <w:right w:val="single" w:color="auto" w:sz="4" w:space="0"/>
            </w:tcBorders>
            <w:vAlign w:val="center"/>
          </w:tcPr>
          <w:p>
            <w:pPr>
              <w:adjustRightInd w:val="0"/>
              <w:snapToGrid w:val="0"/>
              <w:jc w:val="center"/>
              <w:rPr>
                <w:rFonts w:ascii="仿宋" w:hAnsi="仿宋" w:eastAsia="仿宋"/>
                <w:color w:val="000000"/>
                <w:highlight w:val="none"/>
              </w:rPr>
            </w:pPr>
            <w:r>
              <w:rPr>
                <w:rFonts w:hint="eastAsia" w:ascii="仿宋" w:hAnsi="仿宋" w:eastAsia="仿宋"/>
                <w:color w:val="000000"/>
                <w:highlight w:val="none"/>
              </w:rPr>
              <w:t>2分</w:t>
            </w:r>
          </w:p>
        </w:tc>
        <w:tc>
          <w:tcPr>
            <w:tcW w:w="7371" w:type="dxa"/>
            <w:tcBorders>
              <w:top w:val="single" w:color="auto" w:sz="4" w:space="0"/>
              <w:left w:val="single" w:color="auto" w:sz="4" w:space="0"/>
              <w:right w:val="single" w:color="auto" w:sz="4" w:space="0"/>
            </w:tcBorders>
            <w:vAlign w:val="center"/>
          </w:tcPr>
          <w:p>
            <w:pPr>
              <w:adjustRightInd w:val="0"/>
              <w:snapToGrid w:val="0"/>
              <w:rPr>
                <w:rFonts w:ascii="仿宋" w:hAnsi="仿宋" w:eastAsia="仿宋"/>
                <w:color w:val="000000"/>
                <w:highlight w:val="none"/>
              </w:rPr>
            </w:pPr>
            <w:r>
              <w:rPr>
                <w:rFonts w:hint="eastAsia" w:ascii="仿宋" w:hAnsi="仿宋" w:eastAsia="仿宋"/>
                <w:color w:val="000000"/>
                <w:highlight w:val="none"/>
              </w:rPr>
              <w:t>项目团队保障五人以上进行该项目建设、实施的得</w:t>
            </w:r>
            <w:r>
              <w:rPr>
                <w:rFonts w:ascii="仿宋" w:hAnsi="仿宋" w:eastAsia="仿宋"/>
                <w:color w:val="000000"/>
                <w:highlight w:val="none"/>
              </w:rPr>
              <w:t>1</w:t>
            </w:r>
            <w:r>
              <w:rPr>
                <w:rFonts w:hint="eastAsia" w:ascii="仿宋" w:hAnsi="仿宋" w:eastAsia="仿宋"/>
                <w:color w:val="000000"/>
                <w:highlight w:val="none"/>
              </w:rPr>
              <w:t>分；承诺在本项目实施及服务过程中提供常驻现场技术服务人员，得</w:t>
            </w:r>
            <w:r>
              <w:rPr>
                <w:rFonts w:ascii="仿宋" w:hAnsi="仿宋" w:eastAsia="仿宋"/>
                <w:color w:val="000000"/>
                <w:highlight w:val="none"/>
              </w:rPr>
              <w:t>1</w:t>
            </w:r>
            <w:r>
              <w:rPr>
                <w:rFonts w:hint="eastAsia" w:ascii="仿宋" w:hAnsi="仿宋" w:eastAsia="仿宋"/>
                <w:color w:val="000000"/>
                <w:highlight w:val="none"/>
              </w:rPr>
              <w:t>分，未承诺的不得分。（0-2分）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ind w:firstLine="210" w:firstLineChars="100"/>
              <w:jc w:val="both"/>
              <w:rPr>
                <w:rFonts w:ascii="仿宋_GB2312" w:hAnsi="宋体" w:eastAsia="仿宋_GB2312" w:cs="宋体"/>
                <w:color w:val="000000"/>
                <w:kern w:val="0"/>
                <w:highlight w:val="none"/>
              </w:rPr>
            </w:pPr>
          </w:p>
        </w:tc>
        <w:tc>
          <w:tcPr>
            <w:tcW w:w="992" w:type="dxa"/>
            <w:tcBorders>
              <w:left w:val="single" w:color="auto" w:sz="4" w:space="0"/>
              <w:right w:val="single" w:color="auto" w:sz="4" w:space="0"/>
            </w:tcBorders>
            <w:vAlign w:val="center"/>
          </w:tcPr>
          <w:p>
            <w:pPr>
              <w:adjustRightInd w:val="0"/>
              <w:snapToGrid w:val="0"/>
              <w:ind w:right="-63" w:rightChars="-30"/>
              <w:jc w:val="center"/>
              <w:rPr>
                <w:rFonts w:hint="eastAsia" w:ascii="仿宋" w:hAnsi="仿宋" w:eastAsia="仿宋"/>
                <w:color w:val="000000"/>
                <w:highlight w:val="none"/>
                <w:lang w:eastAsia="zh-CN"/>
              </w:rPr>
            </w:pPr>
            <w:r>
              <w:rPr>
                <w:rFonts w:hint="eastAsia" w:ascii="仿宋" w:hAnsi="仿宋" w:eastAsia="仿宋"/>
                <w:color w:val="000000"/>
                <w:highlight w:val="none"/>
              </w:rPr>
              <w:t>培训</w:t>
            </w:r>
            <w:r>
              <w:rPr>
                <w:rFonts w:hint="eastAsia" w:ascii="仿宋" w:hAnsi="仿宋" w:eastAsia="仿宋"/>
                <w:color w:val="000000"/>
                <w:highlight w:val="none"/>
                <w:lang w:eastAsia="zh-CN"/>
              </w:rPr>
              <w:t>情况</w:t>
            </w:r>
          </w:p>
        </w:tc>
        <w:tc>
          <w:tcPr>
            <w:tcW w:w="852" w:type="dxa"/>
            <w:tcBorders>
              <w:left w:val="single" w:color="auto" w:sz="4" w:space="0"/>
              <w:right w:val="single" w:color="auto" w:sz="4" w:space="0"/>
            </w:tcBorders>
            <w:vAlign w:val="center"/>
          </w:tcPr>
          <w:p>
            <w:pPr>
              <w:adjustRightInd w:val="0"/>
              <w:snapToGrid w:val="0"/>
              <w:jc w:val="center"/>
              <w:rPr>
                <w:rFonts w:ascii="仿宋" w:hAnsi="仿宋" w:eastAsia="仿宋"/>
                <w:color w:val="000000"/>
                <w:highlight w:val="none"/>
              </w:rPr>
            </w:pPr>
            <w:r>
              <w:rPr>
                <w:rFonts w:hint="eastAsia" w:ascii="仿宋" w:hAnsi="仿宋" w:eastAsia="仿宋"/>
                <w:color w:val="000000"/>
                <w:highlight w:val="none"/>
              </w:rPr>
              <w:t>5分</w:t>
            </w:r>
          </w:p>
        </w:tc>
        <w:tc>
          <w:tcPr>
            <w:tcW w:w="7371" w:type="dxa"/>
            <w:tcBorders>
              <w:top w:val="single" w:color="auto" w:sz="4" w:space="0"/>
              <w:left w:val="single" w:color="auto" w:sz="4" w:space="0"/>
              <w:right w:val="single" w:color="auto" w:sz="4" w:space="0"/>
            </w:tcBorders>
            <w:vAlign w:val="center"/>
          </w:tcPr>
          <w:p>
            <w:pPr>
              <w:adjustRightInd w:val="0"/>
              <w:snapToGrid w:val="0"/>
              <w:rPr>
                <w:rFonts w:ascii="仿宋" w:hAnsi="仿宋" w:eastAsia="仿宋"/>
                <w:color w:val="000000"/>
                <w:highlight w:val="none"/>
              </w:rPr>
            </w:pPr>
            <w:r>
              <w:rPr>
                <w:rFonts w:hint="eastAsia" w:ascii="仿宋" w:hAnsi="仿宋" w:eastAsia="仿宋"/>
                <w:color w:val="000000"/>
                <w:highlight w:val="none"/>
              </w:rPr>
              <w:t>提供项目培训方案，培训计划、师资、培训文件相关表单内容完善、合理、有针对性，相对优者，得</w:t>
            </w:r>
            <w:r>
              <w:rPr>
                <w:rFonts w:ascii="仿宋" w:hAnsi="仿宋" w:eastAsia="仿宋"/>
                <w:color w:val="000000"/>
                <w:highlight w:val="none"/>
              </w:rPr>
              <w:t>4-</w:t>
            </w:r>
            <w:r>
              <w:rPr>
                <w:rFonts w:hint="eastAsia" w:ascii="仿宋" w:hAnsi="仿宋" w:eastAsia="仿宋"/>
                <w:color w:val="000000"/>
                <w:highlight w:val="none"/>
              </w:rPr>
              <w:t>5分；培训计划基本合理，有较好的针对性，但内容不够全面的，得</w:t>
            </w:r>
            <w:r>
              <w:rPr>
                <w:rFonts w:ascii="仿宋" w:hAnsi="仿宋" w:eastAsia="仿宋"/>
                <w:color w:val="000000"/>
                <w:highlight w:val="none"/>
              </w:rPr>
              <w:t>2-</w:t>
            </w:r>
            <w:r>
              <w:rPr>
                <w:rFonts w:hint="eastAsia" w:ascii="仿宋" w:hAnsi="仿宋" w:eastAsia="仿宋"/>
                <w:color w:val="000000"/>
                <w:highlight w:val="none"/>
              </w:rPr>
              <w:t>3分；培训计划不够合理，内容针对性较差的，得0</w:t>
            </w:r>
            <w:r>
              <w:rPr>
                <w:rFonts w:ascii="仿宋" w:hAnsi="仿宋" w:eastAsia="仿宋"/>
                <w:color w:val="000000"/>
                <w:highlight w:val="none"/>
              </w:rPr>
              <w:t>-</w:t>
            </w:r>
            <w:r>
              <w:rPr>
                <w:rFonts w:hint="eastAsia" w:ascii="仿宋" w:hAnsi="仿宋" w:eastAsia="仿宋"/>
                <w:color w:val="000000"/>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jc w:val="both"/>
              <w:rPr>
                <w:rFonts w:ascii="仿宋_GB2312" w:eastAsia="仿宋_GB2312"/>
                <w:color w:val="000000"/>
                <w:kern w:val="0"/>
                <w:highlight w:val="none"/>
              </w:rPr>
            </w:pPr>
          </w:p>
        </w:tc>
        <w:tc>
          <w:tcPr>
            <w:tcW w:w="992" w:type="dxa"/>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olor w:val="000000"/>
                <w:highlight w:val="none"/>
              </w:rPr>
            </w:pPr>
            <w:r>
              <w:rPr>
                <w:rFonts w:hint="eastAsia" w:ascii="仿宋" w:hAnsi="仿宋" w:eastAsia="仿宋"/>
                <w:color w:val="000000"/>
                <w:highlight w:val="none"/>
              </w:rPr>
              <w:t>售后服务情况</w:t>
            </w:r>
          </w:p>
        </w:tc>
        <w:tc>
          <w:tcPr>
            <w:tcW w:w="852" w:type="dxa"/>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olor w:val="000000"/>
                <w:highlight w:val="none"/>
              </w:rPr>
            </w:pPr>
            <w:r>
              <w:rPr>
                <w:rFonts w:hint="eastAsia" w:ascii="仿宋" w:hAnsi="仿宋" w:eastAsia="仿宋"/>
                <w:color w:val="000000"/>
                <w:highlight w:val="none"/>
              </w:rPr>
              <w:t>2分</w:t>
            </w:r>
          </w:p>
        </w:tc>
        <w:tc>
          <w:tcPr>
            <w:tcW w:w="737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仿宋" w:hAnsi="仿宋" w:eastAsia="仿宋"/>
                <w:color w:val="000000"/>
                <w:highlight w:val="none"/>
              </w:rPr>
            </w:pPr>
            <w:r>
              <w:rPr>
                <w:rFonts w:hint="eastAsia" w:ascii="仿宋" w:hAnsi="仿宋" w:eastAsia="仿宋"/>
                <w:color w:val="000000"/>
                <w:highlight w:val="none"/>
              </w:rPr>
              <w:t>2小时内作出响应，4小时内提出解决方案，2</w:t>
            </w:r>
            <w:r>
              <w:rPr>
                <w:rFonts w:ascii="仿宋" w:hAnsi="仿宋" w:eastAsia="仿宋"/>
                <w:color w:val="000000"/>
                <w:highlight w:val="none"/>
              </w:rPr>
              <w:t>4</w:t>
            </w:r>
            <w:r>
              <w:rPr>
                <w:rFonts w:hint="eastAsia" w:ascii="仿宋" w:hAnsi="仿宋" w:eastAsia="仿宋"/>
                <w:color w:val="000000"/>
                <w:highlight w:val="none"/>
              </w:rPr>
              <w:t>小时内到场排除故障；具有稳定的服务机构及较强的服务能力，需出具可实施的承诺书得2分，没有承诺或者承诺无法实现的不得分。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jc w:val="both"/>
              <w:rPr>
                <w:rFonts w:ascii="仿宋_GB2312" w:eastAsia="仿宋_GB2312"/>
                <w:color w:val="000000"/>
                <w:kern w:val="0"/>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left="-105" w:leftChars="-50" w:right="-105" w:rightChars="-50" w:firstLine="105" w:firstLineChars="50"/>
              <w:jc w:val="both"/>
              <w:rPr>
                <w:rFonts w:ascii="仿宋_GB2312" w:hAnsi="宋体" w:eastAsia="仿宋_GB2312" w:cs="宋体"/>
                <w:color w:val="000000"/>
                <w:highlight w:val="none"/>
              </w:rPr>
            </w:pPr>
            <w:r>
              <w:rPr>
                <w:rFonts w:hint="eastAsia" w:ascii="仿宋_GB2312" w:hAnsi="宋体" w:eastAsia="仿宋_GB2312"/>
                <w:highlight w:val="none"/>
              </w:rPr>
              <w:t>优惠承诺</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cs="宋体"/>
                <w:color w:val="000000"/>
                <w:highlight w:val="none"/>
              </w:rPr>
            </w:pPr>
            <w:r>
              <w:rPr>
                <w:rFonts w:hint="eastAsia" w:ascii="仿宋_GB2312" w:hAnsi="宋体" w:eastAsia="仿宋_GB2312"/>
                <w:highlight w:val="none"/>
              </w:rPr>
              <w:t>2分</w:t>
            </w:r>
          </w:p>
        </w:tc>
        <w:tc>
          <w:tcPr>
            <w:tcW w:w="73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both"/>
              <w:rPr>
                <w:rFonts w:ascii="仿宋_GB2312" w:hAnsi="宋体" w:eastAsia="仿宋_GB2312" w:cs="宋体"/>
                <w:color w:val="000000"/>
                <w:highlight w:val="none"/>
              </w:rPr>
            </w:pPr>
            <w:r>
              <w:rPr>
                <w:rFonts w:hint="eastAsia" w:ascii="仿宋_GB2312" w:hAnsi="宋体" w:eastAsia="仿宋_GB2312"/>
                <w:highlight w:val="none"/>
              </w:rPr>
              <w:t>根据投标单位提供的可行优惠承诺酌情评分。（0-2分）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jc w:val="both"/>
              <w:rPr>
                <w:rFonts w:ascii="仿宋_GB2312" w:eastAsia="仿宋_GB2312"/>
                <w:color w:val="000000"/>
                <w:kern w:val="0"/>
                <w:highlight w:val="none"/>
              </w:rPr>
            </w:pPr>
          </w:p>
        </w:tc>
        <w:tc>
          <w:tcPr>
            <w:tcW w:w="992" w:type="dxa"/>
            <w:tcBorders>
              <w:top w:val="single" w:color="auto" w:sz="4" w:space="0"/>
              <w:left w:val="single" w:color="auto" w:sz="4" w:space="0"/>
              <w:right w:val="single" w:color="auto" w:sz="4" w:space="0"/>
            </w:tcBorders>
            <w:vAlign w:val="center"/>
          </w:tcPr>
          <w:p>
            <w:pPr>
              <w:adjustRightInd w:val="0"/>
              <w:snapToGrid w:val="0"/>
              <w:spacing w:line="0" w:lineRule="atLeast"/>
              <w:ind w:left="-105" w:leftChars="-50" w:right="-105" w:rightChars="-50" w:firstLine="105" w:firstLineChars="50"/>
              <w:jc w:val="both"/>
              <w:rPr>
                <w:rFonts w:ascii="仿宋_GB2312" w:hAnsi="宋体" w:eastAsia="仿宋_GB2312" w:cs="宋体"/>
                <w:color w:val="000000"/>
                <w:highlight w:val="none"/>
              </w:rPr>
            </w:pPr>
            <w:r>
              <w:rPr>
                <w:rFonts w:hint="eastAsia" w:ascii="仿宋_GB2312" w:hAnsi="宋体" w:eastAsia="仿宋_GB2312"/>
                <w:highlight w:val="none"/>
              </w:rPr>
              <w:t>标书制作</w:t>
            </w:r>
          </w:p>
        </w:tc>
        <w:tc>
          <w:tcPr>
            <w:tcW w:w="852" w:type="dxa"/>
            <w:tcBorders>
              <w:top w:val="single" w:color="auto" w:sz="4" w:space="0"/>
              <w:left w:val="single" w:color="auto" w:sz="4" w:space="0"/>
              <w:right w:val="single" w:color="auto" w:sz="4" w:space="0"/>
            </w:tcBorders>
            <w:vAlign w:val="center"/>
          </w:tcPr>
          <w:p>
            <w:pPr>
              <w:adjustRightInd w:val="0"/>
              <w:snapToGrid w:val="0"/>
              <w:spacing w:line="0" w:lineRule="atLeast"/>
              <w:jc w:val="center"/>
              <w:rPr>
                <w:rFonts w:ascii="仿宋_GB2312" w:hAnsi="宋体" w:eastAsia="仿宋_GB2312" w:cs="宋体"/>
                <w:color w:val="000000"/>
                <w:highlight w:val="none"/>
              </w:rPr>
            </w:pPr>
            <w:r>
              <w:rPr>
                <w:rFonts w:hint="eastAsia" w:ascii="仿宋_GB2312" w:hAnsi="宋体" w:eastAsia="仿宋_GB2312"/>
                <w:highlight w:val="none"/>
              </w:rPr>
              <w:t>1分</w:t>
            </w:r>
          </w:p>
        </w:tc>
        <w:tc>
          <w:tcPr>
            <w:tcW w:w="7371" w:type="dxa"/>
            <w:tcBorders>
              <w:top w:val="single" w:color="auto" w:sz="4" w:space="0"/>
              <w:left w:val="single" w:color="auto" w:sz="4" w:space="0"/>
              <w:right w:val="single" w:color="auto" w:sz="4" w:space="0"/>
            </w:tcBorders>
            <w:vAlign w:val="center"/>
          </w:tcPr>
          <w:p>
            <w:pPr>
              <w:adjustRightInd w:val="0"/>
              <w:snapToGrid w:val="0"/>
              <w:spacing w:line="0" w:lineRule="atLeast"/>
              <w:jc w:val="both"/>
              <w:rPr>
                <w:rFonts w:ascii="仿宋_GB2312" w:hAnsi="宋体" w:eastAsia="仿宋_GB2312" w:cs="宋体"/>
                <w:color w:val="000000"/>
                <w:highlight w:val="none"/>
              </w:rPr>
            </w:pPr>
            <w:r>
              <w:rPr>
                <w:rFonts w:hint="eastAsia" w:ascii="仿宋_GB2312" w:hAnsi="宋体" w:eastAsia="仿宋_GB2312"/>
                <w:highlight w:val="none"/>
              </w:rPr>
              <w:t>根据投标人的标书制作及标书规范格式运用情况酌情评分。（0-1分）</w:t>
            </w:r>
          </w:p>
        </w:tc>
      </w:tr>
    </w:tbl>
    <w:tbl>
      <w:tblPr>
        <w:tblStyle w:val="49"/>
        <w:tblpPr w:leftFromText="180" w:rightFromText="180" w:vertAnchor="text" w:tblpX="1369" w:tblpY="-5324"/>
        <w:tblW w:w="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510" w:type="dxa"/>
          </w:tcPr>
          <w:p>
            <w:pPr>
              <w:autoSpaceDE w:val="0"/>
              <w:autoSpaceDN w:val="0"/>
              <w:adjustRightInd w:val="0"/>
              <w:snapToGrid w:val="0"/>
              <w:spacing w:line="520" w:lineRule="exact"/>
              <w:rPr>
                <w:rFonts w:ascii="仿宋_GB2312" w:hAnsi="宋体" w:eastAsia="仿宋_GB2312" w:cs="宋体"/>
                <w:color w:val="000000"/>
                <w:kern w:val="0"/>
                <w:sz w:val="24"/>
                <w:szCs w:val="24"/>
                <w:highlight w:val="none"/>
                <w:lang w:val="zh-CN"/>
              </w:rPr>
            </w:pPr>
          </w:p>
        </w:tc>
      </w:tr>
    </w:tbl>
    <w:p>
      <w:pPr>
        <w:autoSpaceDE w:val="0"/>
        <w:autoSpaceDN w:val="0"/>
        <w:adjustRightInd w:val="0"/>
        <w:snapToGrid w:val="0"/>
        <w:spacing w:line="520" w:lineRule="exact"/>
        <w:rPr>
          <w:rFonts w:ascii="仿宋_GB2312" w:eastAsia="仿宋_GB2312"/>
          <w:color w:val="000000"/>
          <w:kern w:val="0"/>
          <w:sz w:val="24"/>
          <w:szCs w:val="24"/>
          <w:highlight w:val="none"/>
          <w:lang w:val="zh-CN"/>
        </w:rPr>
      </w:pPr>
      <w:r>
        <w:rPr>
          <w:rFonts w:hint="eastAsia" w:ascii="仿宋_GB2312" w:hAnsi="宋体" w:eastAsia="仿宋_GB2312" w:cs="宋体"/>
          <w:color w:val="000000"/>
          <w:kern w:val="0"/>
          <w:sz w:val="24"/>
          <w:szCs w:val="24"/>
          <w:highlight w:val="none"/>
          <w:lang w:val="zh-CN"/>
        </w:rPr>
        <w:t>五、初审</w:t>
      </w:r>
    </w:p>
    <w:p>
      <w:pPr>
        <w:autoSpaceDE w:val="0"/>
        <w:autoSpaceDN w:val="0"/>
        <w:adjustRightInd w:val="0"/>
        <w:snapToGrid w:val="0"/>
        <w:spacing w:line="520" w:lineRule="exact"/>
        <w:ind w:firstLine="240" w:firstLineChars="100"/>
        <w:rPr>
          <w:rFonts w:ascii="仿宋_GB2312" w:eastAsia="仿宋_GB2312"/>
          <w:color w:val="000000"/>
          <w:kern w:val="0"/>
          <w:sz w:val="24"/>
          <w:szCs w:val="24"/>
          <w:highlight w:val="none"/>
          <w:lang w:val="zh-CN"/>
        </w:rPr>
      </w:pPr>
      <w:r>
        <w:rPr>
          <w:rFonts w:hint="eastAsia" w:ascii="仿宋_GB2312" w:hAnsi="宋体" w:eastAsia="仿宋_GB2312" w:cs="宋体"/>
          <w:color w:val="000000"/>
          <w:kern w:val="0"/>
          <w:sz w:val="24"/>
          <w:szCs w:val="24"/>
          <w:highlight w:val="none"/>
          <w:lang w:val="zh-CN"/>
        </w:rPr>
        <w:t>1、初审内容包括：</w:t>
      </w:r>
    </w:p>
    <w:p>
      <w:pPr>
        <w:autoSpaceDE w:val="0"/>
        <w:autoSpaceDN w:val="0"/>
        <w:adjustRightInd w:val="0"/>
        <w:snapToGrid w:val="0"/>
        <w:spacing w:line="520" w:lineRule="exact"/>
        <w:ind w:firstLine="420"/>
        <w:rPr>
          <w:rFonts w:ascii="仿宋_GB2312" w:eastAsia="仿宋_GB2312"/>
          <w:color w:val="000000"/>
          <w:kern w:val="0"/>
          <w:sz w:val="24"/>
          <w:szCs w:val="24"/>
          <w:highlight w:val="none"/>
          <w:lang w:val="zh-CN"/>
        </w:rPr>
      </w:pPr>
      <w:r>
        <w:rPr>
          <w:rFonts w:hint="eastAsia" w:ascii="仿宋_GB2312" w:hAnsi="宋体" w:eastAsia="仿宋_GB2312" w:cs="宋体"/>
          <w:color w:val="000000"/>
          <w:kern w:val="0"/>
          <w:sz w:val="24"/>
          <w:szCs w:val="24"/>
          <w:highlight w:val="none"/>
          <w:lang w:val="zh-CN"/>
        </w:rPr>
        <w:t>（1）投标文件是否按招标文件要求盖章、签署。</w:t>
      </w:r>
    </w:p>
    <w:p>
      <w:pPr>
        <w:autoSpaceDE w:val="0"/>
        <w:autoSpaceDN w:val="0"/>
        <w:adjustRightInd w:val="0"/>
        <w:snapToGrid w:val="0"/>
        <w:spacing w:line="520" w:lineRule="exact"/>
        <w:ind w:firstLine="420"/>
        <w:rPr>
          <w:rFonts w:ascii="仿宋_GB2312" w:hAnsi="宋体" w:eastAsia="仿宋_GB2312" w:cs="Arial"/>
          <w:kern w:val="0"/>
          <w:sz w:val="24"/>
          <w:szCs w:val="24"/>
          <w:highlight w:val="none"/>
        </w:rPr>
      </w:pPr>
      <w:r>
        <w:rPr>
          <w:rFonts w:hint="eastAsia" w:ascii="仿宋_GB2312" w:hAnsi="宋体" w:eastAsia="仿宋_GB2312" w:cs="宋体"/>
          <w:color w:val="000000"/>
          <w:kern w:val="0"/>
          <w:sz w:val="24"/>
          <w:szCs w:val="24"/>
          <w:highlight w:val="none"/>
          <w:lang w:val="zh-CN"/>
        </w:rPr>
        <w:t>（2）投</w:t>
      </w:r>
      <w:r>
        <w:rPr>
          <w:rFonts w:hint="eastAsia" w:ascii="仿宋_GB2312" w:hAnsi="宋体" w:eastAsia="仿宋_GB2312" w:cs="Arial"/>
          <w:kern w:val="0"/>
          <w:sz w:val="24"/>
          <w:szCs w:val="24"/>
          <w:highlight w:val="none"/>
        </w:rPr>
        <w:t>标文件载明的招标项目完成期限是否超过招标文件规定期限。</w:t>
      </w:r>
    </w:p>
    <w:p>
      <w:pPr>
        <w:autoSpaceDE w:val="0"/>
        <w:autoSpaceDN w:val="0"/>
        <w:adjustRightInd w:val="0"/>
        <w:snapToGrid w:val="0"/>
        <w:spacing w:line="520" w:lineRule="exact"/>
        <w:ind w:firstLine="420"/>
        <w:rPr>
          <w:rFonts w:ascii="仿宋_GB2312" w:hAnsi="宋体" w:eastAsia="仿宋_GB2312" w:cs="Arial"/>
          <w:kern w:val="0"/>
          <w:sz w:val="24"/>
          <w:szCs w:val="24"/>
          <w:highlight w:val="none"/>
        </w:rPr>
      </w:pPr>
      <w:r>
        <w:rPr>
          <w:rFonts w:hint="eastAsia" w:ascii="仿宋_GB2312" w:hAnsi="宋体" w:eastAsia="仿宋_GB2312" w:cs="Arial"/>
          <w:kern w:val="0"/>
          <w:sz w:val="24"/>
          <w:szCs w:val="24"/>
          <w:highlight w:val="none"/>
        </w:rPr>
        <w:t>（3）投标文件是否存在其他未能从实质上响应招标文件的情况。</w:t>
      </w:r>
    </w:p>
    <w:p>
      <w:pPr>
        <w:autoSpaceDE w:val="0"/>
        <w:autoSpaceDN w:val="0"/>
        <w:adjustRightInd w:val="0"/>
        <w:snapToGrid w:val="0"/>
        <w:spacing w:line="520" w:lineRule="exact"/>
        <w:ind w:firstLine="420"/>
        <w:rPr>
          <w:rFonts w:ascii="仿宋_GB2312" w:hAnsi="宋体" w:eastAsia="仿宋_GB2312" w:cs="Arial"/>
          <w:kern w:val="0"/>
          <w:sz w:val="24"/>
          <w:szCs w:val="24"/>
          <w:highlight w:val="none"/>
        </w:rPr>
      </w:pPr>
      <w:r>
        <w:rPr>
          <w:rFonts w:hint="eastAsia" w:ascii="仿宋_GB2312" w:hAnsi="宋体" w:eastAsia="仿宋_GB2312" w:cs="Arial"/>
          <w:kern w:val="0"/>
          <w:sz w:val="24"/>
          <w:szCs w:val="24"/>
          <w:highlight w:val="none"/>
        </w:rPr>
        <w:t>（4）投标文件是否存在有串通投标嫌疑的。</w:t>
      </w:r>
    </w:p>
    <w:p>
      <w:pPr>
        <w:autoSpaceDE w:val="0"/>
        <w:autoSpaceDN w:val="0"/>
        <w:adjustRightInd w:val="0"/>
        <w:snapToGrid w:val="0"/>
        <w:spacing w:line="520" w:lineRule="exact"/>
        <w:ind w:firstLine="420"/>
        <w:rPr>
          <w:rFonts w:ascii="仿宋_GB2312" w:hAnsi="宋体" w:eastAsia="仿宋_GB2312" w:cs="宋体"/>
          <w:color w:val="000000"/>
          <w:kern w:val="0"/>
          <w:sz w:val="24"/>
          <w:szCs w:val="24"/>
          <w:highlight w:val="none"/>
          <w:lang w:val="zh-CN"/>
        </w:rPr>
      </w:pPr>
      <w:r>
        <w:rPr>
          <w:rFonts w:hint="eastAsia" w:ascii="仿宋_GB2312" w:hAnsi="宋体" w:eastAsia="仿宋_GB2312" w:cs="Arial"/>
          <w:kern w:val="0"/>
          <w:sz w:val="24"/>
          <w:szCs w:val="24"/>
          <w:highlight w:val="none"/>
        </w:rPr>
        <w:t>2、投标报价评定标准（投标报价分保留</w:t>
      </w:r>
      <w:r>
        <w:rPr>
          <w:rFonts w:hint="eastAsia" w:ascii="仿宋_GB2312" w:hAnsi="宋体" w:eastAsia="仿宋_GB2312" w:cs="宋体"/>
          <w:color w:val="000000"/>
          <w:kern w:val="0"/>
          <w:sz w:val="24"/>
          <w:szCs w:val="24"/>
          <w:highlight w:val="none"/>
          <w:lang w:val="zh-CN"/>
        </w:rPr>
        <w:t>2位小数，第3位四舍五入）</w:t>
      </w:r>
    </w:p>
    <w:p>
      <w:pPr>
        <w:autoSpaceDE w:val="0"/>
        <w:autoSpaceDN w:val="0"/>
        <w:adjustRightInd w:val="0"/>
        <w:snapToGrid w:val="0"/>
        <w:spacing w:line="520" w:lineRule="exact"/>
        <w:ind w:firstLine="420"/>
        <w:rPr>
          <w:rFonts w:ascii="仿宋_GB2312" w:hAnsi="宋体" w:eastAsia="仿宋_GB2312" w:cs="宋体"/>
          <w:color w:val="000000"/>
          <w:kern w:val="0"/>
          <w:sz w:val="24"/>
          <w:szCs w:val="24"/>
          <w:highlight w:val="none"/>
          <w:lang w:val="zh-CN"/>
        </w:rPr>
      </w:pPr>
      <w:r>
        <w:rPr>
          <w:rFonts w:hint="eastAsia" w:ascii="仿宋_GB2312" w:hAnsi="宋体" w:eastAsia="仿宋_GB2312" w:cs="Arial"/>
          <w:kern w:val="0"/>
          <w:sz w:val="24"/>
          <w:szCs w:val="24"/>
          <w:highlight w:val="none"/>
        </w:rPr>
        <w:t>（</w:t>
      </w:r>
      <w:r>
        <w:rPr>
          <w:rFonts w:hint="eastAsia" w:ascii="仿宋_GB2312" w:hAnsi="宋体" w:eastAsia="仿宋_GB2312" w:cs="宋体"/>
          <w:color w:val="000000"/>
          <w:kern w:val="0"/>
          <w:sz w:val="24"/>
          <w:szCs w:val="24"/>
          <w:highlight w:val="none"/>
          <w:lang w:val="zh-CN"/>
        </w:rPr>
        <w:t>1）评分基准价</w:t>
      </w:r>
    </w:p>
    <w:p>
      <w:pPr>
        <w:autoSpaceDE w:val="0"/>
        <w:autoSpaceDN w:val="0"/>
        <w:adjustRightInd w:val="0"/>
        <w:snapToGrid w:val="0"/>
        <w:spacing w:line="520" w:lineRule="exact"/>
        <w:ind w:firstLine="420"/>
        <w:rPr>
          <w:rFonts w:ascii="仿宋_GB2312" w:hAnsi="宋体" w:eastAsia="仿宋_GB2312" w:cs="宋体"/>
          <w:color w:val="000000"/>
          <w:kern w:val="0"/>
          <w:sz w:val="24"/>
          <w:szCs w:val="24"/>
          <w:highlight w:val="none"/>
          <w:lang w:val="zh-CN"/>
        </w:rPr>
      </w:pPr>
      <w:r>
        <w:rPr>
          <w:rFonts w:hint="eastAsia" w:ascii="仿宋_GB2312" w:hAnsi="宋体" w:eastAsia="仿宋_GB2312" w:cs="宋体"/>
          <w:color w:val="000000"/>
          <w:kern w:val="0"/>
          <w:sz w:val="24"/>
          <w:szCs w:val="24"/>
          <w:highlight w:val="none"/>
          <w:lang w:val="zh-CN"/>
        </w:rPr>
        <w:t>评分基准价为所有有效标中的最低价。以下投标人的投标报价均指投标报价中大写的投标总价。</w:t>
      </w:r>
    </w:p>
    <w:p>
      <w:pPr>
        <w:autoSpaceDE w:val="0"/>
        <w:autoSpaceDN w:val="0"/>
        <w:adjustRightInd w:val="0"/>
        <w:snapToGrid w:val="0"/>
        <w:spacing w:line="520" w:lineRule="exact"/>
        <w:ind w:firstLine="420"/>
        <w:rPr>
          <w:rFonts w:ascii="仿宋_GB2312" w:hAnsi="宋体" w:eastAsia="仿宋_GB2312" w:cs="宋体"/>
          <w:color w:val="000000"/>
          <w:kern w:val="0"/>
          <w:sz w:val="24"/>
          <w:szCs w:val="24"/>
          <w:highlight w:val="none"/>
          <w:lang w:val="zh-CN"/>
        </w:rPr>
      </w:pPr>
      <w:r>
        <w:rPr>
          <w:rFonts w:hint="eastAsia" w:ascii="仿宋_GB2312" w:hAnsi="宋体" w:eastAsia="仿宋_GB2312" w:cs="Arial"/>
          <w:kern w:val="0"/>
          <w:sz w:val="24"/>
          <w:szCs w:val="24"/>
          <w:highlight w:val="none"/>
        </w:rPr>
        <w:t>（</w:t>
      </w:r>
      <w:r>
        <w:rPr>
          <w:rFonts w:hint="eastAsia" w:ascii="仿宋_GB2312" w:hAnsi="宋体" w:eastAsia="仿宋_GB2312" w:cs="宋体"/>
          <w:color w:val="000000"/>
          <w:kern w:val="0"/>
          <w:sz w:val="24"/>
          <w:szCs w:val="24"/>
          <w:highlight w:val="none"/>
          <w:lang w:val="zh-CN"/>
        </w:rPr>
        <w:t>2）投标人的投标报价等于评分基准价的得满分。</w:t>
      </w:r>
    </w:p>
    <w:p>
      <w:pPr>
        <w:autoSpaceDE w:val="0"/>
        <w:autoSpaceDN w:val="0"/>
        <w:adjustRightInd w:val="0"/>
        <w:snapToGrid w:val="0"/>
        <w:spacing w:line="520" w:lineRule="exact"/>
        <w:ind w:firstLine="420"/>
        <w:rPr>
          <w:rFonts w:ascii="仿宋_GB2312" w:hAnsi="宋体" w:eastAsia="仿宋_GB2312" w:cs="宋体"/>
          <w:color w:val="000000"/>
          <w:kern w:val="0"/>
          <w:sz w:val="24"/>
          <w:szCs w:val="24"/>
          <w:highlight w:val="none"/>
          <w:lang w:val="zh-CN"/>
        </w:rPr>
      </w:pPr>
      <w:r>
        <w:rPr>
          <w:rFonts w:hint="eastAsia" w:ascii="仿宋_GB2312" w:hAnsi="宋体" w:eastAsia="仿宋_GB2312" w:cs="Arial"/>
          <w:kern w:val="0"/>
          <w:sz w:val="24"/>
          <w:szCs w:val="24"/>
          <w:highlight w:val="none"/>
        </w:rPr>
        <w:t>（</w:t>
      </w:r>
      <w:r>
        <w:rPr>
          <w:rFonts w:hint="eastAsia" w:ascii="仿宋_GB2312" w:hAnsi="宋体" w:eastAsia="仿宋_GB2312" w:cs="宋体"/>
          <w:color w:val="000000"/>
          <w:kern w:val="0"/>
          <w:sz w:val="24"/>
          <w:szCs w:val="24"/>
          <w:highlight w:val="none"/>
          <w:lang w:val="zh-CN"/>
        </w:rPr>
        <w:t>3）投标报价在评分基准价以上：投标报价得分=(评审基准价／投标报价)×价格权值。</w:t>
      </w:r>
    </w:p>
    <w:p>
      <w:pPr>
        <w:autoSpaceDE w:val="0"/>
        <w:autoSpaceDN w:val="0"/>
        <w:adjustRightInd w:val="0"/>
        <w:snapToGrid w:val="0"/>
        <w:spacing w:line="520" w:lineRule="exact"/>
        <w:ind w:firstLine="420"/>
        <w:rPr>
          <w:rFonts w:ascii="仿宋_GB2312" w:eastAsia="仿宋_GB2312"/>
          <w:color w:val="000000"/>
          <w:kern w:val="0"/>
          <w:sz w:val="24"/>
          <w:szCs w:val="24"/>
          <w:highlight w:val="none"/>
          <w:lang w:val="zh-CN"/>
        </w:rPr>
      </w:pPr>
      <w:r>
        <w:rPr>
          <w:rFonts w:hint="eastAsia" w:ascii="仿宋_GB2312" w:hAnsi="宋体" w:eastAsia="仿宋_GB2312" w:cs="宋体"/>
          <w:color w:val="000000"/>
          <w:kern w:val="0"/>
          <w:sz w:val="24"/>
          <w:szCs w:val="24"/>
          <w:highlight w:val="none"/>
          <w:lang w:val="zh-CN"/>
        </w:rPr>
        <w:t>3、价格调整方式</w:t>
      </w:r>
    </w:p>
    <w:p>
      <w:pPr>
        <w:autoSpaceDE w:val="0"/>
        <w:autoSpaceDN w:val="0"/>
        <w:adjustRightInd w:val="0"/>
        <w:snapToGrid w:val="0"/>
        <w:spacing w:line="520" w:lineRule="exact"/>
        <w:ind w:firstLine="420"/>
        <w:rPr>
          <w:rFonts w:ascii="仿宋_GB2312" w:eastAsia="仿宋_GB2312"/>
          <w:color w:val="000000"/>
          <w:kern w:val="0"/>
          <w:sz w:val="24"/>
          <w:szCs w:val="24"/>
          <w:highlight w:val="none"/>
          <w:lang w:val="zh-CN"/>
        </w:rPr>
      </w:pPr>
      <w:r>
        <w:rPr>
          <w:rFonts w:hint="eastAsia" w:ascii="仿宋_GB2312" w:hAnsi="宋体" w:eastAsia="仿宋_GB2312" w:cs="宋体"/>
          <w:color w:val="000000"/>
          <w:kern w:val="0"/>
          <w:sz w:val="24"/>
          <w:szCs w:val="24"/>
          <w:highlight w:val="none"/>
          <w:lang w:val="zh-CN"/>
        </w:rPr>
        <w:t>（1）当正本与副本不一致时，以正本为准；</w:t>
      </w:r>
    </w:p>
    <w:p>
      <w:pPr>
        <w:autoSpaceDE w:val="0"/>
        <w:autoSpaceDN w:val="0"/>
        <w:adjustRightInd w:val="0"/>
        <w:snapToGrid w:val="0"/>
        <w:spacing w:line="520" w:lineRule="exact"/>
        <w:ind w:firstLine="420"/>
        <w:rPr>
          <w:rFonts w:ascii="仿宋_GB2312" w:eastAsia="仿宋_GB2312"/>
          <w:color w:val="000000"/>
          <w:kern w:val="0"/>
          <w:sz w:val="24"/>
          <w:szCs w:val="24"/>
          <w:highlight w:val="none"/>
          <w:lang w:val="zh-CN"/>
        </w:rPr>
      </w:pPr>
      <w:r>
        <w:rPr>
          <w:rFonts w:hint="eastAsia" w:ascii="仿宋_GB2312" w:hAnsi="宋体" w:eastAsia="仿宋_GB2312" w:cs="宋体"/>
          <w:color w:val="000000"/>
          <w:kern w:val="0"/>
          <w:sz w:val="24"/>
          <w:szCs w:val="24"/>
          <w:highlight w:val="none"/>
          <w:lang w:val="zh-CN"/>
        </w:rPr>
        <w:t>（2）报价一览表中，如果用数字表示的数额与用文字表示的数额不一致时，应以文字表示的数额为准。</w:t>
      </w:r>
    </w:p>
    <w:p>
      <w:pPr>
        <w:autoSpaceDE w:val="0"/>
        <w:autoSpaceDN w:val="0"/>
        <w:adjustRightInd w:val="0"/>
        <w:snapToGrid w:val="0"/>
        <w:spacing w:line="520" w:lineRule="exact"/>
        <w:ind w:firstLine="420"/>
        <w:rPr>
          <w:rFonts w:ascii="仿宋_GB2312" w:eastAsia="仿宋_GB2312"/>
          <w:color w:val="000000"/>
          <w:kern w:val="0"/>
          <w:sz w:val="24"/>
          <w:szCs w:val="24"/>
          <w:highlight w:val="none"/>
          <w:lang w:val="zh-CN"/>
        </w:rPr>
      </w:pPr>
      <w:r>
        <w:rPr>
          <w:rFonts w:hint="eastAsia" w:ascii="仿宋_GB2312" w:hAnsi="宋体" w:eastAsia="仿宋_GB2312" w:cs="宋体"/>
          <w:color w:val="000000"/>
          <w:kern w:val="0"/>
          <w:sz w:val="24"/>
          <w:szCs w:val="24"/>
          <w:highlight w:val="none"/>
          <w:lang w:val="zh-CN"/>
        </w:rPr>
        <w:t>（3）如有少报、漏报的项目，应视作已含在投标总价中，其投标总价在评审过程中不予调整。其漏项的分项价或单价由评审委员会在投标总价不变的前提下根据合理的原则对其予以确定。如中标，投标总价不变，免费提供。</w:t>
      </w:r>
    </w:p>
    <w:p>
      <w:pPr>
        <w:autoSpaceDE w:val="0"/>
        <w:autoSpaceDN w:val="0"/>
        <w:adjustRightInd w:val="0"/>
        <w:snapToGrid w:val="0"/>
        <w:spacing w:line="520" w:lineRule="exact"/>
        <w:ind w:firstLine="420"/>
        <w:rPr>
          <w:rFonts w:ascii="仿宋_GB2312" w:eastAsia="仿宋_GB2312"/>
          <w:color w:val="000000"/>
          <w:kern w:val="0"/>
          <w:sz w:val="24"/>
          <w:szCs w:val="24"/>
          <w:highlight w:val="none"/>
          <w:lang w:val="zh-CN"/>
        </w:rPr>
      </w:pPr>
      <w:r>
        <w:rPr>
          <w:rFonts w:hint="eastAsia" w:ascii="仿宋_GB2312" w:hAnsi="宋体" w:eastAsia="仿宋_GB2312" w:cs="宋体"/>
          <w:color w:val="000000"/>
          <w:kern w:val="0"/>
          <w:sz w:val="24"/>
          <w:szCs w:val="24"/>
          <w:highlight w:val="none"/>
          <w:lang w:val="zh-CN"/>
        </w:rPr>
        <w:t>（4）如有多报、重报，其投标总价在评审过程中不予调整。如中标，其合同价按其投标单价予以扣除。</w:t>
      </w:r>
    </w:p>
    <w:p>
      <w:pPr>
        <w:autoSpaceDE w:val="0"/>
        <w:autoSpaceDN w:val="0"/>
        <w:adjustRightInd w:val="0"/>
        <w:snapToGrid w:val="0"/>
        <w:spacing w:line="520" w:lineRule="exact"/>
        <w:ind w:firstLine="420"/>
        <w:rPr>
          <w:rFonts w:ascii="仿宋_GB2312" w:eastAsia="仿宋_GB2312"/>
          <w:color w:val="000000"/>
          <w:kern w:val="0"/>
          <w:sz w:val="24"/>
          <w:szCs w:val="24"/>
          <w:highlight w:val="none"/>
          <w:lang w:val="zh-CN"/>
        </w:rPr>
      </w:pPr>
      <w:r>
        <w:rPr>
          <w:rFonts w:hint="eastAsia" w:ascii="仿宋_GB2312" w:hAnsi="宋体" w:eastAsia="仿宋_GB2312" w:cs="宋体"/>
          <w:color w:val="000000"/>
          <w:kern w:val="0"/>
          <w:sz w:val="24"/>
          <w:szCs w:val="24"/>
          <w:highlight w:val="none"/>
          <w:lang w:val="zh-CN"/>
        </w:rPr>
        <w:t>以上调整方式投标人必须认可，否则投标人对本项目的投标将被拒绝。</w:t>
      </w:r>
    </w:p>
    <w:p>
      <w:pPr>
        <w:autoSpaceDE w:val="0"/>
        <w:autoSpaceDN w:val="0"/>
        <w:adjustRightInd w:val="0"/>
        <w:snapToGrid w:val="0"/>
        <w:spacing w:line="520" w:lineRule="exact"/>
        <w:ind w:firstLine="420"/>
        <w:rPr>
          <w:rFonts w:ascii="仿宋_GB2312" w:eastAsia="仿宋_GB2312"/>
          <w:color w:val="000000"/>
          <w:kern w:val="0"/>
          <w:sz w:val="24"/>
          <w:szCs w:val="24"/>
          <w:highlight w:val="none"/>
          <w:lang w:val="zh-CN"/>
        </w:rPr>
      </w:pPr>
      <w:r>
        <w:rPr>
          <w:rFonts w:hint="eastAsia" w:ascii="仿宋_GB2312" w:hAnsi="宋体" w:eastAsia="仿宋_GB2312" w:cs="宋体"/>
          <w:color w:val="000000"/>
          <w:kern w:val="0"/>
          <w:sz w:val="24"/>
          <w:szCs w:val="24"/>
          <w:highlight w:val="none"/>
          <w:lang w:val="zh-CN"/>
        </w:rPr>
        <w:t>如投标人的投标文件前后矛盾，评委会将作出不利于投标人的修正。</w:t>
      </w:r>
    </w:p>
    <w:p>
      <w:pPr>
        <w:autoSpaceDE w:val="0"/>
        <w:autoSpaceDN w:val="0"/>
        <w:adjustRightInd w:val="0"/>
        <w:snapToGrid w:val="0"/>
        <w:spacing w:line="520" w:lineRule="exact"/>
        <w:ind w:firstLine="420"/>
        <w:rPr>
          <w:rFonts w:ascii="仿宋_GB2312" w:eastAsia="仿宋_GB2312"/>
          <w:color w:val="000000"/>
          <w:kern w:val="0"/>
          <w:sz w:val="24"/>
          <w:szCs w:val="24"/>
          <w:highlight w:val="none"/>
          <w:lang w:val="zh-CN"/>
        </w:rPr>
      </w:pPr>
      <w:r>
        <w:rPr>
          <w:rFonts w:hint="eastAsia" w:ascii="仿宋_GB2312" w:hAnsi="宋体" w:eastAsia="仿宋_GB2312" w:cs="宋体"/>
          <w:color w:val="000000"/>
          <w:kern w:val="0"/>
          <w:sz w:val="24"/>
          <w:szCs w:val="24"/>
          <w:highlight w:val="none"/>
          <w:lang w:val="zh-CN"/>
        </w:rPr>
        <w:t>六、评审时，如各评委对某关键性问题存在不同认定的，将在评审委员会范围内进行表决并按少数服从多数的原则确定最终评审判定结果。</w:t>
      </w:r>
    </w:p>
    <w:p>
      <w:pPr>
        <w:autoSpaceDE w:val="0"/>
        <w:autoSpaceDN w:val="0"/>
        <w:adjustRightInd w:val="0"/>
        <w:snapToGrid w:val="0"/>
        <w:spacing w:line="520" w:lineRule="exact"/>
        <w:ind w:firstLine="420"/>
        <w:rPr>
          <w:rFonts w:ascii="仿宋_GB2312" w:eastAsia="仿宋_GB2312"/>
          <w:color w:val="000000"/>
          <w:kern w:val="0"/>
          <w:sz w:val="24"/>
          <w:szCs w:val="24"/>
          <w:highlight w:val="none"/>
          <w:lang w:val="zh-CN"/>
        </w:rPr>
      </w:pPr>
      <w:r>
        <w:rPr>
          <w:rFonts w:hint="eastAsia" w:ascii="仿宋_GB2312" w:hAnsi="宋体" w:eastAsia="仿宋_GB2312" w:cs="宋体"/>
          <w:color w:val="000000"/>
          <w:kern w:val="0"/>
          <w:sz w:val="24"/>
          <w:szCs w:val="24"/>
          <w:highlight w:val="none"/>
          <w:lang w:val="zh-CN"/>
        </w:rPr>
        <w:t>七、如通过评审后有效的投标人不足三家的，将按有关规定进行处理。</w:t>
      </w:r>
    </w:p>
    <w:p>
      <w:pPr>
        <w:autoSpaceDE w:val="0"/>
        <w:autoSpaceDN w:val="0"/>
        <w:adjustRightInd w:val="0"/>
        <w:snapToGrid w:val="0"/>
        <w:spacing w:line="520" w:lineRule="exact"/>
        <w:ind w:firstLine="420"/>
        <w:rPr>
          <w:rFonts w:ascii="仿宋_GB2312" w:hAnsi="宋体" w:eastAsia="仿宋_GB2312" w:cs="宋体"/>
          <w:kern w:val="0"/>
          <w:sz w:val="24"/>
          <w:szCs w:val="24"/>
          <w:highlight w:val="none"/>
          <w:lang w:val="zh-CN"/>
        </w:rPr>
      </w:pPr>
      <w:r>
        <w:rPr>
          <w:rFonts w:ascii="仿宋_GB2312" w:hAnsi="宋体" w:eastAsia="仿宋_GB2312" w:cs="宋体"/>
          <w:kern w:val="0"/>
          <w:sz w:val="24"/>
          <w:szCs w:val="24"/>
          <w:highlight w:val="none"/>
          <w:lang w:val="zh-CN"/>
        </w:rPr>
        <w:t>八、评审委员会将通过审查后的报价分、商务资格分、技术分合计</w:t>
      </w:r>
      <w:r>
        <w:rPr>
          <w:rFonts w:hint="eastAsia" w:ascii="仿宋_GB2312" w:hAnsi="宋体" w:eastAsia="仿宋_GB2312" w:cs="宋体"/>
          <w:kern w:val="0"/>
          <w:sz w:val="24"/>
          <w:szCs w:val="24"/>
          <w:highlight w:val="none"/>
          <w:lang w:val="zh-CN"/>
        </w:rPr>
        <w:t>总</w:t>
      </w:r>
      <w:r>
        <w:rPr>
          <w:rFonts w:ascii="仿宋_GB2312" w:hAnsi="宋体" w:eastAsia="仿宋_GB2312" w:cs="宋体"/>
          <w:kern w:val="0"/>
          <w:sz w:val="24"/>
          <w:szCs w:val="24"/>
          <w:highlight w:val="none"/>
          <w:lang w:val="zh-CN"/>
        </w:rPr>
        <w:t>分最高的投标人（</w:t>
      </w:r>
      <w:r>
        <w:rPr>
          <w:rFonts w:hint="eastAsia" w:ascii="仿宋_GB2312" w:hAnsi="宋体" w:eastAsia="仿宋_GB2312" w:cs="宋体"/>
          <w:kern w:val="0"/>
          <w:sz w:val="24"/>
          <w:szCs w:val="24"/>
          <w:highlight w:val="none"/>
          <w:lang w:val="zh-CN"/>
        </w:rPr>
        <w:t>总</w:t>
      </w:r>
      <w:r>
        <w:rPr>
          <w:rFonts w:ascii="仿宋_GB2312" w:hAnsi="宋体" w:eastAsia="仿宋_GB2312" w:cs="宋体"/>
          <w:kern w:val="0"/>
          <w:sz w:val="24"/>
          <w:szCs w:val="24"/>
          <w:highlight w:val="none"/>
          <w:lang w:val="zh-CN"/>
        </w:rPr>
        <w:t>分相同时，投标总价低者优先；若价格也相同，则由评审委员会商议确定。）作为第一中标候选人向采购人推荐，并提交评审报告。</w:t>
      </w:r>
      <w:r>
        <w:rPr>
          <w:rFonts w:ascii="仿宋_GB2312" w:hAnsi="宋体" w:eastAsia="仿宋_GB2312" w:cs="宋体"/>
          <w:kern w:val="0"/>
          <w:sz w:val="24"/>
          <w:szCs w:val="24"/>
          <w:highlight w:val="none"/>
          <w:lang w:val="zh-CN"/>
        </w:rPr>
        <w:br w:type="textWrapping"/>
      </w:r>
      <w:r>
        <w:rPr>
          <w:rFonts w:ascii="仿宋_GB2312" w:hAnsi="宋体" w:eastAsia="仿宋_GB2312" w:cs="宋体"/>
          <w:kern w:val="0"/>
          <w:sz w:val="24"/>
          <w:szCs w:val="24"/>
          <w:highlight w:val="none"/>
          <w:lang w:val="zh-CN"/>
        </w:rPr>
        <w:t>九、采购人对评审报告充分评议研究后，确定排名第一的中标侯选人为预中标人，若排名第一的中标候选人放弃中标、或者因不可抗力提出不能履行合同，或者未能按招标文件规定期限内提交履约保证金，则视为其违约，投标保证金将被</w:t>
      </w:r>
      <w:r>
        <w:rPr>
          <w:rFonts w:hint="eastAsia" w:ascii="仿宋_GB2312" w:hAnsi="宋体" w:eastAsia="仿宋_GB2312" w:cs="宋体"/>
          <w:kern w:val="0"/>
          <w:sz w:val="24"/>
          <w:szCs w:val="24"/>
          <w:highlight w:val="none"/>
          <w:lang w:val="zh-CN"/>
        </w:rPr>
        <w:t>不予</w:t>
      </w:r>
      <w:r>
        <w:rPr>
          <w:rFonts w:ascii="仿宋_GB2312" w:hAnsi="宋体" w:eastAsia="仿宋_GB2312" w:cs="宋体"/>
          <w:kern w:val="0"/>
          <w:sz w:val="24"/>
          <w:szCs w:val="24"/>
          <w:highlight w:val="none"/>
          <w:lang w:val="zh-CN"/>
        </w:rPr>
        <w:t>退还，并取消其中标资格。根据具体情况，</w:t>
      </w:r>
      <w:r>
        <w:rPr>
          <w:rFonts w:hint="eastAsia" w:ascii="仿宋_GB2312" w:hAnsi="宋体" w:eastAsia="仿宋_GB2312" w:cs="宋体"/>
          <w:kern w:val="0"/>
          <w:sz w:val="24"/>
          <w:szCs w:val="24"/>
          <w:highlight w:val="none"/>
          <w:lang w:val="zh-CN"/>
        </w:rPr>
        <w:t>可</w:t>
      </w:r>
      <w:r>
        <w:rPr>
          <w:rFonts w:ascii="仿宋_GB2312" w:hAnsi="宋体" w:eastAsia="仿宋_GB2312" w:cs="宋体"/>
          <w:kern w:val="0"/>
          <w:sz w:val="24"/>
          <w:szCs w:val="24"/>
          <w:highlight w:val="none"/>
          <w:lang w:val="zh-CN"/>
        </w:rPr>
        <w:t>以推荐标项中总分排名第二的投标人为中标人或针对本项目重新组织招标。</w:t>
      </w:r>
    </w:p>
    <w:p>
      <w:pPr>
        <w:autoSpaceDE w:val="0"/>
        <w:autoSpaceDN w:val="0"/>
        <w:adjustRightInd w:val="0"/>
        <w:snapToGrid w:val="0"/>
        <w:spacing w:line="520" w:lineRule="exact"/>
        <w:ind w:firstLine="420"/>
        <w:rPr>
          <w:rFonts w:ascii="仿宋_GB2312" w:eastAsia="仿宋_GB2312"/>
          <w:kern w:val="0"/>
          <w:sz w:val="24"/>
          <w:szCs w:val="24"/>
          <w:highlight w:val="none"/>
          <w:lang w:val="zh-CN"/>
        </w:rPr>
      </w:pPr>
      <w:r>
        <w:rPr>
          <w:rFonts w:hint="eastAsia" w:ascii="仿宋_GB2312" w:hAnsi="宋体" w:eastAsia="仿宋_GB2312" w:cs="宋体"/>
          <w:kern w:val="0"/>
          <w:sz w:val="24"/>
          <w:szCs w:val="24"/>
          <w:highlight w:val="none"/>
          <w:lang w:val="zh-CN"/>
        </w:rPr>
        <w:t>十、未尽事宜按国家相关法律法规处理执行。</w:t>
      </w:r>
    </w:p>
    <w:p>
      <w:pPr>
        <w:autoSpaceDE w:val="0"/>
        <w:autoSpaceDN w:val="0"/>
        <w:adjustRightInd w:val="0"/>
        <w:snapToGrid w:val="0"/>
        <w:spacing w:line="520" w:lineRule="exact"/>
        <w:ind w:firstLine="420"/>
        <w:rPr>
          <w:rFonts w:ascii="仿宋_GB2312" w:eastAsia="仿宋_GB2312"/>
          <w:color w:val="000000"/>
          <w:kern w:val="0"/>
          <w:sz w:val="24"/>
          <w:szCs w:val="24"/>
          <w:highlight w:val="none"/>
          <w:lang w:val="zh-CN"/>
        </w:rPr>
      </w:pPr>
      <w:r>
        <w:rPr>
          <w:rFonts w:hint="eastAsia" w:ascii="仿宋_GB2312" w:hAnsi="宋体" w:eastAsia="仿宋_GB2312" w:cs="宋体"/>
          <w:kern w:val="0"/>
          <w:sz w:val="24"/>
          <w:szCs w:val="24"/>
          <w:highlight w:val="none"/>
          <w:lang w:val="zh-CN"/>
        </w:rPr>
        <w:t>为维护招标投标交易市场的正常秩序，进一步加强遏止串标、抬标行为，保护交易各方的合法权益。经研究凡在同一招标项目的评审中，发现有二份及以上投标文件的相互之间有特别相同或相似之处，且经询标澄清投标人无令人信服的理由和可靠证据证明其合理性的，经评审委员会半数以上成员确认，有串通投标嫌疑的，其投标文件按无效标处理，予以废除，不再对其进行</w:t>
      </w:r>
      <w:r>
        <w:rPr>
          <w:rFonts w:hint="eastAsia" w:ascii="仿宋_GB2312" w:hAnsi="宋体" w:eastAsia="仿宋_GB2312" w:cs="宋体"/>
          <w:color w:val="000000"/>
          <w:kern w:val="0"/>
          <w:sz w:val="24"/>
          <w:szCs w:val="24"/>
          <w:highlight w:val="none"/>
          <w:lang w:val="zh-CN"/>
        </w:rPr>
        <w:t>评审，也不影响招标工作继续评审。</w:t>
      </w:r>
    </w:p>
    <w:p>
      <w:pPr>
        <w:autoSpaceDE w:val="0"/>
        <w:autoSpaceDN w:val="0"/>
        <w:adjustRightInd w:val="0"/>
        <w:snapToGrid w:val="0"/>
        <w:spacing w:line="520" w:lineRule="exact"/>
        <w:ind w:firstLine="420"/>
        <w:rPr>
          <w:rFonts w:ascii="华文中宋" w:hAnsi="华文中宋" w:eastAsia="华文中宋"/>
          <w:b/>
          <w:color w:val="000000"/>
          <w:sz w:val="36"/>
          <w:szCs w:val="36"/>
          <w:highlight w:val="none"/>
        </w:rPr>
      </w:pPr>
      <w:r>
        <w:rPr>
          <w:rFonts w:hint="eastAsia" w:ascii="仿宋_GB2312" w:hAnsi="宋体" w:eastAsia="仿宋_GB2312" w:cs="宋体"/>
          <w:color w:val="000000"/>
          <w:kern w:val="0"/>
          <w:sz w:val="24"/>
          <w:szCs w:val="24"/>
          <w:highlight w:val="none"/>
          <w:lang w:val="zh-CN"/>
        </w:rPr>
        <w:t>评审结束后，评审专家应将有串通投标嫌疑的投标文件以及相关评审分析材料及时移交招标机构作进一步的调查处理，即使最终无法认定串通投标行为成立，也不影响对其按无效标处理的结果。</w:t>
      </w:r>
    </w:p>
    <w:p>
      <w:pPr>
        <w:rPr>
          <w:rFonts w:ascii="华文中宋" w:hAnsi="华文中宋" w:eastAsia="华文中宋"/>
          <w:b/>
          <w:color w:val="000000"/>
          <w:sz w:val="36"/>
          <w:szCs w:val="36"/>
          <w:highlight w:val="none"/>
        </w:rPr>
      </w:pPr>
      <w:r>
        <w:rPr>
          <w:rFonts w:ascii="华文中宋" w:hAnsi="华文中宋" w:eastAsia="华文中宋"/>
          <w:b/>
          <w:color w:val="000000"/>
          <w:sz w:val="36"/>
          <w:szCs w:val="36"/>
          <w:highlight w:val="none"/>
        </w:rPr>
        <w:br w:type="page"/>
      </w:r>
    </w:p>
    <w:p>
      <w:pPr>
        <w:adjustRightInd w:val="0"/>
        <w:snapToGrid w:val="0"/>
        <w:spacing w:line="560" w:lineRule="exact"/>
        <w:jc w:val="center"/>
        <w:outlineLvl w:val="0"/>
        <w:rPr>
          <w:rFonts w:ascii="华文中宋" w:hAnsi="华文中宋" w:eastAsia="华文中宋"/>
          <w:b/>
          <w:color w:val="000000"/>
          <w:sz w:val="36"/>
          <w:szCs w:val="36"/>
          <w:highlight w:val="none"/>
        </w:rPr>
      </w:pPr>
      <w:r>
        <w:rPr>
          <w:rFonts w:hint="eastAsia" w:ascii="华文中宋" w:hAnsi="华文中宋" w:eastAsia="华文中宋"/>
          <w:b/>
          <w:color w:val="000000"/>
          <w:sz w:val="36"/>
          <w:szCs w:val="36"/>
          <w:highlight w:val="none"/>
        </w:rPr>
        <w:t>第五部分 投标文件部分格式范例</w:t>
      </w:r>
    </w:p>
    <w:p>
      <w:pPr>
        <w:adjustRightInd w:val="0"/>
        <w:snapToGrid w:val="0"/>
        <w:spacing w:line="560" w:lineRule="exact"/>
        <w:outlineLvl w:val="1"/>
        <w:rPr>
          <w:rFonts w:ascii="仿宋_GB2312" w:hAnsi="宋体" w:eastAsia="仿宋_GB2312" w:cs="仿宋_GB2312"/>
          <w:b/>
          <w:bCs/>
          <w:color w:val="000000"/>
          <w:sz w:val="24"/>
          <w:szCs w:val="24"/>
          <w:highlight w:val="none"/>
        </w:rPr>
      </w:pPr>
      <w:bookmarkStart w:id="9" w:name="_Toc233618987"/>
    </w:p>
    <w:bookmarkEnd w:id="9"/>
    <w:p>
      <w:pPr>
        <w:adjustRightInd w:val="0"/>
        <w:snapToGrid w:val="0"/>
        <w:spacing w:line="560" w:lineRule="exact"/>
        <w:ind w:firstLine="472" w:firstLineChars="196"/>
        <w:outlineLvl w:val="1"/>
        <w:rPr>
          <w:rFonts w:ascii="仿宋_GB2312" w:hAnsi="宋体" w:eastAsia="仿宋_GB2312"/>
          <w:b/>
          <w:bCs/>
          <w:color w:val="000000"/>
          <w:sz w:val="24"/>
          <w:szCs w:val="24"/>
          <w:highlight w:val="none"/>
        </w:rPr>
      </w:pPr>
      <w:r>
        <w:rPr>
          <w:rFonts w:hint="eastAsia" w:ascii="仿宋_GB2312" w:hAnsi="宋体" w:eastAsia="仿宋_GB2312" w:cs="仿宋_GB2312"/>
          <w:b/>
          <w:bCs/>
          <w:color w:val="000000"/>
          <w:sz w:val="24"/>
          <w:szCs w:val="24"/>
          <w:highlight w:val="none"/>
        </w:rPr>
        <w:t>一、投标人提交投标文件须知：</w:t>
      </w:r>
    </w:p>
    <w:p>
      <w:pPr>
        <w:adjustRightInd w:val="0"/>
        <w:snapToGrid w:val="0"/>
        <w:spacing w:line="560" w:lineRule="exact"/>
        <w:ind w:left="2" w:firstLine="480" w:firstLineChars="200"/>
        <w:rPr>
          <w:rFonts w:ascii="仿宋_GB2312" w:hAnsi="宋体" w:eastAsia="仿宋_GB2312"/>
          <w:color w:val="000000"/>
          <w:sz w:val="24"/>
          <w:szCs w:val="24"/>
          <w:highlight w:val="none"/>
        </w:rPr>
      </w:pPr>
      <w:r>
        <w:rPr>
          <w:rFonts w:hint="eastAsia" w:ascii="仿宋_GB2312" w:hAnsi="宋体" w:eastAsia="仿宋_GB2312" w:cs="仿宋_GB2312"/>
          <w:color w:val="000000"/>
          <w:sz w:val="24"/>
          <w:szCs w:val="24"/>
          <w:highlight w:val="none"/>
        </w:rPr>
        <w:t>1、投标人应按照以下顺序填写和提交下述规定的全部格式文件以及其他有关资料，混乱的编排导致投标文件被误读或评审委员会查找不到有效文件是投标人的风险。</w:t>
      </w:r>
    </w:p>
    <w:p>
      <w:pPr>
        <w:adjustRightInd w:val="0"/>
        <w:snapToGrid w:val="0"/>
        <w:spacing w:line="560" w:lineRule="exact"/>
        <w:ind w:firstLine="480" w:firstLineChars="200"/>
        <w:rPr>
          <w:rFonts w:ascii="仿宋_GB2312" w:hAnsi="宋体" w:eastAsia="仿宋_GB2312" w:cs="仿宋_GB2312"/>
          <w:color w:val="000000"/>
          <w:sz w:val="24"/>
          <w:szCs w:val="24"/>
          <w:highlight w:val="none"/>
        </w:rPr>
      </w:pPr>
      <w:r>
        <w:rPr>
          <w:rFonts w:hint="eastAsia" w:ascii="仿宋_GB2312" w:hAnsi="宋体" w:eastAsia="仿宋_GB2312" w:cs="仿宋_GB2312"/>
          <w:color w:val="000000"/>
          <w:sz w:val="24"/>
          <w:szCs w:val="24"/>
          <w:highlight w:val="none"/>
        </w:rPr>
        <w:t>2、所附表格中要求回答的全部问题和信息都必须正面回答。</w:t>
      </w:r>
    </w:p>
    <w:p>
      <w:pPr>
        <w:adjustRightInd w:val="0"/>
        <w:snapToGrid w:val="0"/>
        <w:spacing w:line="560" w:lineRule="exact"/>
        <w:ind w:firstLine="480" w:firstLineChars="200"/>
        <w:rPr>
          <w:rFonts w:ascii="仿宋_GB2312" w:hAnsi="宋体" w:eastAsia="仿宋_GB2312" w:cs="仿宋_GB2312"/>
          <w:color w:val="000000"/>
          <w:sz w:val="24"/>
          <w:szCs w:val="24"/>
          <w:highlight w:val="none"/>
        </w:rPr>
      </w:pPr>
      <w:r>
        <w:rPr>
          <w:rFonts w:hint="eastAsia" w:ascii="仿宋_GB2312" w:hAnsi="宋体" w:eastAsia="仿宋_GB2312" w:cs="仿宋_GB2312"/>
          <w:color w:val="000000"/>
          <w:sz w:val="24"/>
          <w:szCs w:val="24"/>
          <w:highlight w:val="none"/>
        </w:rPr>
        <w:t>3、评审委员会将应用投标人提交的资料根据自己的判断和考虑决定投标人履行合同的合格性及能力。</w:t>
      </w:r>
    </w:p>
    <w:p>
      <w:pPr>
        <w:adjustRightInd w:val="0"/>
        <w:snapToGrid w:val="0"/>
        <w:spacing w:line="560" w:lineRule="exact"/>
        <w:ind w:firstLine="480" w:firstLineChars="200"/>
        <w:rPr>
          <w:rFonts w:ascii="仿宋_GB2312" w:hAnsi="宋体" w:eastAsia="仿宋_GB2312" w:cs="仿宋_GB2312"/>
          <w:color w:val="000000"/>
          <w:sz w:val="24"/>
          <w:szCs w:val="24"/>
          <w:highlight w:val="none"/>
        </w:rPr>
      </w:pPr>
      <w:r>
        <w:rPr>
          <w:rFonts w:hint="eastAsia" w:ascii="仿宋_GB2312" w:hAnsi="宋体" w:eastAsia="仿宋_GB2312" w:cs="仿宋_GB2312"/>
          <w:color w:val="000000"/>
          <w:sz w:val="24"/>
          <w:szCs w:val="24"/>
          <w:highlight w:val="none"/>
        </w:rPr>
        <w:t>4、投标人提交的材料将在一定期限内被保密保存，不退还。</w:t>
      </w:r>
    </w:p>
    <w:p>
      <w:pPr>
        <w:adjustRightInd w:val="0"/>
        <w:snapToGrid w:val="0"/>
        <w:spacing w:line="560" w:lineRule="exact"/>
        <w:ind w:firstLine="480" w:firstLineChars="200"/>
        <w:rPr>
          <w:rFonts w:ascii="仿宋_GB2312" w:hAnsi="宋体" w:eastAsia="仿宋_GB2312"/>
          <w:color w:val="000000"/>
          <w:sz w:val="24"/>
          <w:szCs w:val="24"/>
          <w:highlight w:val="none"/>
          <w:lang w:val="zh-CN"/>
        </w:rPr>
      </w:pPr>
      <w:r>
        <w:rPr>
          <w:rFonts w:hint="eastAsia" w:ascii="仿宋_GB2312" w:hAnsi="宋体" w:eastAsia="仿宋_GB2312" w:cs="仿宋_GB2312"/>
          <w:color w:val="000000"/>
          <w:sz w:val="24"/>
          <w:szCs w:val="24"/>
          <w:highlight w:val="none"/>
        </w:rPr>
        <w:t>5、全部文件应按投标人须知中规定的语言和份数提交。投标文件组成漏项或未按规</w:t>
      </w:r>
      <w:r>
        <w:rPr>
          <w:rFonts w:ascii="仿宋_GB2312" w:hAnsi="宋体" w:eastAsia="仿宋_GB2312" w:cs="仿宋_GB2312"/>
          <w:color w:val="000000"/>
          <w:sz w:val="24"/>
          <w:szCs w:val="24"/>
          <w:highlight w:val="none"/>
        </w:rPr>
        <w:t>帐</w:t>
      </w:r>
      <w:r>
        <w:rPr>
          <w:rFonts w:hint="eastAsia" w:ascii="仿宋_GB2312" w:hAnsi="宋体" w:eastAsia="仿宋_GB2312" w:cs="仿宋_GB2312"/>
          <w:color w:val="000000"/>
          <w:sz w:val="24"/>
          <w:szCs w:val="24"/>
          <w:highlight w:val="none"/>
        </w:rPr>
        <w:t>的格式编制或投标文件正、副本份数不足，内容不全或内容字迹模糊辨认不清等情况，将有可能被评审委员会认定为投标无效。</w:t>
      </w:r>
    </w:p>
    <w:p>
      <w:pPr>
        <w:adjustRightInd w:val="0"/>
        <w:snapToGrid w:val="0"/>
        <w:spacing w:line="560" w:lineRule="exact"/>
        <w:ind w:firstLine="482" w:firstLineChars="200"/>
        <w:outlineLvl w:val="1"/>
        <w:rPr>
          <w:rFonts w:ascii="仿宋_GB2312" w:hAnsi="宋体" w:eastAsia="仿宋_GB2312"/>
          <w:b/>
          <w:bCs/>
          <w:color w:val="000000"/>
          <w:sz w:val="24"/>
          <w:szCs w:val="24"/>
          <w:highlight w:val="none"/>
          <w:lang w:val="zh-CN"/>
        </w:rPr>
      </w:pPr>
      <w:bookmarkStart w:id="10" w:name="_Toc233618988"/>
      <w:r>
        <w:rPr>
          <w:rFonts w:hint="eastAsia" w:ascii="仿宋_GB2312" w:hAnsi="宋体" w:eastAsia="仿宋_GB2312" w:cs="仿宋_GB2312"/>
          <w:b/>
          <w:bCs/>
          <w:color w:val="000000"/>
          <w:sz w:val="24"/>
          <w:szCs w:val="24"/>
          <w:highlight w:val="none"/>
          <w:lang w:val="zh-CN"/>
        </w:rPr>
        <w:t>二、投标文件编制格式及规范要求：</w:t>
      </w:r>
      <w:bookmarkEnd w:id="10"/>
    </w:p>
    <w:p>
      <w:pPr>
        <w:adjustRightInd w:val="0"/>
        <w:snapToGrid w:val="0"/>
        <w:spacing w:line="560" w:lineRule="exact"/>
        <w:ind w:firstLine="480" w:firstLineChars="200"/>
        <w:rPr>
          <w:rFonts w:ascii="仿宋_GB2312" w:hAnsi="宋体" w:eastAsia="仿宋_GB2312" w:cs="仿宋_GB2312"/>
          <w:color w:val="000000"/>
          <w:sz w:val="24"/>
          <w:szCs w:val="24"/>
          <w:highlight w:val="none"/>
        </w:rPr>
      </w:pPr>
      <w:r>
        <w:rPr>
          <w:rFonts w:hint="eastAsia" w:ascii="仿宋_GB2312" w:hAnsi="宋体" w:eastAsia="仿宋_GB2312" w:cs="仿宋_GB2312"/>
          <w:color w:val="000000"/>
          <w:sz w:val="24"/>
          <w:szCs w:val="24"/>
          <w:highlight w:val="none"/>
        </w:rPr>
        <w:t>投标文件分商务报价文件、资信文件、技术文件，各投标人在编制投标文件时请按照以下目录进行编排，并分别装订成册。以下提供部分格式，未提供格式部分，请自拟。</w:t>
      </w:r>
    </w:p>
    <w:p>
      <w:pPr>
        <w:rPr>
          <w:rFonts w:ascii="仿宋_GB2312" w:hAnsi="宋体" w:eastAsia="仿宋_GB2312" w:cs="仿宋_GB2312"/>
          <w:color w:val="000000"/>
          <w:sz w:val="24"/>
          <w:szCs w:val="24"/>
          <w:highlight w:val="none"/>
        </w:rPr>
      </w:pPr>
      <w:r>
        <w:rPr>
          <w:rFonts w:ascii="仿宋_GB2312" w:hAnsi="宋体" w:eastAsia="仿宋_GB2312" w:cs="仿宋_GB2312"/>
          <w:color w:val="000000"/>
          <w:sz w:val="24"/>
          <w:szCs w:val="24"/>
          <w:highlight w:val="none"/>
        </w:rPr>
        <w:br w:type="page"/>
      </w:r>
    </w:p>
    <w:p>
      <w:pPr>
        <w:adjustRightInd w:val="0"/>
        <w:snapToGrid w:val="0"/>
        <w:spacing w:line="560" w:lineRule="exact"/>
        <w:ind w:firstLine="480" w:firstLineChars="200"/>
        <w:rPr>
          <w:rFonts w:ascii="仿宋_GB2312" w:hAnsi="宋体" w:eastAsia="仿宋_GB2312" w:cs="仿宋_GB2312"/>
          <w:color w:val="000000"/>
          <w:sz w:val="24"/>
          <w:szCs w:val="24"/>
          <w:highlight w:val="none"/>
        </w:rPr>
      </w:pPr>
    </w:p>
    <w:p>
      <w:pPr>
        <w:adjustRightInd w:val="0"/>
        <w:snapToGrid w:val="0"/>
        <w:spacing w:line="560" w:lineRule="exact"/>
        <w:jc w:val="center"/>
        <w:rPr>
          <w:rFonts w:ascii="仿宋_GB2312" w:eastAsia="仿宋_GB2312"/>
          <w:b/>
          <w:bCs/>
          <w:color w:val="000000"/>
          <w:sz w:val="32"/>
          <w:szCs w:val="32"/>
          <w:highlight w:val="none"/>
        </w:rPr>
      </w:pPr>
      <w:bookmarkStart w:id="11" w:name="_Toc233618989"/>
      <w:r>
        <w:rPr>
          <w:rFonts w:hint="eastAsia" w:ascii="仿宋_GB2312" w:eastAsia="仿宋_GB2312" w:cs="仿宋_GB2312"/>
          <w:b/>
          <w:bCs/>
          <w:color w:val="000000"/>
          <w:sz w:val="32"/>
          <w:szCs w:val="32"/>
          <w:highlight w:val="none"/>
        </w:rPr>
        <w:t>投标文件封面及密封包装封面</w:t>
      </w:r>
    </w:p>
    <w:p>
      <w:pPr>
        <w:adjustRightInd w:val="0"/>
        <w:snapToGrid w:val="0"/>
        <w:spacing w:line="560" w:lineRule="exact"/>
        <w:rPr>
          <w:highlight w:val="none"/>
        </w:rPr>
      </w:pPr>
      <w:r>
        <w:rPr>
          <w:rFonts w:hint="eastAsia" w:ascii="仿宋_GB2312" w:hAnsi="宋体" w:eastAsia="仿宋_GB2312"/>
          <w:b/>
          <w:color w:val="000000"/>
          <w:sz w:val="36"/>
          <w:szCs w:val="36"/>
          <w:highlight w:val="none"/>
        </w:rPr>
        <w:t>正（副）本                           (公开招标)</w:t>
      </w:r>
    </w:p>
    <w:p>
      <w:pPr>
        <w:adjustRightInd w:val="0"/>
        <w:snapToGrid w:val="0"/>
        <w:spacing w:after="100" w:afterAutospacing="1" w:line="240" w:lineRule="auto"/>
        <w:rPr>
          <w:highlight w:val="none"/>
        </w:rPr>
      </w:pPr>
    </w:p>
    <w:p>
      <w:pPr>
        <w:snapToGrid w:val="0"/>
        <w:spacing w:after="100" w:afterAutospacing="1" w:line="240" w:lineRule="auto"/>
        <w:ind w:right="-334" w:rightChars="-159"/>
        <w:jc w:val="center"/>
        <w:rPr>
          <w:rFonts w:ascii="华文中宋" w:hAnsi="华文中宋" w:eastAsia="华文中宋"/>
          <w:b/>
          <w:bCs/>
          <w:color w:val="000000"/>
          <w:sz w:val="52"/>
          <w:szCs w:val="52"/>
          <w:highlight w:val="none"/>
        </w:rPr>
      </w:pPr>
      <w:r>
        <w:rPr>
          <w:rFonts w:hint="eastAsia" w:ascii="华文中宋" w:hAnsi="华文中宋" w:eastAsia="华文中宋"/>
          <w:b/>
          <w:bCs/>
          <w:color w:val="000000"/>
          <w:sz w:val="52"/>
          <w:szCs w:val="52"/>
          <w:highlight w:val="none"/>
        </w:rPr>
        <w:t>杭州市江干区全科医生技能培训中心建设项目</w:t>
      </w:r>
    </w:p>
    <w:p>
      <w:pPr>
        <w:adjustRightInd w:val="0"/>
        <w:snapToGrid w:val="0"/>
        <w:spacing w:line="560" w:lineRule="exact"/>
        <w:ind w:left="140" w:hanging="141" w:hangingChars="50"/>
        <w:jc w:val="center"/>
        <w:rPr>
          <w:rFonts w:ascii="仿宋_GB2312" w:hAnsi="宋体" w:eastAsia="仿宋_GB2312"/>
          <w:b/>
          <w:color w:val="000000"/>
          <w:sz w:val="28"/>
          <w:szCs w:val="28"/>
          <w:highlight w:val="none"/>
        </w:rPr>
      </w:pPr>
    </w:p>
    <w:p>
      <w:pPr>
        <w:adjustRightInd w:val="0"/>
        <w:snapToGrid w:val="0"/>
        <w:spacing w:line="560" w:lineRule="exact"/>
        <w:ind w:left="140" w:hanging="141" w:hangingChars="50"/>
        <w:jc w:val="center"/>
        <w:rPr>
          <w:rFonts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   招标编号： JGCG2019-GK-16   ）</w:t>
      </w:r>
    </w:p>
    <w:p>
      <w:pPr>
        <w:adjustRightInd w:val="0"/>
        <w:snapToGrid w:val="0"/>
        <w:spacing w:line="560" w:lineRule="exact"/>
        <w:jc w:val="center"/>
        <w:rPr>
          <w:rFonts w:ascii="仿宋_GB2312" w:hAnsi="宋体" w:eastAsia="仿宋_GB2312"/>
          <w:b/>
          <w:color w:val="000000"/>
          <w:sz w:val="28"/>
          <w:szCs w:val="28"/>
          <w:highlight w:val="none"/>
        </w:rPr>
      </w:pPr>
    </w:p>
    <w:p>
      <w:pPr>
        <w:adjustRightInd w:val="0"/>
        <w:snapToGrid w:val="0"/>
        <w:spacing w:line="560" w:lineRule="exact"/>
        <w:jc w:val="center"/>
        <w:rPr>
          <w:rFonts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（商务报价文件/资信文件/技术文件）</w:t>
      </w:r>
    </w:p>
    <w:p>
      <w:pPr>
        <w:adjustRightInd w:val="0"/>
        <w:snapToGrid w:val="0"/>
        <w:spacing w:line="560" w:lineRule="exact"/>
        <w:jc w:val="center"/>
        <w:rPr>
          <w:rFonts w:ascii="仿宋_GB2312" w:hAnsi="宋体" w:eastAsia="仿宋_GB2312"/>
          <w:b/>
          <w:color w:val="000000"/>
          <w:sz w:val="28"/>
          <w:szCs w:val="28"/>
          <w:highlight w:val="none"/>
        </w:rPr>
      </w:pPr>
    </w:p>
    <w:p>
      <w:pPr>
        <w:adjustRightInd w:val="0"/>
        <w:snapToGrid w:val="0"/>
        <w:spacing w:line="560" w:lineRule="exact"/>
        <w:rPr>
          <w:rFonts w:ascii="仿宋_GB2312" w:hAnsi="宋体" w:eastAsia="仿宋_GB2312"/>
          <w:b/>
          <w:color w:val="000000"/>
          <w:highlight w:val="none"/>
        </w:rPr>
      </w:pPr>
    </w:p>
    <w:p>
      <w:pPr>
        <w:adjustRightInd w:val="0"/>
        <w:snapToGrid w:val="0"/>
        <w:spacing w:line="560" w:lineRule="exact"/>
        <w:rPr>
          <w:rFonts w:ascii="仿宋_GB2312" w:hAnsi="宋体" w:eastAsia="仿宋_GB2312"/>
          <w:b/>
          <w:color w:val="000000"/>
          <w:highlight w:val="none"/>
        </w:rPr>
      </w:pPr>
    </w:p>
    <w:p>
      <w:pPr>
        <w:tabs>
          <w:tab w:val="left" w:pos="1665"/>
        </w:tabs>
        <w:adjustRightInd w:val="0"/>
        <w:snapToGrid w:val="0"/>
        <w:spacing w:beforeLines="100" w:afterLines="100" w:line="560" w:lineRule="exact"/>
        <w:rPr>
          <w:rFonts w:ascii="仿宋_GB2312" w:hAnsi="宋体" w:eastAsia="仿宋_GB2312"/>
          <w:b/>
          <w:color w:val="000000"/>
          <w:highlight w:val="none"/>
        </w:rPr>
      </w:pPr>
    </w:p>
    <w:p>
      <w:pPr>
        <w:tabs>
          <w:tab w:val="left" w:pos="1665"/>
        </w:tabs>
        <w:adjustRightInd w:val="0"/>
        <w:snapToGrid w:val="0"/>
        <w:spacing w:beforeLines="100" w:afterLines="100" w:line="560" w:lineRule="exact"/>
        <w:rPr>
          <w:rFonts w:ascii="仿宋_GB2312" w:hAnsi="宋体" w:eastAsia="仿宋_GB2312"/>
          <w:b/>
          <w:color w:val="000000"/>
          <w:highlight w:val="none"/>
        </w:rPr>
      </w:pPr>
    </w:p>
    <w:p>
      <w:pPr>
        <w:adjustRightInd w:val="0"/>
        <w:snapToGrid w:val="0"/>
        <w:spacing w:beforeLines="100" w:afterLines="100" w:line="560" w:lineRule="exact"/>
        <w:ind w:firstLine="308" w:firstLineChars="146"/>
        <w:jc w:val="center"/>
        <w:rPr>
          <w:rFonts w:ascii="仿宋_GB2312" w:hAnsi="宋体" w:eastAsia="仿宋_GB2312"/>
          <w:b/>
          <w:color w:val="000000"/>
          <w:highlight w:val="none"/>
          <w:u w:val="thick"/>
        </w:rPr>
      </w:pPr>
      <w:r>
        <w:rPr>
          <w:rFonts w:hint="eastAsia" w:ascii="仿宋_GB2312" w:hAnsi="宋体" w:eastAsia="仿宋_GB2312"/>
          <w:b/>
          <w:color w:val="000000"/>
          <w:highlight w:val="none"/>
        </w:rPr>
        <w:t>投标人名称: (加盖公章)</w:t>
      </w:r>
    </w:p>
    <w:p>
      <w:pPr>
        <w:adjustRightInd w:val="0"/>
        <w:snapToGrid w:val="0"/>
        <w:spacing w:beforeLines="100" w:afterLines="100" w:line="560" w:lineRule="exact"/>
        <w:ind w:firstLine="310" w:firstLineChars="147"/>
        <w:jc w:val="center"/>
        <w:rPr>
          <w:rFonts w:ascii="仿宋_GB2312" w:hAnsi="宋体" w:eastAsia="仿宋_GB2312"/>
          <w:b/>
          <w:color w:val="000000"/>
          <w:highlight w:val="none"/>
          <w:u w:val="thick"/>
        </w:rPr>
      </w:pPr>
      <w:r>
        <w:rPr>
          <w:rFonts w:hint="eastAsia" w:ascii="仿宋_GB2312" w:hAnsi="宋体" w:eastAsia="仿宋_GB2312"/>
          <w:b/>
          <w:color w:val="000000"/>
          <w:highlight w:val="none"/>
        </w:rPr>
        <w:t>投标人地址: 邮编:</w:t>
      </w:r>
    </w:p>
    <w:p>
      <w:pPr>
        <w:adjustRightInd w:val="0"/>
        <w:snapToGrid w:val="0"/>
        <w:spacing w:beforeLines="100" w:afterLines="100" w:line="560" w:lineRule="exact"/>
        <w:ind w:firstLine="310" w:firstLineChars="147"/>
        <w:jc w:val="center"/>
        <w:rPr>
          <w:rFonts w:ascii="仿宋_GB2312" w:hAnsi="宋体" w:eastAsia="仿宋_GB2312"/>
          <w:b/>
          <w:color w:val="000000"/>
          <w:highlight w:val="none"/>
          <w:u w:val="thick"/>
        </w:rPr>
      </w:pPr>
      <w:r>
        <w:rPr>
          <w:rFonts w:hint="eastAsia" w:ascii="仿宋_GB2312" w:hAnsi="宋体" w:eastAsia="仿宋_GB2312"/>
          <w:b/>
          <w:color w:val="000000"/>
          <w:highlight w:val="none"/>
        </w:rPr>
        <w:t>投标联系人: 电话:</w:t>
      </w:r>
    </w:p>
    <w:p>
      <w:pPr>
        <w:adjustRightInd w:val="0"/>
        <w:snapToGrid w:val="0"/>
        <w:spacing w:line="560" w:lineRule="exact"/>
        <w:ind w:firstLine="310" w:firstLineChars="147"/>
        <w:jc w:val="center"/>
        <w:rPr>
          <w:rFonts w:ascii="仿宋_GB2312" w:hAnsi="宋体" w:eastAsia="仿宋_GB2312" w:cs="仿宋_GB2312"/>
          <w:b/>
          <w:bCs/>
          <w:color w:val="000000"/>
          <w:kern w:val="0"/>
          <w:sz w:val="36"/>
          <w:szCs w:val="36"/>
          <w:highlight w:val="none"/>
        </w:rPr>
      </w:pPr>
      <w:r>
        <w:rPr>
          <w:rFonts w:hint="eastAsia" w:ascii="仿宋_GB2312" w:hAnsi="宋体" w:eastAsia="仿宋_GB2312"/>
          <w:b/>
          <w:color w:val="000000"/>
          <w:highlight w:val="none"/>
        </w:rPr>
        <w:t xml:space="preserve">启封时间: </w:t>
      </w:r>
      <w:r>
        <w:rPr>
          <w:rFonts w:hint="eastAsia" w:ascii="仿宋_GB2312" w:hAnsi="宋体" w:eastAsia="仿宋_GB2312"/>
          <w:b/>
          <w:color w:val="000000"/>
          <w:highlight w:val="none"/>
          <w:u w:val="thick"/>
        </w:rPr>
        <w:t>在2019年 月  日  时   分前不得启封</w:t>
      </w:r>
      <w:r>
        <w:rPr>
          <w:rFonts w:ascii="仿宋_GB2312" w:hAnsi="宋体" w:eastAsia="仿宋_GB2312" w:cs="仿宋_GB2312"/>
          <w:b/>
          <w:bCs/>
          <w:color w:val="000000"/>
          <w:kern w:val="0"/>
          <w:sz w:val="36"/>
          <w:szCs w:val="36"/>
          <w:highlight w:val="none"/>
        </w:rPr>
        <w:br w:type="page"/>
      </w:r>
    </w:p>
    <w:p>
      <w:pPr>
        <w:adjustRightInd w:val="0"/>
        <w:snapToGrid w:val="0"/>
        <w:spacing w:line="560" w:lineRule="exact"/>
        <w:jc w:val="center"/>
        <w:outlineLvl w:val="0"/>
        <w:rPr>
          <w:rFonts w:ascii="仿宋_GB2312" w:hAnsi="宋体" w:eastAsia="仿宋_GB2312" w:cs="仿宋_GB2312"/>
          <w:b/>
          <w:bCs/>
          <w:color w:val="000000"/>
          <w:kern w:val="0"/>
          <w:sz w:val="36"/>
          <w:szCs w:val="36"/>
          <w:highlight w:val="none"/>
        </w:rPr>
      </w:pPr>
      <w:r>
        <w:rPr>
          <w:rFonts w:hint="eastAsia" w:ascii="仿宋_GB2312" w:hAnsi="宋体" w:eastAsia="仿宋_GB2312" w:cs="仿宋_GB2312"/>
          <w:b/>
          <w:bCs/>
          <w:color w:val="000000"/>
          <w:kern w:val="0"/>
          <w:sz w:val="36"/>
          <w:szCs w:val="36"/>
          <w:highlight w:val="none"/>
        </w:rPr>
        <w:t>商务报价部分</w:t>
      </w:r>
    </w:p>
    <w:p>
      <w:pPr>
        <w:adjustRightInd w:val="0"/>
        <w:snapToGrid w:val="0"/>
        <w:spacing w:line="560" w:lineRule="exact"/>
        <w:jc w:val="center"/>
        <w:rPr>
          <w:rFonts w:ascii="仿宋_GB2312" w:hAnsi="宋体" w:eastAsia="仿宋_GB2312"/>
          <w:b/>
          <w:bCs/>
          <w:color w:val="000000"/>
          <w:kern w:val="0"/>
          <w:sz w:val="32"/>
          <w:szCs w:val="32"/>
          <w:highlight w:val="none"/>
        </w:rPr>
      </w:pPr>
      <w:r>
        <w:rPr>
          <w:rFonts w:hint="eastAsia" w:ascii="仿宋_GB2312" w:hAnsi="宋体" w:eastAsia="仿宋_GB2312" w:cs="仿宋_GB2312"/>
          <w:b/>
          <w:bCs/>
          <w:color w:val="000000"/>
          <w:kern w:val="0"/>
          <w:sz w:val="32"/>
          <w:szCs w:val="32"/>
          <w:highlight w:val="none"/>
        </w:rPr>
        <w:t>目录</w:t>
      </w:r>
    </w:p>
    <w:p>
      <w:pPr>
        <w:adjustRightInd w:val="0"/>
        <w:snapToGrid w:val="0"/>
        <w:spacing w:line="560" w:lineRule="exact"/>
        <w:rPr>
          <w:rFonts w:ascii="仿宋_GB2312" w:hAnsi="宋体" w:eastAsia="仿宋_GB2312"/>
          <w:color w:val="000000"/>
          <w:kern w:val="0"/>
          <w:sz w:val="24"/>
          <w:szCs w:val="24"/>
          <w:highlight w:val="none"/>
        </w:rPr>
      </w:pPr>
      <w:r>
        <w:rPr>
          <w:rFonts w:hint="eastAsia" w:ascii="仿宋_GB2312" w:hAnsi="宋体" w:eastAsia="仿宋_GB2312" w:cs="仿宋_GB2312"/>
          <w:color w:val="000000"/>
          <w:kern w:val="0"/>
          <w:sz w:val="24"/>
          <w:szCs w:val="24"/>
          <w:highlight w:val="none"/>
        </w:rPr>
        <w:t xml:space="preserve">一、投标响应函                                            </w:t>
      </w:r>
    </w:p>
    <w:p>
      <w:pPr>
        <w:adjustRightInd w:val="0"/>
        <w:snapToGrid w:val="0"/>
        <w:spacing w:line="560" w:lineRule="exact"/>
        <w:rPr>
          <w:rFonts w:ascii="仿宋_GB2312" w:hAnsi="宋体" w:eastAsia="仿宋_GB2312" w:cs="仿宋_GB2312"/>
          <w:color w:val="000000"/>
          <w:kern w:val="0"/>
          <w:sz w:val="24"/>
          <w:szCs w:val="24"/>
          <w:highlight w:val="none"/>
        </w:rPr>
      </w:pPr>
      <w:r>
        <w:rPr>
          <w:rFonts w:hint="eastAsia" w:ascii="仿宋_GB2312" w:hAnsi="宋体" w:eastAsia="仿宋_GB2312" w:cs="仿宋_GB2312"/>
          <w:color w:val="000000"/>
          <w:kern w:val="0"/>
          <w:sz w:val="24"/>
          <w:szCs w:val="24"/>
          <w:highlight w:val="none"/>
        </w:rPr>
        <w:t xml:space="preserve">二、商务报价一览表                                          </w:t>
      </w:r>
    </w:p>
    <w:p>
      <w:pPr>
        <w:adjustRightInd w:val="0"/>
        <w:snapToGrid w:val="0"/>
        <w:spacing w:line="560" w:lineRule="exact"/>
        <w:rPr>
          <w:rFonts w:ascii="仿宋_GB2312" w:hAnsi="宋体" w:eastAsia="仿宋_GB2312"/>
          <w:b/>
          <w:color w:val="FF0000"/>
          <w:sz w:val="24"/>
          <w:szCs w:val="24"/>
          <w:highlight w:val="none"/>
        </w:rPr>
      </w:pPr>
      <w:r>
        <w:rPr>
          <w:rFonts w:hint="eastAsia" w:ascii="仿宋_GB2312" w:hAnsi="宋体" w:eastAsia="仿宋_GB2312" w:cs="仿宋_GB2312"/>
          <w:color w:val="000000"/>
          <w:kern w:val="0"/>
          <w:sz w:val="24"/>
          <w:szCs w:val="24"/>
          <w:highlight w:val="none"/>
        </w:rPr>
        <w:t>三、商务报价明细清单</w:t>
      </w:r>
    </w:p>
    <w:p>
      <w:pPr>
        <w:adjustRightInd w:val="0"/>
        <w:snapToGrid w:val="0"/>
        <w:spacing w:line="560" w:lineRule="exact"/>
        <w:rPr>
          <w:rFonts w:ascii="仿宋_GB2312" w:hAnsi="宋体" w:eastAsia="仿宋_GB2312" w:cs="仿宋_GB2312"/>
          <w:color w:val="000000"/>
          <w:kern w:val="0"/>
          <w:sz w:val="24"/>
          <w:szCs w:val="24"/>
          <w:highlight w:val="none"/>
        </w:rPr>
      </w:pPr>
      <w:r>
        <w:rPr>
          <w:rFonts w:hint="eastAsia" w:ascii="仿宋_GB2312" w:hAnsi="宋体" w:eastAsia="仿宋_GB2312" w:cs="仿宋_GB2312"/>
          <w:color w:val="000000"/>
          <w:kern w:val="0"/>
          <w:sz w:val="24"/>
          <w:szCs w:val="24"/>
          <w:highlight w:val="none"/>
        </w:rPr>
        <w:t xml:space="preserve">四、其它需要说明的情况（如有）                                  </w:t>
      </w:r>
    </w:p>
    <w:p>
      <w:pPr>
        <w:adjustRightInd w:val="0"/>
        <w:snapToGrid w:val="0"/>
        <w:spacing w:line="560" w:lineRule="exact"/>
        <w:rPr>
          <w:rFonts w:ascii="仿宋_GB2312" w:hAnsi="宋体" w:eastAsia="仿宋_GB2312" w:cs="仿宋_GB2312"/>
          <w:color w:val="000000"/>
          <w:kern w:val="0"/>
          <w:sz w:val="24"/>
          <w:szCs w:val="24"/>
          <w:highlight w:val="none"/>
        </w:rPr>
      </w:pPr>
    </w:p>
    <w:p>
      <w:pPr>
        <w:adjustRightInd w:val="0"/>
        <w:snapToGrid w:val="0"/>
        <w:spacing w:line="560" w:lineRule="exact"/>
        <w:rPr>
          <w:rFonts w:ascii="仿宋_GB2312" w:hAnsi="宋体" w:eastAsia="仿宋_GB2312" w:cs="仿宋_GB2312"/>
          <w:color w:val="000000"/>
          <w:kern w:val="0"/>
          <w:sz w:val="24"/>
          <w:szCs w:val="24"/>
          <w:highlight w:val="none"/>
        </w:rPr>
      </w:pPr>
    </w:p>
    <w:p>
      <w:pPr>
        <w:adjustRightInd w:val="0"/>
        <w:snapToGrid w:val="0"/>
        <w:spacing w:line="560" w:lineRule="exact"/>
        <w:rPr>
          <w:rFonts w:ascii="仿宋_GB2312" w:hAnsi="宋体" w:eastAsia="仿宋_GB2312"/>
          <w:b/>
          <w:bCs/>
          <w:color w:val="000000"/>
          <w:kern w:val="0"/>
          <w:sz w:val="36"/>
          <w:szCs w:val="36"/>
          <w:highlight w:val="none"/>
        </w:rPr>
        <w:sectPr>
          <w:headerReference r:id="rId3" w:type="default"/>
          <w:footerReference r:id="rId4" w:type="default"/>
          <w:pgSz w:w="11906" w:h="16838"/>
          <w:pgMar w:top="2098" w:right="1274" w:bottom="1985" w:left="1588" w:header="851" w:footer="1588" w:gutter="0"/>
          <w:cols w:space="720" w:num="1"/>
          <w:docGrid w:linePitch="286" w:charSpace="0"/>
        </w:sectPr>
      </w:pPr>
    </w:p>
    <w:p>
      <w:pPr>
        <w:adjustRightInd w:val="0"/>
        <w:snapToGrid w:val="0"/>
        <w:spacing w:line="520" w:lineRule="exact"/>
        <w:jc w:val="center"/>
        <w:outlineLvl w:val="1"/>
        <w:rPr>
          <w:rFonts w:ascii="仿宋_GB2312" w:eastAsia="仿宋_GB2312"/>
          <w:color w:val="000000"/>
          <w:sz w:val="32"/>
          <w:szCs w:val="32"/>
          <w:highlight w:val="none"/>
        </w:rPr>
      </w:pPr>
      <w:r>
        <w:rPr>
          <w:rFonts w:hint="eastAsia" w:ascii="仿宋_GB2312" w:hAnsi="宋体" w:eastAsia="仿宋_GB2312" w:cs="仿宋_GB2312"/>
          <w:b/>
          <w:bCs/>
          <w:color w:val="000000"/>
          <w:kern w:val="0"/>
          <w:sz w:val="32"/>
          <w:szCs w:val="32"/>
          <w:highlight w:val="none"/>
        </w:rPr>
        <w:t>一、投标响应</w:t>
      </w:r>
      <w:r>
        <w:rPr>
          <w:rFonts w:hint="eastAsia" w:ascii="仿宋_GB2312" w:hAnsi="宋体" w:eastAsia="仿宋_GB2312" w:cs="仿宋_GB2312"/>
          <w:b/>
          <w:bCs/>
          <w:color w:val="000000"/>
          <w:sz w:val="32"/>
          <w:szCs w:val="32"/>
          <w:highlight w:val="none"/>
        </w:rPr>
        <w:t>函</w:t>
      </w:r>
    </w:p>
    <w:p>
      <w:pPr>
        <w:adjustRightInd w:val="0"/>
        <w:snapToGrid w:val="0"/>
        <w:spacing w:line="520" w:lineRule="exact"/>
        <w:outlineLvl w:val="1"/>
        <w:rPr>
          <w:rFonts w:ascii="仿宋_GB2312" w:hAnsi="宋体" w:eastAsia="仿宋_GB2312" w:cs="仿宋_GB2312"/>
          <w:color w:val="000000"/>
          <w:sz w:val="24"/>
          <w:szCs w:val="24"/>
          <w:highlight w:val="none"/>
        </w:rPr>
      </w:pPr>
      <w:r>
        <w:rPr>
          <w:rFonts w:hint="eastAsia" w:ascii="仿宋_GB2312" w:hAnsi="宋体" w:eastAsia="仿宋_GB2312" w:cs="仿宋_GB2312"/>
          <w:color w:val="000000"/>
          <w:sz w:val="24"/>
          <w:szCs w:val="24"/>
          <w:highlight w:val="none"/>
        </w:rPr>
        <w:t>杭州市江干区四季青街道社区卫生服务中心、杭州市公共资源交易中心江干分中心：</w:t>
      </w:r>
    </w:p>
    <w:p>
      <w:pPr>
        <w:adjustRightInd w:val="0"/>
        <w:snapToGrid w:val="0"/>
        <w:spacing w:line="520" w:lineRule="exact"/>
        <w:ind w:firstLine="360" w:firstLineChars="150"/>
        <w:rPr>
          <w:rFonts w:ascii="仿宋_GB2312" w:hAnsi="宋体" w:eastAsia="仿宋_GB2312" w:cs="仿宋_GB2312"/>
          <w:color w:val="000000"/>
          <w:sz w:val="24"/>
          <w:szCs w:val="24"/>
          <w:highlight w:val="none"/>
        </w:rPr>
      </w:pPr>
      <w:r>
        <w:rPr>
          <w:rFonts w:hint="eastAsia" w:ascii="仿宋_GB2312" w:hAnsi="宋体" w:eastAsia="仿宋_GB2312" w:cs="仿宋_GB2312"/>
          <w:color w:val="000000"/>
          <w:sz w:val="24"/>
          <w:szCs w:val="24"/>
          <w:highlight w:val="none"/>
        </w:rPr>
        <w:t>(投标人全称)授权(全权代表姓名)(职务、职称)为全权代表，参加贵方组织的杭州市江干区全科医生技能培训中心建设项目（招标编号：JGCG2019-GK-16)招标的有关活动，并对此项进行投标。为此：</w:t>
      </w:r>
    </w:p>
    <w:p>
      <w:pPr>
        <w:adjustRightInd w:val="0"/>
        <w:snapToGrid w:val="0"/>
        <w:spacing w:line="520" w:lineRule="exact"/>
        <w:ind w:right="-89" w:firstLine="480" w:firstLineChars="200"/>
        <w:rPr>
          <w:rFonts w:ascii="宋体"/>
          <w:color w:val="000000"/>
          <w:sz w:val="24"/>
          <w:szCs w:val="24"/>
          <w:highlight w:val="none"/>
        </w:rPr>
      </w:pPr>
      <w:r>
        <w:rPr>
          <w:rFonts w:hint="eastAsia" w:ascii="仿宋_GB2312" w:hAnsi="宋体" w:eastAsia="仿宋_GB2312" w:cs="仿宋_GB2312"/>
          <w:color w:val="000000"/>
          <w:sz w:val="24"/>
          <w:szCs w:val="24"/>
          <w:highlight w:val="none"/>
        </w:rPr>
        <w:t>1、我方同意在投标人</w:t>
      </w:r>
      <w:r>
        <w:rPr>
          <w:rFonts w:hint="eastAsia" w:ascii="仿宋_GB2312" w:hAnsi="宋体" w:eastAsia="仿宋_GB2312" w:cs="仿宋_GB2312"/>
          <w:color w:val="000000"/>
          <w:kern w:val="44"/>
          <w:sz w:val="24"/>
          <w:szCs w:val="24"/>
          <w:highlight w:val="none"/>
        </w:rPr>
        <w:t>编制和提交采购响应文件须知</w:t>
      </w:r>
      <w:r>
        <w:rPr>
          <w:rFonts w:hint="eastAsia" w:ascii="仿宋_GB2312" w:hAnsi="宋体" w:eastAsia="仿宋_GB2312" w:cs="仿宋_GB2312"/>
          <w:color w:val="000000"/>
          <w:sz w:val="24"/>
          <w:szCs w:val="24"/>
          <w:highlight w:val="none"/>
        </w:rPr>
        <w:t>规定的开标日期起遵守本投标书中的承诺且在投标有效期满之前均具有约束力，我方遵守《中华人民共和国政府采购法》及相关法律法规的规定。同意招标文件中所提到的无效标条款，并服从有关开标现场的会议纪律。否则，同意被废除投标资格。</w:t>
      </w:r>
    </w:p>
    <w:p>
      <w:pPr>
        <w:adjustRightInd w:val="0"/>
        <w:snapToGrid w:val="0"/>
        <w:spacing w:line="52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s="仿宋_GB2312"/>
          <w:color w:val="000000"/>
          <w:sz w:val="24"/>
          <w:szCs w:val="24"/>
          <w:highlight w:val="none"/>
        </w:rPr>
        <w:t>2、我方承诺已经具备本次招标公告中规定的参加采购活动的投标人应当具备的条件：</w:t>
      </w:r>
    </w:p>
    <w:p>
      <w:pPr>
        <w:adjustRightInd w:val="0"/>
        <w:snapToGrid w:val="0"/>
        <w:spacing w:line="52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s="仿宋_GB2312"/>
          <w:color w:val="000000"/>
          <w:sz w:val="24"/>
          <w:szCs w:val="24"/>
          <w:highlight w:val="none"/>
        </w:rPr>
        <w:t>3、提供</w:t>
      </w:r>
      <w:r>
        <w:rPr>
          <w:rFonts w:hint="eastAsia" w:ascii="仿宋_GB2312" w:hAnsi="宋体" w:eastAsia="仿宋_GB2312" w:cs="仿宋_GB2312"/>
          <w:color w:val="000000"/>
          <w:kern w:val="44"/>
          <w:sz w:val="24"/>
          <w:szCs w:val="24"/>
          <w:highlight w:val="none"/>
        </w:rPr>
        <w:t>编制和提交采购响应文件须知</w:t>
      </w:r>
      <w:r>
        <w:rPr>
          <w:rFonts w:hint="eastAsia" w:ascii="仿宋_GB2312" w:hAnsi="宋体" w:eastAsia="仿宋_GB2312" w:cs="仿宋_GB2312"/>
          <w:color w:val="000000"/>
          <w:sz w:val="24"/>
          <w:szCs w:val="24"/>
          <w:highlight w:val="none"/>
        </w:rPr>
        <w:t>规定的全部投标文件，包括投标文件</w:t>
      </w:r>
      <w:r>
        <w:rPr>
          <w:rFonts w:hint="eastAsia" w:ascii="仿宋_GB2312" w:hAnsi="宋体" w:eastAsia="仿宋_GB2312" w:cs="仿宋_GB2312"/>
          <w:color w:val="000000"/>
          <w:sz w:val="24"/>
          <w:szCs w:val="24"/>
          <w:highlight w:val="none"/>
          <w:u w:val="single"/>
        </w:rPr>
        <w:t>正本一份，副本五份</w:t>
      </w:r>
      <w:r>
        <w:rPr>
          <w:rFonts w:hint="eastAsia" w:ascii="仿宋_GB2312" w:hAnsi="宋体" w:eastAsia="仿宋_GB2312" w:cs="仿宋_GB2312"/>
          <w:color w:val="000000"/>
          <w:sz w:val="24"/>
          <w:szCs w:val="24"/>
          <w:highlight w:val="none"/>
        </w:rPr>
        <w:t>。具体内容为：</w:t>
      </w:r>
    </w:p>
    <w:p>
      <w:pPr>
        <w:adjustRightInd w:val="0"/>
        <w:snapToGrid w:val="0"/>
        <w:spacing w:line="520" w:lineRule="exact"/>
        <w:ind w:firstLine="480" w:firstLineChars="200"/>
        <w:rPr>
          <w:rFonts w:ascii="仿宋_GB2312" w:hAnsi="宋体" w:eastAsia="仿宋_GB2312" w:cs="仿宋_GB2312"/>
          <w:color w:val="000000"/>
          <w:sz w:val="24"/>
          <w:szCs w:val="24"/>
          <w:highlight w:val="none"/>
        </w:rPr>
      </w:pPr>
      <w:r>
        <w:rPr>
          <w:rFonts w:hint="eastAsia" w:ascii="仿宋_GB2312" w:hAnsi="宋体" w:eastAsia="仿宋_GB2312" w:cs="仿宋_GB2312"/>
          <w:color w:val="000000"/>
          <w:sz w:val="24"/>
          <w:szCs w:val="24"/>
          <w:highlight w:val="none"/>
        </w:rPr>
        <w:t>(1)报价一览表及报价明细清单；</w:t>
      </w:r>
    </w:p>
    <w:p>
      <w:pPr>
        <w:adjustRightInd w:val="0"/>
        <w:snapToGrid w:val="0"/>
        <w:spacing w:line="520" w:lineRule="exact"/>
        <w:ind w:firstLine="480" w:firstLineChars="200"/>
        <w:rPr>
          <w:rFonts w:ascii="仿宋_GB2312" w:hAnsi="宋体" w:eastAsia="仿宋_GB2312" w:cs="仿宋_GB2312"/>
          <w:color w:val="000000"/>
          <w:sz w:val="24"/>
          <w:szCs w:val="24"/>
          <w:highlight w:val="none"/>
        </w:rPr>
      </w:pPr>
      <w:r>
        <w:rPr>
          <w:rFonts w:hint="eastAsia" w:ascii="仿宋_GB2312" w:hAnsi="宋体" w:eastAsia="仿宋_GB2312" w:cs="仿宋_GB2312"/>
          <w:color w:val="000000"/>
          <w:sz w:val="24"/>
          <w:szCs w:val="24"/>
          <w:highlight w:val="none"/>
        </w:rPr>
        <w:t>(2)投标资信文件和技术文件；</w:t>
      </w:r>
    </w:p>
    <w:p>
      <w:pPr>
        <w:adjustRightInd w:val="0"/>
        <w:snapToGrid w:val="0"/>
        <w:spacing w:line="52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s="仿宋_GB2312"/>
          <w:color w:val="000000"/>
          <w:sz w:val="24"/>
          <w:szCs w:val="24"/>
          <w:highlight w:val="none"/>
        </w:rPr>
        <w:t>(3)</w:t>
      </w:r>
      <w:r>
        <w:rPr>
          <w:rFonts w:hint="eastAsia" w:ascii="仿宋_GB2312" w:hAnsi="宋体" w:eastAsia="仿宋_GB2312" w:cs="仿宋_GB2312"/>
          <w:color w:val="000000"/>
          <w:kern w:val="44"/>
          <w:sz w:val="24"/>
          <w:szCs w:val="24"/>
          <w:highlight w:val="none"/>
        </w:rPr>
        <w:t>编制和提交采购响应文件须知</w:t>
      </w:r>
      <w:r>
        <w:rPr>
          <w:rFonts w:hint="eastAsia" w:ascii="仿宋_GB2312" w:hAnsi="宋体" w:eastAsia="仿宋_GB2312" w:cs="仿宋_GB2312"/>
          <w:color w:val="000000"/>
          <w:sz w:val="24"/>
          <w:szCs w:val="24"/>
          <w:highlight w:val="none"/>
        </w:rPr>
        <w:t>要求投标人提交的全部文件；</w:t>
      </w:r>
    </w:p>
    <w:p>
      <w:pPr>
        <w:adjustRightInd w:val="0"/>
        <w:snapToGrid w:val="0"/>
        <w:spacing w:line="52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s="仿宋_GB2312"/>
          <w:color w:val="000000"/>
          <w:sz w:val="24"/>
          <w:szCs w:val="24"/>
          <w:highlight w:val="none"/>
        </w:rPr>
        <w:t>(4)按招标文件要求提供和交付的货物和服务的投标报价详见报价一览表；</w:t>
      </w:r>
    </w:p>
    <w:p>
      <w:pPr>
        <w:adjustRightInd w:val="0"/>
        <w:snapToGrid w:val="0"/>
        <w:spacing w:line="52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s="仿宋_GB2312"/>
          <w:color w:val="000000"/>
          <w:sz w:val="24"/>
          <w:szCs w:val="24"/>
          <w:highlight w:val="none"/>
        </w:rPr>
        <w:t>(5)保证忠实地执行双方所签订的合同，并承担合同规定的责任和义务；</w:t>
      </w:r>
    </w:p>
    <w:p>
      <w:pPr>
        <w:adjustRightInd w:val="0"/>
        <w:snapToGrid w:val="0"/>
        <w:spacing w:line="52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s="仿宋_GB2312"/>
          <w:color w:val="000000"/>
          <w:sz w:val="24"/>
          <w:szCs w:val="24"/>
          <w:highlight w:val="none"/>
        </w:rPr>
        <w:t>(6)保证遵守招标文件中的其他有关规定。</w:t>
      </w:r>
    </w:p>
    <w:p>
      <w:pPr>
        <w:adjustRightInd w:val="0"/>
        <w:snapToGrid w:val="0"/>
        <w:spacing w:line="52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s="仿宋_GB2312"/>
          <w:color w:val="000000"/>
          <w:sz w:val="24"/>
          <w:szCs w:val="24"/>
          <w:highlight w:val="none"/>
        </w:rPr>
        <w:t>4、我方完全理解贵方不一定要接受最低价的投标。</w:t>
      </w:r>
    </w:p>
    <w:p>
      <w:pPr>
        <w:adjustRightInd w:val="0"/>
        <w:snapToGrid w:val="0"/>
        <w:spacing w:line="52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s="仿宋_GB2312"/>
          <w:color w:val="000000"/>
          <w:sz w:val="24"/>
          <w:szCs w:val="24"/>
          <w:highlight w:val="none"/>
        </w:rPr>
        <w:t>5、我方愿意向贵方提供任何与该项投标有关的数据、情况和技术资料。若贵方需要，我方愿意提供我方作出的一切承诺的证明材料。</w:t>
      </w:r>
    </w:p>
    <w:p>
      <w:pPr>
        <w:pStyle w:val="21"/>
        <w:adjustRightInd w:val="0"/>
        <w:snapToGrid w:val="0"/>
        <w:spacing w:line="520" w:lineRule="exact"/>
        <w:ind w:right="-91" w:firstLine="460" w:firstLineChars="192"/>
        <w:rPr>
          <w:rFonts w:ascii="仿宋_GB2312" w:eastAsia="仿宋_GB2312"/>
          <w:color w:val="000000"/>
          <w:sz w:val="24"/>
          <w:szCs w:val="24"/>
          <w:highlight w:val="none"/>
        </w:rPr>
      </w:pPr>
      <w:r>
        <w:rPr>
          <w:rFonts w:hint="eastAsia" w:ascii="仿宋_GB2312" w:eastAsia="仿宋_GB2312" w:cs="仿宋_GB2312"/>
          <w:color w:val="000000"/>
          <w:sz w:val="24"/>
          <w:szCs w:val="24"/>
          <w:highlight w:val="none"/>
        </w:rPr>
        <w:t>6、我方已详细审核全部招标文件，包括招标文件修改书(如有的话)、参考资料及有关附件，确认无误，并完全清晰理解全部内容及相关的补充文件</w:t>
      </w:r>
      <w:r>
        <w:rPr>
          <w:rFonts w:hint="eastAsia" w:ascii="仿宋_GB2312" w:eastAsia="仿宋_GB2312" w:cs="仿宋_GB2312"/>
          <w:b/>
          <w:bCs/>
          <w:color w:val="000000"/>
          <w:sz w:val="24"/>
          <w:szCs w:val="24"/>
          <w:highlight w:val="none"/>
        </w:rPr>
        <w:t>（若有）</w:t>
      </w:r>
      <w:r>
        <w:rPr>
          <w:rFonts w:hint="eastAsia" w:ascii="仿宋_GB2312" w:eastAsia="仿宋_GB2312" w:cs="仿宋_GB2312"/>
          <w:color w:val="000000"/>
          <w:sz w:val="24"/>
          <w:szCs w:val="24"/>
          <w:highlight w:val="none"/>
        </w:rPr>
        <w:t>，不存在任何误解之处，同意放弃提出异议和质疑的权利。</w:t>
      </w:r>
    </w:p>
    <w:p>
      <w:pPr>
        <w:adjustRightInd w:val="0"/>
        <w:snapToGrid w:val="0"/>
        <w:spacing w:line="52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s="仿宋_GB2312"/>
          <w:color w:val="000000"/>
          <w:sz w:val="24"/>
          <w:szCs w:val="24"/>
          <w:highlight w:val="none"/>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52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s="仿宋_GB2312"/>
          <w:color w:val="000000"/>
          <w:sz w:val="24"/>
          <w:szCs w:val="24"/>
          <w:highlight w:val="none"/>
        </w:rPr>
        <w:t>a)提供虚假材料谋取中标、成交的；</w:t>
      </w:r>
    </w:p>
    <w:p>
      <w:pPr>
        <w:adjustRightInd w:val="0"/>
        <w:snapToGrid w:val="0"/>
        <w:spacing w:line="52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s="仿宋_GB2312"/>
          <w:color w:val="000000"/>
          <w:sz w:val="24"/>
          <w:szCs w:val="24"/>
          <w:highlight w:val="none"/>
        </w:rPr>
        <w:t>b)采取不正当手段诋毁、排挤其他供应商的；</w:t>
      </w:r>
    </w:p>
    <w:p>
      <w:pPr>
        <w:adjustRightInd w:val="0"/>
        <w:snapToGrid w:val="0"/>
        <w:spacing w:line="52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s="仿宋_GB2312"/>
          <w:color w:val="000000"/>
          <w:sz w:val="24"/>
          <w:szCs w:val="24"/>
          <w:highlight w:val="none"/>
        </w:rPr>
        <w:t>c)与采购人、其它供应商或者采购代理机构恶意串通的；</w:t>
      </w:r>
    </w:p>
    <w:p>
      <w:pPr>
        <w:adjustRightInd w:val="0"/>
        <w:snapToGrid w:val="0"/>
        <w:spacing w:line="52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s="仿宋_GB2312"/>
          <w:color w:val="000000"/>
          <w:sz w:val="24"/>
          <w:szCs w:val="24"/>
          <w:highlight w:val="none"/>
        </w:rPr>
        <w:t>d)向采购人、采购代理机构行贿或者提供其他不正当利益的；</w:t>
      </w:r>
    </w:p>
    <w:p>
      <w:pPr>
        <w:adjustRightInd w:val="0"/>
        <w:snapToGrid w:val="0"/>
        <w:spacing w:line="52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s="仿宋_GB2312"/>
          <w:color w:val="000000"/>
          <w:sz w:val="24"/>
          <w:szCs w:val="24"/>
          <w:highlight w:val="none"/>
        </w:rPr>
        <w:t>e)在招标采购过程中与采购人进行协商投标的；</w:t>
      </w:r>
    </w:p>
    <w:p>
      <w:pPr>
        <w:adjustRightInd w:val="0"/>
        <w:snapToGrid w:val="0"/>
        <w:spacing w:line="52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s="仿宋_GB2312"/>
          <w:color w:val="000000"/>
          <w:sz w:val="24"/>
          <w:szCs w:val="24"/>
          <w:highlight w:val="none"/>
        </w:rPr>
        <w:t>f)拒绝有关部门监督检查或提供虚假情况的。</w:t>
      </w:r>
    </w:p>
    <w:p>
      <w:pPr>
        <w:adjustRightInd w:val="0"/>
        <w:snapToGrid w:val="0"/>
        <w:spacing w:line="52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s="仿宋_GB2312"/>
          <w:color w:val="000000"/>
          <w:sz w:val="24"/>
          <w:szCs w:val="24"/>
          <w:highlight w:val="none"/>
        </w:rPr>
        <w:t>供应商有前款第a)至e)项情形之一的，中标、成交无效。</w:t>
      </w:r>
    </w:p>
    <w:p>
      <w:pPr>
        <w:adjustRightInd w:val="0"/>
        <w:snapToGrid w:val="0"/>
        <w:spacing w:line="520" w:lineRule="exact"/>
        <w:rPr>
          <w:rFonts w:ascii="仿宋_GB2312" w:hAnsi="宋体" w:eastAsia="仿宋_GB2312"/>
          <w:color w:val="000000"/>
          <w:kern w:val="0"/>
          <w:sz w:val="24"/>
          <w:szCs w:val="24"/>
          <w:highlight w:val="none"/>
        </w:rPr>
      </w:pPr>
      <w:r>
        <w:rPr>
          <w:rFonts w:hint="eastAsia" w:ascii="仿宋_GB2312" w:hAnsi="宋体" w:eastAsia="仿宋_GB2312" w:cs="仿宋_GB2312"/>
          <w:color w:val="000000"/>
          <w:kern w:val="0"/>
          <w:sz w:val="24"/>
          <w:szCs w:val="24"/>
          <w:highlight w:val="none"/>
          <w:lang w:val="zh-CN"/>
        </w:rPr>
        <w:t xml:space="preserve">法人代表签字：  </w:t>
      </w:r>
      <w:r>
        <w:rPr>
          <w:rFonts w:hint="eastAsia" w:ascii="仿宋_GB2312" w:hAnsi="宋体" w:eastAsia="仿宋_GB2312"/>
          <w:color w:val="000000"/>
          <w:kern w:val="0"/>
          <w:sz w:val="24"/>
          <w:szCs w:val="24"/>
          <w:highlight w:val="none"/>
        </w:rPr>
        <w:tab/>
      </w:r>
    </w:p>
    <w:p>
      <w:pPr>
        <w:adjustRightInd w:val="0"/>
        <w:snapToGrid w:val="0"/>
        <w:spacing w:line="520" w:lineRule="exact"/>
        <w:rPr>
          <w:rFonts w:ascii="仿宋_GB2312" w:hAnsi="宋体" w:eastAsia="仿宋_GB2312" w:cs="仿宋_GB2312"/>
          <w:color w:val="000000"/>
          <w:kern w:val="0"/>
          <w:sz w:val="24"/>
          <w:szCs w:val="24"/>
          <w:highlight w:val="none"/>
          <w:u w:val="single"/>
          <w:lang w:val="zh-CN"/>
        </w:rPr>
      </w:pPr>
      <w:r>
        <w:rPr>
          <w:rFonts w:hint="eastAsia" w:ascii="仿宋_GB2312" w:hAnsi="宋体" w:eastAsia="仿宋_GB2312" w:cs="仿宋_GB2312"/>
          <w:color w:val="000000"/>
          <w:kern w:val="0"/>
          <w:sz w:val="24"/>
          <w:szCs w:val="24"/>
          <w:highlight w:val="none"/>
          <w:lang w:val="zh-CN"/>
        </w:rPr>
        <w:t>授权委托人签字：</w:t>
      </w:r>
    </w:p>
    <w:p>
      <w:pPr>
        <w:adjustRightInd w:val="0"/>
        <w:snapToGrid w:val="0"/>
        <w:spacing w:line="520" w:lineRule="exact"/>
        <w:rPr>
          <w:rFonts w:ascii="仿宋_GB2312" w:hAnsi="宋体" w:eastAsia="仿宋_GB2312" w:cs="仿宋_GB2312"/>
          <w:color w:val="000000"/>
          <w:kern w:val="0"/>
          <w:sz w:val="24"/>
          <w:szCs w:val="24"/>
          <w:highlight w:val="none"/>
          <w:u w:val="single"/>
          <w:lang w:val="zh-CN"/>
        </w:rPr>
      </w:pPr>
      <w:r>
        <w:rPr>
          <w:rFonts w:hint="eastAsia" w:ascii="仿宋_GB2312" w:hAnsi="宋体" w:eastAsia="仿宋_GB2312" w:cs="仿宋_GB2312"/>
          <w:color w:val="000000"/>
          <w:kern w:val="0"/>
          <w:sz w:val="24"/>
          <w:szCs w:val="24"/>
          <w:highlight w:val="none"/>
          <w:lang w:val="zh-CN"/>
        </w:rPr>
        <w:t xml:space="preserve">公 司 盖 章：  </w:t>
      </w:r>
    </w:p>
    <w:p>
      <w:pPr>
        <w:adjustRightInd w:val="0"/>
        <w:snapToGrid w:val="0"/>
        <w:spacing w:line="520" w:lineRule="exact"/>
        <w:rPr>
          <w:rFonts w:ascii="仿宋_GB2312" w:hAnsi="宋体" w:eastAsia="仿宋_GB2312"/>
          <w:color w:val="000000"/>
          <w:kern w:val="0"/>
          <w:sz w:val="24"/>
          <w:szCs w:val="24"/>
          <w:highlight w:val="none"/>
        </w:rPr>
      </w:pPr>
      <w:r>
        <w:rPr>
          <w:rFonts w:hint="eastAsia" w:ascii="仿宋_GB2312" w:hAnsi="宋体" w:eastAsia="仿宋_GB2312" w:cs="仿宋_GB2312"/>
          <w:color w:val="000000"/>
          <w:kern w:val="0"/>
          <w:sz w:val="24"/>
          <w:szCs w:val="24"/>
          <w:highlight w:val="none"/>
          <w:lang w:val="zh-CN"/>
        </w:rPr>
        <w:t xml:space="preserve">联系人：联系电话： </w:t>
      </w:r>
    </w:p>
    <w:p>
      <w:pPr>
        <w:adjustRightInd w:val="0"/>
        <w:snapToGrid w:val="0"/>
        <w:spacing w:line="520" w:lineRule="exact"/>
        <w:rPr>
          <w:rFonts w:ascii="仿宋_GB2312" w:hAnsi="宋体" w:eastAsia="仿宋_GB2312"/>
          <w:color w:val="000000"/>
          <w:kern w:val="0"/>
          <w:sz w:val="24"/>
          <w:szCs w:val="24"/>
          <w:highlight w:val="none"/>
        </w:rPr>
      </w:pPr>
      <w:r>
        <w:rPr>
          <w:rFonts w:hint="eastAsia" w:ascii="仿宋_GB2312" w:hAnsi="宋体" w:eastAsia="仿宋_GB2312" w:cs="仿宋_GB2312"/>
          <w:color w:val="000000"/>
          <w:kern w:val="0"/>
          <w:sz w:val="24"/>
          <w:szCs w:val="24"/>
          <w:highlight w:val="none"/>
          <w:lang w:val="zh-CN"/>
        </w:rPr>
        <w:t>联系地址：</w:t>
      </w:r>
    </w:p>
    <w:p>
      <w:pPr>
        <w:adjustRightInd w:val="0"/>
        <w:snapToGrid w:val="0"/>
        <w:spacing w:line="520" w:lineRule="exact"/>
        <w:rPr>
          <w:rFonts w:ascii="仿宋_GB2312" w:hAnsi="宋体" w:eastAsia="仿宋_GB2312"/>
          <w:color w:val="000000"/>
          <w:kern w:val="0"/>
          <w:sz w:val="24"/>
          <w:szCs w:val="24"/>
          <w:highlight w:val="none"/>
        </w:rPr>
      </w:pPr>
      <w:r>
        <w:rPr>
          <w:rFonts w:hint="eastAsia" w:ascii="仿宋_GB2312" w:hAnsi="宋体" w:eastAsia="仿宋_GB2312" w:cs="仿宋_GB2312"/>
          <w:color w:val="000000"/>
          <w:kern w:val="0"/>
          <w:sz w:val="24"/>
          <w:szCs w:val="24"/>
          <w:highlight w:val="none"/>
          <w:lang w:val="zh-CN"/>
        </w:rPr>
        <w:t>邮政编码：传真号码：</w:t>
      </w:r>
    </w:p>
    <w:p>
      <w:pPr>
        <w:adjustRightInd w:val="0"/>
        <w:snapToGrid w:val="0"/>
        <w:spacing w:line="520" w:lineRule="exact"/>
        <w:rPr>
          <w:rFonts w:ascii="仿宋_GB2312" w:hAnsi="宋体" w:eastAsia="仿宋_GB2312"/>
          <w:color w:val="000000"/>
          <w:kern w:val="0"/>
          <w:sz w:val="24"/>
          <w:szCs w:val="24"/>
          <w:highlight w:val="none"/>
          <w:u w:val="single"/>
        </w:rPr>
      </w:pPr>
      <w:r>
        <w:rPr>
          <w:rFonts w:hint="eastAsia" w:ascii="仿宋_GB2312" w:hAnsi="宋体" w:eastAsia="仿宋_GB2312" w:cs="仿宋_GB2312"/>
          <w:color w:val="000000"/>
          <w:kern w:val="0"/>
          <w:sz w:val="24"/>
          <w:szCs w:val="24"/>
          <w:highlight w:val="none"/>
          <w:lang w:val="zh-CN"/>
        </w:rPr>
        <w:t>日期</w:t>
      </w:r>
      <w:r>
        <w:rPr>
          <w:rFonts w:hint="eastAsia" w:ascii="仿宋_GB2312" w:hAnsi="宋体" w:eastAsia="仿宋_GB2312" w:cs="仿宋_GB2312"/>
          <w:color w:val="000000"/>
          <w:kern w:val="0"/>
          <w:sz w:val="24"/>
          <w:szCs w:val="24"/>
          <w:highlight w:val="none"/>
        </w:rPr>
        <w:t xml:space="preserve">： </w:t>
      </w:r>
      <w:r>
        <w:rPr>
          <w:rFonts w:hint="eastAsia" w:ascii="仿宋_GB2312" w:hAnsi="宋体" w:eastAsia="仿宋_GB2312" w:cs="仿宋_GB2312"/>
          <w:color w:val="000000"/>
          <w:kern w:val="0"/>
          <w:sz w:val="24"/>
          <w:szCs w:val="24"/>
          <w:highlight w:val="none"/>
          <w:lang w:val="zh-CN"/>
        </w:rPr>
        <w:t>年</w:t>
      </w:r>
      <w:r>
        <w:rPr>
          <w:rFonts w:hint="eastAsia" w:ascii="仿宋_GB2312" w:hAnsi="宋体" w:eastAsia="仿宋_GB2312" w:cs="仿宋_GB2312"/>
          <w:color w:val="000000"/>
          <w:kern w:val="0"/>
          <w:sz w:val="24"/>
          <w:szCs w:val="24"/>
          <w:highlight w:val="none"/>
          <w:u w:val="single"/>
        </w:rPr>
        <w:tab/>
      </w:r>
      <w:r>
        <w:rPr>
          <w:rFonts w:hint="eastAsia" w:ascii="仿宋_GB2312" w:hAnsi="宋体" w:eastAsia="仿宋_GB2312" w:cs="仿宋_GB2312"/>
          <w:color w:val="000000"/>
          <w:kern w:val="0"/>
          <w:sz w:val="24"/>
          <w:szCs w:val="24"/>
          <w:highlight w:val="none"/>
          <w:lang w:val="zh-CN"/>
        </w:rPr>
        <w:t>月日</w:t>
      </w:r>
    </w:p>
    <w:p>
      <w:pPr>
        <w:adjustRightInd w:val="0"/>
        <w:snapToGrid w:val="0"/>
        <w:spacing w:line="520" w:lineRule="exact"/>
        <w:rPr>
          <w:rFonts w:ascii="仿宋_GB2312" w:hAnsi="宋体" w:eastAsia="仿宋_GB2312" w:cs="仿宋_GB2312"/>
          <w:b/>
          <w:bCs/>
          <w:color w:val="000000"/>
          <w:kern w:val="0"/>
          <w:sz w:val="24"/>
          <w:szCs w:val="24"/>
          <w:highlight w:val="none"/>
          <w:lang w:val="zh-CN"/>
        </w:rPr>
      </w:pPr>
      <w:r>
        <w:rPr>
          <w:rFonts w:hint="eastAsia" w:ascii="仿宋_GB2312" w:hAnsi="宋体" w:eastAsia="仿宋_GB2312" w:cs="仿宋_GB2312"/>
          <w:b/>
          <w:bCs/>
          <w:color w:val="000000"/>
          <w:kern w:val="0"/>
          <w:sz w:val="24"/>
          <w:szCs w:val="24"/>
          <w:highlight w:val="none"/>
          <w:lang w:val="zh-CN"/>
        </w:rPr>
        <w:t>注：未按照本投标响应函要求填报的将被视为非实质性响应投标，从而可能导致该投标被拒绝。</w:t>
      </w:r>
    </w:p>
    <w:p>
      <w:pPr>
        <w:adjustRightInd w:val="0"/>
        <w:snapToGrid w:val="0"/>
        <w:spacing w:line="520" w:lineRule="exact"/>
        <w:rPr>
          <w:rFonts w:ascii="仿宋_GB2312" w:hAnsi="宋体" w:eastAsia="仿宋_GB2312" w:cs="仿宋_GB2312"/>
          <w:b/>
          <w:bCs/>
          <w:color w:val="000000"/>
          <w:kern w:val="0"/>
          <w:sz w:val="24"/>
          <w:szCs w:val="24"/>
          <w:highlight w:val="none"/>
          <w:lang w:val="zh-CN"/>
        </w:rPr>
      </w:pPr>
    </w:p>
    <w:p>
      <w:pPr>
        <w:pStyle w:val="186"/>
        <w:keepNext w:val="0"/>
        <w:pageBreakBefore w:val="0"/>
        <w:tabs>
          <w:tab w:val="left" w:pos="420"/>
        </w:tabs>
        <w:adjustRightInd w:val="0"/>
        <w:snapToGrid w:val="0"/>
        <w:spacing w:line="560" w:lineRule="exact"/>
        <w:outlineLvl w:val="1"/>
        <w:rPr>
          <w:rFonts w:ascii="仿宋_GB2312" w:hAnsi="宋体" w:eastAsia="仿宋_GB2312" w:cs="仿宋_GB2312"/>
          <w:color w:val="000000"/>
          <w:kern w:val="2"/>
          <w:sz w:val="32"/>
          <w:szCs w:val="32"/>
          <w:highlight w:val="none"/>
        </w:rPr>
      </w:pPr>
      <w:r>
        <w:rPr>
          <w:rFonts w:hint="eastAsia" w:ascii="仿宋_GB2312" w:hAnsi="宋体" w:eastAsia="仿宋_GB2312" w:cs="仿宋_GB2312"/>
          <w:color w:val="000000"/>
          <w:kern w:val="2"/>
          <w:sz w:val="32"/>
          <w:szCs w:val="32"/>
          <w:highlight w:val="none"/>
        </w:rPr>
        <w:t>二、商务报价一览表</w:t>
      </w:r>
    </w:p>
    <w:p>
      <w:pPr>
        <w:adjustRightInd w:val="0"/>
        <w:snapToGrid w:val="0"/>
        <w:spacing w:line="560" w:lineRule="exact"/>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lang w:val="zh-CN"/>
        </w:rPr>
        <w:t>杭州市江干区四季青街道社区卫生服务中心、杭州市公共资源交易中心江干分中心：</w:t>
      </w:r>
    </w:p>
    <w:p>
      <w:pPr>
        <w:adjustRightInd w:val="0"/>
        <w:snapToGrid w:val="0"/>
        <w:spacing w:line="560" w:lineRule="exact"/>
        <w:ind w:firstLine="480" w:firstLineChars="200"/>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lang w:val="zh-CN"/>
        </w:rPr>
        <w:t>按你方招标文件要求，我们，本标书签字方，谨此向你方发出要约如下：如你方接受本投标，我方承诺按照如下商务报价一览表的价</w:t>
      </w:r>
      <w:r>
        <w:rPr>
          <w:rFonts w:hint="eastAsia" w:ascii="仿宋_GB2312" w:hAnsi="宋体" w:eastAsia="仿宋_GB2312" w:cs="仿宋_GB2312"/>
          <w:color w:val="000000"/>
          <w:kern w:val="0"/>
          <w:sz w:val="24"/>
          <w:szCs w:val="24"/>
          <w:highlight w:val="none"/>
          <w:lang w:val="zh-CN"/>
        </w:rPr>
        <w:t>格完成编号为JGCG2019-GK-16</w:t>
      </w:r>
      <w:r>
        <w:rPr>
          <w:rFonts w:hint="eastAsia" w:ascii="仿宋_GB2312" w:hAnsi="宋体" w:eastAsia="仿宋_GB2312" w:cs="仿宋_GB2312"/>
          <w:kern w:val="0"/>
          <w:sz w:val="24"/>
          <w:szCs w:val="24"/>
          <w:highlight w:val="none"/>
          <w:lang w:val="zh-CN"/>
        </w:rPr>
        <w:t>的招标文件[项目名称：杭州市江干区全科医生技能培训中心建设项目]的实施。</w:t>
      </w:r>
    </w:p>
    <w:tbl>
      <w:tblPr>
        <w:tblStyle w:val="49"/>
        <w:tblW w:w="8338" w:type="dxa"/>
        <w:jc w:val="center"/>
        <w:tblInd w:w="15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46"/>
        <w:gridCol w:w="2620"/>
        <w:gridCol w:w="2551"/>
        <w:gridCol w:w="152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0" w:hRule="atLeast"/>
          <w:tblHeader/>
          <w:jc w:val="center"/>
        </w:trPr>
        <w:tc>
          <w:tcPr>
            <w:tcW w:w="4266"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仿宋_GB2312" w:hAnsi="宋体" w:eastAsia="仿宋_GB2312" w:cs="仿宋_GB2312"/>
                <w:b/>
                <w:bCs/>
                <w:color w:val="000000"/>
                <w:sz w:val="24"/>
                <w:szCs w:val="24"/>
                <w:highlight w:val="none"/>
                <w:lang w:val="en-GB"/>
              </w:rPr>
            </w:pPr>
            <w:r>
              <w:rPr>
                <w:rFonts w:hint="eastAsia" w:ascii="仿宋_GB2312" w:hAnsi="宋体" w:eastAsia="仿宋_GB2312" w:cs="仿宋_GB2312"/>
                <w:b/>
                <w:bCs/>
                <w:color w:val="000000"/>
                <w:sz w:val="24"/>
                <w:szCs w:val="24"/>
                <w:highlight w:val="none"/>
                <w:lang w:val="en-GB"/>
              </w:rPr>
              <w:t>项目名称</w:t>
            </w:r>
          </w:p>
        </w:tc>
        <w:tc>
          <w:tcPr>
            <w:tcW w:w="2551" w:type="dxa"/>
            <w:tcBorders>
              <w:top w:val="single" w:color="auto" w:sz="4" w:space="0"/>
              <w:left w:val="single" w:color="auto" w:sz="4" w:space="0"/>
              <w:bottom w:val="single" w:color="auto" w:sz="6" w:space="0"/>
              <w:right w:val="single" w:color="auto" w:sz="6" w:space="0"/>
            </w:tcBorders>
            <w:vAlign w:val="center"/>
          </w:tcPr>
          <w:p>
            <w:pPr>
              <w:jc w:val="center"/>
              <w:rPr>
                <w:rFonts w:ascii="仿宋_GB2312" w:hAnsi="宋体" w:eastAsia="仿宋_GB2312" w:cs="仿宋_GB2312"/>
                <w:b/>
                <w:bCs/>
                <w:color w:val="000000"/>
                <w:sz w:val="24"/>
                <w:szCs w:val="24"/>
                <w:highlight w:val="none"/>
                <w:lang w:val="en-GB"/>
              </w:rPr>
            </w:pPr>
            <w:r>
              <w:rPr>
                <w:rFonts w:hint="eastAsia" w:ascii="仿宋_GB2312" w:hAnsi="宋体" w:eastAsia="仿宋_GB2312" w:cs="仿宋_GB2312"/>
                <w:b/>
                <w:bCs/>
                <w:color w:val="000000"/>
                <w:sz w:val="24"/>
                <w:szCs w:val="24"/>
                <w:highlight w:val="none"/>
                <w:lang w:val="en-GB"/>
              </w:rPr>
              <w:t>项目完成时间</w:t>
            </w:r>
          </w:p>
        </w:tc>
        <w:tc>
          <w:tcPr>
            <w:tcW w:w="1521" w:type="dxa"/>
            <w:tcBorders>
              <w:top w:val="single" w:color="auto" w:sz="4" w:space="0"/>
              <w:left w:val="single" w:color="auto" w:sz="6" w:space="0"/>
              <w:bottom w:val="single" w:color="auto" w:sz="6" w:space="0"/>
              <w:right w:val="single" w:color="auto" w:sz="4" w:space="0"/>
            </w:tcBorders>
            <w:vAlign w:val="center"/>
          </w:tcPr>
          <w:p>
            <w:pPr>
              <w:jc w:val="center"/>
              <w:rPr>
                <w:rFonts w:ascii="仿宋_GB2312" w:hAnsi="宋体" w:eastAsia="仿宋_GB2312" w:cs="仿宋_GB2312"/>
                <w:b/>
                <w:bCs/>
                <w:color w:val="000000"/>
                <w:sz w:val="24"/>
                <w:szCs w:val="24"/>
                <w:highlight w:val="none"/>
                <w:lang w:val="en-GB"/>
              </w:rPr>
            </w:pPr>
            <w:r>
              <w:rPr>
                <w:rFonts w:hint="eastAsia" w:ascii="仿宋_GB2312" w:hAnsi="宋体" w:eastAsia="仿宋_GB2312" w:cs="仿宋_GB2312"/>
                <w:b/>
                <w:bCs/>
                <w:color w:val="000000"/>
                <w:sz w:val="24"/>
                <w:szCs w:val="24"/>
                <w:highlight w:val="none"/>
                <w:lang w:val="en-G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9" w:hRule="atLeast"/>
          <w:jc w:val="center"/>
        </w:trPr>
        <w:tc>
          <w:tcPr>
            <w:tcW w:w="42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b/>
                <w:bCs/>
                <w:color w:val="000000"/>
                <w:sz w:val="24"/>
                <w:szCs w:val="24"/>
                <w:highlight w:val="none"/>
                <w:lang w:val="en-GB"/>
              </w:rPr>
            </w:pPr>
          </w:p>
        </w:tc>
        <w:tc>
          <w:tcPr>
            <w:tcW w:w="2551" w:type="dxa"/>
            <w:tcBorders>
              <w:top w:val="single" w:color="auto" w:sz="4" w:space="0"/>
              <w:left w:val="single" w:color="auto" w:sz="4" w:space="0"/>
              <w:bottom w:val="single" w:color="auto" w:sz="4" w:space="0"/>
              <w:right w:val="single" w:color="auto" w:sz="6" w:space="0"/>
            </w:tcBorders>
            <w:vAlign w:val="center"/>
          </w:tcPr>
          <w:p>
            <w:pPr>
              <w:jc w:val="center"/>
              <w:rPr>
                <w:rFonts w:ascii="仿宋_GB2312" w:hAnsi="宋体" w:eastAsia="仿宋_GB2312" w:cs="仿宋_GB2312"/>
                <w:b/>
                <w:bCs/>
                <w:color w:val="000000"/>
                <w:sz w:val="24"/>
                <w:szCs w:val="24"/>
                <w:highlight w:val="none"/>
                <w:lang w:val="en-GB"/>
              </w:rPr>
            </w:pPr>
          </w:p>
        </w:tc>
        <w:tc>
          <w:tcPr>
            <w:tcW w:w="1521" w:type="dxa"/>
            <w:tcBorders>
              <w:top w:val="single" w:color="auto" w:sz="6" w:space="0"/>
              <w:left w:val="single" w:color="auto" w:sz="6" w:space="0"/>
              <w:bottom w:val="single" w:color="auto" w:sz="6" w:space="0"/>
              <w:right w:val="single" w:color="auto" w:sz="4" w:space="0"/>
            </w:tcBorders>
            <w:vAlign w:val="center"/>
          </w:tcPr>
          <w:p>
            <w:pPr>
              <w:jc w:val="center"/>
              <w:rPr>
                <w:rFonts w:ascii="仿宋_GB2312" w:hAnsi="宋体" w:eastAsia="仿宋_GB2312" w:cs="仿宋_GB2312"/>
                <w:b/>
                <w:bCs/>
                <w:color w:val="000000"/>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2" w:hRule="atLeast"/>
          <w:jc w:val="center"/>
        </w:trPr>
        <w:tc>
          <w:tcPr>
            <w:tcW w:w="1646"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仿宋_GB2312"/>
                <w:b/>
                <w:bCs/>
                <w:color w:val="000000"/>
                <w:sz w:val="24"/>
                <w:szCs w:val="24"/>
                <w:highlight w:val="none"/>
                <w:lang w:val="en-GB"/>
              </w:rPr>
            </w:pPr>
            <w:r>
              <w:rPr>
                <w:rFonts w:hint="eastAsia" w:ascii="仿宋_GB2312" w:hAnsi="宋体" w:eastAsia="仿宋_GB2312" w:cs="仿宋_GB2312"/>
                <w:b/>
                <w:bCs/>
                <w:color w:val="000000"/>
                <w:sz w:val="24"/>
                <w:szCs w:val="24"/>
                <w:highlight w:val="none"/>
                <w:lang w:val="en-GB"/>
              </w:rPr>
              <w:t>总价</w:t>
            </w:r>
          </w:p>
        </w:tc>
        <w:tc>
          <w:tcPr>
            <w:tcW w:w="6692" w:type="dxa"/>
            <w:gridSpan w:val="3"/>
            <w:tcBorders>
              <w:top w:val="single" w:color="auto" w:sz="4" w:space="0"/>
              <w:left w:val="single" w:color="auto" w:sz="4" w:space="0"/>
              <w:bottom w:val="single" w:color="auto" w:sz="4" w:space="0"/>
            </w:tcBorders>
            <w:vAlign w:val="center"/>
          </w:tcPr>
          <w:p>
            <w:pPr>
              <w:rPr>
                <w:rFonts w:ascii="仿宋_GB2312" w:hAnsi="宋体" w:eastAsia="仿宋_GB2312" w:cs="仿宋_GB2312"/>
                <w:b/>
                <w:bCs/>
                <w:color w:val="000000"/>
                <w:sz w:val="24"/>
                <w:szCs w:val="24"/>
                <w:highlight w:val="none"/>
                <w:lang w:val="en-GB"/>
              </w:rPr>
            </w:pPr>
            <w:r>
              <w:rPr>
                <w:rFonts w:hint="eastAsia" w:ascii="仿宋_GB2312" w:hAnsi="宋体" w:eastAsia="仿宋_GB2312" w:cs="仿宋_GB2312"/>
                <w:b/>
                <w:bCs/>
                <w:color w:val="000000"/>
                <w:sz w:val="24"/>
                <w:szCs w:val="24"/>
                <w:highlight w:val="none"/>
                <w:lang w:val="en-GB"/>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3" w:hRule="atLeast"/>
          <w:jc w:val="center"/>
        </w:trPr>
        <w:tc>
          <w:tcPr>
            <w:tcW w:w="1646"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仿宋_GB2312"/>
                <w:b/>
                <w:bCs/>
                <w:color w:val="000000"/>
                <w:sz w:val="24"/>
                <w:szCs w:val="24"/>
                <w:highlight w:val="none"/>
                <w:lang w:val="en-GB"/>
              </w:rPr>
            </w:pPr>
          </w:p>
        </w:tc>
        <w:tc>
          <w:tcPr>
            <w:tcW w:w="6692" w:type="dxa"/>
            <w:gridSpan w:val="3"/>
            <w:tcBorders>
              <w:top w:val="single" w:color="auto" w:sz="4" w:space="0"/>
              <w:left w:val="single" w:color="auto" w:sz="4" w:space="0"/>
              <w:bottom w:val="single" w:color="auto" w:sz="4" w:space="0"/>
            </w:tcBorders>
            <w:vAlign w:val="center"/>
          </w:tcPr>
          <w:p>
            <w:pPr>
              <w:rPr>
                <w:rFonts w:ascii="仿宋_GB2312" w:hAnsi="宋体" w:eastAsia="仿宋_GB2312" w:cs="仿宋_GB2312"/>
                <w:b/>
                <w:bCs/>
                <w:color w:val="000000"/>
                <w:sz w:val="24"/>
                <w:szCs w:val="24"/>
                <w:highlight w:val="none"/>
                <w:lang w:val="en-GB"/>
              </w:rPr>
            </w:pPr>
            <w:r>
              <w:rPr>
                <w:rFonts w:hint="eastAsia" w:ascii="仿宋_GB2312" w:hAnsi="宋体" w:eastAsia="仿宋_GB2312" w:cs="仿宋_GB2312"/>
                <w:b/>
                <w:bCs/>
                <w:color w:val="000000"/>
                <w:sz w:val="24"/>
                <w:szCs w:val="24"/>
                <w:highlight w:val="none"/>
                <w:lang w:val="en-GB"/>
              </w:rPr>
              <w:t>大写：</w:t>
            </w:r>
          </w:p>
        </w:tc>
      </w:tr>
    </w:tbl>
    <w:p>
      <w:pPr>
        <w:adjustRightInd w:val="0"/>
        <w:snapToGrid w:val="0"/>
        <w:spacing w:before="240" w:line="360" w:lineRule="auto"/>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lang w:val="zh-CN"/>
        </w:rPr>
        <w:t>注: 1、报价一经涂改，应在涂改处加盖单位公章或者由法定代表人签字，否则其投标作无效标处理。</w:t>
      </w:r>
    </w:p>
    <w:p>
      <w:pPr>
        <w:adjustRightInd w:val="0"/>
        <w:snapToGrid w:val="0"/>
        <w:spacing w:line="360" w:lineRule="auto"/>
        <w:ind w:firstLine="482" w:firstLineChars="200"/>
        <w:rPr>
          <w:rFonts w:ascii="仿宋_GB2312" w:hAnsi="宋体" w:eastAsia="仿宋_GB2312" w:cs="仿宋_GB2312"/>
          <w:b/>
          <w:color w:val="FF0000"/>
          <w:kern w:val="0"/>
          <w:sz w:val="24"/>
          <w:szCs w:val="24"/>
          <w:highlight w:val="none"/>
          <w:lang w:val="zh-CN"/>
        </w:rPr>
      </w:pPr>
      <w:r>
        <w:rPr>
          <w:rFonts w:hint="eastAsia" w:ascii="仿宋_GB2312" w:hAnsi="宋体" w:eastAsia="仿宋_GB2312" w:cs="仿宋_GB2312"/>
          <w:b/>
          <w:color w:val="FF0000"/>
          <w:kern w:val="0"/>
          <w:sz w:val="24"/>
          <w:szCs w:val="24"/>
          <w:highlight w:val="none"/>
        </w:rPr>
        <w:t>2</w:t>
      </w:r>
      <w:r>
        <w:rPr>
          <w:rFonts w:hint="eastAsia" w:ascii="仿宋_GB2312" w:hAnsi="宋体" w:eastAsia="仿宋_GB2312" w:cs="仿宋_GB2312"/>
          <w:b/>
          <w:color w:val="FF0000"/>
          <w:kern w:val="0"/>
          <w:sz w:val="24"/>
          <w:szCs w:val="24"/>
          <w:highlight w:val="none"/>
          <w:lang w:val="zh-CN"/>
        </w:rPr>
        <w:t>、本投标报价为一次性报价，过程中不再调整。</w:t>
      </w:r>
    </w:p>
    <w:p>
      <w:pPr>
        <w:adjustRightInd w:val="0"/>
        <w:snapToGrid w:val="0"/>
        <w:spacing w:line="360" w:lineRule="auto"/>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rPr>
        <w:t xml:space="preserve">    3</w:t>
      </w:r>
      <w:r>
        <w:rPr>
          <w:rFonts w:hint="eastAsia" w:ascii="仿宋_GB2312" w:hAnsi="宋体" w:eastAsia="仿宋_GB2312" w:cs="仿宋_GB2312"/>
          <w:kern w:val="0"/>
          <w:sz w:val="24"/>
          <w:szCs w:val="24"/>
          <w:highlight w:val="none"/>
          <w:lang w:val="zh-CN"/>
        </w:rPr>
        <w:t>、本投标文件及其所附文件涵盖了我方要约的全部内容。</w:t>
      </w:r>
    </w:p>
    <w:p>
      <w:pPr>
        <w:adjustRightInd w:val="0"/>
        <w:snapToGrid w:val="0"/>
        <w:spacing w:line="360" w:lineRule="auto"/>
        <w:ind w:firstLine="480"/>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lang w:val="zh-CN"/>
        </w:rPr>
        <w:t>(1)我方要约有效期为自应标截止日起90天；</w:t>
      </w:r>
    </w:p>
    <w:p>
      <w:pPr>
        <w:adjustRightInd w:val="0"/>
        <w:snapToGrid w:val="0"/>
        <w:spacing w:line="360" w:lineRule="auto"/>
        <w:ind w:firstLine="480"/>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lang w:val="zh-CN"/>
        </w:rPr>
        <w:t>(2)我方同意标期可作延长；</w:t>
      </w:r>
    </w:p>
    <w:p>
      <w:pPr>
        <w:adjustRightInd w:val="0"/>
        <w:snapToGrid w:val="0"/>
        <w:spacing w:line="360" w:lineRule="auto"/>
        <w:ind w:firstLine="480"/>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lang w:val="zh-CN"/>
        </w:rPr>
        <w:t>(3)在标期内，我方受投标文件之价目表上我方要约金额的约束。</w:t>
      </w:r>
    </w:p>
    <w:p>
      <w:pPr>
        <w:adjustRightInd w:val="0"/>
        <w:snapToGrid w:val="0"/>
        <w:spacing w:line="360" w:lineRule="auto"/>
        <w:ind w:firstLine="480"/>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rPr>
        <w:t>4</w:t>
      </w:r>
      <w:r>
        <w:rPr>
          <w:rFonts w:hint="eastAsia" w:ascii="仿宋_GB2312" w:hAnsi="宋体" w:eastAsia="仿宋_GB2312" w:cs="仿宋_GB2312"/>
          <w:kern w:val="0"/>
          <w:sz w:val="24"/>
          <w:szCs w:val="24"/>
          <w:highlight w:val="none"/>
          <w:lang w:val="zh-CN"/>
        </w:rPr>
        <w:t>、本投标文件，你方之接受函，包括条款栏，标的规格要求栏和其它有关文件在内的应标文件对我们双方均具约束力。</w:t>
      </w:r>
    </w:p>
    <w:p>
      <w:pPr>
        <w:adjustRightInd w:val="0"/>
        <w:snapToGrid w:val="0"/>
        <w:spacing w:line="360" w:lineRule="auto"/>
        <w:ind w:firstLine="480"/>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rPr>
        <w:t>5</w:t>
      </w:r>
      <w:r>
        <w:rPr>
          <w:rFonts w:hint="eastAsia" w:ascii="仿宋_GB2312" w:hAnsi="宋体" w:eastAsia="仿宋_GB2312" w:cs="仿宋_GB2312"/>
          <w:kern w:val="0"/>
          <w:sz w:val="24"/>
          <w:szCs w:val="24"/>
          <w:highlight w:val="none"/>
          <w:lang w:val="zh-CN"/>
        </w:rPr>
        <w:t>、根据具体情况而拒绝任一或所有标书完全取决于你方。你方没有义务一定要接受最低报价的标书或某一特定标书，也不需为拒绝某一标书作出任何解释。</w:t>
      </w:r>
    </w:p>
    <w:p>
      <w:pPr>
        <w:adjustRightInd w:val="0"/>
        <w:snapToGrid w:val="0"/>
        <w:spacing w:line="360" w:lineRule="auto"/>
        <w:ind w:left="719" w:hanging="240"/>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rPr>
        <w:t>6</w:t>
      </w:r>
      <w:r>
        <w:rPr>
          <w:rFonts w:hint="eastAsia" w:ascii="仿宋_GB2312" w:hAnsi="宋体" w:eastAsia="仿宋_GB2312" w:cs="仿宋_GB2312"/>
          <w:kern w:val="0"/>
          <w:sz w:val="24"/>
          <w:szCs w:val="24"/>
          <w:highlight w:val="none"/>
          <w:lang w:val="zh-CN"/>
        </w:rPr>
        <w:t>、另外，我方承诺还将就你方所要求的进一步信息提供给你方。</w:t>
      </w:r>
    </w:p>
    <w:p>
      <w:pPr>
        <w:tabs>
          <w:tab w:val="left" w:pos="720"/>
        </w:tabs>
        <w:autoSpaceDE w:val="0"/>
        <w:autoSpaceDN w:val="0"/>
        <w:adjustRightInd w:val="0"/>
        <w:spacing w:line="360" w:lineRule="auto"/>
        <w:ind w:left="719" w:hanging="240"/>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rPr>
        <w:t>7</w:t>
      </w:r>
      <w:r>
        <w:rPr>
          <w:rFonts w:hint="eastAsia" w:ascii="仿宋_GB2312" w:hAnsi="宋体" w:eastAsia="仿宋_GB2312" w:cs="仿宋_GB2312"/>
          <w:kern w:val="0"/>
          <w:sz w:val="24"/>
          <w:szCs w:val="24"/>
          <w:highlight w:val="none"/>
          <w:lang w:val="zh-CN"/>
        </w:rPr>
        <w:t>、如果我方中标，我方愿意提供如下优惠条件：</w:t>
      </w:r>
    </w:p>
    <w:p>
      <w:pPr>
        <w:tabs>
          <w:tab w:val="left" w:pos="720"/>
        </w:tabs>
        <w:autoSpaceDE w:val="0"/>
        <w:autoSpaceDN w:val="0"/>
        <w:adjustRightInd w:val="0"/>
        <w:spacing w:line="360" w:lineRule="auto"/>
        <w:ind w:firstLine="480"/>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lang w:val="zh-CN"/>
        </w:rPr>
        <w:t xml:space="preserve">(1)                                                          </w:t>
      </w:r>
    </w:p>
    <w:p>
      <w:pPr>
        <w:autoSpaceDE w:val="0"/>
        <w:autoSpaceDN w:val="0"/>
        <w:adjustRightInd w:val="0"/>
        <w:spacing w:line="360" w:lineRule="auto"/>
        <w:rPr>
          <w:rFonts w:ascii="仿宋_GB2312" w:hAnsi="宋体" w:eastAsia="仿宋_GB2312" w:cs="仿宋_GB2312"/>
          <w:kern w:val="0"/>
          <w:sz w:val="24"/>
          <w:szCs w:val="24"/>
          <w:highlight w:val="none"/>
          <w:lang w:val="zh-CN"/>
        </w:rPr>
      </w:pPr>
    </w:p>
    <w:p>
      <w:pPr>
        <w:autoSpaceDE w:val="0"/>
        <w:autoSpaceDN w:val="0"/>
        <w:adjustRightInd w:val="0"/>
        <w:spacing w:line="360" w:lineRule="auto"/>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lang w:val="zh-CN"/>
        </w:rPr>
        <w:t xml:space="preserve">法人代表签字：                     </w:t>
      </w:r>
      <w:r>
        <w:rPr>
          <w:rFonts w:hint="eastAsia" w:ascii="仿宋_GB2312" w:hAnsi="宋体" w:eastAsia="仿宋_GB2312" w:cs="仿宋_GB2312"/>
          <w:kern w:val="0"/>
          <w:sz w:val="24"/>
          <w:szCs w:val="24"/>
          <w:highlight w:val="none"/>
          <w:lang w:val="zh-CN"/>
        </w:rPr>
        <w:tab/>
      </w:r>
    </w:p>
    <w:p>
      <w:pPr>
        <w:autoSpaceDE w:val="0"/>
        <w:autoSpaceDN w:val="0"/>
        <w:adjustRightInd w:val="0"/>
        <w:spacing w:line="360" w:lineRule="auto"/>
        <w:rPr>
          <w:rFonts w:ascii="仿宋_GB2312" w:hAnsi="宋体" w:eastAsia="仿宋_GB2312" w:cs="仿宋_GB2312"/>
          <w:kern w:val="0"/>
          <w:sz w:val="24"/>
          <w:szCs w:val="24"/>
          <w:highlight w:val="none"/>
          <w:lang w:val="zh-CN"/>
        </w:rPr>
      </w:pPr>
    </w:p>
    <w:p>
      <w:pPr>
        <w:autoSpaceDE w:val="0"/>
        <w:autoSpaceDN w:val="0"/>
        <w:adjustRightInd w:val="0"/>
        <w:spacing w:line="360" w:lineRule="auto"/>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lang w:val="zh-CN"/>
        </w:rPr>
        <w:t xml:space="preserve">授权委托人签字：                  </w:t>
      </w:r>
    </w:p>
    <w:p>
      <w:pPr>
        <w:autoSpaceDE w:val="0"/>
        <w:autoSpaceDN w:val="0"/>
        <w:adjustRightInd w:val="0"/>
        <w:spacing w:line="360" w:lineRule="auto"/>
        <w:rPr>
          <w:rFonts w:ascii="仿宋_GB2312" w:hAnsi="宋体" w:eastAsia="仿宋_GB2312" w:cs="仿宋_GB2312"/>
          <w:kern w:val="0"/>
          <w:sz w:val="24"/>
          <w:szCs w:val="24"/>
          <w:highlight w:val="none"/>
          <w:lang w:val="zh-CN"/>
        </w:rPr>
      </w:pPr>
    </w:p>
    <w:p>
      <w:pPr>
        <w:autoSpaceDE w:val="0"/>
        <w:autoSpaceDN w:val="0"/>
        <w:adjustRightInd w:val="0"/>
        <w:spacing w:line="360" w:lineRule="auto"/>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lang w:val="zh-CN"/>
        </w:rPr>
        <w:t xml:space="preserve">公 司 盖 章:                        </w:t>
      </w:r>
    </w:p>
    <w:p>
      <w:pPr>
        <w:autoSpaceDE w:val="0"/>
        <w:autoSpaceDN w:val="0"/>
        <w:adjustRightInd w:val="0"/>
        <w:spacing w:line="360" w:lineRule="auto"/>
        <w:rPr>
          <w:rFonts w:ascii="仿宋_GB2312" w:hAnsi="宋体" w:eastAsia="仿宋_GB2312" w:cs="仿宋_GB2312"/>
          <w:kern w:val="0"/>
          <w:sz w:val="24"/>
          <w:szCs w:val="24"/>
          <w:highlight w:val="none"/>
          <w:lang w:val="zh-CN"/>
        </w:rPr>
      </w:pPr>
    </w:p>
    <w:p>
      <w:pPr>
        <w:autoSpaceDE w:val="0"/>
        <w:autoSpaceDN w:val="0"/>
        <w:adjustRightInd w:val="0"/>
        <w:spacing w:line="360" w:lineRule="auto"/>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lang w:val="zh-CN"/>
        </w:rPr>
        <w:t xml:space="preserve">联系人：                       联系电话:                 </w:t>
      </w:r>
    </w:p>
    <w:p>
      <w:pPr>
        <w:autoSpaceDE w:val="0"/>
        <w:autoSpaceDN w:val="0"/>
        <w:adjustRightInd w:val="0"/>
        <w:spacing w:line="360" w:lineRule="auto"/>
        <w:rPr>
          <w:rFonts w:ascii="仿宋_GB2312" w:hAnsi="宋体" w:eastAsia="仿宋_GB2312" w:cs="仿宋_GB2312"/>
          <w:kern w:val="0"/>
          <w:sz w:val="24"/>
          <w:szCs w:val="24"/>
          <w:highlight w:val="none"/>
          <w:lang w:val="zh-CN"/>
        </w:rPr>
      </w:pPr>
    </w:p>
    <w:p>
      <w:pPr>
        <w:autoSpaceDE w:val="0"/>
        <w:autoSpaceDN w:val="0"/>
        <w:adjustRightInd w:val="0"/>
        <w:spacing w:line="360" w:lineRule="auto"/>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lang w:val="zh-CN"/>
        </w:rPr>
        <w:t xml:space="preserve">联系地址：                                                        </w:t>
      </w:r>
    </w:p>
    <w:p>
      <w:pPr>
        <w:autoSpaceDE w:val="0"/>
        <w:autoSpaceDN w:val="0"/>
        <w:adjustRightInd w:val="0"/>
        <w:spacing w:line="360" w:lineRule="auto"/>
        <w:rPr>
          <w:rFonts w:ascii="仿宋_GB2312" w:hAnsi="宋体" w:eastAsia="仿宋_GB2312" w:cs="仿宋_GB2312"/>
          <w:kern w:val="0"/>
          <w:sz w:val="24"/>
          <w:szCs w:val="24"/>
          <w:highlight w:val="none"/>
          <w:lang w:val="zh-CN"/>
        </w:rPr>
      </w:pPr>
    </w:p>
    <w:p>
      <w:pPr>
        <w:autoSpaceDE w:val="0"/>
        <w:autoSpaceDN w:val="0"/>
        <w:adjustRightInd w:val="0"/>
        <w:spacing w:line="360" w:lineRule="auto"/>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lang w:val="zh-CN"/>
        </w:rPr>
        <w:t xml:space="preserve">邮政编码：                     传真号码：                         </w:t>
      </w:r>
    </w:p>
    <w:p>
      <w:pPr>
        <w:autoSpaceDE w:val="0"/>
        <w:autoSpaceDN w:val="0"/>
        <w:adjustRightInd w:val="0"/>
        <w:spacing w:line="360" w:lineRule="auto"/>
        <w:rPr>
          <w:rFonts w:ascii="仿宋_GB2312" w:hAnsi="宋体" w:eastAsia="仿宋_GB2312" w:cs="仿宋_GB2312"/>
          <w:kern w:val="0"/>
          <w:sz w:val="24"/>
          <w:szCs w:val="24"/>
          <w:highlight w:val="none"/>
          <w:lang w:val="zh-CN"/>
        </w:rPr>
      </w:pPr>
    </w:p>
    <w:p>
      <w:pPr>
        <w:autoSpaceDE w:val="0"/>
        <w:autoSpaceDN w:val="0"/>
        <w:adjustRightInd w:val="0"/>
        <w:spacing w:line="360" w:lineRule="auto"/>
        <w:rPr>
          <w:rFonts w:ascii="仿宋_GB2312" w:hAnsi="宋体" w:eastAsia="仿宋_GB2312" w:cs="仿宋_GB2312"/>
          <w:b/>
          <w:sz w:val="24"/>
          <w:szCs w:val="24"/>
          <w:highlight w:val="none"/>
        </w:rPr>
      </w:pPr>
      <w:r>
        <w:rPr>
          <w:rFonts w:hint="eastAsia" w:ascii="仿宋_GB2312" w:hAnsi="宋体" w:eastAsia="仿宋_GB2312" w:cs="仿宋_GB2312"/>
          <w:kern w:val="0"/>
          <w:sz w:val="24"/>
          <w:szCs w:val="24"/>
          <w:highlight w:val="none"/>
          <w:lang w:val="zh-CN"/>
        </w:rPr>
        <w:t xml:space="preserve">日    期：        年  </w:t>
      </w:r>
      <w:r>
        <w:rPr>
          <w:rFonts w:hint="eastAsia" w:ascii="仿宋_GB2312" w:hAnsi="宋体" w:eastAsia="仿宋_GB2312" w:cs="仿宋_GB2312"/>
          <w:kern w:val="0"/>
          <w:sz w:val="24"/>
          <w:szCs w:val="24"/>
          <w:highlight w:val="none"/>
          <w:lang w:val="zh-CN"/>
        </w:rPr>
        <w:tab/>
      </w:r>
      <w:r>
        <w:rPr>
          <w:rFonts w:hint="eastAsia" w:ascii="仿宋_GB2312" w:hAnsi="宋体" w:eastAsia="仿宋_GB2312" w:cs="仿宋_GB2312"/>
          <w:kern w:val="0"/>
          <w:sz w:val="24"/>
          <w:szCs w:val="24"/>
          <w:highlight w:val="none"/>
          <w:lang w:val="zh-CN"/>
        </w:rPr>
        <w:t xml:space="preserve">月 </w:t>
      </w:r>
      <w:r>
        <w:rPr>
          <w:rFonts w:hint="eastAsia" w:ascii="仿宋_GB2312" w:hAnsi="宋体" w:eastAsia="仿宋_GB2312" w:cs="仿宋_GB2312"/>
          <w:kern w:val="0"/>
          <w:sz w:val="24"/>
          <w:szCs w:val="24"/>
          <w:highlight w:val="none"/>
          <w:lang w:val="zh-CN"/>
        </w:rPr>
        <w:tab/>
      </w:r>
      <w:r>
        <w:rPr>
          <w:rFonts w:hint="eastAsia" w:ascii="仿宋_GB2312" w:hAnsi="宋体" w:eastAsia="仿宋_GB2312" w:cs="仿宋_GB2312"/>
          <w:kern w:val="0"/>
          <w:sz w:val="24"/>
          <w:szCs w:val="24"/>
          <w:highlight w:val="none"/>
          <w:lang w:val="zh-CN"/>
        </w:rPr>
        <w:t xml:space="preserve">日 </w:t>
      </w:r>
      <w:r>
        <w:rPr>
          <w:rFonts w:hint="eastAsia" w:ascii="仿宋_GB2312" w:hAnsi="宋体" w:eastAsia="仿宋_GB2312" w:cs="仿宋_GB2312"/>
          <w:kern w:val="0"/>
          <w:sz w:val="24"/>
          <w:szCs w:val="24"/>
          <w:highlight w:val="none"/>
          <w:lang w:val="zh-CN"/>
        </w:rPr>
        <w:tab/>
      </w:r>
    </w:p>
    <w:p>
      <w:pPr>
        <w:adjustRightInd w:val="0"/>
        <w:snapToGrid w:val="0"/>
        <w:spacing w:line="360" w:lineRule="auto"/>
        <w:jc w:val="center"/>
        <w:rPr>
          <w:rFonts w:ascii="仿宋_GB2312" w:hAnsi="宋体" w:eastAsia="仿宋_GB2312" w:cs="仿宋_GB2312"/>
          <w:b/>
          <w:bCs/>
          <w:color w:val="000000"/>
          <w:sz w:val="32"/>
          <w:szCs w:val="32"/>
          <w:highlight w:val="none"/>
        </w:rPr>
      </w:pPr>
      <w:r>
        <w:rPr>
          <w:rFonts w:ascii="仿宋_GB2312" w:hAnsi="宋体" w:eastAsia="仿宋_GB2312" w:cs="仿宋_GB2312"/>
          <w:color w:val="000000"/>
          <w:sz w:val="32"/>
          <w:szCs w:val="32"/>
          <w:highlight w:val="none"/>
        </w:rPr>
        <w:br w:type="page"/>
      </w:r>
    </w:p>
    <w:p>
      <w:pPr>
        <w:pStyle w:val="186"/>
        <w:keepNext w:val="0"/>
        <w:pageBreakBefore w:val="0"/>
        <w:tabs>
          <w:tab w:val="left" w:pos="420"/>
        </w:tabs>
        <w:adjustRightInd w:val="0"/>
        <w:snapToGrid w:val="0"/>
        <w:spacing w:line="560" w:lineRule="exact"/>
        <w:outlineLvl w:val="1"/>
        <w:rPr>
          <w:rFonts w:ascii="仿宋_GB2312" w:hAnsi="宋体" w:eastAsia="仿宋_GB2312" w:cs="仿宋_GB2312"/>
          <w:color w:val="000000"/>
          <w:kern w:val="2"/>
          <w:sz w:val="32"/>
          <w:szCs w:val="32"/>
          <w:highlight w:val="none"/>
        </w:rPr>
      </w:pPr>
      <w:r>
        <w:rPr>
          <w:rFonts w:hint="eastAsia" w:ascii="仿宋_GB2312" w:hAnsi="宋体" w:eastAsia="仿宋_GB2312" w:cs="仿宋_GB2312"/>
          <w:color w:val="000000"/>
          <w:kern w:val="2"/>
          <w:sz w:val="32"/>
          <w:szCs w:val="32"/>
          <w:highlight w:val="none"/>
        </w:rPr>
        <w:t>三、报价明细清单</w:t>
      </w:r>
    </w:p>
    <w:tbl>
      <w:tblPr>
        <w:tblStyle w:val="49"/>
        <w:tblW w:w="94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5"/>
        <w:gridCol w:w="3056"/>
        <w:gridCol w:w="1134"/>
        <w:gridCol w:w="1417"/>
        <w:gridCol w:w="1276"/>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5" w:type="dxa"/>
            <w:tcBorders>
              <w:right w:val="single" w:color="auto" w:sz="4" w:space="0"/>
            </w:tcBorders>
            <w:shd w:val="clear" w:color="auto" w:fill="FFFFFF"/>
          </w:tcPr>
          <w:p>
            <w:pPr>
              <w:autoSpaceDE w:val="0"/>
              <w:autoSpaceDN w:val="0"/>
              <w:adjustRightInd w:val="0"/>
              <w:spacing w:line="440" w:lineRule="exact"/>
              <w:jc w:val="center"/>
              <w:rPr>
                <w:rFonts w:ascii="仿宋_GB2312" w:eastAsia="仿宋_GB2312"/>
                <w:kern w:val="0"/>
                <w:sz w:val="24"/>
                <w:highlight w:val="none"/>
              </w:rPr>
            </w:pPr>
            <w:r>
              <w:rPr>
                <w:rFonts w:hint="eastAsia" w:ascii="仿宋_GB2312" w:eastAsia="仿宋_GB2312"/>
                <w:kern w:val="0"/>
                <w:sz w:val="24"/>
                <w:highlight w:val="none"/>
              </w:rPr>
              <w:t>序号</w:t>
            </w:r>
          </w:p>
        </w:tc>
        <w:tc>
          <w:tcPr>
            <w:tcW w:w="3056" w:type="dxa"/>
            <w:tcBorders>
              <w:left w:val="single" w:color="auto" w:sz="4" w:space="0"/>
            </w:tcBorders>
            <w:shd w:val="clear" w:color="auto" w:fill="FFFFFF"/>
          </w:tcPr>
          <w:p>
            <w:pPr>
              <w:autoSpaceDE w:val="0"/>
              <w:autoSpaceDN w:val="0"/>
              <w:adjustRightInd w:val="0"/>
              <w:spacing w:line="440" w:lineRule="exact"/>
              <w:jc w:val="center"/>
              <w:rPr>
                <w:rFonts w:ascii="仿宋_GB2312" w:eastAsia="仿宋_GB2312"/>
                <w:kern w:val="0"/>
                <w:sz w:val="24"/>
                <w:highlight w:val="none"/>
              </w:rPr>
            </w:pPr>
            <w:r>
              <w:rPr>
                <w:rFonts w:hint="eastAsia" w:ascii="仿宋_GB2312" w:eastAsia="仿宋_GB2312"/>
                <w:kern w:val="0"/>
                <w:sz w:val="24"/>
                <w:highlight w:val="none"/>
              </w:rPr>
              <w:t>内容</w:t>
            </w:r>
          </w:p>
        </w:tc>
        <w:tc>
          <w:tcPr>
            <w:tcW w:w="1134" w:type="dxa"/>
            <w:shd w:val="clear" w:color="auto" w:fill="FFFFFF"/>
          </w:tcPr>
          <w:p>
            <w:pPr>
              <w:autoSpaceDE w:val="0"/>
              <w:autoSpaceDN w:val="0"/>
              <w:adjustRightInd w:val="0"/>
              <w:spacing w:line="440" w:lineRule="exact"/>
              <w:jc w:val="center"/>
              <w:rPr>
                <w:rFonts w:ascii="仿宋_GB2312" w:eastAsia="仿宋_GB2312"/>
                <w:kern w:val="0"/>
                <w:sz w:val="24"/>
                <w:highlight w:val="none"/>
              </w:rPr>
            </w:pPr>
            <w:r>
              <w:rPr>
                <w:rFonts w:hint="eastAsia" w:ascii="仿宋_GB2312" w:eastAsia="仿宋_GB2312"/>
                <w:kern w:val="0"/>
                <w:sz w:val="24"/>
                <w:highlight w:val="none"/>
              </w:rPr>
              <w:t>单位</w:t>
            </w:r>
          </w:p>
        </w:tc>
        <w:tc>
          <w:tcPr>
            <w:tcW w:w="1417" w:type="dxa"/>
            <w:shd w:val="clear" w:color="auto" w:fill="FFFFFF"/>
          </w:tcPr>
          <w:p>
            <w:pPr>
              <w:autoSpaceDE w:val="0"/>
              <w:autoSpaceDN w:val="0"/>
              <w:adjustRightInd w:val="0"/>
              <w:spacing w:line="440" w:lineRule="exact"/>
              <w:jc w:val="center"/>
              <w:rPr>
                <w:rFonts w:ascii="仿宋_GB2312" w:eastAsia="仿宋_GB2312"/>
                <w:kern w:val="0"/>
                <w:sz w:val="24"/>
                <w:highlight w:val="none"/>
              </w:rPr>
            </w:pPr>
            <w:r>
              <w:rPr>
                <w:rFonts w:hint="eastAsia" w:ascii="仿宋_GB2312" w:eastAsia="仿宋_GB2312"/>
                <w:kern w:val="0"/>
                <w:sz w:val="24"/>
                <w:highlight w:val="none"/>
              </w:rPr>
              <w:t>数量</w:t>
            </w:r>
          </w:p>
        </w:tc>
        <w:tc>
          <w:tcPr>
            <w:tcW w:w="1276" w:type="dxa"/>
            <w:shd w:val="clear" w:color="auto" w:fill="FFFFFF"/>
          </w:tcPr>
          <w:p>
            <w:pPr>
              <w:autoSpaceDE w:val="0"/>
              <w:autoSpaceDN w:val="0"/>
              <w:adjustRightInd w:val="0"/>
              <w:spacing w:line="440" w:lineRule="exact"/>
              <w:jc w:val="center"/>
              <w:rPr>
                <w:rFonts w:ascii="仿宋_GB2312" w:eastAsia="仿宋_GB2312"/>
                <w:kern w:val="0"/>
                <w:sz w:val="24"/>
                <w:highlight w:val="none"/>
              </w:rPr>
            </w:pPr>
            <w:r>
              <w:rPr>
                <w:rFonts w:hint="eastAsia" w:ascii="仿宋_GB2312" w:eastAsia="仿宋_GB2312"/>
                <w:kern w:val="0"/>
                <w:sz w:val="24"/>
                <w:highlight w:val="none"/>
              </w:rPr>
              <w:t>单价</w:t>
            </w:r>
          </w:p>
        </w:tc>
        <w:tc>
          <w:tcPr>
            <w:tcW w:w="1269" w:type="dxa"/>
            <w:shd w:val="clear" w:color="auto" w:fill="FFFFFF"/>
          </w:tcPr>
          <w:p>
            <w:pPr>
              <w:autoSpaceDE w:val="0"/>
              <w:autoSpaceDN w:val="0"/>
              <w:adjustRightInd w:val="0"/>
              <w:spacing w:line="440" w:lineRule="exact"/>
              <w:jc w:val="center"/>
              <w:rPr>
                <w:rFonts w:ascii="仿宋_GB2312" w:eastAsia="仿宋_GB2312"/>
                <w:kern w:val="0"/>
                <w:sz w:val="24"/>
                <w:highlight w:val="none"/>
              </w:rPr>
            </w:pPr>
            <w:r>
              <w:rPr>
                <w:rFonts w:hint="eastAsia" w:ascii="仿宋_GB2312" w:eastAsia="仿宋_GB2312"/>
                <w:kern w:val="0"/>
                <w:sz w:val="24"/>
                <w:highlight w:val="none"/>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5" w:type="dxa"/>
            <w:tcBorders>
              <w:right w:val="single" w:color="auto" w:sz="4" w:space="0"/>
            </w:tcBorders>
          </w:tcPr>
          <w:p>
            <w:pPr>
              <w:autoSpaceDE w:val="0"/>
              <w:autoSpaceDN w:val="0"/>
              <w:adjustRightInd w:val="0"/>
              <w:spacing w:line="440" w:lineRule="exact"/>
              <w:rPr>
                <w:rFonts w:ascii="仿宋_GB2312" w:eastAsia="仿宋_GB2312"/>
                <w:kern w:val="0"/>
                <w:sz w:val="24"/>
                <w:highlight w:val="none"/>
              </w:rPr>
            </w:pPr>
          </w:p>
        </w:tc>
        <w:tc>
          <w:tcPr>
            <w:tcW w:w="3056" w:type="dxa"/>
            <w:tcBorders>
              <w:left w:val="single" w:color="auto" w:sz="4" w:space="0"/>
            </w:tcBorders>
          </w:tcPr>
          <w:p>
            <w:pPr>
              <w:autoSpaceDE w:val="0"/>
              <w:autoSpaceDN w:val="0"/>
              <w:adjustRightInd w:val="0"/>
              <w:spacing w:line="440" w:lineRule="exact"/>
              <w:rPr>
                <w:rFonts w:ascii="仿宋_GB2312" w:eastAsia="仿宋_GB2312"/>
                <w:kern w:val="0"/>
                <w:sz w:val="24"/>
                <w:highlight w:val="none"/>
              </w:rPr>
            </w:pPr>
          </w:p>
        </w:tc>
        <w:tc>
          <w:tcPr>
            <w:tcW w:w="1134" w:type="dxa"/>
          </w:tcPr>
          <w:p>
            <w:pPr>
              <w:autoSpaceDE w:val="0"/>
              <w:autoSpaceDN w:val="0"/>
              <w:adjustRightInd w:val="0"/>
              <w:spacing w:line="440" w:lineRule="exact"/>
              <w:rPr>
                <w:rFonts w:ascii="仿宋_GB2312" w:eastAsia="仿宋_GB2312"/>
                <w:kern w:val="0"/>
                <w:sz w:val="24"/>
                <w:highlight w:val="none"/>
              </w:rPr>
            </w:pPr>
          </w:p>
        </w:tc>
        <w:tc>
          <w:tcPr>
            <w:tcW w:w="1417" w:type="dxa"/>
          </w:tcPr>
          <w:p>
            <w:pPr>
              <w:autoSpaceDE w:val="0"/>
              <w:autoSpaceDN w:val="0"/>
              <w:adjustRightInd w:val="0"/>
              <w:spacing w:line="440" w:lineRule="exact"/>
              <w:rPr>
                <w:rFonts w:ascii="仿宋_GB2312" w:eastAsia="仿宋_GB2312"/>
                <w:kern w:val="0"/>
                <w:sz w:val="24"/>
                <w:highlight w:val="none"/>
              </w:rPr>
            </w:pPr>
          </w:p>
        </w:tc>
        <w:tc>
          <w:tcPr>
            <w:tcW w:w="1276" w:type="dxa"/>
          </w:tcPr>
          <w:p>
            <w:pPr>
              <w:autoSpaceDE w:val="0"/>
              <w:autoSpaceDN w:val="0"/>
              <w:adjustRightInd w:val="0"/>
              <w:spacing w:line="440" w:lineRule="exact"/>
              <w:rPr>
                <w:rFonts w:ascii="仿宋_GB2312" w:eastAsia="仿宋_GB2312"/>
                <w:kern w:val="0"/>
                <w:sz w:val="24"/>
                <w:highlight w:val="none"/>
              </w:rPr>
            </w:pPr>
          </w:p>
        </w:tc>
        <w:tc>
          <w:tcPr>
            <w:tcW w:w="1269" w:type="dxa"/>
          </w:tcPr>
          <w:p>
            <w:pPr>
              <w:autoSpaceDE w:val="0"/>
              <w:autoSpaceDN w:val="0"/>
              <w:adjustRightInd w:val="0"/>
              <w:spacing w:line="440" w:lineRule="exact"/>
              <w:rPr>
                <w:rFonts w:ascii="仿宋_GB2312" w:eastAsia="仿宋_GB2312"/>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5" w:type="dxa"/>
            <w:tcBorders>
              <w:right w:val="single" w:color="auto" w:sz="4" w:space="0"/>
            </w:tcBorders>
          </w:tcPr>
          <w:p>
            <w:pPr>
              <w:autoSpaceDE w:val="0"/>
              <w:autoSpaceDN w:val="0"/>
              <w:adjustRightInd w:val="0"/>
              <w:spacing w:line="440" w:lineRule="exact"/>
              <w:rPr>
                <w:rFonts w:ascii="仿宋_GB2312" w:eastAsia="仿宋_GB2312"/>
                <w:kern w:val="0"/>
                <w:sz w:val="24"/>
                <w:highlight w:val="none"/>
              </w:rPr>
            </w:pPr>
          </w:p>
        </w:tc>
        <w:tc>
          <w:tcPr>
            <w:tcW w:w="3056" w:type="dxa"/>
            <w:tcBorders>
              <w:left w:val="single" w:color="auto" w:sz="4" w:space="0"/>
            </w:tcBorders>
          </w:tcPr>
          <w:p>
            <w:pPr>
              <w:autoSpaceDE w:val="0"/>
              <w:autoSpaceDN w:val="0"/>
              <w:adjustRightInd w:val="0"/>
              <w:spacing w:line="440" w:lineRule="exact"/>
              <w:rPr>
                <w:rFonts w:ascii="仿宋_GB2312" w:eastAsia="仿宋_GB2312"/>
                <w:kern w:val="0"/>
                <w:sz w:val="24"/>
                <w:highlight w:val="none"/>
              </w:rPr>
            </w:pPr>
          </w:p>
        </w:tc>
        <w:tc>
          <w:tcPr>
            <w:tcW w:w="1134" w:type="dxa"/>
          </w:tcPr>
          <w:p>
            <w:pPr>
              <w:autoSpaceDE w:val="0"/>
              <w:autoSpaceDN w:val="0"/>
              <w:adjustRightInd w:val="0"/>
              <w:spacing w:line="440" w:lineRule="exact"/>
              <w:rPr>
                <w:rFonts w:ascii="仿宋_GB2312" w:eastAsia="仿宋_GB2312"/>
                <w:kern w:val="0"/>
                <w:sz w:val="24"/>
                <w:highlight w:val="none"/>
              </w:rPr>
            </w:pPr>
          </w:p>
        </w:tc>
        <w:tc>
          <w:tcPr>
            <w:tcW w:w="1417" w:type="dxa"/>
          </w:tcPr>
          <w:p>
            <w:pPr>
              <w:autoSpaceDE w:val="0"/>
              <w:autoSpaceDN w:val="0"/>
              <w:adjustRightInd w:val="0"/>
              <w:spacing w:line="440" w:lineRule="exact"/>
              <w:rPr>
                <w:rFonts w:ascii="仿宋_GB2312" w:eastAsia="仿宋_GB2312"/>
                <w:kern w:val="0"/>
                <w:sz w:val="24"/>
                <w:highlight w:val="none"/>
              </w:rPr>
            </w:pPr>
          </w:p>
        </w:tc>
        <w:tc>
          <w:tcPr>
            <w:tcW w:w="1276" w:type="dxa"/>
          </w:tcPr>
          <w:p>
            <w:pPr>
              <w:autoSpaceDE w:val="0"/>
              <w:autoSpaceDN w:val="0"/>
              <w:adjustRightInd w:val="0"/>
              <w:spacing w:line="440" w:lineRule="exact"/>
              <w:rPr>
                <w:rFonts w:ascii="仿宋_GB2312" w:eastAsia="仿宋_GB2312"/>
                <w:kern w:val="0"/>
                <w:sz w:val="24"/>
                <w:highlight w:val="none"/>
              </w:rPr>
            </w:pPr>
          </w:p>
        </w:tc>
        <w:tc>
          <w:tcPr>
            <w:tcW w:w="1269" w:type="dxa"/>
          </w:tcPr>
          <w:p>
            <w:pPr>
              <w:autoSpaceDE w:val="0"/>
              <w:autoSpaceDN w:val="0"/>
              <w:adjustRightInd w:val="0"/>
              <w:spacing w:line="440" w:lineRule="exact"/>
              <w:rPr>
                <w:rFonts w:ascii="仿宋_GB2312" w:eastAsia="仿宋_GB2312"/>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5" w:type="dxa"/>
            <w:tcBorders>
              <w:right w:val="single" w:color="auto" w:sz="4" w:space="0"/>
            </w:tcBorders>
          </w:tcPr>
          <w:p>
            <w:pPr>
              <w:autoSpaceDE w:val="0"/>
              <w:autoSpaceDN w:val="0"/>
              <w:adjustRightInd w:val="0"/>
              <w:spacing w:line="440" w:lineRule="exact"/>
              <w:rPr>
                <w:rFonts w:ascii="仿宋_GB2312" w:eastAsia="仿宋_GB2312"/>
                <w:kern w:val="0"/>
                <w:sz w:val="24"/>
                <w:highlight w:val="none"/>
              </w:rPr>
            </w:pPr>
          </w:p>
        </w:tc>
        <w:tc>
          <w:tcPr>
            <w:tcW w:w="3056" w:type="dxa"/>
            <w:tcBorders>
              <w:left w:val="single" w:color="auto" w:sz="4" w:space="0"/>
            </w:tcBorders>
          </w:tcPr>
          <w:p>
            <w:pPr>
              <w:autoSpaceDE w:val="0"/>
              <w:autoSpaceDN w:val="0"/>
              <w:adjustRightInd w:val="0"/>
              <w:spacing w:line="440" w:lineRule="exact"/>
              <w:rPr>
                <w:rFonts w:ascii="仿宋_GB2312" w:eastAsia="仿宋_GB2312"/>
                <w:kern w:val="0"/>
                <w:sz w:val="24"/>
                <w:highlight w:val="none"/>
              </w:rPr>
            </w:pPr>
          </w:p>
        </w:tc>
        <w:tc>
          <w:tcPr>
            <w:tcW w:w="1134" w:type="dxa"/>
          </w:tcPr>
          <w:p>
            <w:pPr>
              <w:autoSpaceDE w:val="0"/>
              <w:autoSpaceDN w:val="0"/>
              <w:adjustRightInd w:val="0"/>
              <w:spacing w:line="440" w:lineRule="exact"/>
              <w:rPr>
                <w:rFonts w:ascii="仿宋_GB2312" w:eastAsia="仿宋_GB2312"/>
                <w:kern w:val="0"/>
                <w:sz w:val="24"/>
                <w:highlight w:val="none"/>
              </w:rPr>
            </w:pPr>
          </w:p>
        </w:tc>
        <w:tc>
          <w:tcPr>
            <w:tcW w:w="1417" w:type="dxa"/>
          </w:tcPr>
          <w:p>
            <w:pPr>
              <w:autoSpaceDE w:val="0"/>
              <w:autoSpaceDN w:val="0"/>
              <w:adjustRightInd w:val="0"/>
              <w:spacing w:line="440" w:lineRule="exact"/>
              <w:rPr>
                <w:rFonts w:ascii="仿宋_GB2312" w:eastAsia="仿宋_GB2312"/>
                <w:kern w:val="0"/>
                <w:sz w:val="24"/>
                <w:highlight w:val="none"/>
              </w:rPr>
            </w:pPr>
          </w:p>
        </w:tc>
        <w:tc>
          <w:tcPr>
            <w:tcW w:w="1276" w:type="dxa"/>
          </w:tcPr>
          <w:p>
            <w:pPr>
              <w:autoSpaceDE w:val="0"/>
              <w:autoSpaceDN w:val="0"/>
              <w:adjustRightInd w:val="0"/>
              <w:spacing w:line="440" w:lineRule="exact"/>
              <w:rPr>
                <w:rFonts w:ascii="仿宋_GB2312" w:eastAsia="仿宋_GB2312"/>
                <w:kern w:val="0"/>
                <w:sz w:val="24"/>
                <w:highlight w:val="none"/>
              </w:rPr>
            </w:pPr>
          </w:p>
        </w:tc>
        <w:tc>
          <w:tcPr>
            <w:tcW w:w="1269" w:type="dxa"/>
          </w:tcPr>
          <w:p>
            <w:pPr>
              <w:autoSpaceDE w:val="0"/>
              <w:autoSpaceDN w:val="0"/>
              <w:adjustRightInd w:val="0"/>
              <w:spacing w:line="440" w:lineRule="exact"/>
              <w:rPr>
                <w:rFonts w:ascii="仿宋_GB2312" w:eastAsia="仿宋_GB2312"/>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5" w:type="dxa"/>
            <w:tcBorders>
              <w:right w:val="single" w:color="auto" w:sz="4" w:space="0"/>
            </w:tcBorders>
          </w:tcPr>
          <w:p>
            <w:pPr>
              <w:autoSpaceDE w:val="0"/>
              <w:autoSpaceDN w:val="0"/>
              <w:adjustRightInd w:val="0"/>
              <w:spacing w:line="440" w:lineRule="exact"/>
              <w:rPr>
                <w:rFonts w:ascii="仿宋_GB2312" w:eastAsia="仿宋_GB2312"/>
                <w:kern w:val="0"/>
                <w:sz w:val="24"/>
                <w:highlight w:val="none"/>
              </w:rPr>
            </w:pPr>
          </w:p>
        </w:tc>
        <w:tc>
          <w:tcPr>
            <w:tcW w:w="3056" w:type="dxa"/>
            <w:tcBorders>
              <w:left w:val="single" w:color="auto" w:sz="4" w:space="0"/>
            </w:tcBorders>
          </w:tcPr>
          <w:p>
            <w:pPr>
              <w:autoSpaceDE w:val="0"/>
              <w:autoSpaceDN w:val="0"/>
              <w:adjustRightInd w:val="0"/>
              <w:spacing w:line="440" w:lineRule="exact"/>
              <w:rPr>
                <w:rFonts w:ascii="仿宋_GB2312" w:eastAsia="仿宋_GB2312"/>
                <w:kern w:val="0"/>
                <w:sz w:val="24"/>
                <w:highlight w:val="none"/>
              </w:rPr>
            </w:pPr>
          </w:p>
        </w:tc>
        <w:tc>
          <w:tcPr>
            <w:tcW w:w="1134" w:type="dxa"/>
          </w:tcPr>
          <w:p>
            <w:pPr>
              <w:autoSpaceDE w:val="0"/>
              <w:autoSpaceDN w:val="0"/>
              <w:adjustRightInd w:val="0"/>
              <w:spacing w:line="440" w:lineRule="exact"/>
              <w:rPr>
                <w:rFonts w:ascii="仿宋_GB2312" w:eastAsia="仿宋_GB2312"/>
                <w:kern w:val="0"/>
                <w:sz w:val="24"/>
                <w:highlight w:val="none"/>
              </w:rPr>
            </w:pPr>
          </w:p>
        </w:tc>
        <w:tc>
          <w:tcPr>
            <w:tcW w:w="1417" w:type="dxa"/>
          </w:tcPr>
          <w:p>
            <w:pPr>
              <w:autoSpaceDE w:val="0"/>
              <w:autoSpaceDN w:val="0"/>
              <w:adjustRightInd w:val="0"/>
              <w:spacing w:line="440" w:lineRule="exact"/>
              <w:rPr>
                <w:rFonts w:ascii="仿宋_GB2312" w:eastAsia="仿宋_GB2312"/>
                <w:kern w:val="0"/>
                <w:sz w:val="24"/>
                <w:highlight w:val="none"/>
              </w:rPr>
            </w:pPr>
          </w:p>
        </w:tc>
        <w:tc>
          <w:tcPr>
            <w:tcW w:w="1276" w:type="dxa"/>
          </w:tcPr>
          <w:p>
            <w:pPr>
              <w:autoSpaceDE w:val="0"/>
              <w:autoSpaceDN w:val="0"/>
              <w:adjustRightInd w:val="0"/>
              <w:spacing w:line="440" w:lineRule="exact"/>
              <w:rPr>
                <w:rFonts w:ascii="仿宋_GB2312" w:eastAsia="仿宋_GB2312"/>
                <w:kern w:val="0"/>
                <w:sz w:val="24"/>
                <w:highlight w:val="none"/>
              </w:rPr>
            </w:pPr>
          </w:p>
        </w:tc>
        <w:tc>
          <w:tcPr>
            <w:tcW w:w="1269" w:type="dxa"/>
          </w:tcPr>
          <w:p>
            <w:pPr>
              <w:autoSpaceDE w:val="0"/>
              <w:autoSpaceDN w:val="0"/>
              <w:adjustRightInd w:val="0"/>
              <w:spacing w:line="440" w:lineRule="exact"/>
              <w:rPr>
                <w:rFonts w:ascii="仿宋_GB2312" w:eastAsia="仿宋_GB2312"/>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5" w:type="dxa"/>
            <w:tcBorders>
              <w:right w:val="single" w:color="auto" w:sz="4" w:space="0"/>
            </w:tcBorders>
          </w:tcPr>
          <w:p>
            <w:pPr>
              <w:autoSpaceDE w:val="0"/>
              <w:autoSpaceDN w:val="0"/>
              <w:adjustRightInd w:val="0"/>
              <w:spacing w:line="440" w:lineRule="exact"/>
              <w:rPr>
                <w:rFonts w:ascii="仿宋_GB2312" w:eastAsia="仿宋_GB2312"/>
                <w:kern w:val="0"/>
                <w:sz w:val="24"/>
                <w:highlight w:val="none"/>
              </w:rPr>
            </w:pPr>
          </w:p>
        </w:tc>
        <w:tc>
          <w:tcPr>
            <w:tcW w:w="3056" w:type="dxa"/>
            <w:tcBorders>
              <w:left w:val="single" w:color="auto" w:sz="4" w:space="0"/>
            </w:tcBorders>
          </w:tcPr>
          <w:p>
            <w:pPr>
              <w:autoSpaceDE w:val="0"/>
              <w:autoSpaceDN w:val="0"/>
              <w:adjustRightInd w:val="0"/>
              <w:spacing w:line="440" w:lineRule="exact"/>
              <w:rPr>
                <w:rFonts w:ascii="仿宋_GB2312" w:eastAsia="仿宋_GB2312"/>
                <w:kern w:val="0"/>
                <w:sz w:val="24"/>
                <w:highlight w:val="none"/>
              </w:rPr>
            </w:pPr>
          </w:p>
        </w:tc>
        <w:tc>
          <w:tcPr>
            <w:tcW w:w="1134" w:type="dxa"/>
          </w:tcPr>
          <w:p>
            <w:pPr>
              <w:autoSpaceDE w:val="0"/>
              <w:autoSpaceDN w:val="0"/>
              <w:adjustRightInd w:val="0"/>
              <w:spacing w:line="440" w:lineRule="exact"/>
              <w:rPr>
                <w:rFonts w:ascii="仿宋_GB2312" w:eastAsia="仿宋_GB2312"/>
                <w:kern w:val="0"/>
                <w:sz w:val="24"/>
                <w:highlight w:val="none"/>
              </w:rPr>
            </w:pPr>
          </w:p>
        </w:tc>
        <w:tc>
          <w:tcPr>
            <w:tcW w:w="1417" w:type="dxa"/>
          </w:tcPr>
          <w:p>
            <w:pPr>
              <w:autoSpaceDE w:val="0"/>
              <w:autoSpaceDN w:val="0"/>
              <w:adjustRightInd w:val="0"/>
              <w:spacing w:line="440" w:lineRule="exact"/>
              <w:rPr>
                <w:rFonts w:ascii="仿宋_GB2312" w:eastAsia="仿宋_GB2312"/>
                <w:kern w:val="0"/>
                <w:sz w:val="24"/>
                <w:highlight w:val="none"/>
              </w:rPr>
            </w:pPr>
          </w:p>
        </w:tc>
        <w:tc>
          <w:tcPr>
            <w:tcW w:w="1276" w:type="dxa"/>
          </w:tcPr>
          <w:p>
            <w:pPr>
              <w:autoSpaceDE w:val="0"/>
              <w:autoSpaceDN w:val="0"/>
              <w:adjustRightInd w:val="0"/>
              <w:spacing w:line="440" w:lineRule="exact"/>
              <w:rPr>
                <w:rFonts w:ascii="仿宋_GB2312" w:eastAsia="仿宋_GB2312"/>
                <w:kern w:val="0"/>
                <w:sz w:val="24"/>
                <w:highlight w:val="none"/>
              </w:rPr>
            </w:pPr>
          </w:p>
        </w:tc>
        <w:tc>
          <w:tcPr>
            <w:tcW w:w="1269" w:type="dxa"/>
          </w:tcPr>
          <w:p>
            <w:pPr>
              <w:autoSpaceDE w:val="0"/>
              <w:autoSpaceDN w:val="0"/>
              <w:adjustRightInd w:val="0"/>
              <w:spacing w:line="440" w:lineRule="exact"/>
              <w:rPr>
                <w:rFonts w:ascii="仿宋_GB2312" w:eastAsia="仿宋_GB2312"/>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5" w:type="dxa"/>
            <w:tcBorders>
              <w:right w:val="single" w:color="auto" w:sz="4" w:space="0"/>
            </w:tcBorders>
          </w:tcPr>
          <w:p>
            <w:pPr>
              <w:autoSpaceDE w:val="0"/>
              <w:autoSpaceDN w:val="0"/>
              <w:adjustRightInd w:val="0"/>
              <w:spacing w:line="440" w:lineRule="exact"/>
              <w:rPr>
                <w:rFonts w:ascii="仿宋_GB2312" w:eastAsia="仿宋_GB2312"/>
                <w:kern w:val="0"/>
                <w:sz w:val="24"/>
                <w:highlight w:val="none"/>
              </w:rPr>
            </w:pPr>
          </w:p>
        </w:tc>
        <w:tc>
          <w:tcPr>
            <w:tcW w:w="3056" w:type="dxa"/>
            <w:tcBorders>
              <w:left w:val="single" w:color="auto" w:sz="4" w:space="0"/>
            </w:tcBorders>
          </w:tcPr>
          <w:p>
            <w:pPr>
              <w:autoSpaceDE w:val="0"/>
              <w:autoSpaceDN w:val="0"/>
              <w:adjustRightInd w:val="0"/>
              <w:spacing w:line="440" w:lineRule="exact"/>
              <w:rPr>
                <w:rFonts w:ascii="仿宋_GB2312" w:eastAsia="仿宋_GB2312"/>
                <w:kern w:val="0"/>
                <w:sz w:val="24"/>
                <w:highlight w:val="none"/>
              </w:rPr>
            </w:pPr>
          </w:p>
        </w:tc>
        <w:tc>
          <w:tcPr>
            <w:tcW w:w="1134" w:type="dxa"/>
          </w:tcPr>
          <w:p>
            <w:pPr>
              <w:autoSpaceDE w:val="0"/>
              <w:autoSpaceDN w:val="0"/>
              <w:adjustRightInd w:val="0"/>
              <w:spacing w:line="440" w:lineRule="exact"/>
              <w:rPr>
                <w:rFonts w:ascii="仿宋_GB2312" w:eastAsia="仿宋_GB2312"/>
                <w:kern w:val="0"/>
                <w:sz w:val="24"/>
                <w:highlight w:val="none"/>
              </w:rPr>
            </w:pPr>
          </w:p>
        </w:tc>
        <w:tc>
          <w:tcPr>
            <w:tcW w:w="1417" w:type="dxa"/>
          </w:tcPr>
          <w:p>
            <w:pPr>
              <w:autoSpaceDE w:val="0"/>
              <w:autoSpaceDN w:val="0"/>
              <w:adjustRightInd w:val="0"/>
              <w:spacing w:line="440" w:lineRule="exact"/>
              <w:rPr>
                <w:rFonts w:ascii="仿宋_GB2312" w:eastAsia="仿宋_GB2312"/>
                <w:kern w:val="0"/>
                <w:sz w:val="24"/>
                <w:highlight w:val="none"/>
              </w:rPr>
            </w:pPr>
          </w:p>
        </w:tc>
        <w:tc>
          <w:tcPr>
            <w:tcW w:w="1276" w:type="dxa"/>
          </w:tcPr>
          <w:p>
            <w:pPr>
              <w:autoSpaceDE w:val="0"/>
              <w:autoSpaceDN w:val="0"/>
              <w:adjustRightInd w:val="0"/>
              <w:spacing w:line="440" w:lineRule="exact"/>
              <w:rPr>
                <w:rFonts w:ascii="仿宋_GB2312" w:eastAsia="仿宋_GB2312"/>
                <w:kern w:val="0"/>
                <w:sz w:val="24"/>
                <w:highlight w:val="none"/>
              </w:rPr>
            </w:pPr>
          </w:p>
        </w:tc>
        <w:tc>
          <w:tcPr>
            <w:tcW w:w="1269" w:type="dxa"/>
          </w:tcPr>
          <w:p>
            <w:pPr>
              <w:autoSpaceDE w:val="0"/>
              <w:autoSpaceDN w:val="0"/>
              <w:adjustRightInd w:val="0"/>
              <w:spacing w:line="440" w:lineRule="exact"/>
              <w:rPr>
                <w:rFonts w:ascii="仿宋_GB2312" w:eastAsia="仿宋_GB2312"/>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5" w:type="dxa"/>
            <w:tcBorders>
              <w:right w:val="single" w:color="auto" w:sz="4" w:space="0"/>
            </w:tcBorders>
          </w:tcPr>
          <w:p>
            <w:pPr>
              <w:autoSpaceDE w:val="0"/>
              <w:autoSpaceDN w:val="0"/>
              <w:adjustRightInd w:val="0"/>
              <w:spacing w:line="440" w:lineRule="exact"/>
              <w:rPr>
                <w:rFonts w:ascii="仿宋_GB2312" w:eastAsia="仿宋_GB2312"/>
                <w:kern w:val="0"/>
                <w:sz w:val="24"/>
                <w:highlight w:val="none"/>
              </w:rPr>
            </w:pPr>
          </w:p>
        </w:tc>
        <w:tc>
          <w:tcPr>
            <w:tcW w:w="3056" w:type="dxa"/>
            <w:tcBorders>
              <w:left w:val="single" w:color="auto" w:sz="4" w:space="0"/>
            </w:tcBorders>
          </w:tcPr>
          <w:p>
            <w:pPr>
              <w:autoSpaceDE w:val="0"/>
              <w:autoSpaceDN w:val="0"/>
              <w:adjustRightInd w:val="0"/>
              <w:spacing w:line="440" w:lineRule="exact"/>
              <w:jc w:val="center"/>
              <w:rPr>
                <w:rFonts w:ascii="仿宋_GB2312" w:eastAsia="仿宋_GB2312"/>
                <w:kern w:val="0"/>
                <w:sz w:val="24"/>
                <w:highlight w:val="none"/>
              </w:rPr>
            </w:pPr>
          </w:p>
        </w:tc>
        <w:tc>
          <w:tcPr>
            <w:tcW w:w="1134" w:type="dxa"/>
          </w:tcPr>
          <w:p>
            <w:pPr>
              <w:autoSpaceDE w:val="0"/>
              <w:autoSpaceDN w:val="0"/>
              <w:adjustRightInd w:val="0"/>
              <w:spacing w:line="440" w:lineRule="exact"/>
              <w:rPr>
                <w:rFonts w:ascii="仿宋_GB2312" w:eastAsia="仿宋_GB2312"/>
                <w:kern w:val="0"/>
                <w:sz w:val="24"/>
                <w:highlight w:val="none"/>
              </w:rPr>
            </w:pPr>
          </w:p>
        </w:tc>
        <w:tc>
          <w:tcPr>
            <w:tcW w:w="1417" w:type="dxa"/>
          </w:tcPr>
          <w:p>
            <w:pPr>
              <w:autoSpaceDE w:val="0"/>
              <w:autoSpaceDN w:val="0"/>
              <w:adjustRightInd w:val="0"/>
              <w:spacing w:line="440" w:lineRule="exact"/>
              <w:rPr>
                <w:rFonts w:ascii="仿宋_GB2312" w:eastAsia="仿宋_GB2312"/>
                <w:kern w:val="0"/>
                <w:sz w:val="24"/>
                <w:highlight w:val="none"/>
              </w:rPr>
            </w:pPr>
          </w:p>
        </w:tc>
        <w:tc>
          <w:tcPr>
            <w:tcW w:w="1276" w:type="dxa"/>
          </w:tcPr>
          <w:p>
            <w:pPr>
              <w:autoSpaceDE w:val="0"/>
              <w:autoSpaceDN w:val="0"/>
              <w:adjustRightInd w:val="0"/>
              <w:spacing w:line="440" w:lineRule="exact"/>
              <w:rPr>
                <w:rFonts w:ascii="仿宋_GB2312" w:eastAsia="仿宋_GB2312"/>
                <w:kern w:val="0"/>
                <w:sz w:val="24"/>
                <w:highlight w:val="none"/>
              </w:rPr>
            </w:pPr>
          </w:p>
        </w:tc>
        <w:tc>
          <w:tcPr>
            <w:tcW w:w="1269" w:type="dxa"/>
          </w:tcPr>
          <w:p>
            <w:pPr>
              <w:autoSpaceDE w:val="0"/>
              <w:autoSpaceDN w:val="0"/>
              <w:adjustRightInd w:val="0"/>
              <w:spacing w:line="440" w:lineRule="exact"/>
              <w:rPr>
                <w:rFonts w:ascii="仿宋_GB2312" w:eastAsia="仿宋_GB2312"/>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88" w:type="dxa"/>
            <w:gridSpan w:val="5"/>
          </w:tcPr>
          <w:p>
            <w:pPr>
              <w:autoSpaceDE w:val="0"/>
              <w:autoSpaceDN w:val="0"/>
              <w:adjustRightInd w:val="0"/>
              <w:spacing w:line="440" w:lineRule="exact"/>
              <w:rPr>
                <w:rFonts w:ascii="仿宋_GB2312" w:eastAsia="仿宋_GB2312"/>
                <w:kern w:val="0"/>
                <w:sz w:val="24"/>
                <w:highlight w:val="none"/>
              </w:rPr>
            </w:pPr>
            <w:r>
              <w:rPr>
                <w:rFonts w:hint="eastAsia" w:ascii="仿宋_GB2312" w:eastAsia="仿宋_GB2312"/>
                <w:kern w:val="0"/>
                <w:sz w:val="24"/>
                <w:highlight w:val="none"/>
              </w:rPr>
              <w:t>税收及其它费用</w:t>
            </w:r>
          </w:p>
        </w:tc>
        <w:tc>
          <w:tcPr>
            <w:tcW w:w="1269" w:type="dxa"/>
          </w:tcPr>
          <w:p>
            <w:pPr>
              <w:autoSpaceDE w:val="0"/>
              <w:autoSpaceDN w:val="0"/>
              <w:adjustRightInd w:val="0"/>
              <w:spacing w:line="440" w:lineRule="exact"/>
              <w:rPr>
                <w:rFonts w:ascii="仿宋_GB2312" w:eastAsia="仿宋_GB2312"/>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1305" w:type="dxa"/>
            <w:vMerge w:val="restart"/>
            <w:tcBorders>
              <w:right w:val="single" w:color="auto" w:sz="4" w:space="0"/>
            </w:tcBorders>
          </w:tcPr>
          <w:p>
            <w:pPr>
              <w:autoSpaceDE w:val="0"/>
              <w:autoSpaceDN w:val="0"/>
              <w:adjustRightInd w:val="0"/>
              <w:spacing w:line="440" w:lineRule="exact"/>
              <w:rPr>
                <w:rFonts w:ascii="仿宋_GB2312" w:eastAsia="仿宋_GB2312"/>
                <w:kern w:val="0"/>
                <w:sz w:val="24"/>
                <w:highlight w:val="none"/>
              </w:rPr>
            </w:pPr>
            <w:r>
              <w:rPr>
                <w:rFonts w:hint="eastAsia" w:ascii="仿宋_GB2312" w:eastAsia="仿宋_GB2312"/>
                <w:kern w:val="0"/>
                <w:sz w:val="24"/>
                <w:highlight w:val="none"/>
              </w:rPr>
              <w:t>合计：</w:t>
            </w:r>
          </w:p>
        </w:tc>
        <w:tc>
          <w:tcPr>
            <w:tcW w:w="8152" w:type="dxa"/>
            <w:gridSpan w:val="5"/>
            <w:tcBorders>
              <w:left w:val="single" w:color="auto" w:sz="4" w:space="0"/>
              <w:bottom w:val="single" w:color="auto" w:sz="4" w:space="0"/>
            </w:tcBorders>
          </w:tcPr>
          <w:p>
            <w:pPr>
              <w:autoSpaceDE w:val="0"/>
              <w:autoSpaceDN w:val="0"/>
              <w:adjustRightInd w:val="0"/>
              <w:spacing w:line="440" w:lineRule="exact"/>
              <w:rPr>
                <w:rFonts w:ascii="仿宋_GB2312" w:eastAsia="仿宋_GB2312"/>
                <w:kern w:val="0"/>
                <w:sz w:val="24"/>
                <w:highlight w:val="none"/>
              </w:rPr>
            </w:pPr>
            <w:r>
              <w:rPr>
                <w:rFonts w:hint="eastAsia" w:ascii="仿宋_GB2312" w:eastAsia="仿宋_GB2312"/>
                <w:kern w:val="0"/>
                <w:sz w:val="24"/>
                <w:highlight w:val="none"/>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jc w:val="center"/>
        </w:trPr>
        <w:tc>
          <w:tcPr>
            <w:tcW w:w="1305" w:type="dxa"/>
            <w:vMerge w:val="continue"/>
            <w:tcBorders>
              <w:right w:val="single" w:color="auto" w:sz="4" w:space="0"/>
            </w:tcBorders>
          </w:tcPr>
          <w:p>
            <w:pPr>
              <w:autoSpaceDE w:val="0"/>
              <w:autoSpaceDN w:val="0"/>
              <w:adjustRightInd w:val="0"/>
              <w:spacing w:line="440" w:lineRule="exact"/>
              <w:rPr>
                <w:rFonts w:ascii="仿宋_GB2312" w:eastAsia="仿宋_GB2312"/>
                <w:kern w:val="0"/>
                <w:sz w:val="24"/>
                <w:highlight w:val="none"/>
              </w:rPr>
            </w:pPr>
          </w:p>
        </w:tc>
        <w:tc>
          <w:tcPr>
            <w:tcW w:w="8152" w:type="dxa"/>
            <w:gridSpan w:val="5"/>
            <w:tcBorders>
              <w:top w:val="single" w:color="auto" w:sz="4" w:space="0"/>
              <w:left w:val="single" w:color="auto" w:sz="4" w:space="0"/>
            </w:tcBorders>
          </w:tcPr>
          <w:p>
            <w:pPr>
              <w:autoSpaceDE w:val="0"/>
              <w:autoSpaceDN w:val="0"/>
              <w:adjustRightInd w:val="0"/>
              <w:spacing w:line="440" w:lineRule="exact"/>
              <w:rPr>
                <w:rFonts w:ascii="仿宋_GB2312" w:eastAsia="仿宋_GB2312"/>
                <w:kern w:val="0"/>
                <w:sz w:val="24"/>
                <w:highlight w:val="none"/>
              </w:rPr>
            </w:pPr>
            <w:r>
              <w:rPr>
                <w:rFonts w:hint="eastAsia" w:ascii="仿宋_GB2312" w:eastAsia="仿宋_GB2312"/>
                <w:kern w:val="0"/>
                <w:sz w:val="24"/>
                <w:highlight w:val="none"/>
              </w:rPr>
              <w:t>小写：</w:t>
            </w:r>
          </w:p>
        </w:tc>
      </w:tr>
    </w:tbl>
    <w:p>
      <w:pPr>
        <w:spacing w:line="440" w:lineRule="exact"/>
        <w:rPr>
          <w:rFonts w:ascii="仿宋_GB2312" w:eastAsia="仿宋_GB2312"/>
          <w:iCs/>
          <w:color w:val="000000"/>
          <w:sz w:val="24"/>
          <w:highlight w:val="none"/>
        </w:rPr>
      </w:pPr>
    </w:p>
    <w:p>
      <w:pPr>
        <w:spacing w:line="560" w:lineRule="exact"/>
        <w:rPr>
          <w:rFonts w:ascii="仿宋_GB2312" w:hAnsi="宋体" w:eastAsia="仿宋_GB2312" w:cs="仿宋_GB2312"/>
          <w:color w:val="000000"/>
          <w:kern w:val="0"/>
          <w:sz w:val="24"/>
          <w:szCs w:val="24"/>
          <w:highlight w:val="none"/>
          <w:lang w:val="zh-CN"/>
        </w:rPr>
      </w:pPr>
      <w:r>
        <w:rPr>
          <w:rFonts w:hint="eastAsia" w:ascii="仿宋" w:hAnsi="仿宋" w:eastAsia="仿宋"/>
          <w:sz w:val="24"/>
          <w:szCs w:val="24"/>
          <w:highlight w:val="none"/>
        </w:rPr>
        <w:t>注：</w:t>
      </w:r>
      <w:r>
        <w:rPr>
          <w:rFonts w:hint="eastAsia" w:ascii="仿宋_GB2312" w:hAnsi="宋体" w:eastAsia="仿宋_GB2312" w:cs="仿宋_GB2312"/>
          <w:color w:val="000000"/>
          <w:kern w:val="0"/>
          <w:sz w:val="24"/>
          <w:szCs w:val="24"/>
          <w:highlight w:val="none"/>
          <w:lang w:val="zh-CN"/>
        </w:rPr>
        <w:t>１、以上表格要求按货物项目报价，供应商报价包括货物报价和标准附件、专用工具、运输、装卸、保险、安装调试、检测、验收合格、技术支持、售后服务、维护所需的各种费用及必要的保险费用和各项税金等所有费用均计入报价。</w:t>
      </w:r>
    </w:p>
    <w:p>
      <w:pPr>
        <w:spacing w:line="560" w:lineRule="exact"/>
        <w:rPr>
          <w:rFonts w:ascii="仿宋_GB2312" w:hAnsi="宋体" w:eastAsia="仿宋_GB2312" w:cs="仿宋_GB2312"/>
          <w:color w:val="000000"/>
          <w:kern w:val="0"/>
          <w:sz w:val="24"/>
          <w:szCs w:val="24"/>
          <w:highlight w:val="none"/>
          <w:lang w:val="zh-CN"/>
        </w:rPr>
      </w:pPr>
      <w:r>
        <w:rPr>
          <w:rFonts w:hint="eastAsia" w:ascii="仿宋_GB2312" w:hAnsi="宋体" w:eastAsia="仿宋_GB2312" w:cs="仿宋_GB2312"/>
          <w:color w:val="000000"/>
          <w:kern w:val="0"/>
          <w:sz w:val="24"/>
          <w:szCs w:val="24"/>
          <w:highlight w:val="none"/>
          <w:lang w:val="zh-CN"/>
        </w:rPr>
        <w:t>２、本表为应根据投标人拟投入本项目的人、材等成本，允许空白，投标人可以补充报价内容。</w:t>
      </w:r>
    </w:p>
    <w:p>
      <w:pPr>
        <w:pStyle w:val="24"/>
        <w:spacing w:line="460" w:lineRule="atLeast"/>
        <w:rPr>
          <w:rFonts w:ascii="仿宋" w:hAnsi="仿宋" w:eastAsia="仿宋"/>
          <w:sz w:val="24"/>
          <w:szCs w:val="24"/>
          <w:highlight w:val="none"/>
        </w:rPr>
      </w:pPr>
      <w:r>
        <w:rPr>
          <w:rFonts w:hint="eastAsia" w:ascii="仿宋_GB2312" w:hAnsi="宋体" w:eastAsia="仿宋_GB2312" w:cs="仿宋_GB2312"/>
          <w:color w:val="000000"/>
          <w:kern w:val="0"/>
          <w:sz w:val="24"/>
          <w:szCs w:val="24"/>
          <w:highlight w:val="none"/>
          <w:lang w:val="zh-CN"/>
        </w:rPr>
        <w:t>３、“投标总价”应与“商务报价一览表”中 “投标总价”一致。若不一致以商务报价一览表中的价格为准。</w:t>
      </w:r>
    </w:p>
    <w:p>
      <w:pPr>
        <w:spacing w:line="440" w:lineRule="exact"/>
        <w:ind w:left="-4" w:leftChars="-2" w:firstLine="2" w:firstLineChars="1"/>
        <w:rPr>
          <w:rFonts w:ascii="仿宋_GB2312" w:eastAsia="仿宋_GB2312"/>
          <w:b/>
          <w:iCs/>
          <w:color w:val="000000"/>
          <w:sz w:val="24"/>
          <w:highlight w:val="none"/>
        </w:rPr>
      </w:pPr>
      <w:r>
        <w:rPr>
          <w:rFonts w:hint="eastAsia" w:ascii="仿宋_GB2312" w:hAnsi="宋体" w:eastAsia="仿宋_GB2312" w:cs="仿宋_GB2312"/>
          <w:b/>
          <w:color w:val="000000"/>
          <w:kern w:val="0"/>
          <w:sz w:val="24"/>
          <w:szCs w:val="24"/>
          <w:highlight w:val="none"/>
          <w:lang w:val="zh-CN"/>
        </w:rPr>
        <w:t>４、不提供此表格的可视为没有实质性响应招标文件。</w:t>
      </w:r>
    </w:p>
    <w:p>
      <w:pPr>
        <w:pStyle w:val="24"/>
        <w:spacing w:line="460" w:lineRule="atLeast"/>
        <w:ind w:firstLine="240" w:firstLineChars="100"/>
        <w:rPr>
          <w:rFonts w:ascii="仿宋" w:hAnsi="仿宋" w:eastAsia="仿宋"/>
          <w:sz w:val="24"/>
          <w:szCs w:val="24"/>
          <w:highlight w:val="none"/>
        </w:rPr>
      </w:pPr>
    </w:p>
    <w:p>
      <w:pPr>
        <w:autoSpaceDE w:val="0"/>
        <w:autoSpaceDN w:val="0"/>
        <w:adjustRightInd w:val="0"/>
        <w:spacing w:line="440" w:lineRule="exact"/>
        <w:rPr>
          <w:rFonts w:ascii="仿宋_GB2312" w:eastAsia="仿宋_GB2312"/>
          <w:kern w:val="0"/>
          <w:sz w:val="24"/>
          <w:highlight w:val="none"/>
        </w:rPr>
      </w:pPr>
    </w:p>
    <w:p>
      <w:pPr>
        <w:adjustRightInd w:val="0"/>
        <w:snapToGrid w:val="0"/>
        <w:spacing w:line="560" w:lineRule="exact"/>
        <w:ind w:firstLine="5400" w:firstLineChars="2250"/>
        <w:rPr>
          <w:rFonts w:ascii="仿宋_GB2312" w:hAnsi="宋体" w:eastAsia="仿宋_GB2312"/>
          <w:color w:val="000000"/>
          <w:kern w:val="0"/>
          <w:sz w:val="24"/>
          <w:szCs w:val="24"/>
          <w:highlight w:val="none"/>
        </w:rPr>
      </w:pPr>
      <w:r>
        <w:rPr>
          <w:rFonts w:hint="eastAsia" w:ascii="仿宋_GB2312" w:hAnsi="宋体" w:eastAsia="仿宋_GB2312" w:cs="仿宋_GB2312"/>
          <w:color w:val="000000"/>
          <w:kern w:val="0"/>
          <w:sz w:val="24"/>
          <w:szCs w:val="24"/>
          <w:highlight w:val="none"/>
          <w:lang w:val="zh-CN"/>
        </w:rPr>
        <w:t>投标人名称(公章)：</w:t>
      </w:r>
    </w:p>
    <w:p>
      <w:pPr>
        <w:adjustRightInd w:val="0"/>
        <w:snapToGrid w:val="0"/>
        <w:spacing w:line="560" w:lineRule="exact"/>
        <w:rPr>
          <w:rFonts w:ascii="仿宋_GB2312" w:hAnsi="宋体" w:eastAsia="仿宋_GB2312"/>
          <w:color w:val="000000"/>
          <w:kern w:val="0"/>
          <w:sz w:val="24"/>
          <w:szCs w:val="24"/>
          <w:highlight w:val="none"/>
        </w:rPr>
      </w:pPr>
      <w:r>
        <w:rPr>
          <w:rFonts w:hint="eastAsia" w:ascii="仿宋_GB2312" w:hAnsi="宋体" w:eastAsia="仿宋_GB2312" w:cs="仿宋_GB2312"/>
          <w:color w:val="000000"/>
          <w:kern w:val="0"/>
          <w:sz w:val="24"/>
          <w:szCs w:val="24"/>
          <w:highlight w:val="none"/>
          <w:lang w:val="zh-CN"/>
        </w:rPr>
        <w:t xml:space="preserve">                           法定代表人或授权委托人(签字或盖章)：</w:t>
      </w:r>
    </w:p>
    <w:p>
      <w:pPr>
        <w:adjustRightInd w:val="0"/>
        <w:snapToGrid w:val="0"/>
        <w:spacing w:line="560" w:lineRule="exact"/>
        <w:ind w:firstLine="5280" w:firstLineChars="2200"/>
        <w:rPr>
          <w:rFonts w:ascii="仿宋_GB2312" w:hAnsi="宋体" w:eastAsia="仿宋_GB2312"/>
          <w:color w:val="000000"/>
          <w:kern w:val="0"/>
          <w:sz w:val="24"/>
          <w:szCs w:val="24"/>
          <w:highlight w:val="none"/>
          <w:lang w:val="zh-CN"/>
        </w:rPr>
      </w:pPr>
      <w:r>
        <w:rPr>
          <w:rFonts w:hint="eastAsia" w:ascii="仿宋_GB2312" w:hAnsi="宋体" w:eastAsia="仿宋_GB2312" w:cs="仿宋_GB2312"/>
          <w:color w:val="000000"/>
          <w:kern w:val="0"/>
          <w:sz w:val="24"/>
          <w:szCs w:val="24"/>
          <w:highlight w:val="none"/>
          <w:lang w:val="zh-CN"/>
        </w:rPr>
        <w:t>日期</w:t>
      </w:r>
      <w:r>
        <w:rPr>
          <w:rFonts w:hint="eastAsia" w:ascii="仿宋_GB2312" w:hAnsi="宋体" w:eastAsia="仿宋_GB2312" w:cs="仿宋_GB2312"/>
          <w:color w:val="000000"/>
          <w:kern w:val="0"/>
          <w:sz w:val="24"/>
          <w:szCs w:val="24"/>
          <w:highlight w:val="none"/>
        </w:rPr>
        <w:t>：</w:t>
      </w:r>
      <w:r>
        <w:rPr>
          <w:rFonts w:hint="eastAsia" w:ascii="仿宋_GB2312" w:hAnsi="宋体" w:eastAsia="仿宋_GB2312" w:cs="仿宋_GB2312"/>
          <w:color w:val="000000"/>
          <w:kern w:val="0"/>
          <w:sz w:val="24"/>
          <w:szCs w:val="24"/>
          <w:highlight w:val="none"/>
          <w:lang w:val="zh-CN"/>
        </w:rPr>
        <w:t>2019年  月   日</w:t>
      </w:r>
    </w:p>
    <w:p>
      <w:pPr>
        <w:rPr>
          <w:rFonts w:ascii="仿宋_GB2312" w:hAnsi="宋体" w:eastAsia="仿宋_GB2312" w:cs="仿宋_GB2312"/>
          <w:b/>
          <w:bCs/>
          <w:color w:val="000000"/>
          <w:sz w:val="36"/>
          <w:szCs w:val="36"/>
          <w:highlight w:val="none"/>
        </w:rPr>
      </w:pPr>
      <w:r>
        <w:rPr>
          <w:rFonts w:ascii="仿宋_GB2312" w:hAnsi="宋体" w:eastAsia="仿宋_GB2312" w:cs="仿宋_GB2312"/>
          <w:b/>
          <w:bCs/>
          <w:color w:val="000000"/>
          <w:sz w:val="36"/>
          <w:szCs w:val="36"/>
          <w:highlight w:val="none"/>
        </w:rPr>
        <w:br w:type="page"/>
      </w:r>
    </w:p>
    <w:p>
      <w:pPr>
        <w:adjustRightInd w:val="0"/>
        <w:snapToGrid w:val="0"/>
        <w:spacing w:line="560" w:lineRule="exact"/>
        <w:jc w:val="center"/>
        <w:outlineLvl w:val="0"/>
        <w:rPr>
          <w:rFonts w:ascii="仿宋_GB2312" w:hAnsi="宋体" w:eastAsia="仿宋_GB2312"/>
          <w:b/>
          <w:bCs/>
          <w:color w:val="000000"/>
          <w:sz w:val="36"/>
          <w:szCs w:val="36"/>
          <w:highlight w:val="none"/>
        </w:rPr>
      </w:pPr>
      <w:r>
        <w:rPr>
          <w:rFonts w:hint="eastAsia" w:ascii="仿宋_GB2312" w:hAnsi="宋体" w:eastAsia="仿宋_GB2312" w:cs="仿宋_GB2312"/>
          <w:b/>
          <w:bCs/>
          <w:color w:val="000000"/>
          <w:sz w:val="36"/>
          <w:szCs w:val="36"/>
          <w:highlight w:val="none"/>
        </w:rPr>
        <w:t>资信文件</w:t>
      </w:r>
    </w:p>
    <w:p>
      <w:pPr>
        <w:numPr>
          <w:ilvl w:val="0"/>
          <w:numId w:val="3"/>
        </w:numPr>
        <w:adjustRightInd w:val="0"/>
        <w:snapToGrid w:val="0"/>
        <w:spacing w:line="560" w:lineRule="exact"/>
        <w:jc w:val="center"/>
        <w:outlineLvl w:val="1"/>
        <w:rPr>
          <w:rFonts w:ascii="仿宋_GB2312" w:hAnsi="宋体" w:eastAsia="仿宋_GB2312" w:cs="仿宋_GB2312"/>
          <w:b/>
          <w:bCs/>
          <w:color w:val="000000"/>
          <w:kern w:val="0"/>
          <w:sz w:val="32"/>
          <w:szCs w:val="32"/>
          <w:highlight w:val="none"/>
          <w:lang w:val="zh-CN"/>
        </w:rPr>
      </w:pPr>
      <w:r>
        <w:rPr>
          <w:rFonts w:hint="eastAsia" w:ascii="仿宋_GB2312" w:hAnsi="宋体" w:eastAsia="仿宋_GB2312" w:cs="仿宋_GB2312"/>
          <w:b/>
          <w:bCs/>
          <w:color w:val="000000"/>
          <w:kern w:val="0"/>
          <w:sz w:val="32"/>
          <w:szCs w:val="32"/>
          <w:highlight w:val="none"/>
          <w:lang w:val="zh-CN"/>
        </w:rPr>
        <w:t>授权委托书</w:t>
      </w:r>
    </w:p>
    <w:p>
      <w:pPr>
        <w:adjustRightInd w:val="0"/>
        <w:snapToGrid w:val="0"/>
        <w:spacing w:line="560" w:lineRule="exact"/>
        <w:jc w:val="center"/>
        <w:outlineLvl w:val="1"/>
        <w:rPr>
          <w:rFonts w:ascii="仿宋_GB2312" w:hAnsi="宋体" w:eastAsia="仿宋_GB2312"/>
          <w:b/>
          <w:bCs/>
          <w:color w:val="000000"/>
          <w:kern w:val="0"/>
          <w:sz w:val="32"/>
          <w:szCs w:val="32"/>
          <w:highlight w:val="none"/>
          <w:lang w:val="zh-CN"/>
        </w:rPr>
      </w:pPr>
    </w:p>
    <w:p>
      <w:pPr>
        <w:adjustRightInd w:val="0"/>
        <w:snapToGrid w:val="0"/>
        <w:spacing w:line="560" w:lineRule="exact"/>
        <w:rPr>
          <w:rFonts w:ascii="仿宋_GB2312" w:hAnsi="宋体" w:eastAsia="仿宋_GB2312"/>
          <w:color w:val="000000"/>
          <w:sz w:val="24"/>
          <w:szCs w:val="24"/>
          <w:highlight w:val="none"/>
        </w:rPr>
      </w:pPr>
      <w:r>
        <w:rPr>
          <w:rFonts w:hint="eastAsia" w:ascii="仿宋_GB2312" w:hAnsi="宋体" w:eastAsia="仿宋_GB2312" w:cs="仿宋_GB2312"/>
          <w:color w:val="000000"/>
          <w:kern w:val="0"/>
          <w:sz w:val="24"/>
          <w:szCs w:val="24"/>
          <w:highlight w:val="none"/>
          <w:lang w:val="zh-CN"/>
        </w:rPr>
        <w:t>杭州市江干区四季青街道社区卫生服务中心、杭州市公共资源交易中心江干分中心：</w:t>
      </w:r>
    </w:p>
    <w:p>
      <w:pPr>
        <w:adjustRightInd w:val="0"/>
        <w:snapToGrid w:val="0"/>
        <w:spacing w:line="560" w:lineRule="exact"/>
        <w:ind w:firstLine="449" w:firstLineChars="214"/>
        <w:rPr>
          <w:rFonts w:ascii="仿宋_GB2312" w:hAnsi="仿宋_GB2312" w:eastAsia="仿宋_GB2312" w:cs="仿宋_GB2312"/>
          <w:highlight w:val="none"/>
        </w:rPr>
      </w:pPr>
      <w:r>
        <w:rPr>
          <w:rFonts w:hint="eastAsia" w:ascii="仿宋_GB2312" w:hAnsi="宋体" w:eastAsia="仿宋_GB2312"/>
          <w:highlight w:val="none"/>
        </w:rPr>
        <w:t>兹委派我公司        先生/女士（其在本公司的职务是：      ，联系电话：         手机：           传真：           身份证号：                ）代表我公司全权处理项目(项目编号：          )的一切事</w:t>
      </w:r>
      <w:r>
        <w:rPr>
          <w:rFonts w:hint="eastAsia" w:ascii="仿宋_GB2312" w:hAnsi="仿宋_GB2312" w:eastAsia="仿宋_GB2312" w:cs="仿宋_GB2312"/>
          <w:highlight w:val="none"/>
        </w:rPr>
        <w:t>项，若成交则全权代表本公司签订合同，并负责处理合同履行等事宜。</w:t>
      </w:r>
    </w:p>
    <w:p>
      <w:pPr>
        <w:adjustRightInd w:val="0"/>
        <w:snapToGrid w:val="0"/>
        <w:spacing w:line="560" w:lineRule="exact"/>
        <w:ind w:firstLine="449" w:firstLineChars="214"/>
        <w:rPr>
          <w:rFonts w:ascii="仿宋_GB2312" w:hAnsi="仿宋_GB2312" w:eastAsia="仿宋_GB2312" w:cs="仿宋_GB2312"/>
          <w:highlight w:val="none"/>
        </w:rPr>
      </w:pPr>
      <w:r>
        <w:rPr>
          <w:rFonts w:hint="eastAsia" w:ascii="仿宋_GB2312" w:hAnsi="仿宋_GB2312" w:eastAsia="仿宋_GB2312" w:cs="仿宋_GB2312"/>
          <w:highlight w:val="none"/>
        </w:rPr>
        <w:t>在撤销授权的书面通知以前，本授权书一直有效。授权代表在授权书有效期内签署的所有文件不因授权的撤销而失效。</w:t>
      </w:r>
    </w:p>
    <w:p>
      <w:pPr>
        <w:adjustRightInd w:val="0"/>
        <w:snapToGrid w:val="0"/>
        <w:spacing w:line="560" w:lineRule="exact"/>
        <w:ind w:firstLine="449" w:firstLineChars="214"/>
        <w:rPr>
          <w:rFonts w:ascii="仿宋_GB2312" w:hAnsi="仿宋_GB2312" w:eastAsia="仿宋_GB2312" w:cs="仿宋_GB2312"/>
          <w:highlight w:val="none"/>
        </w:rPr>
      </w:pPr>
      <w:r>
        <w:rPr>
          <w:rFonts w:hint="eastAsia" w:ascii="仿宋_GB2312" w:hAnsi="仿宋_GB2312" w:eastAsia="仿宋_GB2312" w:cs="仿宋_GB2312"/>
          <w:highlight w:val="none"/>
        </w:rPr>
        <w:t>授权代表无转委托权，特此委托。</w:t>
      </w:r>
    </w:p>
    <w:p>
      <w:pPr>
        <w:spacing w:line="360" w:lineRule="auto"/>
        <w:rPr>
          <w:rFonts w:ascii="仿宋_GB2312" w:hAnsi="宋体" w:eastAsia="仿宋_GB2312"/>
          <w:b/>
          <w:highlight w:val="none"/>
        </w:rPr>
      </w:pPr>
    </w:p>
    <w:p>
      <w:pPr>
        <w:adjustRightInd w:val="0"/>
        <w:snapToGrid w:val="0"/>
        <w:spacing w:line="560" w:lineRule="exact"/>
        <w:ind w:firstLine="449" w:firstLineChars="214"/>
        <w:rPr>
          <w:rFonts w:ascii="仿宋_GB2312" w:hAnsi="仿宋_GB2312" w:eastAsia="仿宋_GB2312" w:cs="仿宋_GB2312"/>
          <w:highlight w:val="none"/>
        </w:rPr>
      </w:pPr>
    </w:p>
    <w:p>
      <w:pPr>
        <w:adjustRightInd w:val="0"/>
        <w:snapToGrid w:val="0"/>
        <w:spacing w:line="560" w:lineRule="exact"/>
        <w:ind w:firstLine="449" w:firstLineChars="214"/>
        <w:rPr>
          <w:rFonts w:ascii="仿宋_GB2312" w:hAnsi="宋体" w:eastAsia="仿宋_GB2312"/>
          <w:highlight w:val="none"/>
        </w:rPr>
      </w:pPr>
      <w:r>
        <w:rPr>
          <w:rFonts w:hint="eastAsia" w:ascii="仿宋_GB2312" w:hAnsi="宋体" w:eastAsia="仿宋_GB2312"/>
          <w:highlight w:val="none"/>
        </w:rPr>
        <w:t>特此告知。</w:t>
      </w:r>
    </w:p>
    <w:p>
      <w:pPr>
        <w:spacing w:line="440" w:lineRule="exact"/>
        <w:jc w:val="right"/>
        <w:rPr>
          <w:rFonts w:ascii="仿宋_GB2312" w:hAnsi="仿宋_GB2312" w:eastAsia="仿宋_GB2312" w:cs="仿宋_GB2312"/>
          <w:highlight w:val="none"/>
        </w:rPr>
      </w:pPr>
      <w:r>
        <w:rPr>
          <w:rFonts w:hint="eastAsia" w:ascii="仿宋_GB2312" w:hAnsi="宋体" w:eastAsia="仿宋_GB2312"/>
          <w:highlight w:val="none"/>
        </w:rPr>
        <w:t xml:space="preserve">授权代表（签字）：           </w:t>
      </w:r>
      <w:r>
        <w:rPr>
          <w:rFonts w:hint="eastAsia" w:ascii="仿宋_GB2312" w:hAnsi="仿宋_GB2312" w:eastAsia="仿宋_GB2312" w:cs="仿宋_GB2312"/>
          <w:highlight w:val="none"/>
        </w:rPr>
        <w:t xml:space="preserve">                                   供应商（公章）：                                                               法定代表人（签字或盖章）：     </w:t>
      </w:r>
    </w:p>
    <w:p>
      <w:pPr>
        <w:spacing w:line="360" w:lineRule="auto"/>
        <w:ind w:firstLine="420" w:firstLineChars="200"/>
        <w:jc w:val="right"/>
        <w:rPr>
          <w:rFonts w:ascii="仿宋_GB2312" w:hAnsi="仿宋_GB2312" w:eastAsia="仿宋_GB2312" w:cs="仿宋_GB2312"/>
          <w:highlight w:val="none"/>
        </w:rPr>
      </w:pPr>
      <w:r>
        <w:rPr>
          <w:rFonts w:hint="eastAsia" w:ascii="仿宋_GB2312" w:hAnsi="仿宋_GB2312" w:eastAsia="仿宋_GB2312" w:cs="仿宋_GB2312"/>
          <w:highlight w:val="none"/>
        </w:rPr>
        <w:t xml:space="preserve">法定代表人身份证号：                                       </w:t>
      </w:r>
    </w:p>
    <w:p>
      <w:pPr>
        <w:wordWrap w:val="0"/>
        <w:ind w:firstLine="480"/>
        <w:jc w:val="right"/>
        <w:rPr>
          <w:rFonts w:ascii="仿宋_GB2312" w:hAnsi="仿宋_GB2312" w:eastAsia="仿宋_GB2312" w:cs="仿宋_GB2312"/>
          <w:highlight w:val="none"/>
        </w:rPr>
      </w:pPr>
      <w:r>
        <w:rPr>
          <w:rFonts w:hint="eastAsia" w:ascii="仿宋_GB2312" w:hAnsi="仿宋_GB2312" w:eastAsia="仿宋_GB2312" w:cs="仿宋_GB2312"/>
          <w:highlight w:val="none"/>
        </w:rPr>
        <w:t>日期：2019年  月  日</w:t>
      </w:r>
    </w:p>
    <w:p>
      <w:pPr>
        <w:rPr>
          <w:highlight w:val="none"/>
        </w:rPr>
      </w:pPr>
    </w:p>
    <w:p>
      <w:pPr>
        <w:spacing w:line="360" w:lineRule="auto"/>
        <w:rPr>
          <w:rFonts w:ascii="仿宋_GB2312" w:hAnsi="宋体" w:eastAsia="仿宋_GB2312"/>
          <w:b/>
          <w:highlight w:val="none"/>
        </w:rPr>
      </w:pPr>
      <w:r>
        <w:rPr>
          <w:rFonts w:hint="eastAsia" w:ascii="仿宋_GB2312" w:hAnsi="宋体" w:eastAsia="仿宋_GB2312"/>
          <w:b/>
          <w:highlight w:val="none"/>
        </w:rPr>
        <w:t>附：（有则填写）</w:t>
      </w:r>
    </w:p>
    <w:p>
      <w:pPr>
        <w:adjustRightInd w:val="0"/>
        <w:snapToGrid w:val="0"/>
        <w:spacing w:line="560" w:lineRule="exact"/>
        <w:rPr>
          <w:highlight w:val="none"/>
        </w:rPr>
      </w:pPr>
      <w:r>
        <w:rPr>
          <w:rFonts w:hint="eastAsia" w:ascii="仿宋_GB2312" w:hAnsi="宋体" w:eastAsia="仿宋_GB2312"/>
          <w:b/>
          <w:highlight w:val="none"/>
        </w:rPr>
        <w:t>另委派我公司             先生/女士（其在本公司的职务是：      ，联系电话：         手机：           传真：           身份证号：                ）作为技术（或其他请具体说明）人员，陪同参与本次项目开评标。</w:t>
      </w:r>
    </w:p>
    <w:p>
      <w:pPr>
        <w:adjustRightInd w:val="0"/>
        <w:snapToGrid w:val="0"/>
        <w:spacing w:line="560" w:lineRule="exact"/>
        <w:ind w:right="480"/>
        <w:jc w:val="center"/>
        <w:outlineLvl w:val="1"/>
        <w:rPr>
          <w:rFonts w:ascii="仿宋_GB2312" w:hAnsi="宋体" w:eastAsia="仿宋_GB2312" w:cs="仿宋_GB2312"/>
          <w:b/>
          <w:bCs/>
          <w:color w:val="000000"/>
          <w:kern w:val="0"/>
          <w:sz w:val="32"/>
          <w:szCs w:val="32"/>
          <w:highlight w:val="none"/>
          <w:lang w:val="zh-CN"/>
        </w:rPr>
      </w:pPr>
    </w:p>
    <w:p>
      <w:pPr>
        <w:rPr>
          <w:rFonts w:ascii="仿宋_GB2312" w:hAnsi="宋体" w:eastAsia="仿宋_GB2312" w:cs="仿宋_GB2312"/>
          <w:b/>
          <w:bCs/>
          <w:color w:val="000000"/>
          <w:kern w:val="0"/>
          <w:sz w:val="32"/>
          <w:szCs w:val="32"/>
          <w:highlight w:val="none"/>
          <w:lang w:val="zh-CN"/>
        </w:rPr>
      </w:pPr>
      <w:r>
        <w:rPr>
          <w:rFonts w:ascii="仿宋_GB2312" w:hAnsi="宋体" w:eastAsia="仿宋_GB2312" w:cs="仿宋_GB2312"/>
          <w:b/>
          <w:bCs/>
          <w:color w:val="000000"/>
          <w:kern w:val="0"/>
          <w:sz w:val="32"/>
          <w:szCs w:val="32"/>
          <w:highlight w:val="none"/>
          <w:lang w:val="zh-CN"/>
        </w:rPr>
        <w:br w:type="page"/>
      </w:r>
    </w:p>
    <w:p>
      <w:pPr>
        <w:adjustRightInd w:val="0"/>
        <w:snapToGrid w:val="0"/>
        <w:spacing w:line="560" w:lineRule="exact"/>
        <w:ind w:right="480"/>
        <w:jc w:val="center"/>
        <w:outlineLvl w:val="1"/>
        <w:rPr>
          <w:rFonts w:ascii="仿宋_GB2312" w:hAnsi="宋体" w:eastAsia="仿宋_GB2312"/>
          <w:b/>
          <w:bCs/>
          <w:color w:val="000000"/>
          <w:kern w:val="0"/>
          <w:sz w:val="32"/>
          <w:szCs w:val="32"/>
          <w:highlight w:val="none"/>
        </w:rPr>
      </w:pPr>
      <w:r>
        <w:rPr>
          <w:rFonts w:hint="eastAsia" w:ascii="仿宋_GB2312" w:hAnsi="宋体" w:eastAsia="仿宋_GB2312" w:cs="仿宋_GB2312"/>
          <w:b/>
          <w:bCs/>
          <w:color w:val="000000"/>
          <w:kern w:val="0"/>
          <w:sz w:val="32"/>
          <w:szCs w:val="32"/>
          <w:highlight w:val="none"/>
          <w:lang w:val="zh-CN"/>
        </w:rPr>
        <w:t>二、声明书</w:t>
      </w:r>
    </w:p>
    <w:p>
      <w:pPr>
        <w:adjustRightInd w:val="0"/>
        <w:snapToGrid w:val="0"/>
        <w:spacing w:line="560" w:lineRule="exact"/>
        <w:rPr>
          <w:rFonts w:ascii="仿宋_GB2312" w:hAnsi="宋体" w:eastAsia="仿宋_GB2312" w:cs="仿宋_GB2312"/>
          <w:kern w:val="0"/>
          <w:sz w:val="24"/>
          <w:szCs w:val="24"/>
          <w:highlight w:val="none"/>
          <w:lang w:val="zh-CN"/>
        </w:rPr>
      </w:pPr>
      <w:r>
        <w:rPr>
          <w:rFonts w:hint="eastAsia" w:ascii="仿宋_GB2312" w:hAnsi="宋体" w:eastAsia="仿宋_GB2312" w:cs="仿宋_GB2312"/>
          <w:color w:val="000000"/>
          <w:kern w:val="0"/>
          <w:sz w:val="24"/>
          <w:szCs w:val="24"/>
          <w:highlight w:val="none"/>
          <w:lang w:val="zh-CN"/>
        </w:rPr>
        <w:t>杭州市江干区四季青街道社区卫生服务中心</w:t>
      </w:r>
      <w:r>
        <w:rPr>
          <w:rFonts w:hint="eastAsia" w:ascii="仿宋_GB2312" w:hAnsi="宋体" w:eastAsia="仿宋_GB2312" w:cs="仿宋_GB2312"/>
          <w:kern w:val="0"/>
          <w:sz w:val="24"/>
          <w:szCs w:val="24"/>
          <w:highlight w:val="none"/>
          <w:lang w:val="zh-CN"/>
        </w:rPr>
        <w:t xml:space="preserve">、杭州市公共资源交易中心江干分中心： </w:t>
      </w:r>
    </w:p>
    <w:p>
      <w:pPr>
        <w:adjustRightInd w:val="0"/>
        <w:snapToGrid w:val="0"/>
        <w:spacing w:line="560" w:lineRule="exact"/>
        <w:ind w:firstLine="480" w:firstLineChars="200"/>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lang w:val="zh-CN"/>
        </w:rPr>
        <w:t xml:space="preserve">我司自愿参加 项目（招标编号：)的投标，现声明如下：  </w:t>
      </w:r>
    </w:p>
    <w:p>
      <w:pPr>
        <w:adjustRightInd w:val="0"/>
        <w:snapToGrid w:val="0"/>
        <w:spacing w:line="560" w:lineRule="exact"/>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lang w:val="zh-CN"/>
        </w:rPr>
        <w:t>一、同意此次招标文件中的各项内容及要求。</w:t>
      </w:r>
    </w:p>
    <w:p>
      <w:pPr>
        <w:adjustRightInd w:val="0"/>
        <w:snapToGrid w:val="0"/>
        <w:spacing w:line="560" w:lineRule="exact"/>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lang w:val="zh-CN"/>
        </w:rPr>
        <w:t>二、同意按照贵方要求提供与投标有关的一切数据或资料等，并保证相关内容真实、合法。</w:t>
      </w:r>
    </w:p>
    <w:p>
      <w:pPr>
        <w:adjustRightInd w:val="0"/>
        <w:snapToGrid w:val="0"/>
        <w:spacing w:line="560" w:lineRule="exact"/>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lang w:val="zh-CN"/>
        </w:rPr>
        <w:t>三、参加本次政府采购活动前五年内，我司及法定代表人、主要管理人员在生产经营活动中无重大违法犯罪记录。</w:t>
      </w:r>
    </w:p>
    <w:p>
      <w:pPr>
        <w:adjustRightInd w:val="0"/>
        <w:snapToGrid w:val="0"/>
        <w:spacing w:line="560" w:lineRule="exact"/>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lang w:val="zh-CN"/>
        </w:rPr>
        <w:t>四、参加本次政府采购活动前五年内，我司及法定代表人、主要管理人员无涉嫌行贿犯罪等违法行为正被相关部门调查的。</w:t>
      </w:r>
    </w:p>
    <w:p>
      <w:pPr>
        <w:adjustRightInd w:val="0"/>
        <w:snapToGrid w:val="0"/>
        <w:spacing w:line="560" w:lineRule="exact"/>
        <w:rPr>
          <w:rFonts w:ascii="仿宋_GB2312" w:hAnsi="宋体" w:eastAsia="仿宋_GB2312" w:cs="仿宋_GB2312"/>
          <w:kern w:val="0"/>
          <w:sz w:val="24"/>
          <w:szCs w:val="24"/>
          <w:highlight w:val="none"/>
          <w:lang w:val="zh-CN"/>
        </w:rPr>
      </w:pPr>
      <w:r>
        <w:rPr>
          <w:rFonts w:hint="eastAsia" w:ascii="仿宋_GB2312" w:hAnsi="宋体" w:eastAsia="仿宋_GB2312" w:cs="仿宋_GB2312"/>
          <w:kern w:val="0"/>
          <w:sz w:val="24"/>
          <w:szCs w:val="24"/>
          <w:highlight w:val="none"/>
          <w:lang w:val="zh-CN"/>
        </w:rPr>
        <w:t>若上述声明不实，我司愿按照政府采购相关法律、法规接受处罚。</w:t>
      </w:r>
    </w:p>
    <w:p>
      <w:pPr>
        <w:adjustRightInd w:val="0"/>
        <w:snapToGrid w:val="0"/>
        <w:spacing w:line="560" w:lineRule="exact"/>
        <w:rPr>
          <w:rFonts w:ascii="仿宋_GB2312" w:hAnsi="宋体" w:eastAsia="仿宋_GB2312" w:cs="仿宋_GB2312"/>
          <w:kern w:val="0"/>
          <w:sz w:val="24"/>
          <w:szCs w:val="24"/>
          <w:highlight w:val="none"/>
          <w:lang w:val="zh-CN"/>
        </w:rPr>
      </w:pPr>
    </w:p>
    <w:p>
      <w:pPr>
        <w:adjustRightInd w:val="0"/>
        <w:snapToGrid w:val="0"/>
        <w:spacing w:line="560" w:lineRule="exact"/>
        <w:rPr>
          <w:rFonts w:ascii="仿宋_GB2312" w:hAnsi="宋体" w:eastAsia="仿宋_GB2312"/>
          <w:color w:val="000000"/>
          <w:kern w:val="0"/>
          <w:sz w:val="24"/>
          <w:szCs w:val="24"/>
          <w:highlight w:val="none"/>
        </w:rPr>
      </w:pPr>
      <w:r>
        <w:rPr>
          <w:rFonts w:hint="eastAsia" w:ascii="仿宋_GB2312" w:hAnsi="宋体" w:eastAsia="仿宋_GB2312" w:cs="仿宋_GB2312"/>
          <w:kern w:val="0"/>
          <w:sz w:val="24"/>
          <w:szCs w:val="24"/>
          <w:highlight w:val="none"/>
          <w:lang w:val="zh-CN"/>
        </w:rPr>
        <w:t>特此声明。</w:t>
      </w:r>
    </w:p>
    <w:p>
      <w:pPr>
        <w:adjustRightInd w:val="0"/>
        <w:snapToGrid w:val="0"/>
        <w:spacing w:line="560" w:lineRule="exact"/>
        <w:rPr>
          <w:rFonts w:ascii="仿宋_GB2312" w:hAnsi="宋体" w:eastAsia="仿宋_GB2312"/>
          <w:color w:val="000000"/>
          <w:kern w:val="0"/>
          <w:sz w:val="24"/>
          <w:szCs w:val="24"/>
          <w:highlight w:val="none"/>
        </w:rPr>
      </w:pPr>
      <w:r>
        <w:rPr>
          <w:rFonts w:hint="eastAsia" w:ascii="仿宋_GB2312" w:hAnsi="宋体" w:eastAsia="仿宋_GB2312" w:cs="仿宋_GB2312"/>
          <w:color w:val="000000"/>
          <w:kern w:val="0"/>
          <w:sz w:val="24"/>
          <w:szCs w:val="24"/>
          <w:highlight w:val="none"/>
          <w:lang w:val="zh-CN"/>
        </w:rPr>
        <w:t xml:space="preserve">                                            投标人名称(公章)：</w:t>
      </w:r>
    </w:p>
    <w:p>
      <w:pPr>
        <w:adjustRightInd w:val="0"/>
        <w:snapToGrid w:val="0"/>
        <w:spacing w:line="560" w:lineRule="exact"/>
        <w:rPr>
          <w:rFonts w:ascii="仿宋_GB2312" w:hAnsi="宋体" w:eastAsia="仿宋_GB2312"/>
          <w:color w:val="000000"/>
          <w:kern w:val="0"/>
          <w:sz w:val="24"/>
          <w:szCs w:val="24"/>
          <w:highlight w:val="none"/>
        </w:rPr>
      </w:pPr>
      <w:r>
        <w:rPr>
          <w:rFonts w:hint="eastAsia" w:ascii="仿宋_GB2312" w:hAnsi="宋体" w:eastAsia="仿宋_GB2312" w:cs="仿宋_GB2312"/>
          <w:color w:val="000000"/>
          <w:kern w:val="0"/>
          <w:sz w:val="24"/>
          <w:szCs w:val="24"/>
          <w:highlight w:val="none"/>
          <w:lang w:val="zh-CN"/>
        </w:rPr>
        <w:t xml:space="preserve">                          法定代表人或授权委托人(签字或盖章)：</w:t>
      </w:r>
    </w:p>
    <w:p>
      <w:pPr>
        <w:adjustRightInd w:val="0"/>
        <w:snapToGrid w:val="0"/>
        <w:spacing w:line="560" w:lineRule="exact"/>
        <w:ind w:firstLine="5280" w:firstLineChars="2200"/>
        <w:rPr>
          <w:rFonts w:ascii="仿宋_GB2312" w:hAnsi="宋体" w:eastAsia="仿宋_GB2312"/>
          <w:color w:val="000000"/>
          <w:kern w:val="0"/>
          <w:sz w:val="24"/>
          <w:szCs w:val="24"/>
          <w:highlight w:val="none"/>
          <w:lang w:val="zh-CN"/>
        </w:rPr>
      </w:pPr>
      <w:r>
        <w:rPr>
          <w:rFonts w:hint="eastAsia" w:ascii="仿宋_GB2312" w:hAnsi="宋体" w:eastAsia="仿宋_GB2312" w:cs="仿宋_GB2312"/>
          <w:color w:val="000000"/>
          <w:kern w:val="0"/>
          <w:sz w:val="24"/>
          <w:szCs w:val="24"/>
          <w:highlight w:val="none"/>
          <w:lang w:val="zh-CN"/>
        </w:rPr>
        <w:t>日期</w:t>
      </w:r>
      <w:r>
        <w:rPr>
          <w:rFonts w:hint="eastAsia" w:ascii="仿宋_GB2312" w:hAnsi="宋体" w:eastAsia="仿宋_GB2312" w:cs="仿宋_GB2312"/>
          <w:color w:val="000000"/>
          <w:kern w:val="0"/>
          <w:sz w:val="24"/>
          <w:szCs w:val="24"/>
          <w:highlight w:val="none"/>
        </w:rPr>
        <w:t>：</w:t>
      </w:r>
      <w:r>
        <w:rPr>
          <w:rFonts w:hint="eastAsia" w:ascii="仿宋_GB2312" w:hAnsi="宋体" w:eastAsia="仿宋_GB2312" w:cs="仿宋_GB2312"/>
          <w:color w:val="000000"/>
          <w:kern w:val="0"/>
          <w:sz w:val="24"/>
          <w:szCs w:val="24"/>
          <w:highlight w:val="none"/>
          <w:lang w:val="zh-CN"/>
        </w:rPr>
        <w:t>2019年  月   日</w:t>
      </w:r>
    </w:p>
    <w:p>
      <w:pPr>
        <w:adjustRightInd w:val="0"/>
        <w:snapToGrid w:val="0"/>
        <w:spacing w:line="560" w:lineRule="exact"/>
        <w:ind w:firstLine="5160" w:firstLineChars="2150"/>
        <w:rPr>
          <w:rFonts w:ascii="仿宋_GB2312" w:hAnsi="宋体" w:eastAsia="仿宋_GB2312"/>
          <w:color w:val="000000"/>
          <w:kern w:val="0"/>
          <w:sz w:val="24"/>
          <w:szCs w:val="24"/>
          <w:highlight w:val="none"/>
          <w:lang w:val="zh-CN"/>
        </w:rPr>
      </w:pPr>
    </w:p>
    <w:p>
      <w:pPr>
        <w:rPr>
          <w:rFonts w:ascii="仿宋_GB2312" w:hAnsi="宋体" w:eastAsia="仿宋_GB2312" w:cs="仿宋_GB2312"/>
          <w:b/>
          <w:bCs/>
          <w:color w:val="000000"/>
          <w:sz w:val="32"/>
          <w:szCs w:val="32"/>
          <w:highlight w:val="none"/>
        </w:rPr>
      </w:pPr>
      <w:r>
        <w:rPr>
          <w:rFonts w:ascii="仿宋_GB2312" w:hAnsi="宋体" w:eastAsia="仿宋_GB2312" w:cs="仿宋_GB2312"/>
          <w:b/>
          <w:bCs/>
          <w:color w:val="000000"/>
          <w:sz w:val="32"/>
          <w:szCs w:val="32"/>
          <w:highlight w:val="none"/>
        </w:rPr>
        <w:br w:type="page"/>
      </w:r>
    </w:p>
    <w:p>
      <w:pPr>
        <w:numPr>
          <w:ilvl w:val="0"/>
          <w:numId w:val="4"/>
        </w:numPr>
        <w:tabs>
          <w:tab w:val="left" w:pos="0"/>
        </w:tabs>
        <w:spacing w:line="560" w:lineRule="exact"/>
        <w:jc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sz w:val="32"/>
          <w:szCs w:val="32"/>
          <w:highlight w:val="none"/>
        </w:rPr>
        <w:t>投标人企业情况</w:t>
      </w:r>
    </w:p>
    <w:tbl>
      <w:tblPr>
        <w:tblStyle w:val="49"/>
        <w:tblW w:w="9825"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334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jc w:val="center"/>
        </w:trPr>
        <w:tc>
          <w:tcPr>
            <w:tcW w:w="645" w:type="dxa"/>
            <w:vMerge w:val="restart"/>
            <w:vAlign w:val="center"/>
          </w:tcPr>
          <w:p>
            <w:pPr>
              <w:spacing w:line="560" w:lineRule="exact"/>
              <w:rPr>
                <w:rFonts w:ascii="仿宋_GB2312" w:eastAsia="仿宋_GB2312"/>
                <w:sz w:val="24"/>
                <w:szCs w:val="24"/>
                <w:highlight w:val="none"/>
              </w:rPr>
            </w:pPr>
          </w:p>
          <w:p>
            <w:pPr>
              <w:spacing w:line="560" w:lineRule="exact"/>
              <w:jc w:val="center"/>
              <w:rPr>
                <w:rFonts w:ascii="仿宋_GB2312" w:eastAsia="仿宋_GB2312"/>
                <w:sz w:val="24"/>
                <w:szCs w:val="24"/>
                <w:highlight w:val="none"/>
              </w:rPr>
            </w:pPr>
          </w:p>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投</w:t>
            </w:r>
          </w:p>
          <w:p>
            <w:pPr>
              <w:spacing w:line="560" w:lineRule="exact"/>
              <w:jc w:val="center"/>
              <w:rPr>
                <w:rFonts w:ascii="仿宋_GB2312" w:eastAsia="仿宋_GB2312"/>
                <w:sz w:val="24"/>
                <w:szCs w:val="24"/>
                <w:highlight w:val="none"/>
              </w:rPr>
            </w:pPr>
          </w:p>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标</w:t>
            </w:r>
          </w:p>
          <w:p>
            <w:pPr>
              <w:spacing w:line="560" w:lineRule="exact"/>
              <w:jc w:val="center"/>
              <w:rPr>
                <w:rFonts w:ascii="仿宋_GB2312" w:eastAsia="仿宋_GB2312"/>
                <w:sz w:val="24"/>
                <w:szCs w:val="24"/>
                <w:highlight w:val="none"/>
              </w:rPr>
            </w:pPr>
          </w:p>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人</w:t>
            </w:r>
          </w:p>
          <w:p>
            <w:pPr>
              <w:spacing w:line="560" w:lineRule="exact"/>
              <w:jc w:val="center"/>
              <w:rPr>
                <w:rFonts w:ascii="仿宋_GB2312" w:eastAsia="仿宋_GB2312"/>
                <w:sz w:val="24"/>
                <w:szCs w:val="24"/>
                <w:highlight w:val="none"/>
              </w:rPr>
            </w:pPr>
          </w:p>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概</w:t>
            </w:r>
          </w:p>
          <w:p>
            <w:pPr>
              <w:spacing w:line="560" w:lineRule="exact"/>
              <w:jc w:val="center"/>
              <w:rPr>
                <w:rFonts w:ascii="仿宋_GB2312" w:eastAsia="仿宋_GB2312"/>
                <w:sz w:val="24"/>
                <w:szCs w:val="24"/>
                <w:highlight w:val="none"/>
              </w:rPr>
            </w:pPr>
          </w:p>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况</w:t>
            </w:r>
          </w:p>
        </w:tc>
        <w:tc>
          <w:tcPr>
            <w:tcW w:w="1800" w:type="dxa"/>
            <w:vAlign w:val="center"/>
          </w:tcPr>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名称</w:t>
            </w:r>
          </w:p>
        </w:tc>
        <w:tc>
          <w:tcPr>
            <w:tcW w:w="7380" w:type="dxa"/>
            <w:gridSpan w:val="3"/>
            <w:vAlign w:val="center"/>
          </w:tcPr>
          <w:p>
            <w:pPr>
              <w:spacing w:line="560" w:lineRule="exact"/>
              <w:jc w:val="center"/>
              <w:rPr>
                <w:rFonts w:ascii="仿宋_GB2312" w:eastAsia="仿宋_GB2312"/>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645" w:type="dxa"/>
            <w:vMerge w:val="continue"/>
            <w:vAlign w:val="center"/>
          </w:tcPr>
          <w:p>
            <w:pPr>
              <w:spacing w:line="560" w:lineRule="exact"/>
              <w:jc w:val="center"/>
              <w:rPr>
                <w:rFonts w:ascii="仿宋_GB2312" w:eastAsia="仿宋_GB2312"/>
                <w:sz w:val="24"/>
                <w:szCs w:val="24"/>
                <w:highlight w:val="none"/>
              </w:rPr>
            </w:pPr>
          </w:p>
        </w:tc>
        <w:tc>
          <w:tcPr>
            <w:tcW w:w="1800" w:type="dxa"/>
            <w:vAlign w:val="center"/>
          </w:tcPr>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地址</w:t>
            </w:r>
          </w:p>
        </w:tc>
        <w:tc>
          <w:tcPr>
            <w:tcW w:w="7380" w:type="dxa"/>
            <w:gridSpan w:val="3"/>
            <w:vAlign w:val="center"/>
          </w:tcPr>
          <w:p>
            <w:pPr>
              <w:spacing w:line="560" w:lineRule="exact"/>
              <w:jc w:val="center"/>
              <w:rPr>
                <w:rFonts w:ascii="仿宋_GB2312" w:eastAsia="仿宋_GB2312"/>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645" w:type="dxa"/>
            <w:vMerge w:val="continue"/>
            <w:vAlign w:val="center"/>
          </w:tcPr>
          <w:p>
            <w:pPr>
              <w:spacing w:line="560" w:lineRule="exact"/>
              <w:jc w:val="center"/>
              <w:rPr>
                <w:rFonts w:ascii="仿宋_GB2312" w:eastAsia="仿宋_GB2312"/>
                <w:sz w:val="24"/>
                <w:szCs w:val="24"/>
                <w:highlight w:val="none"/>
              </w:rPr>
            </w:pPr>
          </w:p>
        </w:tc>
        <w:tc>
          <w:tcPr>
            <w:tcW w:w="1800" w:type="dxa"/>
            <w:vAlign w:val="center"/>
          </w:tcPr>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经营范围</w:t>
            </w:r>
          </w:p>
        </w:tc>
        <w:tc>
          <w:tcPr>
            <w:tcW w:w="7380" w:type="dxa"/>
            <w:gridSpan w:val="3"/>
            <w:vAlign w:val="center"/>
          </w:tcPr>
          <w:p>
            <w:pPr>
              <w:spacing w:line="560" w:lineRule="exact"/>
              <w:jc w:val="center"/>
              <w:rPr>
                <w:rFonts w:ascii="仿宋_GB2312" w:eastAsia="仿宋_GB2312"/>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645" w:type="dxa"/>
            <w:vMerge w:val="continue"/>
            <w:vAlign w:val="center"/>
          </w:tcPr>
          <w:p>
            <w:pPr>
              <w:spacing w:line="560" w:lineRule="exact"/>
              <w:jc w:val="center"/>
              <w:rPr>
                <w:rFonts w:ascii="仿宋_GB2312" w:eastAsia="仿宋_GB2312"/>
                <w:sz w:val="24"/>
                <w:szCs w:val="24"/>
                <w:highlight w:val="none"/>
              </w:rPr>
            </w:pPr>
          </w:p>
        </w:tc>
        <w:tc>
          <w:tcPr>
            <w:tcW w:w="1800" w:type="dxa"/>
            <w:vAlign w:val="center"/>
          </w:tcPr>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成立时间</w:t>
            </w:r>
          </w:p>
        </w:tc>
        <w:tc>
          <w:tcPr>
            <w:tcW w:w="2119" w:type="dxa"/>
            <w:vAlign w:val="center"/>
          </w:tcPr>
          <w:p>
            <w:pPr>
              <w:spacing w:line="560" w:lineRule="exact"/>
              <w:jc w:val="center"/>
              <w:rPr>
                <w:rFonts w:ascii="仿宋_GB2312" w:eastAsia="仿宋_GB2312"/>
                <w:sz w:val="24"/>
                <w:szCs w:val="24"/>
                <w:highlight w:val="none"/>
              </w:rPr>
            </w:pPr>
          </w:p>
        </w:tc>
        <w:tc>
          <w:tcPr>
            <w:tcW w:w="1920" w:type="dxa"/>
            <w:vAlign w:val="center"/>
          </w:tcPr>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经济性质</w:t>
            </w:r>
          </w:p>
        </w:tc>
        <w:tc>
          <w:tcPr>
            <w:tcW w:w="3341" w:type="dxa"/>
            <w:vAlign w:val="center"/>
          </w:tcPr>
          <w:p>
            <w:pPr>
              <w:spacing w:line="560" w:lineRule="exact"/>
              <w:jc w:val="center"/>
              <w:rPr>
                <w:rFonts w:ascii="仿宋_GB2312" w:eastAsia="仿宋_GB2312"/>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45" w:type="dxa"/>
            <w:vMerge w:val="continue"/>
            <w:vAlign w:val="center"/>
          </w:tcPr>
          <w:p>
            <w:pPr>
              <w:spacing w:line="560" w:lineRule="exact"/>
              <w:jc w:val="center"/>
              <w:rPr>
                <w:rFonts w:ascii="仿宋_GB2312" w:eastAsia="仿宋_GB2312"/>
                <w:sz w:val="24"/>
                <w:szCs w:val="24"/>
                <w:highlight w:val="none"/>
              </w:rPr>
            </w:pPr>
          </w:p>
        </w:tc>
        <w:tc>
          <w:tcPr>
            <w:tcW w:w="1800" w:type="dxa"/>
            <w:vAlign w:val="center"/>
          </w:tcPr>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法定代表人</w:t>
            </w:r>
          </w:p>
        </w:tc>
        <w:tc>
          <w:tcPr>
            <w:tcW w:w="2119" w:type="dxa"/>
            <w:vAlign w:val="center"/>
          </w:tcPr>
          <w:p>
            <w:pPr>
              <w:spacing w:line="560" w:lineRule="exact"/>
              <w:jc w:val="center"/>
              <w:rPr>
                <w:rFonts w:ascii="仿宋_GB2312" w:eastAsia="仿宋_GB2312"/>
                <w:sz w:val="24"/>
                <w:szCs w:val="24"/>
                <w:highlight w:val="none"/>
              </w:rPr>
            </w:pPr>
          </w:p>
        </w:tc>
        <w:tc>
          <w:tcPr>
            <w:tcW w:w="1920" w:type="dxa"/>
            <w:vAlign w:val="center"/>
          </w:tcPr>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联系电话</w:t>
            </w:r>
          </w:p>
        </w:tc>
        <w:tc>
          <w:tcPr>
            <w:tcW w:w="3341" w:type="dxa"/>
            <w:vAlign w:val="center"/>
          </w:tcPr>
          <w:p>
            <w:pPr>
              <w:spacing w:line="560" w:lineRule="exact"/>
              <w:jc w:val="center"/>
              <w:rPr>
                <w:rFonts w:ascii="仿宋_GB2312" w:eastAsia="仿宋_GB2312"/>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645" w:type="dxa"/>
            <w:vMerge w:val="continue"/>
            <w:vAlign w:val="center"/>
          </w:tcPr>
          <w:p>
            <w:pPr>
              <w:spacing w:line="560" w:lineRule="exact"/>
              <w:jc w:val="center"/>
              <w:rPr>
                <w:rFonts w:ascii="仿宋_GB2312" w:eastAsia="仿宋_GB2312"/>
                <w:sz w:val="24"/>
                <w:szCs w:val="24"/>
                <w:highlight w:val="none"/>
              </w:rPr>
            </w:pPr>
          </w:p>
        </w:tc>
        <w:tc>
          <w:tcPr>
            <w:tcW w:w="1800" w:type="dxa"/>
            <w:vAlign w:val="center"/>
          </w:tcPr>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注册资金</w:t>
            </w:r>
          </w:p>
        </w:tc>
        <w:tc>
          <w:tcPr>
            <w:tcW w:w="2119" w:type="dxa"/>
            <w:vAlign w:val="center"/>
          </w:tcPr>
          <w:p>
            <w:pPr>
              <w:spacing w:line="560" w:lineRule="exact"/>
              <w:jc w:val="center"/>
              <w:rPr>
                <w:rFonts w:ascii="仿宋_GB2312" w:eastAsia="仿宋_GB2312"/>
                <w:sz w:val="24"/>
                <w:szCs w:val="24"/>
                <w:highlight w:val="none"/>
              </w:rPr>
            </w:pPr>
          </w:p>
        </w:tc>
        <w:tc>
          <w:tcPr>
            <w:tcW w:w="1920" w:type="dxa"/>
            <w:vAlign w:val="center"/>
          </w:tcPr>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技术人员数</w:t>
            </w:r>
          </w:p>
        </w:tc>
        <w:tc>
          <w:tcPr>
            <w:tcW w:w="3341" w:type="dxa"/>
            <w:vAlign w:val="center"/>
          </w:tcPr>
          <w:p>
            <w:pPr>
              <w:spacing w:line="560" w:lineRule="exact"/>
              <w:jc w:val="center"/>
              <w:rPr>
                <w:rFonts w:ascii="仿宋_GB2312" w:eastAsia="仿宋_GB2312"/>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645" w:type="dxa"/>
            <w:vMerge w:val="continue"/>
            <w:vAlign w:val="center"/>
          </w:tcPr>
          <w:p>
            <w:pPr>
              <w:spacing w:line="560" w:lineRule="exact"/>
              <w:jc w:val="center"/>
              <w:rPr>
                <w:rFonts w:ascii="仿宋_GB2312" w:eastAsia="仿宋_GB2312"/>
                <w:sz w:val="24"/>
                <w:szCs w:val="24"/>
                <w:highlight w:val="none"/>
              </w:rPr>
            </w:pPr>
          </w:p>
        </w:tc>
        <w:tc>
          <w:tcPr>
            <w:tcW w:w="1800" w:type="dxa"/>
            <w:vAlign w:val="center"/>
          </w:tcPr>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资产总额</w:t>
            </w:r>
          </w:p>
        </w:tc>
        <w:tc>
          <w:tcPr>
            <w:tcW w:w="2119" w:type="dxa"/>
            <w:vAlign w:val="center"/>
          </w:tcPr>
          <w:p>
            <w:pPr>
              <w:spacing w:line="560" w:lineRule="exact"/>
              <w:jc w:val="center"/>
              <w:rPr>
                <w:rFonts w:ascii="仿宋_GB2312" w:eastAsia="仿宋_GB2312"/>
                <w:sz w:val="24"/>
                <w:szCs w:val="24"/>
                <w:highlight w:val="none"/>
              </w:rPr>
            </w:pPr>
          </w:p>
        </w:tc>
        <w:tc>
          <w:tcPr>
            <w:tcW w:w="1920" w:type="dxa"/>
            <w:vAlign w:val="center"/>
          </w:tcPr>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净资产</w:t>
            </w:r>
          </w:p>
        </w:tc>
        <w:tc>
          <w:tcPr>
            <w:tcW w:w="3341" w:type="dxa"/>
            <w:vAlign w:val="center"/>
          </w:tcPr>
          <w:p>
            <w:pPr>
              <w:spacing w:line="560" w:lineRule="exact"/>
              <w:jc w:val="center"/>
              <w:rPr>
                <w:rFonts w:ascii="仿宋_GB2312" w:eastAsia="仿宋_GB2312"/>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jc w:val="center"/>
        </w:trPr>
        <w:tc>
          <w:tcPr>
            <w:tcW w:w="645" w:type="dxa"/>
            <w:vMerge w:val="continue"/>
            <w:vAlign w:val="center"/>
          </w:tcPr>
          <w:p>
            <w:pPr>
              <w:spacing w:line="560" w:lineRule="exact"/>
              <w:jc w:val="center"/>
              <w:rPr>
                <w:rFonts w:ascii="仿宋_GB2312" w:eastAsia="仿宋_GB2312"/>
                <w:sz w:val="24"/>
                <w:szCs w:val="24"/>
                <w:highlight w:val="none"/>
              </w:rPr>
            </w:pPr>
          </w:p>
        </w:tc>
        <w:tc>
          <w:tcPr>
            <w:tcW w:w="1800" w:type="dxa"/>
            <w:vAlign w:val="center"/>
          </w:tcPr>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工商登记号</w:t>
            </w:r>
          </w:p>
        </w:tc>
        <w:tc>
          <w:tcPr>
            <w:tcW w:w="2119" w:type="dxa"/>
            <w:vAlign w:val="center"/>
          </w:tcPr>
          <w:p>
            <w:pPr>
              <w:spacing w:line="560" w:lineRule="exact"/>
              <w:jc w:val="center"/>
              <w:rPr>
                <w:rFonts w:ascii="仿宋_GB2312" w:eastAsia="仿宋_GB2312"/>
                <w:sz w:val="24"/>
                <w:szCs w:val="24"/>
                <w:highlight w:val="none"/>
              </w:rPr>
            </w:pPr>
          </w:p>
        </w:tc>
        <w:tc>
          <w:tcPr>
            <w:tcW w:w="1920" w:type="dxa"/>
            <w:vAlign w:val="center"/>
          </w:tcPr>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税务登记号</w:t>
            </w:r>
          </w:p>
        </w:tc>
        <w:tc>
          <w:tcPr>
            <w:tcW w:w="3341" w:type="dxa"/>
            <w:vAlign w:val="center"/>
          </w:tcPr>
          <w:p>
            <w:pPr>
              <w:spacing w:line="560" w:lineRule="exact"/>
              <w:jc w:val="center"/>
              <w:rPr>
                <w:rFonts w:ascii="仿宋_GB2312" w:eastAsia="仿宋_GB2312"/>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645" w:type="dxa"/>
            <w:vMerge w:val="continue"/>
            <w:vAlign w:val="center"/>
          </w:tcPr>
          <w:p>
            <w:pPr>
              <w:spacing w:line="560" w:lineRule="exact"/>
              <w:jc w:val="center"/>
              <w:rPr>
                <w:rFonts w:ascii="仿宋_GB2312" w:eastAsia="仿宋_GB2312"/>
                <w:sz w:val="24"/>
                <w:szCs w:val="24"/>
                <w:highlight w:val="none"/>
              </w:rPr>
            </w:pPr>
          </w:p>
        </w:tc>
        <w:tc>
          <w:tcPr>
            <w:tcW w:w="1800" w:type="dxa"/>
            <w:vAlign w:val="center"/>
          </w:tcPr>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是否依法纳税</w:t>
            </w:r>
          </w:p>
        </w:tc>
        <w:tc>
          <w:tcPr>
            <w:tcW w:w="2119" w:type="dxa"/>
            <w:vAlign w:val="center"/>
          </w:tcPr>
          <w:p>
            <w:pPr>
              <w:spacing w:line="560" w:lineRule="exact"/>
              <w:jc w:val="center"/>
              <w:rPr>
                <w:rFonts w:ascii="仿宋_GB2312" w:eastAsia="仿宋_GB2312"/>
                <w:sz w:val="24"/>
                <w:szCs w:val="24"/>
                <w:highlight w:val="none"/>
              </w:rPr>
            </w:pPr>
          </w:p>
        </w:tc>
        <w:tc>
          <w:tcPr>
            <w:tcW w:w="1920" w:type="dxa"/>
            <w:vAlign w:val="center"/>
          </w:tcPr>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是否参加社保</w:t>
            </w:r>
          </w:p>
        </w:tc>
        <w:tc>
          <w:tcPr>
            <w:tcW w:w="3341" w:type="dxa"/>
            <w:vAlign w:val="center"/>
          </w:tcPr>
          <w:p>
            <w:pPr>
              <w:spacing w:line="560" w:lineRule="exact"/>
              <w:jc w:val="center"/>
              <w:rPr>
                <w:rFonts w:ascii="仿宋_GB2312" w:eastAsia="仿宋_GB2312"/>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2" w:hRule="atLeast"/>
          <w:jc w:val="center"/>
        </w:trPr>
        <w:tc>
          <w:tcPr>
            <w:tcW w:w="645" w:type="dxa"/>
            <w:vMerge w:val="continue"/>
            <w:vAlign w:val="center"/>
          </w:tcPr>
          <w:p>
            <w:pPr>
              <w:spacing w:line="560" w:lineRule="exact"/>
              <w:jc w:val="center"/>
              <w:rPr>
                <w:rFonts w:ascii="仿宋_GB2312" w:eastAsia="仿宋_GB2312"/>
                <w:sz w:val="24"/>
                <w:szCs w:val="24"/>
                <w:highlight w:val="none"/>
              </w:rPr>
            </w:pPr>
          </w:p>
        </w:tc>
        <w:tc>
          <w:tcPr>
            <w:tcW w:w="9180" w:type="dxa"/>
            <w:gridSpan w:val="4"/>
          </w:tcPr>
          <w:p>
            <w:pPr>
              <w:spacing w:line="560" w:lineRule="exact"/>
              <w:ind w:firstLine="600" w:firstLineChars="250"/>
              <w:rPr>
                <w:rFonts w:ascii="仿宋_GB2312" w:eastAsia="仿宋_GB2312"/>
                <w:sz w:val="24"/>
                <w:szCs w:val="24"/>
                <w:highlight w:val="none"/>
              </w:rPr>
            </w:pPr>
            <w:r>
              <w:rPr>
                <w:rFonts w:hint="eastAsia" w:ascii="仿宋_GB2312" w:eastAsia="仿宋_GB2312"/>
                <w:sz w:val="24"/>
                <w:szCs w:val="24"/>
                <w:highlight w:val="none"/>
              </w:rPr>
              <w:t>单位优势及投标服务特点：可包括以下一些内容（须复印件加盖公章）：</w:t>
            </w:r>
          </w:p>
          <w:p>
            <w:pPr>
              <w:spacing w:line="560" w:lineRule="exact"/>
              <w:ind w:firstLine="600" w:firstLineChars="250"/>
              <w:rPr>
                <w:rFonts w:ascii="仿宋_GB2312" w:eastAsia="仿宋_GB2312"/>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2445" w:type="dxa"/>
            <w:gridSpan w:val="2"/>
            <w:vAlign w:val="center"/>
          </w:tcPr>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法定代表人签字</w:t>
            </w:r>
          </w:p>
        </w:tc>
        <w:tc>
          <w:tcPr>
            <w:tcW w:w="7380" w:type="dxa"/>
            <w:gridSpan w:val="3"/>
            <w:vAlign w:val="center"/>
          </w:tcPr>
          <w:p>
            <w:pPr>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（单位公章）</w:t>
            </w:r>
          </w:p>
          <w:p>
            <w:pPr>
              <w:spacing w:line="560" w:lineRule="exact"/>
              <w:jc w:val="right"/>
              <w:rPr>
                <w:rFonts w:ascii="仿宋_GB2312" w:eastAsia="仿宋_GB2312"/>
                <w:sz w:val="24"/>
                <w:szCs w:val="24"/>
                <w:highlight w:val="none"/>
              </w:rPr>
            </w:pPr>
            <w:r>
              <w:rPr>
                <w:rFonts w:hint="eastAsia" w:ascii="仿宋_GB2312" w:eastAsia="仿宋_GB2312"/>
                <w:sz w:val="24"/>
                <w:szCs w:val="24"/>
                <w:highlight w:val="none"/>
              </w:rPr>
              <w:t>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jc w:val="center"/>
        </w:trPr>
        <w:tc>
          <w:tcPr>
            <w:tcW w:w="2445" w:type="dxa"/>
            <w:gridSpan w:val="2"/>
            <w:vAlign w:val="center"/>
          </w:tcPr>
          <w:p>
            <w:pPr>
              <w:spacing w:line="560" w:lineRule="exact"/>
              <w:rPr>
                <w:rFonts w:ascii="仿宋_GB2312" w:eastAsia="仿宋_GB2312"/>
                <w:sz w:val="24"/>
                <w:szCs w:val="24"/>
                <w:highlight w:val="none"/>
              </w:rPr>
            </w:pPr>
            <w:r>
              <w:rPr>
                <w:rFonts w:hint="eastAsia" w:ascii="仿宋_GB2312" w:eastAsia="仿宋_GB2312"/>
                <w:sz w:val="24"/>
                <w:szCs w:val="24"/>
                <w:highlight w:val="none"/>
              </w:rPr>
              <w:t>在本地售后服务机构情况</w:t>
            </w:r>
          </w:p>
        </w:tc>
        <w:tc>
          <w:tcPr>
            <w:tcW w:w="7380" w:type="dxa"/>
            <w:gridSpan w:val="3"/>
            <w:vAlign w:val="center"/>
          </w:tcPr>
          <w:p>
            <w:pPr>
              <w:spacing w:line="560" w:lineRule="exact"/>
              <w:rPr>
                <w:rFonts w:ascii="仿宋_GB2312" w:eastAsia="仿宋_GB2312"/>
                <w:sz w:val="24"/>
                <w:szCs w:val="24"/>
                <w:highlight w:val="none"/>
              </w:rPr>
            </w:pPr>
            <w:r>
              <w:rPr>
                <w:rFonts w:hint="eastAsia" w:ascii="仿宋_GB2312" w:eastAsia="仿宋_GB2312"/>
                <w:sz w:val="24"/>
                <w:szCs w:val="24"/>
                <w:highlight w:val="none"/>
              </w:rPr>
              <w:t>机构名称：            地址：</w:t>
            </w:r>
          </w:p>
          <w:p>
            <w:pPr>
              <w:spacing w:line="560" w:lineRule="exact"/>
              <w:rPr>
                <w:rFonts w:ascii="仿宋_GB2312" w:eastAsia="仿宋_GB2312"/>
                <w:sz w:val="24"/>
                <w:szCs w:val="24"/>
                <w:highlight w:val="none"/>
              </w:rPr>
            </w:pPr>
            <w:r>
              <w:rPr>
                <w:rFonts w:hint="eastAsia" w:ascii="仿宋_GB2312" w:eastAsia="仿宋_GB2312"/>
                <w:sz w:val="24"/>
                <w:szCs w:val="24"/>
                <w:highlight w:val="none"/>
              </w:rPr>
              <w:t>人员状况：                联系电话：</w:t>
            </w:r>
          </w:p>
          <w:p>
            <w:pPr>
              <w:spacing w:line="560" w:lineRule="exact"/>
              <w:rPr>
                <w:rFonts w:ascii="仿宋_GB2312" w:eastAsia="仿宋_GB2312"/>
                <w:sz w:val="24"/>
                <w:szCs w:val="24"/>
                <w:highlight w:val="none"/>
              </w:rPr>
            </w:pPr>
            <w:r>
              <w:rPr>
                <w:rFonts w:hint="eastAsia" w:ascii="仿宋_GB2312" w:eastAsia="仿宋_GB2312"/>
                <w:sz w:val="24"/>
                <w:szCs w:val="24"/>
                <w:highlight w:val="none"/>
              </w:rPr>
              <w:t>（可另附纸说明）</w:t>
            </w:r>
          </w:p>
        </w:tc>
      </w:tr>
    </w:tbl>
    <w:p>
      <w:pPr>
        <w:spacing w:line="360" w:lineRule="auto"/>
        <w:jc w:val="center"/>
        <w:rPr>
          <w:rFonts w:ascii="仿宋" w:hAnsi="仿宋" w:eastAsia="仿宋"/>
          <w:b/>
          <w:sz w:val="30"/>
          <w:szCs w:val="30"/>
          <w:highlight w:val="none"/>
        </w:rPr>
      </w:pPr>
    </w:p>
    <w:p>
      <w:pPr>
        <w:rPr>
          <w:rFonts w:ascii="仿宋" w:hAnsi="仿宋" w:eastAsia="仿宋"/>
          <w:b/>
          <w:sz w:val="30"/>
          <w:szCs w:val="30"/>
          <w:highlight w:val="none"/>
        </w:rPr>
      </w:pPr>
    </w:p>
    <w:p>
      <w:pPr>
        <w:rPr>
          <w:rFonts w:ascii="仿宋" w:hAnsi="仿宋" w:eastAsia="仿宋"/>
          <w:b/>
          <w:sz w:val="30"/>
          <w:szCs w:val="30"/>
          <w:highlight w:val="none"/>
        </w:rPr>
      </w:pPr>
      <w:r>
        <w:rPr>
          <w:rFonts w:ascii="仿宋" w:hAnsi="仿宋" w:eastAsia="仿宋"/>
          <w:b/>
          <w:sz w:val="30"/>
          <w:szCs w:val="30"/>
          <w:highlight w:val="none"/>
        </w:rPr>
        <w:br w:type="page"/>
      </w:r>
    </w:p>
    <w:p>
      <w:pPr>
        <w:spacing w:line="360" w:lineRule="auto"/>
        <w:jc w:val="center"/>
        <w:rPr>
          <w:rFonts w:ascii="仿宋" w:hAnsi="仿宋" w:eastAsia="仿宋"/>
          <w:b/>
          <w:sz w:val="30"/>
          <w:szCs w:val="30"/>
          <w:highlight w:val="none"/>
        </w:rPr>
      </w:pPr>
      <w:r>
        <w:rPr>
          <w:rFonts w:hint="eastAsia" w:ascii="仿宋" w:hAnsi="仿宋" w:eastAsia="仿宋"/>
          <w:b/>
          <w:sz w:val="30"/>
          <w:szCs w:val="30"/>
          <w:highlight w:val="none"/>
        </w:rPr>
        <w:t>四、所有资质文件（复印件）（如有）</w:t>
      </w:r>
    </w:p>
    <w:p>
      <w:pPr>
        <w:spacing w:line="360" w:lineRule="auto"/>
        <w:jc w:val="center"/>
        <w:rPr>
          <w:rFonts w:ascii="仿宋" w:hAnsi="仿宋" w:eastAsia="仿宋"/>
          <w:sz w:val="28"/>
          <w:highlight w:val="none"/>
        </w:rPr>
      </w:pPr>
      <w:r>
        <w:rPr>
          <w:rFonts w:hint="eastAsia" w:ascii="仿宋" w:hAnsi="仿宋" w:eastAsia="仿宋"/>
          <w:sz w:val="28"/>
          <w:highlight w:val="none"/>
        </w:rPr>
        <w:t>（由供应商根据采购需求及招标文件要求编制）</w:t>
      </w:r>
    </w:p>
    <w:p>
      <w:pPr>
        <w:spacing w:line="360" w:lineRule="auto"/>
        <w:rPr>
          <w:rFonts w:ascii="仿宋" w:hAnsi="仿宋" w:eastAsia="仿宋"/>
          <w:b/>
          <w:sz w:val="24"/>
          <w:highlight w:val="none"/>
        </w:rPr>
      </w:pPr>
      <w:r>
        <w:rPr>
          <w:rFonts w:hint="eastAsia" w:ascii="仿宋" w:hAnsi="仿宋" w:eastAsia="仿宋"/>
          <w:b/>
          <w:sz w:val="24"/>
          <w:highlight w:val="none"/>
        </w:rPr>
        <w:t>附表：本项目供应商的资质情况表</w:t>
      </w:r>
    </w:p>
    <w:tbl>
      <w:tblPr>
        <w:tblStyle w:val="49"/>
        <w:tblW w:w="10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1616"/>
        <w:gridCol w:w="757"/>
        <w:gridCol w:w="757"/>
        <w:gridCol w:w="757"/>
        <w:gridCol w:w="1399"/>
        <w:gridCol w:w="1365"/>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600" w:type="dxa"/>
            <w:gridSpan w:val="2"/>
            <w:tcBorders>
              <w:bottom w:val="single" w:color="auto" w:sz="4" w:space="0"/>
            </w:tcBorders>
          </w:tcPr>
          <w:p>
            <w:pPr>
              <w:spacing w:line="360" w:lineRule="auto"/>
              <w:jc w:val="center"/>
              <w:rPr>
                <w:rFonts w:ascii="仿宋" w:hAnsi="仿宋" w:eastAsia="仿宋"/>
                <w:b/>
                <w:highlight w:val="none"/>
              </w:rPr>
            </w:pPr>
            <w:r>
              <w:rPr>
                <w:rFonts w:hint="eastAsia" w:ascii="仿宋" w:hAnsi="仿宋" w:eastAsia="仿宋"/>
                <w:b/>
                <w:highlight w:val="none"/>
              </w:rPr>
              <w:t>资质要求</w:t>
            </w:r>
          </w:p>
        </w:tc>
        <w:tc>
          <w:tcPr>
            <w:tcW w:w="5679" w:type="dxa"/>
            <w:gridSpan w:val="6"/>
          </w:tcPr>
          <w:p>
            <w:pPr>
              <w:spacing w:line="360" w:lineRule="auto"/>
              <w:jc w:val="center"/>
              <w:rPr>
                <w:rFonts w:ascii="仿宋" w:hAnsi="仿宋" w:eastAsia="仿宋"/>
                <w:b/>
                <w:highlight w:val="none"/>
              </w:rPr>
            </w:pPr>
            <w:r>
              <w:rPr>
                <w:rFonts w:hint="eastAsia" w:ascii="仿宋" w:hAnsi="仿宋" w:eastAsia="仿宋"/>
                <w:b/>
                <w:highlight w:val="none"/>
              </w:rPr>
              <w:t>投标单位具备资质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4" w:type="dxa"/>
            <w:tcBorders>
              <w:right w:val="single" w:color="auto" w:sz="4" w:space="0"/>
            </w:tcBorders>
            <w:vAlign w:val="center"/>
          </w:tcPr>
          <w:p>
            <w:pPr>
              <w:spacing w:line="360" w:lineRule="auto"/>
              <w:jc w:val="center"/>
              <w:rPr>
                <w:rFonts w:ascii="仿宋" w:hAnsi="仿宋" w:eastAsia="仿宋"/>
                <w:b/>
                <w:highlight w:val="none"/>
              </w:rPr>
            </w:pPr>
            <w:r>
              <w:rPr>
                <w:rFonts w:hint="eastAsia" w:ascii="仿宋" w:hAnsi="仿宋" w:eastAsia="仿宋"/>
                <w:b/>
                <w:highlight w:val="none"/>
              </w:rPr>
              <w:t>必备资质</w:t>
            </w:r>
          </w:p>
        </w:tc>
        <w:tc>
          <w:tcPr>
            <w:tcW w:w="1616" w:type="dxa"/>
            <w:tcBorders>
              <w:left w:val="single" w:color="auto" w:sz="4" w:space="0"/>
            </w:tcBorders>
            <w:vAlign w:val="center"/>
          </w:tcPr>
          <w:p>
            <w:pPr>
              <w:spacing w:line="360" w:lineRule="auto"/>
              <w:jc w:val="center"/>
              <w:rPr>
                <w:rFonts w:ascii="仿宋" w:hAnsi="仿宋" w:eastAsia="仿宋"/>
                <w:b/>
                <w:highlight w:val="none"/>
              </w:rPr>
            </w:pPr>
            <w:r>
              <w:rPr>
                <w:rFonts w:hint="eastAsia" w:ascii="仿宋" w:hAnsi="仿宋" w:eastAsia="仿宋"/>
                <w:b/>
                <w:highlight w:val="none"/>
              </w:rPr>
              <w:t>资质级别</w:t>
            </w:r>
          </w:p>
        </w:tc>
        <w:tc>
          <w:tcPr>
            <w:tcW w:w="757" w:type="dxa"/>
            <w:vAlign w:val="center"/>
          </w:tcPr>
          <w:p>
            <w:pPr>
              <w:spacing w:line="360" w:lineRule="auto"/>
              <w:jc w:val="center"/>
              <w:rPr>
                <w:rFonts w:ascii="仿宋" w:hAnsi="仿宋" w:eastAsia="仿宋"/>
                <w:b/>
                <w:highlight w:val="none"/>
              </w:rPr>
            </w:pPr>
            <w:r>
              <w:rPr>
                <w:rFonts w:hint="eastAsia" w:ascii="仿宋" w:hAnsi="仿宋" w:eastAsia="仿宋"/>
                <w:b/>
                <w:highlight w:val="none"/>
              </w:rPr>
              <w:t>资质名称</w:t>
            </w:r>
          </w:p>
        </w:tc>
        <w:tc>
          <w:tcPr>
            <w:tcW w:w="757" w:type="dxa"/>
            <w:vAlign w:val="center"/>
          </w:tcPr>
          <w:p>
            <w:pPr>
              <w:spacing w:line="360" w:lineRule="auto"/>
              <w:jc w:val="center"/>
              <w:rPr>
                <w:rFonts w:ascii="仿宋" w:hAnsi="仿宋" w:eastAsia="仿宋"/>
                <w:b/>
                <w:highlight w:val="none"/>
              </w:rPr>
            </w:pPr>
            <w:r>
              <w:rPr>
                <w:rFonts w:hint="eastAsia" w:ascii="仿宋" w:hAnsi="仿宋" w:eastAsia="仿宋"/>
                <w:b/>
                <w:highlight w:val="none"/>
              </w:rPr>
              <w:t>资质级别</w:t>
            </w:r>
          </w:p>
        </w:tc>
        <w:tc>
          <w:tcPr>
            <w:tcW w:w="757" w:type="dxa"/>
            <w:vAlign w:val="center"/>
          </w:tcPr>
          <w:p>
            <w:pPr>
              <w:spacing w:line="360" w:lineRule="auto"/>
              <w:jc w:val="center"/>
              <w:rPr>
                <w:rFonts w:ascii="仿宋" w:hAnsi="仿宋" w:eastAsia="仿宋"/>
                <w:b/>
                <w:highlight w:val="none"/>
              </w:rPr>
            </w:pPr>
            <w:r>
              <w:rPr>
                <w:rFonts w:hint="eastAsia" w:ascii="仿宋" w:hAnsi="仿宋" w:eastAsia="仿宋"/>
                <w:b/>
                <w:highlight w:val="none"/>
              </w:rPr>
              <w:t>颁证机构</w:t>
            </w:r>
          </w:p>
        </w:tc>
        <w:tc>
          <w:tcPr>
            <w:tcW w:w="1399" w:type="dxa"/>
            <w:vAlign w:val="center"/>
          </w:tcPr>
          <w:p>
            <w:pPr>
              <w:spacing w:line="360" w:lineRule="auto"/>
              <w:jc w:val="center"/>
              <w:rPr>
                <w:rFonts w:ascii="仿宋" w:hAnsi="仿宋" w:eastAsia="仿宋"/>
                <w:b/>
                <w:highlight w:val="none"/>
              </w:rPr>
            </w:pPr>
            <w:r>
              <w:rPr>
                <w:rFonts w:hint="eastAsia" w:ascii="仿宋" w:hAnsi="仿宋" w:eastAsia="仿宋"/>
                <w:b/>
                <w:highlight w:val="none"/>
              </w:rPr>
              <w:t>证书有效期（起止年月）</w:t>
            </w:r>
          </w:p>
        </w:tc>
        <w:tc>
          <w:tcPr>
            <w:tcW w:w="1365" w:type="dxa"/>
            <w:vAlign w:val="center"/>
          </w:tcPr>
          <w:p>
            <w:pPr>
              <w:spacing w:line="360" w:lineRule="auto"/>
              <w:jc w:val="center"/>
              <w:rPr>
                <w:rFonts w:ascii="仿宋" w:hAnsi="仿宋" w:eastAsia="仿宋"/>
                <w:b/>
                <w:highlight w:val="none"/>
              </w:rPr>
            </w:pPr>
            <w:r>
              <w:rPr>
                <w:rFonts w:hint="eastAsia" w:ascii="仿宋" w:hAnsi="仿宋" w:eastAsia="仿宋"/>
                <w:b/>
                <w:highlight w:val="none"/>
              </w:rPr>
              <w:t>证书复印件所在页码</w:t>
            </w:r>
          </w:p>
        </w:tc>
        <w:tc>
          <w:tcPr>
            <w:tcW w:w="644" w:type="dxa"/>
            <w:vAlign w:val="center"/>
          </w:tcPr>
          <w:p>
            <w:pPr>
              <w:spacing w:line="360" w:lineRule="auto"/>
              <w:rPr>
                <w:rFonts w:ascii="仿宋" w:hAnsi="仿宋" w:eastAsia="仿宋"/>
                <w:b/>
                <w:highlight w:val="none"/>
              </w:rPr>
            </w:pPr>
            <w:r>
              <w:rPr>
                <w:rFonts w:hint="eastAsia" w:ascii="仿宋" w:hAnsi="仿宋" w:eastAsia="仿宋"/>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2984" w:type="dxa"/>
            <w:tcBorders>
              <w:right w:val="single" w:color="auto" w:sz="4" w:space="0"/>
            </w:tcBorders>
            <w:vAlign w:val="center"/>
          </w:tcPr>
          <w:p>
            <w:pPr>
              <w:spacing w:line="360" w:lineRule="auto"/>
              <w:jc w:val="center"/>
              <w:rPr>
                <w:rFonts w:ascii="仿宋" w:hAnsi="仿宋" w:eastAsia="仿宋"/>
                <w:highlight w:val="none"/>
              </w:rPr>
            </w:pPr>
          </w:p>
        </w:tc>
        <w:tc>
          <w:tcPr>
            <w:tcW w:w="1616" w:type="dxa"/>
            <w:tcBorders>
              <w:left w:val="single" w:color="auto" w:sz="4" w:space="0"/>
            </w:tcBorders>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1399" w:type="dxa"/>
            <w:vAlign w:val="center"/>
          </w:tcPr>
          <w:p>
            <w:pPr>
              <w:spacing w:line="360" w:lineRule="auto"/>
              <w:jc w:val="center"/>
              <w:rPr>
                <w:rFonts w:ascii="仿宋" w:hAnsi="仿宋" w:eastAsia="仿宋"/>
                <w:highlight w:val="none"/>
              </w:rPr>
            </w:pPr>
          </w:p>
        </w:tc>
        <w:tc>
          <w:tcPr>
            <w:tcW w:w="1365" w:type="dxa"/>
            <w:vAlign w:val="center"/>
          </w:tcPr>
          <w:p>
            <w:pPr>
              <w:spacing w:line="360" w:lineRule="auto"/>
              <w:jc w:val="center"/>
              <w:rPr>
                <w:rFonts w:ascii="仿宋" w:hAnsi="仿宋" w:eastAsia="仿宋"/>
                <w:highlight w:val="none"/>
              </w:rPr>
            </w:pPr>
          </w:p>
        </w:tc>
        <w:tc>
          <w:tcPr>
            <w:tcW w:w="644" w:type="dxa"/>
            <w:vAlign w:val="center"/>
          </w:tcPr>
          <w:p>
            <w:pPr>
              <w:spacing w:line="360" w:lineRule="auto"/>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2984" w:type="dxa"/>
            <w:tcBorders>
              <w:right w:val="single" w:color="auto" w:sz="4" w:space="0"/>
            </w:tcBorders>
            <w:vAlign w:val="center"/>
          </w:tcPr>
          <w:p>
            <w:pPr>
              <w:spacing w:line="360" w:lineRule="auto"/>
              <w:jc w:val="center"/>
              <w:rPr>
                <w:rFonts w:ascii="仿宋" w:hAnsi="仿宋" w:eastAsia="仿宋"/>
                <w:highlight w:val="none"/>
                <w:lang w:val="zh-CN"/>
              </w:rPr>
            </w:pPr>
          </w:p>
        </w:tc>
        <w:tc>
          <w:tcPr>
            <w:tcW w:w="1616" w:type="dxa"/>
            <w:tcBorders>
              <w:left w:val="single" w:color="auto" w:sz="4" w:space="0"/>
            </w:tcBorders>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1399" w:type="dxa"/>
            <w:vAlign w:val="center"/>
          </w:tcPr>
          <w:p>
            <w:pPr>
              <w:spacing w:line="360" w:lineRule="auto"/>
              <w:jc w:val="center"/>
              <w:rPr>
                <w:rFonts w:ascii="仿宋" w:hAnsi="仿宋" w:eastAsia="仿宋"/>
                <w:highlight w:val="none"/>
              </w:rPr>
            </w:pPr>
          </w:p>
        </w:tc>
        <w:tc>
          <w:tcPr>
            <w:tcW w:w="1365" w:type="dxa"/>
            <w:vAlign w:val="center"/>
          </w:tcPr>
          <w:p>
            <w:pPr>
              <w:spacing w:line="360" w:lineRule="auto"/>
              <w:jc w:val="center"/>
              <w:rPr>
                <w:rFonts w:ascii="仿宋" w:hAnsi="仿宋" w:eastAsia="仿宋"/>
                <w:highlight w:val="none"/>
              </w:rPr>
            </w:pPr>
          </w:p>
        </w:tc>
        <w:tc>
          <w:tcPr>
            <w:tcW w:w="644" w:type="dxa"/>
            <w:vAlign w:val="center"/>
          </w:tcPr>
          <w:p>
            <w:pPr>
              <w:spacing w:line="360" w:lineRule="auto"/>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4" w:type="dxa"/>
            <w:tcBorders>
              <w:right w:val="single" w:color="auto" w:sz="4" w:space="0"/>
            </w:tcBorders>
            <w:vAlign w:val="center"/>
          </w:tcPr>
          <w:p>
            <w:pPr>
              <w:spacing w:line="360" w:lineRule="auto"/>
              <w:jc w:val="center"/>
              <w:rPr>
                <w:rFonts w:ascii="仿宋" w:hAnsi="仿宋" w:eastAsia="仿宋"/>
                <w:b/>
                <w:highlight w:val="none"/>
              </w:rPr>
            </w:pPr>
            <w:r>
              <w:rPr>
                <w:rFonts w:hint="eastAsia" w:ascii="仿宋" w:hAnsi="仿宋" w:eastAsia="仿宋"/>
                <w:b/>
                <w:highlight w:val="none"/>
              </w:rPr>
              <w:t>其他资质</w:t>
            </w:r>
          </w:p>
        </w:tc>
        <w:tc>
          <w:tcPr>
            <w:tcW w:w="1616" w:type="dxa"/>
            <w:tcBorders>
              <w:left w:val="single" w:color="auto" w:sz="4" w:space="0"/>
            </w:tcBorders>
            <w:vAlign w:val="center"/>
          </w:tcPr>
          <w:p>
            <w:pPr>
              <w:spacing w:line="360" w:lineRule="auto"/>
              <w:jc w:val="center"/>
              <w:rPr>
                <w:rFonts w:ascii="仿宋" w:hAnsi="仿宋" w:eastAsia="仿宋"/>
                <w:b/>
                <w:highlight w:val="none"/>
              </w:rPr>
            </w:pPr>
            <w:r>
              <w:rPr>
                <w:rFonts w:hint="eastAsia" w:ascii="仿宋" w:hAnsi="仿宋" w:eastAsia="仿宋"/>
                <w:b/>
                <w:highlight w:val="none"/>
              </w:rPr>
              <w:t>资质级别</w:t>
            </w:r>
          </w:p>
        </w:tc>
        <w:tc>
          <w:tcPr>
            <w:tcW w:w="757" w:type="dxa"/>
            <w:vAlign w:val="center"/>
          </w:tcPr>
          <w:p>
            <w:pPr>
              <w:spacing w:line="360" w:lineRule="auto"/>
              <w:jc w:val="center"/>
              <w:rPr>
                <w:rFonts w:ascii="仿宋" w:hAnsi="仿宋" w:eastAsia="仿宋"/>
                <w:b/>
                <w:highlight w:val="none"/>
              </w:rPr>
            </w:pPr>
            <w:r>
              <w:rPr>
                <w:rFonts w:hint="eastAsia" w:ascii="仿宋" w:hAnsi="仿宋" w:eastAsia="仿宋"/>
                <w:b/>
                <w:highlight w:val="none"/>
              </w:rPr>
              <w:t>资质名称</w:t>
            </w:r>
          </w:p>
        </w:tc>
        <w:tc>
          <w:tcPr>
            <w:tcW w:w="757" w:type="dxa"/>
            <w:vAlign w:val="center"/>
          </w:tcPr>
          <w:p>
            <w:pPr>
              <w:spacing w:line="360" w:lineRule="auto"/>
              <w:jc w:val="center"/>
              <w:rPr>
                <w:rFonts w:ascii="仿宋" w:hAnsi="仿宋" w:eastAsia="仿宋"/>
                <w:b/>
                <w:highlight w:val="none"/>
              </w:rPr>
            </w:pPr>
            <w:r>
              <w:rPr>
                <w:rFonts w:hint="eastAsia" w:ascii="仿宋" w:hAnsi="仿宋" w:eastAsia="仿宋"/>
                <w:b/>
                <w:highlight w:val="none"/>
              </w:rPr>
              <w:t>资质级别</w:t>
            </w:r>
          </w:p>
        </w:tc>
        <w:tc>
          <w:tcPr>
            <w:tcW w:w="757" w:type="dxa"/>
            <w:vAlign w:val="center"/>
          </w:tcPr>
          <w:p>
            <w:pPr>
              <w:spacing w:line="360" w:lineRule="auto"/>
              <w:jc w:val="center"/>
              <w:rPr>
                <w:rFonts w:ascii="仿宋" w:hAnsi="仿宋" w:eastAsia="仿宋"/>
                <w:b/>
                <w:highlight w:val="none"/>
              </w:rPr>
            </w:pPr>
            <w:r>
              <w:rPr>
                <w:rFonts w:hint="eastAsia" w:ascii="仿宋" w:hAnsi="仿宋" w:eastAsia="仿宋"/>
                <w:b/>
                <w:highlight w:val="none"/>
              </w:rPr>
              <w:t>颁证机构</w:t>
            </w:r>
          </w:p>
        </w:tc>
        <w:tc>
          <w:tcPr>
            <w:tcW w:w="1399" w:type="dxa"/>
            <w:vAlign w:val="center"/>
          </w:tcPr>
          <w:p>
            <w:pPr>
              <w:spacing w:line="360" w:lineRule="auto"/>
              <w:jc w:val="center"/>
              <w:rPr>
                <w:rFonts w:ascii="仿宋" w:hAnsi="仿宋" w:eastAsia="仿宋"/>
                <w:b/>
                <w:highlight w:val="none"/>
              </w:rPr>
            </w:pPr>
            <w:r>
              <w:rPr>
                <w:rFonts w:hint="eastAsia" w:ascii="仿宋" w:hAnsi="仿宋" w:eastAsia="仿宋"/>
                <w:b/>
                <w:highlight w:val="none"/>
              </w:rPr>
              <w:t>证书有效期（起止年月）</w:t>
            </w:r>
          </w:p>
        </w:tc>
        <w:tc>
          <w:tcPr>
            <w:tcW w:w="1365" w:type="dxa"/>
            <w:vAlign w:val="center"/>
          </w:tcPr>
          <w:p>
            <w:pPr>
              <w:spacing w:line="360" w:lineRule="auto"/>
              <w:jc w:val="center"/>
              <w:rPr>
                <w:rFonts w:ascii="仿宋" w:hAnsi="仿宋" w:eastAsia="仿宋"/>
                <w:b/>
                <w:highlight w:val="none"/>
              </w:rPr>
            </w:pPr>
            <w:r>
              <w:rPr>
                <w:rFonts w:hint="eastAsia" w:ascii="仿宋" w:hAnsi="仿宋" w:eastAsia="仿宋"/>
                <w:b/>
                <w:highlight w:val="none"/>
              </w:rPr>
              <w:t>证书复印件所在页码</w:t>
            </w:r>
          </w:p>
        </w:tc>
        <w:tc>
          <w:tcPr>
            <w:tcW w:w="644" w:type="dxa"/>
            <w:vAlign w:val="center"/>
          </w:tcPr>
          <w:p>
            <w:pPr>
              <w:spacing w:line="360" w:lineRule="auto"/>
              <w:jc w:val="center"/>
              <w:rPr>
                <w:rFonts w:ascii="仿宋" w:hAnsi="仿宋" w:eastAsia="仿宋"/>
                <w:b/>
                <w:highlight w:val="none"/>
              </w:rPr>
            </w:pPr>
            <w:r>
              <w:rPr>
                <w:rFonts w:hint="eastAsia" w:ascii="仿宋" w:hAnsi="仿宋" w:eastAsia="仿宋"/>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4" w:type="dxa"/>
            <w:tcBorders>
              <w:right w:val="single" w:color="auto" w:sz="4" w:space="0"/>
            </w:tcBorders>
            <w:vAlign w:val="center"/>
          </w:tcPr>
          <w:p>
            <w:pPr>
              <w:spacing w:line="360" w:lineRule="auto"/>
              <w:jc w:val="center"/>
              <w:rPr>
                <w:rFonts w:ascii="仿宋" w:hAnsi="仿宋" w:eastAsia="仿宋"/>
                <w:highlight w:val="none"/>
              </w:rPr>
            </w:pPr>
            <w:r>
              <w:rPr>
                <w:rFonts w:hint="eastAsia" w:ascii="仿宋" w:hAnsi="仿宋" w:eastAsia="仿宋"/>
                <w:color w:val="000000"/>
                <w:highlight w:val="none"/>
              </w:rPr>
              <w:t>质量管理体系认证</w:t>
            </w:r>
          </w:p>
        </w:tc>
        <w:tc>
          <w:tcPr>
            <w:tcW w:w="1616" w:type="dxa"/>
            <w:tcBorders>
              <w:left w:val="single" w:color="auto" w:sz="4" w:space="0"/>
            </w:tcBorders>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b/>
                <w:highlight w:val="none"/>
              </w:rPr>
            </w:pPr>
          </w:p>
        </w:tc>
        <w:tc>
          <w:tcPr>
            <w:tcW w:w="757" w:type="dxa"/>
            <w:vAlign w:val="center"/>
          </w:tcPr>
          <w:p>
            <w:pPr>
              <w:spacing w:line="360" w:lineRule="auto"/>
              <w:jc w:val="center"/>
              <w:rPr>
                <w:rFonts w:ascii="仿宋" w:hAnsi="仿宋" w:eastAsia="仿宋"/>
                <w:b/>
                <w:highlight w:val="none"/>
              </w:rPr>
            </w:pPr>
          </w:p>
        </w:tc>
        <w:tc>
          <w:tcPr>
            <w:tcW w:w="757" w:type="dxa"/>
            <w:vAlign w:val="center"/>
          </w:tcPr>
          <w:p>
            <w:pPr>
              <w:spacing w:line="360" w:lineRule="auto"/>
              <w:jc w:val="center"/>
              <w:rPr>
                <w:rFonts w:ascii="仿宋" w:hAnsi="仿宋" w:eastAsia="仿宋"/>
                <w:b/>
                <w:highlight w:val="none"/>
              </w:rPr>
            </w:pPr>
          </w:p>
        </w:tc>
        <w:tc>
          <w:tcPr>
            <w:tcW w:w="1399" w:type="dxa"/>
            <w:vAlign w:val="center"/>
          </w:tcPr>
          <w:p>
            <w:pPr>
              <w:spacing w:line="360" w:lineRule="auto"/>
              <w:jc w:val="center"/>
              <w:rPr>
                <w:rFonts w:ascii="仿宋" w:hAnsi="仿宋" w:eastAsia="仿宋"/>
                <w:b/>
                <w:highlight w:val="none"/>
              </w:rPr>
            </w:pPr>
          </w:p>
        </w:tc>
        <w:tc>
          <w:tcPr>
            <w:tcW w:w="1365" w:type="dxa"/>
            <w:vAlign w:val="center"/>
          </w:tcPr>
          <w:p>
            <w:pPr>
              <w:spacing w:line="360" w:lineRule="auto"/>
              <w:jc w:val="center"/>
              <w:rPr>
                <w:rFonts w:ascii="仿宋" w:hAnsi="仿宋" w:eastAsia="仿宋"/>
                <w:b/>
                <w:highlight w:val="none"/>
              </w:rPr>
            </w:pPr>
          </w:p>
        </w:tc>
        <w:tc>
          <w:tcPr>
            <w:tcW w:w="644" w:type="dxa"/>
            <w:vAlign w:val="center"/>
          </w:tcPr>
          <w:p>
            <w:pPr>
              <w:spacing w:line="360" w:lineRule="auto"/>
              <w:jc w:val="center"/>
              <w:rPr>
                <w:rFonts w:ascii="仿宋" w:hAnsi="仿宋" w:eastAsia="仿宋"/>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4" w:type="dxa"/>
            <w:tcBorders>
              <w:right w:val="single" w:color="auto" w:sz="4" w:space="0"/>
            </w:tcBorders>
            <w:vAlign w:val="center"/>
          </w:tcPr>
          <w:p>
            <w:pPr>
              <w:spacing w:line="360" w:lineRule="auto"/>
              <w:jc w:val="center"/>
              <w:rPr>
                <w:rFonts w:ascii="仿宋" w:hAnsi="仿宋" w:eastAsia="仿宋"/>
                <w:highlight w:val="none"/>
              </w:rPr>
            </w:pPr>
            <w:r>
              <w:rPr>
                <w:rFonts w:hint="eastAsia" w:ascii="仿宋" w:hAnsi="仿宋" w:eastAsia="仿宋"/>
                <w:highlight w:val="none"/>
              </w:rPr>
              <w:t>银行资信</w:t>
            </w:r>
          </w:p>
        </w:tc>
        <w:tc>
          <w:tcPr>
            <w:tcW w:w="1616" w:type="dxa"/>
            <w:tcBorders>
              <w:left w:val="single" w:color="auto" w:sz="4" w:space="0"/>
            </w:tcBorders>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1399" w:type="dxa"/>
            <w:vAlign w:val="center"/>
          </w:tcPr>
          <w:p>
            <w:pPr>
              <w:spacing w:line="360" w:lineRule="auto"/>
              <w:jc w:val="center"/>
              <w:rPr>
                <w:rFonts w:ascii="仿宋" w:hAnsi="仿宋" w:eastAsia="仿宋"/>
                <w:highlight w:val="none"/>
              </w:rPr>
            </w:pPr>
          </w:p>
        </w:tc>
        <w:tc>
          <w:tcPr>
            <w:tcW w:w="1365" w:type="dxa"/>
            <w:vAlign w:val="center"/>
          </w:tcPr>
          <w:p>
            <w:pPr>
              <w:spacing w:line="360" w:lineRule="auto"/>
              <w:jc w:val="center"/>
              <w:rPr>
                <w:rFonts w:ascii="仿宋" w:hAnsi="仿宋" w:eastAsia="仿宋"/>
                <w:highlight w:val="none"/>
              </w:rPr>
            </w:pPr>
          </w:p>
        </w:tc>
        <w:tc>
          <w:tcPr>
            <w:tcW w:w="644" w:type="dxa"/>
            <w:vAlign w:val="center"/>
          </w:tcPr>
          <w:p>
            <w:pPr>
              <w:spacing w:line="360" w:lineRule="auto"/>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4" w:type="dxa"/>
            <w:tcBorders>
              <w:right w:val="single" w:color="auto" w:sz="4" w:space="0"/>
            </w:tcBorders>
            <w:vAlign w:val="center"/>
          </w:tcPr>
          <w:p>
            <w:pPr>
              <w:spacing w:line="360" w:lineRule="auto"/>
              <w:jc w:val="center"/>
              <w:rPr>
                <w:rFonts w:ascii="仿宋" w:hAnsi="仿宋" w:eastAsia="仿宋"/>
                <w:highlight w:val="none"/>
              </w:rPr>
            </w:pPr>
            <w:r>
              <w:rPr>
                <w:rFonts w:hint="eastAsia" w:ascii="仿宋" w:hAnsi="仿宋" w:eastAsia="仿宋"/>
                <w:highlight w:val="none"/>
              </w:rPr>
              <w:t>政府部门出具的信用等级证书</w:t>
            </w:r>
          </w:p>
        </w:tc>
        <w:tc>
          <w:tcPr>
            <w:tcW w:w="1616" w:type="dxa"/>
            <w:tcBorders>
              <w:left w:val="single" w:color="auto" w:sz="4" w:space="0"/>
            </w:tcBorders>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1399" w:type="dxa"/>
            <w:vAlign w:val="center"/>
          </w:tcPr>
          <w:p>
            <w:pPr>
              <w:spacing w:line="360" w:lineRule="auto"/>
              <w:jc w:val="center"/>
              <w:rPr>
                <w:rFonts w:ascii="仿宋" w:hAnsi="仿宋" w:eastAsia="仿宋"/>
                <w:highlight w:val="none"/>
              </w:rPr>
            </w:pPr>
          </w:p>
        </w:tc>
        <w:tc>
          <w:tcPr>
            <w:tcW w:w="1365" w:type="dxa"/>
            <w:vAlign w:val="center"/>
          </w:tcPr>
          <w:p>
            <w:pPr>
              <w:spacing w:line="360" w:lineRule="auto"/>
              <w:jc w:val="center"/>
              <w:rPr>
                <w:rFonts w:ascii="仿宋" w:hAnsi="仿宋" w:eastAsia="仿宋"/>
                <w:highlight w:val="none"/>
              </w:rPr>
            </w:pPr>
          </w:p>
        </w:tc>
        <w:tc>
          <w:tcPr>
            <w:tcW w:w="644" w:type="dxa"/>
            <w:vAlign w:val="center"/>
          </w:tcPr>
          <w:p>
            <w:pPr>
              <w:spacing w:line="360" w:lineRule="auto"/>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4" w:type="dxa"/>
            <w:tcBorders>
              <w:right w:val="single" w:color="auto" w:sz="4" w:space="0"/>
            </w:tcBorders>
            <w:vAlign w:val="center"/>
          </w:tcPr>
          <w:p>
            <w:pPr>
              <w:spacing w:line="360" w:lineRule="auto"/>
              <w:jc w:val="center"/>
              <w:rPr>
                <w:rFonts w:ascii="仿宋" w:hAnsi="仿宋" w:eastAsia="仿宋"/>
                <w:highlight w:val="none"/>
              </w:rPr>
            </w:pPr>
          </w:p>
        </w:tc>
        <w:tc>
          <w:tcPr>
            <w:tcW w:w="1616" w:type="dxa"/>
            <w:tcBorders>
              <w:left w:val="single" w:color="auto" w:sz="4" w:space="0"/>
            </w:tcBorders>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1399" w:type="dxa"/>
            <w:vAlign w:val="center"/>
          </w:tcPr>
          <w:p>
            <w:pPr>
              <w:spacing w:line="360" w:lineRule="auto"/>
              <w:jc w:val="center"/>
              <w:rPr>
                <w:rFonts w:ascii="仿宋" w:hAnsi="仿宋" w:eastAsia="仿宋"/>
                <w:highlight w:val="none"/>
              </w:rPr>
            </w:pPr>
          </w:p>
        </w:tc>
        <w:tc>
          <w:tcPr>
            <w:tcW w:w="1365" w:type="dxa"/>
            <w:vAlign w:val="center"/>
          </w:tcPr>
          <w:p>
            <w:pPr>
              <w:spacing w:line="360" w:lineRule="auto"/>
              <w:jc w:val="center"/>
              <w:rPr>
                <w:rFonts w:ascii="仿宋" w:hAnsi="仿宋" w:eastAsia="仿宋"/>
                <w:highlight w:val="none"/>
              </w:rPr>
            </w:pPr>
          </w:p>
        </w:tc>
        <w:tc>
          <w:tcPr>
            <w:tcW w:w="644" w:type="dxa"/>
            <w:vAlign w:val="center"/>
          </w:tcPr>
          <w:p>
            <w:pPr>
              <w:spacing w:line="360" w:lineRule="auto"/>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4" w:type="dxa"/>
            <w:tcBorders>
              <w:right w:val="single" w:color="auto" w:sz="4" w:space="0"/>
            </w:tcBorders>
            <w:vAlign w:val="center"/>
          </w:tcPr>
          <w:p>
            <w:pPr>
              <w:spacing w:line="360" w:lineRule="auto"/>
              <w:jc w:val="center"/>
              <w:rPr>
                <w:rFonts w:ascii="仿宋" w:hAnsi="仿宋" w:eastAsia="仿宋"/>
                <w:highlight w:val="none"/>
              </w:rPr>
            </w:pPr>
          </w:p>
        </w:tc>
        <w:tc>
          <w:tcPr>
            <w:tcW w:w="1616" w:type="dxa"/>
            <w:tcBorders>
              <w:left w:val="single" w:color="auto" w:sz="4" w:space="0"/>
            </w:tcBorders>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1399" w:type="dxa"/>
            <w:vAlign w:val="center"/>
          </w:tcPr>
          <w:p>
            <w:pPr>
              <w:spacing w:line="360" w:lineRule="auto"/>
              <w:jc w:val="center"/>
              <w:rPr>
                <w:rFonts w:ascii="仿宋" w:hAnsi="仿宋" w:eastAsia="仿宋"/>
                <w:highlight w:val="none"/>
              </w:rPr>
            </w:pPr>
          </w:p>
        </w:tc>
        <w:tc>
          <w:tcPr>
            <w:tcW w:w="1365" w:type="dxa"/>
            <w:vAlign w:val="center"/>
          </w:tcPr>
          <w:p>
            <w:pPr>
              <w:spacing w:line="360" w:lineRule="auto"/>
              <w:jc w:val="center"/>
              <w:rPr>
                <w:rFonts w:ascii="仿宋" w:hAnsi="仿宋" w:eastAsia="仿宋"/>
                <w:highlight w:val="none"/>
              </w:rPr>
            </w:pPr>
          </w:p>
        </w:tc>
        <w:tc>
          <w:tcPr>
            <w:tcW w:w="644" w:type="dxa"/>
            <w:vAlign w:val="center"/>
          </w:tcPr>
          <w:p>
            <w:pPr>
              <w:spacing w:line="360" w:lineRule="auto"/>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4" w:type="dxa"/>
            <w:tcBorders>
              <w:right w:val="single" w:color="auto" w:sz="4" w:space="0"/>
            </w:tcBorders>
            <w:vAlign w:val="center"/>
          </w:tcPr>
          <w:p>
            <w:pPr>
              <w:spacing w:line="360" w:lineRule="auto"/>
              <w:jc w:val="center"/>
              <w:rPr>
                <w:rFonts w:ascii="仿宋" w:hAnsi="仿宋" w:eastAsia="仿宋"/>
                <w:highlight w:val="none"/>
              </w:rPr>
            </w:pPr>
          </w:p>
        </w:tc>
        <w:tc>
          <w:tcPr>
            <w:tcW w:w="1616" w:type="dxa"/>
            <w:tcBorders>
              <w:left w:val="single" w:color="auto" w:sz="4" w:space="0"/>
            </w:tcBorders>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1399" w:type="dxa"/>
            <w:vAlign w:val="center"/>
          </w:tcPr>
          <w:p>
            <w:pPr>
              <w:spacing w:line="360" w:lineRule="auto"/>
              <w:jc w:val="center"/>
              <w:rPr>
                <w:rFonts w:ascii="仿宋" w:hAnsi="仿宋" w:eastAsia="仿宋"/>
                <w:highlight w:val="none"/>
              </w:rPr>
            </w:pPr>
          </w:p>
        </w:tc>
        <w:tc>
          <w:tcPr>
            <w:tcW w:w="1365" w:type="dxa"/>
            <w:vAlign w:val="center"/>
          </w:tcPr>
          <w:p>
            <w:pPr>
              <w:spacing w:line="360" w:lineRule="auto"/>
              <w:jc w:val="center"/>
              <w:rPr>
                <w:rFonts w:ascii="仿宋" w:hAnsi="仿宋" w:eastAsia="仿宋"/>
                <w:highlight w:val="none"/>
              </w:rPr>
            </w:pPr>
          </w:p>
        </w:tc>
        <w:tc>
          <w:tcPr>
            <w:tcW w:w="644" w:type="dxa"/>
            <w:vAlign w:val="center"/>
          </w:tcPr>
          <w:p>
            <w:pPr>
              <w:spacing w:line="360" w:lineRule="auto"/>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4" w:type="dxa"/>
            <w:tcBorders>
              <w:right w:val="single" w:color="auto" w:sz="4" w:space="0"/>
            </w:tcBorders>
            <w:vAlign w:val="center"/>
          </w:tcPr>
          <w:p>
            <w:pPr>
              <w:spacing w:line="360" w:lineRule="auto"/>
              <w:jc w:val="center"/>
              <w:rPr>
                <w:rFonts w:ascii="仿宋" w:hAnsi="仿宋" w:eastAsia="仿宋"/>
                <w:highlight w:val="none"/>
              </w:rPr>
            </w:pPr>
          </w:p>
        </w:tc>
        <w:tc>
          <w:tcPr>
            <w:tcW w:w="1616" w:type="dxa"/>
            <w:tcBorders>
              <w:left w:val="single" w:color="auto" w:sz="4" w:space="0"/>
            </w:tcBorders>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757" w:type="dxa"/>
            <w:vAlign w:val="center"/>
          </w:tcPr>
          <w:p>
            <w:pPr>
              <w:spacing w:line="360" w:lineRule="auto"/>
              <w:jc w:val="center"/>
              <w:rPr>
                <w:rFonts w:ascii="仿宋" w:hAnsi="仿宋" w:eastAsia="仿宋"/>
                <w:highlight w:val="none"/>
              </w:rPr>
            </w:pPr>
          </w:p>
        </w:tc>
        <w:tc>
          <w:tcPr>
            <w:tcW w:w="1399" w:type="dxa"/>
            <w:vAlign w:val="center"/>
          </w:tcPr>
          <w:p>
            <w:pPr>
              <w:spacing w:line="360" w:lineRule="auto"/>
              <w:jc w:val="center"/>
              <w:rPr>
                <w:rFonts w:ascii="仿宋" w:hAnsi="仿宋" w:eastAsia="仿宋"/>
                <w:highlight w:val="none"/>
              </w:rPr>
            </w:pPr>
          </w:p>
        </w:tc>
        <w:tc>
          <w:tcPr>
            <w:tcW w:w="1365" w:type="dxa"/>
            <w:vAlign w:val="center"/>
          </w:tcPr>
          <w:p>
            <w:pPr>
              <w:spacing w:line="360" w:lineRule="auto"/>
              <w:jc w:val="center"/>
              <w:rPr>
                <w:rFonts w:ascii="仿宋" w:hAnsi="仿宋" w:eastAsia="仿宋"/>
                <w:highlight w:val="none"/>
              </w:rPr>
            </w:pPr>
          </w:p>
        </w:tc>
        <w:tc>
          <w:tcPr>
            <w:tcW w:w="644" w:type="dxa"/>
            <w:vAlign w:val="center"/>
          </w:tcPr>
          <w:p>
            <w:pPr>
              <w:spacing w:line="360" w:lineRule="auto"/>
              <w:jc w:val="center"/>
              <w:rPr>
                <w:rFonts w:ascii="仿宋" w:hAnsi="仿宋" w:eastAsia="仿宋"/>
                <w:highlight w:val="none"/>
              </w:rPr>
            </w:pPr>
          </w:p>
        </w:tc>
      </w:tr>
    </w:tbl>
    <w:p>
      <w:pPr>
        <w:tabs>
          <w:tab w:val="left" w:pos="0"/>
        </w:tabs>
        <w:spacing w:line="560" w:lineRule="exact"/>
        <w:jc w:val="center"/>
        <w:rPr>
          <w:rFonts w:ascii="仿宋_GB2312" w:eastAsia="仿宋_GB2312" w:cs="仿宋_GB2312"/>
          <w:b/>
          <w:bCs/>
          <w:color w:val="000000"/>
          <w:kern w:val="0"/>
          <w:sz w:val="32"/>
          <w:szCs w:val="32"/>
          <w:highlight w:val="none"/>
        </w:rPr>
      </w:pPr>
    </w:p>
    <w:p>
      <w:pPr>
        <w:autoSpaceDE w:val="0"/>
        <w:autoSpaceDN w:val="0"/>
        <w:adjustRightInd w:val="0"/>
        <w:spacing w:line="560" w:lineRule="exact"/>
        <w:ind w:firstLine="5040" w:firstLineChars="2100"/>
        <w:rPr>
          <w:rFonts w:ascii="仿宋_GB2312" w:eastAsia="仿宋_GB2312" w:cs="仿宋_GB2312"/>
          <w:color w:val="000000"/>
          <w:kern w:val="0"/>
          <w:sz w:val="24"/>
          <w:szCs w:val="24"/>
          <w:highlight w:val="none"/>
        </w:rPr>
      </w:pPr>
      <w:r>
        <w:rPr>
          <w:rFonts w:hint="eastAsia" w:ascii="仿宋_GB2312" w:eastAsia="仿宋_GB2312" w:cs="仿宋_GB2312"/>
          <w:color w:val="000000"/>
          <w:kern w:val="0"/>
          <w:sz w:val="24"/>
          <w:szCs w:val="24"/>
          <w:highlight w:val="none"/>
        </w:rPr>
        <w:t xml:space="preserve">投标人名称（公章）：                       </w:t>
      </w:r>
    </w:p>
    <w:p>
      <w:pPr>
        <w:autoSpaceDE w:val="0"/>
        <w:autoSpaceDN w:val="0"/>
        <w:adjustRightInd w:val="0"/>
        <w:spacing w:line="560" w:lineRule="exact"/>
        <w:rPr>
          <w:rFonts w:ascii="仿宋_GB2312" w:eastAsia="仿宋_GB2312" w:cs="仿宋_GB2312"/>
          <w:color w:val="000000"/>
          <w:kern w:val="0"/>
          <w:sz w:val="24"/>
          <w:szCs w:val="24"/>
          <w:highlight w:val="none"/>
        </w:rPr>
      </w:pPr>
      <w:r>
        <w:rPr>
          <w:rFonts w:hint="eastAsia" w:ascii="仿宋_GB2312" w:eastAsia="仿宋_GB2312" w:cs="仿宋_GB2312"/>
          <w:color w:val="000000"/>
          <w:kern w:val="0"/>
          <w:sz w:val="24"/>
          <w:szCs w:val="24"/>
          <w:highlight w:val="none"/>
        </w:rPr>
        <w:t xml:space="preserve">                             法定代表人或授权委托人（签字或盖章）：                   </w:t>
      </w:r>
    </w:p>
    <w:p>
      <w:pPr>
        <w:spacing w:line="560" w:lineRule="exact"/>
        <w:rPr>
          <w:rFonts w:ascii="仿宋_GB2312" w:hAnsi="宋体" w:eastAsia="仿宋_GB2312"/>
          <w:b/>
          <w:bCs/>
          <w:color w:val="000000"/>
          <w:sz w:val="24"/>
          <w:szCs w:val="24"/>
          <w:highlight w:val="none"/>
        </w:rPr>
      </w:pPr>
      <w:r>
        <w:rPr>
          <w:rFonts w:hint="eastAsia" w:ascii="仿宋_GB2312" w:eastAsia="仿宋_GB2312" w:cs="仿宋_GB2312"/>
          <w:color w:val="000000"/>
          <w:kern w:val="0"/>
          <w:sz w:val="24"/>
          <w:szCs w:val="24"/>
          <w:highlight w:val="none"/>
        </w:rPr>
        <w:t xml:space="preserve">                                          日期：2019年  月   日</w:t>
      </w:r>
    </w:p>
    <w:p>
      <w:pPr>
        <w:tabs>
          <w:tab w:val="left" w:pos="0"/>
        </w:tabs>
        <w:spacing w:line="560" w:lineRule="exact"/>
        <w:jc w:val="center"/>
        <w:rPr>
          <w:rFonts w:ascii="仿宋_GB2312" w:eastAsia="仿宋_GB2312" w:cs="仿宋_GB2312"/>
          <w:b/>
          <w:bCs/>
          <w:color w:val="000000"/>
          <w:kern w:val="0"/>
          <w:sz w:val="32"/>
          <w:szCs w:val="32"/>
          <w:highlight w:val="none"/>
        </w:rPr>
      </w:pPr>
    </w:p>
    <w:p>
      <w:pPr>
        <w:rPr>
          <w:rFonts w:ascii="仿宋_GB2312" w:eastAsia="仿宋_GB2312" w:cs="仿宋_GB2312"/>
          <w:b/>
          <w:bCs/>
          <w:color w:val="000000"/>
          <w:kern w:val="0"/>
          <w:sz w:val="32"/>
          <w:szCs w:val="32"/>
          <w:highlight w:val="none"/>
          <w:lang w:val="zh-CN"/>
        </w:rPr>
      </w:pPr>
      <w:r>
        <w:rPr>
          <w:rFonts w:ascii="仿宋_GB2312" w:eastAsia="仿宋_GB2312" w:cs="仿宋_GB2312"/>
          <w:b/>
          <w:bCs/>
          <w:color w:val="000000"/>
          <w:kern w:val="0"/>
          <w:sz w:val="32"/>
          <w:szCs w:val="32"/>
          <w:highlight w:val="none"/>
          <w:lang w:val="zh-CN"/>
        </w:rPr>
        <w:br w:type="page"/>
      </w:r>
    </w:p>
    <w:p>
      <w:pPr>
        <w:tabs>
          <w:tab w:val="left" w:pos="0"/>
        </w:tabs>
        <w:spacing w:line="560" w:lineRule="exact"/>
        <w:jc w:val="center"/>
        <w:rPr>
          <w:rFonts w:ascii="仿宋_GB2312" w:eastAsia="仿宋_GB2312" w:cs="仿宋_GB2312"/>
          <w:b/>
          <w:bCs/>
          <w:color w:val="000000"/>
          <w:kern w:val="0"/>
          <w:sz w:val="32"/>
          <w:szCs w:val="32"/>
          <w:highlight w:val="none"/>
          <w:lang w:val="zh-CN"/>
        </w:rPr>
      </w:pPr>
      <w:r>
        <w:rPr>
          <w:rFonts w:hint="eastAsia" w:ascii="仿宋_GB2312" w:eastAsia="仿宋_GB2312" w:cs="仿宋_GB2312"/>
          <w:b/>
          <w:bCs/>
          <w:color w:val="000000"/>
          <w:kern w:val="0"/>
          <w:sz w:val="32"/>
          <w:szCs w:val="32"/>
          <w:highlight w:val="none"/>
          <w:lang w:val="zh-CN"/>
        </w:rPr>
        <w:t>五、业绩证明</w:t>
      </w:r>
    </w:p>
    <w:p>
      <w:pPr>
        <w:tabs>
          <w:tab w:val="left" w:pos="0"/>
        </w:tabs>
        <w:spacing w:line="560" w:lineRule="exact"/>
        <w:jc w:val="center"/>
        <w:rPr>
          <w:rFonts w:ascii="仿宋_GB2312" w:hAnsi="宋体" w:eastAsia="仿宋_GB2312"/>
          <w:b/>
          <w:bCs/>
          <w:color w:val="000000"/>
          <w:sz w:val="30"/>
          <w:szCs w:val="30"/>
          <w:highlight w:val="none"/>
        </w:rPr>
      </w:pPr>
      <w:r>
        <w:rPr>
          <w:rFonts w:hint="eastAsia" w:ascii="仿宋_GB2312" w:eastAsia="仿宋_GB2312" w:cs="仿宋_GB2312"/>
          <w:b/>
          <w:bCs/>
          <w:color w:val="000000"/>
          <w:kern w:val="0"/>
          <w:sz w:val="30"/>
          <w:szCs w:val="30"/>
          <w:highlight w:val="none"/>
          <w:lang w:val="zh-CN"/>
        </w:rPr>
        <w:t>(需提供项目合同复印件并加盖公章)</w:t>
      </w:r>
    </w:p>
    <w:p>
      <w:pPr>
        <w:autoSpaceDE w:val="0"/>
        <w:autoSpaceDN w:val="0"/>
        <w:adjustRightInd w:val="0"/>
        <w:spacing w:line="560" w:lineRule="exact"/>
        <w:ind w:firstLine="2891" w:firstLineChars="1200"/>
        <w:rPr>
          <w:rFonts w:ascii="仿宋_GB2312" w:eastAsia="仿宋_GB2312" w:cs="仿宋_GB2312"/>
          <w:b/>
          <w:bCs/>
          <w:color w:val="000000"/>
          <w:sz w:val="24"/>
          <w:szCs w:val="24"/>
          <w:highlight w:val="none"/>
        </w:rPr>
      </w:pPr>
      <w:r>
        <w:rPr>
          <w:rFonts w:hint="eastAsia" w:ascii="仿宋_GB2312" w:eastAsia="仿宋_GB2312" w:cs="仿宋_GB2312"/>
          <w:b/>
          <w:bCs/>
          <w:color w:val="000000"/>
          <w:sz w:val="24"/>
          <w:szCs w:val="24"/>
          <w:highlight w:val="none"/>
        </w:rPr>
        <w:t xml:space="preserve">附表 :相关项目业绩一览表 </w:t>
      </w:r>
    </w:p>
    <w:tbl>
      <w:tblPr>
        <w:tblStyle w:val="49"/>
        <w:tblW w:w="9135" w:type="dxa"/>
        <w:tblInd w:w="2"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Layout w:type="fixed"/>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60" w:lineRule="exact"/>
              <w:jc w:val="center"/>
              <w:rPr>
                <w:rFonts w:ascii="仿宋_GB2312" w:eastAsia="仿宋_GB2312"/>
                <w:b/>
                <w:color w:val="000000"/>
                <w:sz w:val="24"/>
                <w:szCs w:val="24"/>
                <w:highlight w:val="none"/>
              </w:rPr>
            </w:pPr>
            <w:r>
              <w:rPr>
                <w:rFonts w:hint="eastAsia" w:ascii="仿宋_GB2312" w:eastAsia="仿宋_GB2312" w:cs="仿宋_GB2312"/>
                <w:b/>
                <w:color w:val="000000"/>
                <w:sz w:val="24"/>
                <w:szCs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60" w:lineRule="exact"/>
              <w:jc w:val="center"/>
              <w:rPr>
                <w:rFonts w:ascii="仿宋_GB2312" w:eastAsia="仿宋_GB2312"/>
                <w:b/>
                <w:color w:val="000000"/>
                <w:sz w:val="24"/>
                <w:szCs w:val="24"/>
                <w:highlight w:val="none"/>
              </w:rPr>
            </w:pPr>
            <w:r>
              <w:rPr>
                <w:rFonts w:hint="eastAsia" w:ascii="仿宋_GB2312" w:eastAsia="仿宋_GB2312" w:cs="仿宋_GB2312"/>
                <w:b/>
                <w:color w:val="000000"/>
                <w:sz w:val="24"/>
                <w:szCs w:val="24"/>
                <w:highlight w:val="none"/>
              </w:rPr>
              <w:t>项目</w:t>
            </w:r>
          </w:p>
          <w:p>
            <w:pPr>
              <w:autoSpaceDE w:val="0"/>
              <w:autoSpaceDN w:val="0"/>
              <w:adjustRightInd w:val="0"/>
              <w:spacing w:line="560" w:lineRule="exact"/>
              <w:jc w:val="center"/>
              <w:rPr>
                <w:rFonts w:ascii="仿宋_GB2312" w:eastAsia="仿宋_GB2312"/>
                <w:b/>
                <w:color w:val="000000"/>
                <w:sz w:val="24"/>
                <w:szCs w:val="24"/>
                <w:highlight w:val="none"/>
              </w:rPr>
            </w:pPr>
            <w:r>
              <w:rPr>
                <w:rFonts w:hint="eastAsia" w:ascii="仿宋_GB2312" w:eastAsia="仿宋_GB2312" w:cs="仿宋_GB2312"/>
                <w:b/>
                <w:color w:val="000000"/>
                <w:sz w:val="24"/>
                <w:szCs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60" w:lineRule="exact"/>
              <w:jc w:val="center"/>
              <w:rPr>
                <w:rFonts w:ascii="仿宋_GB2312" w:eastAsia="仿宋_GB2312"/>
                <w:b/>
                <w:color w:val="000000"/>
                <w:sz w:val="24"/>
                <w:szCs w:val="24"/>
                <w:highlight w:val="none"/>
              </w:rPr>
            </w:pPr>
            <w:r>
              <w:rPr>
                <w:rFonts w:hint="eastAsia" w:ascii="仿宋_GB2312" w:eastAsia="仿宋_GB2312" w:cs="仿宋_GB2312"/>
                <w:b/>
                <w:color w:val="000000"/>
                <w:sz w:val="24"/>
                <w:szCs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60" w:lineRule="exact"/>
              <w:jc w:val="center"/>
              <w:rPr>
                <w:rFonts w:ascii="仿宋_GB2312" w:eastAsia="仿宋_GB2312"/>
                <w:b/>
                <w:color w:val="000000"/>
                <w:sz w:val="24"/>
                <w:szCs w:val="24"/>
                <w:highlight w:val="none"/>
              </w:rPr>
            </w:pPr>
            <w:r>
              <w:rPr>
                <w:rFonts w:hint="eastAsia" w:ascii="仿宋_GB2312" w:eastAsia="仿宋_GB2312" w:cs="仿宋_GB2312"/>
                <w:b/>
                <w:color w:val="000000"/>
                <w:sz w:val="24"/>
                <w:szCs w:val="24"/>
                <w:highlight w:val="none"/>
              </w:rPr>
              <w:t>项目</w:t>
            </w:r>
          </w:p>
          <w:p>
            <w:pPr>
              <w:autoSpaceDE w:val="0"/>
              <w:autoSpaceDN w:val="0"/>
              <w:adjustRightInd w:val="0"/>
              <w:spacing w:line="560" w:lineRule="exact"/>
              <w:jc w:val="center"/>
              <w:rPr>
                <w:rFonts w:ascii="仿宋_GB2312" w:eastAsia="仿宋_GB2312"/>
                <w:b/>
                <w:color w:val="000000"/>
                <w:sz w:val="24"/>
                <w:szCs w:val="24"/>
                <w:highlight w:val="none"/>
              </w:rPr>
            </w:pPr>
            <w:r>
              <w:rPr>
                <w:rFonts w:hint="eastAsia" w:ascii="仿宋_GB2312" w:eastAsia="仿宋_GB2312" w:cs="仿宋_GB2312"/>
                <w:b/>
                <w:color w:val="000000"/>
                <w:sz w:val="24"/>
                <w:szCs w:val="24"/>
                <w:highlight w:val="none"/>
              </w:rPr>
              <w:t>总价</w:t>
            </w:r>
          </w:p>
          <w:p>
            <w:pPr>
              <w:autoSpaceDE w:val="0"/>
              <w:autoSpaceDN w:val="0"/>
              <w:adjustRightInd w:val="0"/>
              <w:spacing w:line="560" w:lineRule="exact"/>
              <w:jc w:val="center"/>
              <w:rPr>
                <w:rFonts w:ascii="仿宋_GB2312" w:eastAsia="仿宋_GB2312"/>
                <w:b/>
                <w:color w:val="000000"/>
                <w:sz w:val="24"/>
                <w:szCs w:val="24"/>
                <w:highlight w:val="none"/>
              </w:rPr>
            </w:pPr>
            <w:r>
              <w:rPr>
                <w:rFonts w:hint="eastAsia" w:ascii="仿宋_GB2312" w:eastAsia="仿宋_GB2312" w:cs="仿宋_GB2312"/>
                <w:b/>
                <w:color w:val="000000"/>
                <w:sz w:val="24"/>
                <w:szCs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60" w:lineRule="exact"/>
              <w:jc w:val="center"/>
              <w:rPr>
                <w:rFonts w:ascii="仿宋_GB2312" w:eastAsia="仿宋_GB2312"/>
                <w:b/>
                <w:color w:val="000000"/>
                <w:sz w:val="24"/>
                <w:szCs w:val="24"/>
                <w:highlight w:val="none"/>
              </w:rPr>
            </w:pPr>
            <w:r>
              <w:rPr>
                <w:rFonts w:hint="eastAsia" w:ascii="仿宋_GB2312" w:eastAsia="仿宋_GB2312" w:cs="仿宋_GB2312"/>
                <w:b/>
                <w:color w:val="000000"/>
                <w:sz w:val="24"/>
                <w:szCs w:val="24"/>
                <w:highlight w:val="none"/>
              </w:rPr>
              <w:t>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60" w:lineRule="exact"/>
              <w:jc w:val="center"/>
              <w:rPr>
                <w:rFonts w:ascii="仿宋_GB2312" w:eastAsia="仿宋_GB2312"/>
                <w:b/>
                <w:color w:val="000000"/>
                <w:sz w:val="24"/>
                <w:szCs w:val="24"/>
                <w:highlight w:val="none"/>
              </w:rPr>
            </w:pPr>
            <w:r>
              <w:rPr>
                <w:rFonts w:hint="eastAsia" w:ascii="仿宋_GB2312" w:eastAsia="仿宋_GB2312" w:cs="仿宋_GB2312"/>
                <w:b/>
                <w:color w:val="000000"/>
                <w:sz w:val="24"/>
                <w:szCs w:val="24"/>
                <w:highlight w:val="none"/>
              </w:rPr>
              <w:t>项目地址与业主单位联系电话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60" w:lineRule="exact"/>
              <w:jc w:val="center"/>
              <w:rPr>
                <w:rFonts w:ascii="仿宋_GB2312" w:eastAsia="仿宋_GB2312"/>
                <w:b/>
                <w:color w:val="000000"/>
                <w:sz w:val="24"/>
                <w:szCs w:val="24"/>
                <w:highlight w:val="none"/>
              </w:rPr>
            </w:pPr>
            <w:r>
              <w:rPr>
                <w:rFonts w:hint="eastAsia" w:ascii="仿宋_GB2312" w:eastAsia="仿宋_GB2312" w:cs="仿宋_GB2312"/>
                <w:b/>
                <w:color w:val="000000"/>
                <w:sz w:val="24"/>
                <w:szCs w:val="24"/>
                <w:highlight w:val="none"/>
              </w:rPr>
              <w:t>所在页码</w:t>
            </w:r>
          </w:p>
        </w:tc>
      </w:tr>
      <w:tr>
        <w:tblPrEx>
          <w:tblLayout w:type="fixed"/>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r>
      <w:tr>
        <w:tblPrEx>
          <w:tblLayout w:type="fixed"/>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r>
      <w:tr>
        <w:tblPrEx>
          <w:tblLayout w:type="fixed"/>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r>
      <w:tr>
        <w:tblPrEx>
          <w:tblLayout w:type="fixed"/>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r>
      <w:tr>
        <w:tblPrEx>
          <w:tblLayout w:type="fixed"/>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60" w:lineRule="exact"/>
              <w:rPr>
                <w:rFonts w:ascii="仿宋_GB2312" w:eastAsia="仿宋_GB2312"/>
                <w:color w:val="000000"/>
                <w:sz w:val="24"/>
                <w:szCs w:val="24"/>
                <w:highlight w:val="none"/>
              </w:rPr>
            </w:pPr>
          </w:p>
        </w:tc>
      </w:tr>
    </w:tbl>
    <w:p>
      <w:pPr>
        <w:autoSpaceDE w:val="0"/>
        <w:autoSpaceDN w:val="0"/>
        <w:adjustRightInd w:val="0"/>
        <w:spacing w:line="560" w:lineRule="exact"/>
        <w:rPr>
          <w:rFonts w:ascii="仿宋_GB2312" w:eastAsia="仿宋_GB2312"/>
          <w:color w:val="000000"/>
          <w:sz w:val="24"/>
          <w:szCs w:val="24"/>
          <w:highlight w:val="none"/>
        </w:rPr>
      </w:pPr>
      <w:r>
        <w:rPr>
          <w:rFonts w:hint="eastAsia" w:ascii="仿宋_GB2312" w:eastAsia="仿宋_GB2312" w:cs="仿宋_GB2312"/>
          <w:b/>
          <w:bCs/>
          <w:color w:val="000000"/>
          <w:sz w:val="24"/>
          <w:szCs w:val="24"/>
          <w:highlight w:val="none"/>
        </w:rPr>
        <w:t>注：投标人可按上述的格式自行编制，须随表提交相应的合同复印件并注明所在页码。</w:t>
      </w:r>
    </w:p>
    <w:p>
      <w:pPr>
        <w:autoSpaceDE w:val="0"/>
        <w:autoSpaceDN w:val="0"/>
        <w:adjustRightInd w:val="0"/>
        <w:spacing w:line="560" w:lineRule="exact"/>
        <w:ind w:firstLine="4560" w:firstLineChars="1900"/>
        <w:rPr>
          <w:rFonts w:ascii="仿宋_GB2312" w:eastAsia="仿宋_GB2312" w:cs="仿宋_GB2312"/>
          <w:color w:val="000000"/>
          <w:kern w:val="0"/>
          <w:sz w:val="24"/>
          <w:szCs w:val="24"/>
          <w:highlight w:val="none"/>
        </w:rPr>
      </w:pPr>
    </w:p>
    <w:p>
      <w:pPr>
        <w:autoSpaceDE w:val="0"/>
        <w:autoSpaceDN w:val="0"/>
        <w:adjustRightInd w:val="0"/>
        <w:spacing w:line="560" w:lineRule="exact"/>
        <w:ind w:firstLine="5040" w:firstLineChars="2100"/>
        <w:rPr>
          <w:rFonts w:ascii="仿宋_GB2312" w:eastAsia="仿宋_GB2312" w:cs="仿宋_GB2312"/>
          <w:color w:val="000000"/>
          <w:kern w:val="0"/>
          <w:sz w:val="24"/>
          <w:szCs w:val="24"/>
          <w:highlight w:val="none"/>
        </w:rPr>
      </w:pPr>
      <w:r>
        <w:rPr>
          <w:rFonts w:hint="eastAsia" w:ascii="仿宋_GB2312" w:eastAsia="仿宋_GB2312" w:cs="仿宋_GB2312"/>
          <w:color w:val="000000"/>
          <w:kern w:val="0"/>
          <w:sz w:val="24"/>
          <w:szCs w:val="24"/>
          <w:highlight w:val="none"/>
        </w:rPr>
        <w:t xml:space="preserve">投标人名称（公章）：                       </w:t>
      </w:r>
    </w:p>
    <w:p>
      <w:pPr>
        <w:autoSpaceDE w:val="0"/>
        <w:autoSpaceDN w:val="0"/>
        <w:adjustRightInd w:val="0"/>
        <w:spacing w:line="560" w:lineRule="exact"/>
        <w:rPr>
          <w:rFonts w:ascii="仿宋_GB2312" w:eastAsia="仿宋_GB2312" w:cs="仿宋_GB2312"/>
          <w:color w:val="000000"/>
          <w:kern w:val="0"/>
          <w:sz w:val="24"/>
          <w:szCs w:val="24"/>
          <w:highlight w:val="none"/>
        </w:rPr>
      </w:pPr>
      <w:r>
        <w:rPr>
          <w:rFonts w:hint="eastAsia" w:ascii="仿宋_GB2312" w:eastAsia="仿宋_GB2312" w:cs="仿宋_GB2312"/>
          <w:color w:val="000000"/>
          <w:kern w:val="0"/>
          <w:sz w:val="24"/>
          <w:szCs w:val="24"/>
          <w:highlight w:val="none"/>
        </w:rPr>
        <w:t xml:space="preserve">                             法定代表人或授权委托人（签字或盖章）：                   </w:t>
      </w:r>
    </w:p>
    <w:p>
      <w:pPr>
        <w:spacing w:line="560" w:lineRule="exact"/>
        <w:rPr>
          <w:rFonts w:ascii="仿宋_GB2312" w:hAnsi="宋体" w:eastAsia="仿宋_GB2312"/>
          <w:b/>
          <w:bCs/>
          <w:color w:val="000000"/>
          <w:sz w:val="24"/>
          <w:szCs w:val="24"/>
          <w:highlight w:val="none"/>
        </w:rPr>
      </w:pPr>
      <w:r>
        <w:rPr>
          <w:rFonts w:hint="eastAsia" w:ascii="仿宋_GB2312" w:eastAsia="仿宋_GB2312" w:cs="仿宋_GB2312"/>
          <w:color w:val="000000"/>
          <w:kern w:val="0"/>
          <w:sz w:val="24"/>
          <w:szCs w:val="24"/>
          <w:highlight w:val="none"/>
        </w:rPr>
        <w:t xml:space="preserve">                                          日期：2019年  月   日</w:t>
      </w:r>
    </w:p>
    <w:p>
      <w:pPr>
        <w:spacing w:line="560" w:lineRule="exact"/>
        <w:ind w:firstLine="2891" w:firstLineChars="800"/>
        <w:outlineLvl w:val="0"/>
        <w:rPr>
          <w:rFonts w:ascii="仿宋_GB2312" w:hAnsi="宋体" w:eastAsia="仿宋_GB2312" w:cs="仿宋_GB2312"/>
          <w:b/>
          <w:bCs/>
          <w:color w:val="000000"/>
          <w:kern w:val="0"/>
          <w:sz w:val="36"/>
          <w:szCs w:val="36"/>
          <w:highlight w:val="none"/>
        </w:rPr>
      </w:pPr>
    </w:p>
    <w:p>
      <w:pPr>
        <w:rPr>
          <w:rFonts w:ascii="仿宋_GB2312" w:hAnsi="宋体" w:eastAsia="仿宋_GB2312" w:cs="仿宋_GB2312"/>
          <w:b/>
          <w:bCs/>
          <w:color w:val="000000"/>
          <w:sz w:val="36"/>
          <w:szCs w:val="36"/>
          <w:highlight w:val="none"/>
        </w:rPr>
      </w:pPr>
    </w:p>
    <w:p>
      <w:pPr>
        <w:tabs>
          <w:tab w:val="left" w:pos="0"/>
        </w:tabs>
        <w:spacing w:line="560" w:lineRule="exact"/>
        <w:jc w:val="center"/>
        <w:rPr>
          <w:rFonts w:ascii="仿宋_GB2312" w:eastAsia="仿宋_GB2312" w:cs="仿宋_GB2312"/>
          <w:b/>
          <w:bCs/>
          <w:color w:val="000000"/>
          <w:kern w:val="0"/>
          <w:sz w:val="32"/>
          <w:szCs w:val="32"/>
          <w:highlight w:val="none"/>
          <w:lang w:val="zh-CN"/>
        </w:rPr>
      </w:pPr>
      <w:r>
        <w:rPr>
          <w:rFonts w:ascii="仿宋_GB2312" w:hAnsi="宋体" w:eastAsia="仿宋_GB2312" w:cs="仿宋_GB2312"/>
          <w:b/>
          <w:bCs/>
          <w:color w:val="000000"/>
          <w:sz w:val="36"/>
          <w:szCs w:val="36"/>
          <w:highlight w:val="none"/>
        </w:rPr>
        <w:br w:type="page"/>
      </w:r>
      <w:r>
        <w:rPr>
          <w:rFonts w:hint="eastAsia" w:ascii="仿宋_GB2312" w:eastAsia="仿宋_GB2312" w:cs="仿宋_GB2312"/>
          <w:b/>
          <w:bCs/>
          <w:color w:val="000000"/>
          <w:kern w:val="0"/>
          <w:sz w:val="32"/>
          <w:szCs w:val="32"/>
          <w:highlight w:val="none"/>
          <w:lang w:val="zh-CN"/>
        </w:rPr>
        <w:t>六、中小企业声明函</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本公司郑重声明，根据《政府采购促进中小企业发展暂行办法》（财库[2011]181号）的规定，本公司为（请填写：中型、小型、微型）企业。即，本公司同时满足以下条件：</w:t>
      </w:r>
    </w:p>
    <w:p>
      <w:pPr>
        <w:pStyle w:val="180"/>
        <w:numPr>
          <w:ilvl w:val="0"/>
          <w:numId w:val="5"/>
        </w:numPr>
        <w:spacing w:line="360" w:lineRule="auto"/>
        <w:ind w:firstLineChars="0"/>
        <w:jc w:val="both"/>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根据《工业和信息化部、国家统计局、国家发展和改革委员会、财政部关于印发中小企业划型标准规定的通知》（工信部联企业[2011]300号）规定的划分标准，本公司为（请填写：中型、小型、微型）企业。</w:t>
      </w:r>
    </w:p>
    <w:p>
      <w:pPr>
        <w:pStyle w:val="180"/>
        <w:numPr>
          <w:ilvl w:val="0"/>
          <w:numId w:val="5"/>
        </w:numPr>
        <w:spacing w:line="360" w:lineRule="auto"/>
        <w:ind w:firstLineChars="0"/>
        <w:jc w:val="both"/>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本公司参加单位的项目采购活动提供本企业制造的货物，由本企业承担工程、提供服务，或者提供其他 （请填写：中型、小型、微型）企业制造的货物。本条所称货物不包括使用大型企业注册商标的货物。</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本公司对上述声明的真实性负责。如有虚假，将依法承担相应责任。</w:t>
      </w:r>
    </w:p>
    <w:p>
      <w:pPr>
        <w:spacing w:line="360" w:lineRule="auto"/>
        <w:jc w:val="right"/>
        <w:rPr>
          <w:rFonts w:ascii="仿宋_GB2312" w:hAnsi="仿宋_GB2312" w:eastAsia="仿宋_GB2312" w:cs="仿宋_GB2312"/>
          <w:sz w:val="24"/>
          <w:szCs w:val="24"/>
          <w:highlight w:val="none"/>
        </w:rPr>
      </w:pPr>
    </w:p>
    <w:p>
      <w:pPr>
        <w:spacing w:line="360" w:lineRule="auto"/>
        <w:jc w:val="right"/>
        <w:rPr>
          <w:rFonts w:ascii="仿宋_GB2312" w:hAnsi="仿宋_GB2312" w:eastAsia="仿宋_GB2312" w:cs="仿宋_GB2312"/>
          <w:sz w:val="24"/>
          <w:szCs w:val="24"/>
          <w:highlight w:val="none"/>
        </w:rPr>
      </w:pPr>
    </w:p>
    <w:p>
      <w:pPr>
        <w:spacing w:line="360" w:lineRule="auto"/>
        <w:ind w:right="420" w:firstLine="5880" w:firstLineChars="245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企业名称（盖章）：                                 </w:t>
      </w:r>
    </w:p>
    <w:p>
      <w:pPr>
        <w:spacing w:line="360" w:lineRule="auto"/>
        <w:ind w:right="420"/>
        <w:jc w:val="right"/>
        <w:rPr>
          <w:rFonts w:ascii="仿宋_GB2312" w:eastAsia="仿宋_GB2312"/>
          <w:sz w:val="24"/>
          <w:szCs w:val="24"/>
          <w:highlight w:val="none"/>
        </w:rPr>
      </w:pPr>
      <w:r>
        <w:rPr>
          <w:rFonts w:hint="eastAsia" w:ascii="仿宋_GB2312" w:hAnsi="仿宋_GB2312" w:eastAsia="仿宋_GB2312" w:cs="仿宋_GB2312"/>
          <w:sz w:val="24"/>
          <w:szCs w:val="24"/>
          <w:highlight w:val="none"/>
        </w:rPr>
        <w:t xml:space="preserve">日期：     年     月 </w:t>
      </w:r>
      <w:r>
        <w:rPr>
          <w:rFonts w:hint="eastAsia" w:ascii="仿宋_GB2312" w:eastAsia="仿宋_GB2312"/>
          <w:sz w:val="24"/>
          <w:szCs w:val="24"/>
          <w:highlight w:val="none"/>
        </w:rPr>
        <w:t xml:space="preserve">   日 </w:t>
      </w:r>
    </w:p>
    <w:p>
      <w:pPr>
        <w:spacing w:line="360" w:lineRule="auto"/>
        <w:rPr>
          <w:rFonts w:ascii="仿宋_GB2312" w:eastAsia="仿宋_GB2312"/>
          <w:highlight w:val="none"/>
        </w:rPr>
      </w:pPr>
    </w:p>
    <w:p>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符合《关于促进残疾人就业政府采购政策的通知》（财库〔2017〕141号）规定的条件并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20" w:firstLineChars="200"/>
        <w:rPr>
          <w:rFonts w:ascii="仿宋_GB2312" w:eastAsia="仿宋_GB2312"/>
          <w:highlight w:val="none"/>
        </w:rPr>
      </w:pPr>
    </w:p>
    <w:p>
      <w:pPr>
        <w:rPr>
          <w:rFonts w:ascii="Arial" w:hAnsi="Arial" w:eastAsia="黑体" w:cs="Arial"/>
          <w:b/>
          <w:bCs/>
          <w:sz w:val="32"/>
          <w:szCs w:val="32"/>
          <w:highlight w:val="none"/>
        </w:rPr>
      </w:pPr>
      <w:r>
        <w:rPr>
          <w:highlight w:val="none"/>
        </w:rPr>
        <w:br w:type="page"/>
      </w:r>
    </w:p>
    <w:p>
      <w:pPr>
        <w:pStyle w:val="3"/>
        <w:tabs>
          <w:tab w:val="left" w:pos="432"/>
        </w:tabs>
        <w:spacing w:line="240" w:lineRule="atLeast"/>
        <w:ind w:left="420"/>
        <w:rPr>
          <w:highlight w:val="none"/>
        </w:rPr>
      </w:pPr>
      <w:r>
        <w:rPr>
          <w:rFonts w:hint="eastAsia"/>
          <w:highlight w:val="none"/>
        </w:rPr>
        <w:t>中小企业资格确认意见书或者投标截止时间前7日内“国家企业信用信息公示系统</w:t>
      </w:r>
      <w:r>
        <w:rPr>
          <w:highlight w:val="none"/>
        </w:rPr>
        <w:t>—</w:t>
      </w:r>
      <w:r>
        <w:rPr>
          <w:rFonts w:hint="eastAsia"/>
          <w:highlight w:val="none"/>
        </w:rPr>
        <w:t>小微企业名录”页面查询结果</w:t>
      </w:r>
    </w:p>
    <w:p>
      <w:pPr>
        <w:rPr>
          <w:rFonts w:ascii="仿宋_GB2312" w:hAnsi="仿宋_GB2312" w:eastAsia="仿宋_GB2312" w:cs="仿宋_GB2312"/>
          <w:sz w:val="24"/>
          <w:highlight w:val="none"/>
        </w:rPr>
      </w:pPr>
    </w:p>
    <w:p>
      <w:pPr>
        <w:spacing w:line="360" w:lineRule="auto"/>
        <w:ind w:firstLine="600" w:firstLineChars="25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根据《工业和信息化部、国家统计局、国家发展和改革委员会、财政部关于印发中小企业划型标准的通知》（工信部联企业（2011）300号）规定的划分标准，兹确认公司为行业的（请填写：中型、小型、微型）企业。</w:t>
      </w:r>
    </w:p>
    <w:p>
      <w:pPr>
        <w:spacing w:line="360" w:lineRule="auto"/>
        <w:ind w:firstLine="600" w:firstLineChars="250"/>
        <w:rPr>
          <w:rFonts w:ascii="仿宋_GB2312" w:hAnsi="仿宋_GB2312" w:eastAsia="仿宋_GB2312" w:cs="仿宋_GB2312"/>
          <w:sz w:val="24"/>
          <w:highlight w:val="none"/>
        </w:rPr>
      </w:pPr>
    </w:p>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省（市、县、区）中小企业局或经济和信息化委员会</w:t>
      </w:r>
    </w:p>
    <w:p>
      <w:pPr>
        <w:rPr>
          <w:rFonts w:ascii="仿宋_GB2312" w:hAnsi="仿宋_GB2312" w:eastAsia="仿宋_GB2312" w:cs="仿宋_GB2312"/>
          <w:sz w:val="24"/>
          <w:highlight w:val="none"/>
        </w:rPr>
      </w:pPr>
    </w:p>
    <w:p>
      <w:pPr>
        <w:rPr>
          <w:rFonts w:ascii="仿宋_GB2312" w:hAnsi="仿宋_GB2312" w:eastAsia="仿宋_GB2312" w:cs="仿宋_GB2312"/>
          <w:sz w:val="24"/>
          <w:highlight w:val="none"/>
        </w:rPr>
      </w:pPr>
    </w:p>
    <w:p>
      <w:pPr>
        <w:pStyle w:val="3"/>
        <w:tabs>
          <w:tab w:val="left" w:pos="432"/>
        </w:tabs>
        <w:spacing w:line="240" w:lineRule="atLeast"/>
        <w:ind w:left="420"/>
        <w:rPr>
          <w:highlight w:val="none"/>
        </w:rPr>
      </w:pPr>
      <w:r>
        <w:rPr>
          <w:rFonts w:hint="eastAsia"/>
          <w:highlight w:val="none"/>
        </w:rPr>
        <w:t>“国家企业信用信息公示系统</w:t>
      </w:r>
      <w:r>
        <w:rPr>
          <w:highlight w:val="none"/>
        </w:rPr>
        <w:t>—</w:t>
      </w:r>
      <w:r>
        <w:rPr>
          <w:rFonts w:hint="eastAsia"/>
          <w:highlight w:val="none"/>
        </w:rPr>
        <w:t>小微企业名录”页面查询结果（加盖公章）</w:t>
      </w:r>
    </w:p>
    <w:p>
      <w:pPr>
        <w:rPr>
          <w:highlight w:val="none"/>
        </w:rPr>
      </w:pPr>
    </w:p>
    <w:p>
      <w:pPr>
        <w:rPr>
          <w:rFonts w:ascii="仿宋_GB2312" w:hAnsi="仿宋_GB2312" w:eastAsia="仿宋_GB2312" w:cs="仿宋_GB2312"/>
          <w:sz w:val="24"/>
          <w:highlight w:val="none"/>
        </w:rPr>
      </w:pPr>
      <w:r>
        <w:rPr>
          <w:rFonts w:ascii="仿宋_GB2312" w:hAnsi="仿宋_GB2312" w:eastAsia="仿宋_GB2312" w:cs="仿宋_GB2312"/>
          <w:sz w:val="24"/>
          <w:highlight w:val="none"/>
        </w:rPr>
        <w:br w:type="page"/>
      </w:r>
    </w:p>
    <w:p>
      <w:pPr>
        <w:spacing w:line="588" w:lineRule="exact"/>
        <w:jc w:val="center"/>
        <w:rPr>
          <w:rFonts w:ascii="仿宋_GB2312" w:eastAsia="仿宋_GB2312"/>
          <w:b/>
          <w:spacing w:val="6"/>
          <w:sz w:val="32"/>
          <w:szCs w:val="32"/>
          <w:highlight w:val="none"/>
        </w:rPr>
      </w:pPr>
      <w:r>
        <w:rPr>
          <w:rFonts w:hint="eastAsia" w:ascii="仿宋_GB2312" w:eastAsia="仿宋_GB2312"/>
          <w:b/>
          <w:spacing w:val="6"/>
          <w:sz w:val="32"/>
          <w:szCs w:val="32"/>
          <w:highlight w:val="none"/>
        </w:rPr>
        <w:t>残疾人福利性单位声明函</w:t>
      </w:r>
    </w:p>
    <w:p>
      <w:pPr>
        <w:spacing w:line="588" w:lineRule="exact"/>
        <w:rPr>
          <w:rFonts w:ascii="仿宋_GB2312" w:eastAsia="仿宋_GB2312"/>
          <w:b/>
          <w:spacing w:val="6"/>
          <w:sz w:val="30"/>
          <w:szCs w:val="30"/>
          <w:highlight w:val="none"/>
        </w:rPr>
      </w:pPr>
    </w:p>
    <w:p>
      <w:pPr>
        <w:spacing w:line="588"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本单位对上述声明的真实性负责。如有虚假，将依法承担相应责任。</w:t>
      </w:r>
    </w:p>
    <w:p>
      <w:pPr>
        <w:spacing w:line="588" w:lineRule="exact"/>
        <w:ind w:firstLine="480" w:firstLineChars="200"/>
        <w:rPr>
          <w:rFonts w:ascii="仿宋_GB2312" w:hAnsi="仿宋_GB2312" w:eastAsia="仿宋_GB2312" w:cs="仿宋_GB2312"/>
          <w:sz w:val="24"/>
          <w:highlight w:val="none"/>
        </w:rPr>
      </w:pPr>
    </w:p>
    <w:p>
      <w:pPr>
        <w:spacing w:line="588" w:lineRule="exact"/>
        <w:ind w:firstLine="480" w:firstLineChars="200"/>
        <w:rPr>
          <w:rFonts w:ascii="仿宋_GB2312" w:hAnsi="仿宋_GB2312" w:eastAsia="仿宋_GB2312" w:cs="仿宋_GB2312"/>
          <w:sz w:val="24"/>
          <w:highlight w:val="none"/>
        </w:rPr>
      </w:pPr>
    </w:p>
    <w:p>
      <w:pPr>
        <w:tabs>
          <w:tab w:val="left" w:pos="4860"/>
        </w:tabs>
        <w:spacing w:line="588" w:lineRule="exact"/>
        <w:ind w:right="1560" w:firstLine="480" w:firstLineChars="200"/>
        <w:jc w:val="righ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单位名称（盖章）：</w:t>
      </w:r>
    </w:p>
    <w:p>
      <w:pPr>
        <w:tabs>
          <w:tab w:val="left" w:pos="4860"/>
        </w:tabs>
        <w:spacing w:line="588" w:lineRule="exact"/>
        <w:ind w:right="1560" w:firstLine="480" w:firstLineChars="200"/>
        <w:jc w:val="righ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日  期：</w:t>
      </w:r>
    </w:p>
    <w:p>
      <w:pPr>
        <w:rPr>
          <w:rFonts w:ascii="仿宋_GB2312" w:eastAsia="仿宋_GB2312"/>
          <w:kern w:val="0"/>
          <w:sz w:val="24"/>
          <w:highlight w:val="none"/>
        </w:rPr>
      </w:pPr>
    </w:p>
    <w:p>
      <w:pPr>
        <w:rPr>
          <w:rFonts w:ascii="仿宋_GB2312" w:hAnsi="宋体" w:eastAsia="仿宋_GB2312" w:cs="仿宋_GB2312"/>
          <w:b/>
          <w:bCs/>
          <w:color w:val="000000"/>
          <w:sz w:val="36"/>
          <w:szCs w:val="36"/>
          <w:highlight w:val="none"/>
        </w:rPr>
      </w:pPr>
    </w:p>
    <w:p>
      <w:pPr>
        <w:rPr>
          <w:rFonts w:ascii="仿宋_GB2312" w:hAnsi="宋体" w:eastAsia="仿宋_GB2312" w:cs="仿宋_GB2312"/>
          <w:b/>
          <w:bCs/>
          <w:color w:val="000000"/>
          <w:sz w:val="36"/>
          <w:szCs w:val="36"/>
          <w:highlight w:val="none"/>
        </w:rPr>
      </w:pPr>
      <w:r>
        <w:rPr>
          <w:rFonts w:ascii="仿宋_GB2312" w:hAnsi="宋体" w:eastAsia="仿宋_GB2312" w:cs="仿宋_GB2312"/>
          <w:b/>
          <w:bCs/>
          <w:color w:val="000000"/>
          <w:sz w:val="36"/>
          <w:szCs w:val="36"/>
          <w:highlight w:val="none"/>
        </w:rPr>
        <w:br w:type="page"/>
      </w:r>
    </w:p>
    <w:p>
      <w:pPr>
        <w:adjustRightInd w:val="0"/>
        <w:snapToGrid w:val="0"/>
        <w:spacing w:line="560" w:lineRule="exact"/>
        <w:jc w:val="center"/>
        <w:outlineLvl w:val="0"/>
        <w:rPr>
          <w:rFonts w:ascii="仿宋_GB2312" w:hAnsi="宋体" w:eastAsia="仿宋_GB2312"/>
          <w:b/>
          <w:bCs/>
          <w:color w:val="000000"/>
          <w:sz w:val="36"/>
          <w:szCs w:val="36"/>
          <w:highlight w:val="none"/>
        </w:rPr>
      </w:pPr>
      <w:r>
        <w:rPr>
          <w:rFonts w:hint="eastAsia" w:ascii="仿宋_GB2312" w:hAnsi="宋体" w:eastAsia="仿宋_GB2312" w:cs="仿宋_GB2312"/>
          <w:b/>
          <w:bCs/>
          <w:color w:val="000000"/>
          <w:sz w:val="36"/>
          <w:szCs w:val="36"/>
          <w:highlight w:val="none"/>
        </w:rPr>
        <w:t>技术文件</w:t>
      </w:r>
    </w:p>
    <w:p>
      <w:pPr>
        <w:spacing w:line="560" w:lineRule="exact"/>
        <w:jc w:val="center"/>
        <w:outlineLvl w:val="0"/>
        <w:rPr>
          <w:rFonts w:ascii="仿宋_GB2312" w:hAnsi="宋体" w:eastAsia="仿宋_GB2312" w:cs="仿宋_GB2312"/>
          <w:b/>
          <w:bCs/>
          <w:color w:val="000000"/>
          <w:sz w:val="32"/>
          <w:szCs w:val="32"/>
          <w:highlight w:val="none"/>
        </w:rPr>
      </w:pPr>
      <w:r>
        <w:rPr>
          <w:rFonts w:hint="eastAsia" w:ascii="仿宋_GB2312" w:eastAsia="仿宋_GB2312"/>
          <w:b/>
          <w:kern w:val="0"/>
          <w:sz w:val="30"/>
          <w:highlight w:val="none"/>
          <w:lang w:val="zh-CN"/>
        </w:rPr>
        <w:t>一、</w:t>
      </w:r>
      <w:r>
        <w:rPr>
          <w:rFonts w:hint="eastAsia" w:ascii="仿宋_GB2312" w:hAnsi="宋体" w:eastAsia="仿宋_GB2312" w:cs="仿宋_GB2312"/>
          <w:b/>
          <w:bCs/>
          <w:color w:val="000000"/>
          <w:sz w:val="32"/>
          <w:szCs w:val="32"/>
          <w:highlight w:val="none"/>
        </w:rPr>
        <w:t>技术偏离表</w:t>
      </w:r>
    </w:p>
    <w:p>
      <w:pPr>
        <w:spacing w:line="560" w:lineRule="exact"/>
        <w:jc w:val="center"/>
        <w:outlineLvl w:val="0"/>
        <w:rPr>
          <w:rFonts w:ascii="仿宋_GB2312" w:hAnsi="宋体" w:eastAsia="仿宋_GB2312" w:cs="仿宋_GB2312"/>
          <w:b/>
          <w:bCs/>
          <w:color w:val="000000"/>
          <w:sz w:val="32"/>
          <w:szCs w:val="32"/>
          <w:highlight w:val="none"/>
        </w:rPr>
      </w:pPr>
    </w:p>
    <w:tbl>
      <w:tblPr>
        <w:tblStyle w:val="4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611"/>
        <w:gridCol w:w="1681"/>
        <w:gridCol w:w="1681"/>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26"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r>
              <w:rPr>
                <w:rFonts w:hint="eastAsia" w:ascii="仿宋_GB2312" w:hAnsi="宋体" w:eastAsia="仿宋_GB2312"/>
                <w:color w:val="000000"/>
                <w:spacing w:val="20"/>
                <w:sz w:val="24"/>
                <w:szCs w:val="24"/>
                <w:highlight w:val="none"/>
              </w:rPr>
              <w:t>序号</w:t>
            </w:r>
          </w:p>
        </w:tc>
        <w:tc>
          <w:tcPr>
            <w:tcW w:w="1611"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r>
              <w:rPr>
                <w:rFonts w:hint="eastAsia" w:ascii="仿宋_GB2312" w:hAnsi="宋体" w:eastAsia="仿宋_GB2312"/>
                <w:color w:val="000000"/>
                <w:spacing w:val="20"/>
                <w:sz w:val="24"/>
                <w:szCs w:val="24"/>
                <w:highlight w:val="none"/>
              </w:rPr>
              <w:t>招标规格</w:t>
            </w:r>
          </w:p>
        </w:tc>
        <w:tc>
          <w:tcPr>
            <w:tcW w:w="1681"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r>
              <w:rPr>
                <w:rFonts w:hint="eastAsia" w:ascii="仿宋_GB2312" w:hAnsi="宋体" w:eastAsia="仿宋_GB2312"/>
                <w:color w:val="000000"/>
                <w:spacing w:val="20"/>
                <w:sz w:val="24"/>
                <w:szCs w:val="24"/>
                <w:highlight w:val="none"/>
              </w:rPr>
              <w:t>投标规格</w:t>
            </w:r>
          </w:p>
        </w:tc>
        <w:tc>
          <w:tcPr>
            <w:tcW w:w="1681"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r>
              <w:rPr>
                <w:rFonts w:hint="eastAsia" w:ascii="仿宋_GB2312" w:hAnsi="宋体" w:eastAsia="仿宋_GB2312"/>
                <w:color w:val="000000"/>
                <w:spacing w:val="20"/>
                <w:sz w:val="24"/>
                <w:szCs w:val="24"/>
                <w:highlight w:val="none"/>
              </w:rPr>
              <w:t>偏离</w:t>
            </w:r>
          </w:p>
        </w:tc>
        <w:tc>
          <w:tcPr>
            <w:tcW w:w="2529"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r>
              <w:rPr>
                <w:rFonts w:hint="eastAsia" w:ascii="仿宋_GB2312" w:hAnsi="宋体" w:eastAsia="仿宋_GB2312"/>
                <w:color w:val="000000"/>
                <w:spacing w:val="20"/>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26"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c>
          <w:tcPr>
            <w:tcW w:w="1611"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c>
          <w:tcPr>
            <w:tcW w:w="1681"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c>
          <w:tcPr>
            <w:tcW w:w="1681"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c>
          <w:tcPr>
            <w:tcW w:w="2529"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26"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c>
          <w:tcPr>
            <w:tcW w:w="1611"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c>
          <w:tcPr>
            <w:tcW w:w="1681"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c>
          <w:tcPr>
            <w:tcW w:w="1681"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c>
          <w:tcPr>
            <w:tcW w:w="2529"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26"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c>
          <w:tcPr>
            <w:tcW w:w="1611"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c>
          <w:tcPr>
            <w:tcW w:w="1681"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c>
          <w:tcPr>
            <w:tcW w:w="1681"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c>
          <w:tcPr>
            <w:tcW w:w="2529"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26"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c>
          <w:tcPr>
            <w:tcW w:w="1611"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c>
          <w:tcPr>
            <w:tcW w:w="1681"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c>
          <w:tcPr>
            <w:tcW w:w="1681"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c>
          <w:tcPr>
            <w:tcW w:w="2529"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26"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c>
          <w:tcPr>
            <w:tcW w:w="1611"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c>
          <w:tcPr>
            <w:tcW w:w="1681"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c>
          <w:tcPr>
            <w:tcW w:w="1681"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c>
          <w:tcPr>
            <w:tcW w:w="2529" w:type="dxa"/>
            <w:vAlign w:val="center"/>
          </w:tcPr>
          <w:p>
            <w:pPr>
              <w:adjustRightInd w:val="0"/>
              <w:snapToGrid w:val="0"/>
              <w:spacing w:line="560" w:lineRule="exact"/>
              <w:jc w:val="center"/>
              <w:rPr>
                <w:rFonts w:ascii="仿宋_GB2312" w:hAnsi="宋体" w:eastAsia="仿宋_GB2312"/>
                <w:color w:val="000000"/>
                <w:spacing w:val="20"/>
                <w:sz w:val="24"/>
                <w:szCs w:val="24"/>
                <w:highlight w:val="none"/>
              </w:rPr>
            </w:pPr>
          </w:p>
        </w:tc>
      </w:tr>
    </w:tbl>
    <w:p>
      <w:pPr>
        <w:spacing w:line="560" w:lineRule="exact"/>
        <w:outlineLvl w:val="0"/>
        <w:rPr>
          <w:rFonts w:ascii="仿宋_GB2312" w:hAnsi="宋体" w:eastAsia="仿宋_GB2312"/>
          <w:color w:val="000000"/>
          <w:spacing w:val="20"/>
          <w:sz w:val="24"/>
          <w:szCs w:val="24"/>
          <w:highlight w:val="none"/>
        </w:rPr>
      </w:pPr>
      <w:r>
        <w:rPr>
          <w:rFonts w:hint="eastAsia" w:ascii="仿宋_GB2312" w:hAnsi="宋体" w:eastAsia="仿宋_GB2312"/>
          <w:color w:val="000000"/>
          <w:spacing w:val="20"/>
          <w:sz w:val="24"/>
          <w:szCs w:val="24"/>
          <w:highlight w:val="none"/>
        </w:rPr>
        <w:t>注：必须对照“第三部分招标内容及项目要求”中“</w:t>
      </w:r>
      <w:r>
        <w:rPr>
          <w:rFonts w:hint="eastAsia" w:ascii="仿宋" w:hAnsi="仿宋" w:eastAsia="仿宋" w:cs="宋体"/>
          <w:kern w:val="0"/>
          <w:sz w:val="24"/>
          <w:szCs w:val="24"/>
          <w:highlight w:val="none"/>
        </w:rPr>
        <w:t>采购清单</w:t>
      </w:r>
      <w:r>
        <w:rPr>
          <w:rFonts w:hint="eastAsia" w:ascii="仿宋_GB2312" w:hAnsi="宋体" w:eastAsia="仿宋_GB2312"/>
          <w:color w:val="000000"/>
          <w:spacing w:val="20"/>
          <w:sz w:val="24"/>
          <w:szCs w:val="24"/>
          <w:highlight w:val="none"/>
        </w:rPr>
        <w:t>”所列所有技术规格相比较填列。</w:t>
      </w:r>
    </w:p>
    <w:p>
      <w:pPr>
        <w:spacing w:line="560" w:lineRule="exact"/>
        <w:jc w:val="center"/>
        <w:outlineLvl w:val="0"/>
        <w:rPr>
          <w:rFonts w:ascii="仿宋_GB2312" w:hAnsi="宋体" w:eastAsia="仿宋_GB2312" w:cs="仿宋_GB2312"/>
          <w:b/>
          <w:bCs/>
          <w:color w:val="000000"/>
          <w:sz w:val="24"/>
          <w:szCs w:val="24"/>
          <w:highlight w:val="none"/>
        </w:rPr>
      </w:pPr>
    </w:p>
    <w:p>
      <w:pPr>
        <w:adjustRightInd w:val="0"/>
        <w:snapToGrid w:val="0"/>
        <w:spacing w:line="560" w:lineRule="exact"/>
        <w:ind w:right="480"/>
        <w:jc w:val="right"/>
        <w:rPr>
          <w:rFonts w:ascii="仿宋_GB2312" w:hAnsi="宋体" w:eastAsia="仿宋_GB2312"/>
          <w:color w:val="000000"/>
          <w:kern w:val="0"/>
          <w:sz w:val="24"/>
          <w:szCs w:val="24"/>
          <w:highlight w:val="none"/>
        </w:rPr>
      </w:pPr>
      <w:r>
        <w:rPr>
          <w:rFonts w:hint="eastAsia" w:ascii="仿宋_GB2312" w:hAnsi="宋体" w:eastAsia="仿宋_GB2312" w:cs="仿宋_GB2312"/>
          <w:color w:val="000000"/>
          <w:kern w:val="0"/>
          <w:sz w:val="24"/>
          <w:szCs w:val="24"/>
          <w:highlight w:val="none"/>
          <w:lang w:val="zh-CN"/>
        </w:rPr>
        <w:t xml:space="preserve">                        供应商名称(公章)：</w:t>
      </w:r>
    </w:p>
    <w:p>
      <w:pPr>
        <w:adjustRightInd w:val="0"/>
        <w:snapToGrid w:val="0"/>
        <w:spacing w:line="560" w:lineRule="exact"/>
        <w:jc w:val="right"/>
        <w:rPr>
          <w:rFonts w:ascii="仿宋_GB2312" w:hAnsi="宋体" w:eastAsia="仿宋_GB2312"/>
          <w:color w:val="000000"/>
          <w:kern w:val="0"/>
          <w:sz w:val="24"/>
          <w:szCs w:val="24"/>
          <w:highlight w:val="none"/>
        </w:rPr>
      </w:pPr>
      <w:r>
        <w:rPr>
          <w:rFonts w:hint="eastAsia" w:ascii="仿宋_GB2312" w:eastAsia="仿宋_GB2312"/>
          <w:kern w:val="0"/>
          <w:sz w:val="24"/>
          <w:highlight w:val="none"/>
        </w:rPr>
        <w:t>法定代表人或授权委托人（签字或盖章）：</w:t>
      </w:r>
    </w:p>
    <w:p>
      <w:pPr>
        <w:tabs>
          <w:tab w:val="left" w:pos="2790"/>
          <w:tab w:val="left" w:pos="4230"/>
        </w:tabs>
        <w:autoSpaceDE w:val="0"/>
        <w:autoSpaceDN w:val="0"/>
        <w:adjustRightInd w:val="0"/>
        <w:spacing w:line="440" w:lineRule="exact"/>
        <w:ind w:right="653"/>
        <w:jc w:val="center"/>
        <w:outlineLvl w:val="3"/>
        <w:rPr>
          <w:rFonts w:ascii="仿宋_GB2312" w:eastAsia="仿宋_GB2312"/>
          <w:b/>
          <w:kern w:val="0"/>
          <w:sz w:val="30"/>
          <w:highlight w:val="none"/>
          <w:lang w:val="zh-CN"/>
        </w:rPr>
      </w:pPr>
      <w:r>
        <w:rPr>
          <w:rFonts w:hint="eastAsia" w:ascii="仿宋_GB2312" w:hAnsi="宋体" w:eastAsia="仿宋_GB2312" w:cs="仿宋_GB2312"/>
          <w:color w:val="000000"/>
          <w:kern w:val="0"/>
          <w:sz w:val="24"/>
          <w:szCs w:val="24"/>
          <w:highlight w:val="none"/>
          <w:lang w:val="zh-CN"/>
        </w:rPr>
        <w:t xml:space="preserve">                                          日期：2019年  月   日</w:t>
      </w:r>
    </w:p>
    <w:p>
      <w:pPr>
        <w:tabs>
          <w:tab w:val="left" w:pos="2790"/>
          <w:tab w:val="left" w:pos="4230"/>
        </w:tabs>
        <w:autoSpaceDE w:val="0"/>
        <w:autoSpaceDN w:val="0"/>
        <w:adjustRightInd w:val="0"/>
        <w:spacing w:line="440" w:lineRule="exact"/>
        <w:ind w:right="1400"/>
        <w:jc w:val="center"/>
        <w:outlineLvl w:val="3"/>
        <w:rPr>
          <w:rFonts w:ascii="仿宋_GB2312" w:eastAsia="仿宋_GB2312"/>
          <w:b/>
          <w:kern w:val="0"/>
          <w:sz w:val="30"/>
          <w:highlight w:val="none"/>
          <w:lang w:val="zh-CN"/>
        </w:rPr>
      </w:pPr>
    </w:p>
    <w:p>
      <w:pPr>
        <w:tabs>
          <w:tab w:val="left" w:pos="2790"/>
          <w:tab w:val="left" w:pos="4230"/>
        </w:tabs>
        <w:autoSpaceDE w:val="0"/>
        <w:autoSpaceDN w:val="0"/>
        <w:adjustRightInd w:val="0"/>
        <w:spacing w:line="440" w:lineRule="exact"/>
        <w:ind w:right="1400"/>
        <w:jc w:val="center"/>
        <w:outlineLvl w:val="3"/>
        <w:rPr>
          <w:rFonts w:ascii="仿宋_GB2312" w:eastAsia="仿宋_GB2312"/>
          <w:b/>
          <w:kern w:val="0"/>
          <w:sz w:val="30"/>
          <w:highlight w:val="none"/>
          <w:lang w:val="zh-CN"/>
        </w:rPr>
      </w:pPr>
    </w:p>
    <w:p>
      <w:pPr>
        <w:rPr>
          <w:rFonts w:ascii="仿宋_GB2312" w:eastAsia="仿宋_GB2312"/>
          <w:b/>
          <w:kern w:val="0"/>
          <w:sz w:val="32"/>
          <w:szCs w:val="32"/>
          <w:highlight w:val="none"/>
        </w:rPr>
      </w:pPr>
      <w:r>
        <w:rPr>
          <w:rFonts w:ascii="仿宋_GB2312" w:eastAsia="仿宋_GB2312"/>
          <w:b/>
          <w:kern w:val="0"/>
          <w:sz w:val="32"/>
          <w:szCs w:val="32"/>
          <w:highlight w:val="none"/>
        </w:rPr>
        <w:br w:type="page"/>
      </w:r>
    </w:p>
    <w:p>
      <w:pPr>
        <w:spacing w:line="440" w:lineRule="exact"/>
        <w:jc w:val="center"/>
        <w:rPr>
          <w:rFonts w:ascii="仿宋_GB2312" w:eastAsia="仿宋_GB2312"/>
          <w:b/>
          <w:sz w:val="32"/>
          <w:szCs w:val="32"/>
          <w:highlight w:val="none"/>
        </w:rPr>
      </w:pPr>
      <w:r>
        <w:rPr>
          <w:rFonts w:hint="eastAsia" w:ascii="仿宋_GB2312" w:eastAsia="仿宋_GB2312"/>
          <w:b/>
          <w:bCs/>
          <w:color w:val="000000"/>
          <w:kern w:val="13"/>
          <w:sz w:val="32"/>
          <w:szCs w:val="32"/>
          <w:highlight w:val="none"/>
        </w:rPr>
        <w:t>二、</w:t>
      </w:r>
      <w:r>
        <w:rPr>
          <w:rFonts w:hint="eastAsia" w:ascii="仿宋_GB2312" w:eastAsia="仿宋_GB2312"/>
          <w:b/>
          <w:sz w:val="32"/>
          <w:szCs w:val="32"/>
          <w:highlight w:val="none"/>
        </w:rPr>
        <w:t xml:space="preserve">实施总负责人（项目经理）情况表 </w:t>
      </w:r>
    </w:p>
    <w:tbl>
      <w:tblPr>
        <w:tblStyle w:val="49"/>
        <w:tblW w:w="9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824"/>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r>
              <w:rPr>
                <w:rFonts w:hint="eastAsia" w:ascii="仿宋_GB2312" w:hAnsi="宋体" w:eastAsia="仿宋_GB2312"/>
                <w:sz w:val="24"/>
                <w:highlight w:val="none"/>
                <w:lang w:val="zh-CN"/>
              </w:rPr>
              <w:t>姓名</w:t>
            </w:r>
          </w:p>
        </w:tc>
        <w:tc>
          <w:tcPr>
            <w:tcW w:w="18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p>
        </w:tc>
        <w:tc>
          <w:tcPr>
            <w:tcW w:w="51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80" w:firstLineChars="200"/>
              <w:rPr>
                <w:rFonts w:ascii="仿宋_GB2312" w:hAnsi="宋体" w:eastAsia="仿宋_GB2312"/>
                <w:sz w:val="24"/>
                <w:highlight w:val="none"/>
                <w:lang w:val="zh-CN"/>
              </w:rPr>
            </w:pPr>
            <w:r>
              <w:rPr>
                <w:rFonts w:hint="eastAsia" w:ascii="仿宋_GB2312" w:hAnsi="宋体" w:eastAsia="仿宋_GB2312"/>
                <w:sz w:val="24"/>
                <w:highlight w:val="none"/>
                <w:lang w:val="zh-CN"/>
              </w:rPr>
              <w:t>20  年1月1日以来年业绩及承担的主要工作情况，曾担任项目经理的项目应列明细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r>
              <w:rPr>
                <w:rFonts w:hint="eastAsia" w:ascii="仿宋_GB2312" w:hAnsi="宋体" w:eastAsia="仿宋_GB2312"/>
                <w:sz w:val="24"/>
                <w:highlight w:val="none"/>
                <w:lang w:val="zh-CN"/>
              </w:rPr>
              <w:t>性别</w:t>
            </w:r>
          </w:p>
        </w:tc>
        <w:tc>
          <w:tcPr>
            <w:tcW w:w="18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p>
        </w:tc>
        <w:tc>
          <w:tcPr>
            <w:tcW w:w="519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r>
              <w:rPr>
                <w:rFonts w:hint="eastAsia" w:ascii="仿宋_GB2312" w:hAnsi="宋体" w:eastAsia="仿宋_GB2312"/>
                <w:sz w:val="24"/>
                <w:highlight w:val="none"/>
                <w:lang w:val="zh-CN"/>
              </w:rPr>
              <w:t>年龄</w:t>
            </w:r>
          </w:p>
        </w:tc>
        <w:tc>
          <w:tcPr>
            <w:tcW w:w="18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r>
              <w:rPr>
                <w:rFonts w:hint="eastAsia" w:ascii="仿宋_GB2312" w:hAnsi="宋体" w:eastAsia="仿宋_GB2312"/>
                <w:sz w:val="24"/>
                <w:highlight w:val="none"/>
                <w:lang w:val="zh-CN"/>
              </w:rPr>
              <w:t>职称</w:t>
            </w:r>
          </w:p>
        </w:tc>
        <w:tc>
          <w:tcPr>
            <w:tcW w:w="18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r>
              <w:rPr>
                <w:rFonts w:hint="eastAsia" w:ascii="仿宋_GB2312" w:hAnsi="宋体" w:eastAsia="仿宋_GB2312"/>
                <w:sz w:val="24"/>
                <w:highlight w:val="none"/>
                <w:lang w:val="zh-CN"/>
              </w:rPr>
              <w:t>毕业时间</w:t>
            </w:r>
          </w:p>
        </w:tc>
        <w:tc>
          <w:tcPr>
            <w:tcW w:w="18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r>
              <w:rPr>
                <w:rFonts w:hint="eastAsia" w:ascii="仿宋_GB2312" w:hAnsi="宋体" w:eastAsia="仿宋_GB2312"/>
                <w:sz w:val="24"/>
                <w:highlight w:val="none"/>
                <w:lang w:val="zh-CN"/>
              </w:rPr>
              <w:t>所学专业</w:t>
            </w:r>
          </w:p>
        </w:tc>
        <w:tc>
          <w:tcPr>
            <w:tcW w:w="18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r>
              <w:rPr>
                <w:rFonts w:hint="eastAsia" w:ascii="仿宋_GB2312" w:hAnsi="宋体" w:eastAsia="仿宋_GB2312"/>
                <w:sz w:val="24"/>
                <w:highlight w:val="none"/>
                <w:lang w:val="zh-CN"/>
              </w:rPr>
              <w:t>学历</w:t>
            </w:r>
          </w:p>
        </w:tc>
        <w:tc>
          <w:tcPr>
            <w:tcW w:w="18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r>
              <w:rPr>
                <w:rFonts w:hint="eastAsia" w:ascii="仿宋_GB2312" w:hAnsi="宋体" w:eastAsia="仿宋_GB2312"/>
                <w:sz w:val="24"/>
                <w:highlight w:val="none"/>
                <w:lang w:val="zh-CN"/>
              </w:rPr>
              <w:t>资质证书编号</w:t>
            </w:r>
          </w:p>
        </w:tc>
        <w:tc>
          <w:tcPr>
            <w:tcW w:w="18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r>
              <w:rPr>
                <w:rFonts w:hint="eastAsia" w:ascii="仿宋_GB2312" w:hAnsi="宋体" w:eastAsia="仿宋_GB2312"/>
                <w:sz w:val="24"/>
                <w:highlight w:val="none"/>
                <w:lang w:val="zh-CN"/>
              </w:rPr>
              <w:t>其他资质情况</w:t>
            </w:r>
          </w:p>
        </w:tc>
        <w:tc>
          <w:tcPr>
            <w:tcW w:w="18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r>
              <w:rPr>
                <w:rFonts w:hint="eastAsia" w:ascii="仿宋_GB2312" w:hAnsi="宋体" w:eastAsia="仿宋_GB2312"/>
                <w:sz w:val="24"/>
                <w:highlight w:val="none"/>
                <w:lang w:val="zh-CN"/>
              </w:rPr>
              <w:t>联系电话</w:t>
            </w:r>
          </w:p>
        </w:tc>
        <w:tc>
          <w:tcPr>
            <w:tcW w:w="18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_GB2312" w:hAnsi="宋体" w:eastAsia="仿宋_GB2312"/>
                <w:sz w:val="24"/>
                <w:highlight w:val="none"/>
                <w:lang w:val="zh-CN"/>
              </w:rPr>
            </w:pPr>
          </w:p>
        </w:tc>
      </w:tr>
    </w:tbl>
    <w:p>
      <w:pPr>
        <w:autoSpaceDE w:val="0"/>
        <w:autoSpaceDN w:val="0"/>
        <w:adjustRightInd w:val="0"/>
        <w:spacing w:line="360" w:lineRule="auto"/>
        <w:rPr>
          <w:rFonts w:ascii="楷体_GB2312" w:hAnsi="宋体" w:eastAsia="楷体_GB2312"/>
          <w:sz w:val="24"/>
          <w:highlight w:val="none"/>
          <w:lang w:val="zh-CN"/>
        </w:rPr>
      </w:pPr>
      <w:r>
        <w:rPr>
          <w:rFonts w:hint="eastAsia" w:ascii="仿宋_GB2312" w:hAnsi="宋体" w:eastAsia="仿宋_GB2312"/>
          <w:sz w:val="24"/>
          <w:highlight w:val="none"/>
          <w:lang w:val="zh-CN"/>
        </w:rPr>
        <w:t>注：须随表提交相应的证书、</w:t>
      </w:r>
      <w:r>
        <w:rPr>
          <w:rFonts w:hint="eastAsia" w:ascii="仿宋_GB2312" w:hAnsi="宋体" w:eastAsia="仿宋_GB2312"/>
          <w:sz w:val="24"/>
          <w:highlight w:val="none"/>
        </w:rPr>
        <w:t>履历、学历证书的复印件（加盖单位公章）和近6个月的社保缴纳证明（须加盖当地社保部门公章）。</w:t>
      </w:r>
    </w:p>
    <w:p>
      <w:pPr>
        <w:adjustRightInd w:val="0"/>
        <w:snapToGrid w:val="0"/>
        <w:spacing w:line="560" w:lineRule="exact"/>
        <w:ind w:firstLine="5400" w:firstLineChars="2250"/>
        <w:rPr>
          <w:rFonts w:ascii="仿宋_GB2312" w:hAnsi="宋体" w:eastAsia="仿宋_GB2312"/>
          <w:color w:val="000000"/>
          <w:kern w:val="0"/>
          <w:sz w:val="24"/>
          <w:szCs w:val="24"/>
          <w:highlight w:val="none"/>
        </w:rPr>
      </w:pPr>
      <w:r>
        <w:rPr>
          <w:rFonts w:hint="eastAsia" w:ascii="仿宋_GB2312" w:hAnsi="宋体" w:eastAsia="仿宋_GB2312" w:cs="仿宋_GB2312"/>
          <w:color w:val="000000"/>
          <w:kern w:val="0"/>
          <w:sz w:val="24"/>
          <w:szCs w:val="24"/>
          <w:highlight w:val="none"/>
          <w:lang w:val="zh-CN"/>
        </w:rPr>
        <w:t>供应商名称(公章)：</w:t>
      </w:r>
    </w:p>
    <w:p>
      <w:pPr>
        <w:adjustRightInd w:val="0"/>
        <w:snapToGrid w:val="0"/>
        <w:spacing w:line="560" w:lineRule="exact"/>
        <w:rPr>
          <w:rFonts w:ascii="仿宋_GB2312" w:hAnsi="宋体" w:eastAsia="仿宋_GB2312"/>
          <w:color w:val="000000"/>
          <w:kern w:val="0"/>
          <w:sz w:val="24"/>
          <w:szCs w:val="24"/>
          <w:highlight w:val="none"/>
        </w:rPr>
      </w:pPr>
      <w:r>
        <w:rPr>
          <w:rFonts w:hint="eastAsia" w:ascii="仿宋_GB2312" w:hAnsi="宋体" w:eastAsia="仿宋_GB2312" w:cs="仿宋_GB2312"/>
          <w:color w:val="000000"/>
          <w:kern w:val="0"/>
          <w:sz w:val="24"/>
          <w:szCs w:val="24"/>
          <w:highlight w:val="none"/>
          <w:lang w:val="zh-CN"/>
        </w:rPr>
        <w:t xml:space="preserve">                            法定代表人或授权供应商代表(签字或盖章)：</w:t>
      </w:r>
    </w:p>
    <w:p>
      <w:pPr>
        <w:snapToGrid w:val="0"/>
        <w:spacing w:line="560" w:lineRule="exact"/>
        <w:ind w:right="480" w:firstLine="4800" w:firstLineChars="2000"/>
        <w:rPr>
          <w:rFonts w:ascii="仿宋_GB2312" w:hAnsi="宋体" w:eastAsia="仿宋_GB2312" w:cs="仿宋_GB2312"/>
          <w:color w:val="000000"/>
          <w:kern w:val="0"/>
          <w:sz w:val="24"/>
          <w:szCs w:val="24"/>
          <w:highlight w:val="none"/>
          <w:lang w:val="zh-CN"/>
        </w:rPr>
      </w:pPr>
      <w:r>
        <w:rPr>
          <w:rFonts w:hint="eastAsia" w:ascii="仿宋_GB2312" w:hAnsi="宋体" w:eastAsia="仿宋_GB2312" w:cs="仿宋_GB2312"/>
          <w:color w:val="000000"/>
          <w:kern w:val="0"/>
          <w:sz w:val="24"/>
          <w:szCs w:val="24"/>
          <w:highlight w:val="none"/>
          <w:lang w:val="zh-CN"/>
        </w:rPr>
        <w:t>日期：2019年  月日</w:t>
      </w:r>
    </w:p>
    <w:p>
      <w:pPr>
        <w:rPr>
          <w:rFonts w:ascii="仿宋_GB2312" w:hAnsi="宋体" w:eastAsia="仿宋_GB2312"/>
          <w:b/>
          <w:kern w:val="0"/>
          <w:sz w:val="32"/>
          <w:szCs w:val="32"/>
          <w:highlight w:val="none"/>
        </w:rPr>
      </w:pPr>
    </w:p>
    <w:p>
      <w:pPr>
        <w:adjustRightInd w:val="0"/>
        <w:snapToGrid w:val="0"/>
        <w:spacing w:line="360" w:lineRule="auto"/>
        <w:jc w:val="center"/>
        <w:outlineLvl w:val="1"/>
        <w:rPr>
          <w:rFonts w:ascii="仿宋_GB2312" w:hAnsi="仿宋" w:eastAsia="仿宋_GB2312"/>
          <w:b/>
          <w:bCs/>
          <w:color w:val="000000"/>
          <w:sz w:val="30"/>
          <w:szCs w:val="30"/>
          <w:highlight w:val="none"/>
        </w:rPr>
        <w:sectPr>
          <w:pgSz w:w="11906" w:h="16838"/>
          <w:pgMar w:top="1440" w:right="1800" w:bottom="1440" w:left="1800" w:header="851" w:footer="1588" w:gutter="0"/>
          <w:cols w:space="720" w:num="1"/>
          <w:docGrid w:linePitch="286" w:charSpace="0"/>
        </w:sectPr>
      </w:pPr>
    </w:p>
    <w:p>
      <w:pPr>
        <w:adjustRightInd w:val="0"/>
        <w:snapToGrid w:val="0"/>
        <w:spacing w:line="360" w:lineRule="auto"/>
        <w:jc w:val="center"/>
        <w:outlineLvl w:val="1"/>
        <w:rPr>
          <w:rFonts w:ascii="仿宋_GB2312" w:hAnsi="仿宋" w:eastAsia="仿宋_GB2312"/>
          <w:b/>
          <w:bCs/>
          <w:color w:val="000000"/>
          <w:sz w:val="30"/>
          <w:szCs w:val="30"/>
          <w:highlight w:val="none"/>
        </w:rPr>
      </w:pPr>
      <w:r>
        <w:rPr>
          <w:rFonts w:hint="eastAsia" w:ascii="仿宋_GB2312" w:hAnsi="仿宋" w:eastAsia="仿宋_GB2312"/>
          <w:b/>
          <w:bCs/>
          <w:color w:val="000000"/>
          <w:sz w:val="30"/>
          <w:szCs w:val="30"/>
          <w:highlight w:val="none"/>
        </w:rPr>
        <w:t>三、项目组人员情况安排表</w:t>
      </w:r>
    </w:p>
    <w:tbl>
      <w:tblPr>
        <w:tblStyle w:val="49"/>
        <w:tblW w:w="13548" w:type="dxa"/>
        <w:jc w:val="center"/>
        <w:tblInd w:w="261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36"/>
        <w:gridCol w:w="1002"/>
        <w:gridCol w:w="1260"/>
        <w:gridCol w:w="1575"/>
        <w:gridCol w:w="1365"/>
        <w:gridCol w:w="2625"/>
        <w:gridCol w:w="1890"/>
        <w:gridCol w:w="199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59" w:hRule="atLeast"/>
          <w:jc w:val="center"/>
        </w:trPr>
        <w:tc>
          <w:tcPr>
            <w:tcW w:w="1836" w:type="dxa"/>
            <w:tcBorders>
              <w:top w:val="single" w:color="auto" w:sz="12" w:space="0"/>
              <w:bottom w:val="single" w:color="auto" w:sz="2" w:space="0"/>
            </w:tcBorders>
            <w:vAlign w:val="center"/>
          </w:tcPr>
          <w:p>
            <w:pPr>
              <w:jc w:val="center"/>
              <w:rPr>
                <w:rFonts w:ascii="仿宋_GB2312" w:hAnsi="宋体" w:eastAsia="仿宋_GB2312" w:cs="Arial"/>
                <w:b/>
                <w:sz w:val="24"/>
                <w:highlight w:val="none"/>
              </w:rPr>
            </w:pPr>
            <w:r>
              <w:rPr>
                <w:rFonts w:hint="eastAsia" w:ascii="仿宋_GB2312" w:hAnsi="宋体" w:eastAsia="仿宋_GB2312" w:cs="Arial"/>
                <w:b/>
                <w:sz w:val="24"/>
                <w:highlight w:val="none"/>
              </w:rPr>
              <w:t>拟任分工</w:t>
            </w:r>
          </w:p>
        </w:tc>
        <w:tc>
          <w:tcPr>
            <w:tcW w:w="1002" w:type="dxa"/>
            <w:tcBorders>
              <w:top w:val="single" w:color="auto" w:sz="12" w:space="0"/>
              <w:bottom w:val="single" w:color="auto" w:sz="2" w:space="0"/>
            </w:tcBorders>
            <w:vAlign w:val="center"/>
          </w:tcPr>
          <w:p>
            <w:pPr>
              <w:jc w:val="center"/>
              <w:rPr>
                <w:rFonts w:ascii="仿宋_GB2312" w:hAnsi="宋体" w:eastAsia="仿宋_GB2312" w:cs="Arial"/>
                <w:b/>
                <w:sz w:val="24"/>
                <w:highlight w:val="none"/>
              </w:rPr>
            </w:pPr>
            <w:r>
              <w:rPr>
                <w:rFonts w:hint="eastAsia" w:ascii="仿宋_GB2312" w:hAnsi="宋体" w:eastAsia="仿宋_GB2312" w:cs="Arial"/>
                <w:b/>
                <w:sz w:val="24"/>
                <w:highlight w:val="none"/>
              </w:rPr>
              <w:t>姓名</w:t>
            </w:r>
          </w:p>
        </w:tc>
        <w:tc>
          <w:tcPr>
            <w:tcW w:w="1260" w:type="dxa"/>
            <w:tcBorders>
              <w:top w:val="single" w:color="auto" w:sz="12" w:space="0"/>
              <w:bottom w:val="single" w:color="auto" w:sz="2" w:space="0"/>
            </w:tcBorders>
            <w:vAlign w:val="center"/>
          </w:tcPr>
          <w:p>
            <w:pPr>
              <w:jc w:val="center"/>
              <w:rPr>
                <w:rFonts w:ascii="仿宋_GB2312" w:hAnsi="宋体" w:eastAsia="仿宋_GB2312" w:cs="Arial"/>
                <w:b/>
                <w:sz w:val="24"/>
                <w:highlight w:val="none"/>
              </w:rPr>
            </w:pPr>
            <w:r>
              <w:rPr>
                <w:rFonts w:hint="eastAsia" w:ascii="仿宋_GB2312" w:hAnsi="宋体" w:eastAsia="仿宋_GB2312" w:cs="Arial"/>
                <w:b/>
                <w:sz w:val="24"/>
                <w:highlight w:val="none"/>
              </w:rPr>
              <w:t>学历</w:t>
            </w:r>
          </w:p>
        </w:tc>
        <w:tc>
          <w:tcPr>
            <w:tcW w:w="1575" w:type="dxa"/>
            <w:tcBorders>
              <w:top w:val="single" w:color="auto" w:sz="12" w:space="0"/>
              <w:bottom w:val="single" w:color="auto" w:sz="2" w:space="0"/>
            </w:tcBorders>
            <w:vAlign w:val="center"/>
          </w:tcPr>
          <w:p>
            <w:pPr>
              <w:jc w:val="center"/>
              <w:rPr>
                <w:rFonts w:ascii="仿宋_GB2312" w:hAnsi="宋体" w:eastAsia="仿宋_GB2312" w:cs="Arial"/>
                <w:b/>
                <w:sz w:val="24"/>
                <w:highlight w:val="none"/>
              </w:rPr>
            </w:pPr>
            <w:r>
              <w:rPr>
                <w:rFonts w:hint="eastAsia" w:ascii="仿宋_GB2312" w:hAnsi="宋体" w:eastAsia="仿宋_GB2312" w:cs="Arial"/>
                <w:b/>
                <w:sz w:val="24"/>
                <w:highlight w:val="none"/>
              </w:rPr>
              <w:t>本单位工作时间</w:t>
            </w:r>
          </w:p>
        </w:tc>
        <w:tc>
          <w:tcPr>
            <w:tcW w:w="1365" w:type="dxa"/>
            <w:tcBorders>
              <w:top w:val="single" w:color="auto" w:sz="12" w:space="0"/>
              <w:bottom w:val="single" w:color="auto" w:sz="2" w:space="0"/>
            </w:tcBorders>
            <w:vAlign w:val="center"/>
          </w:tcPr>
          <w:p>
            <w:pPr>
              <w:jc w:val="center"/>
              <w:rPr>
                <w:rFonts w:ascii="仿宋_GB2312" w:hAnsi="宋体" w:eastAsia="仿宋_GB2312" w:cs="Arial"/>
                <w:b/>
                <w:sz w:val="24"/>
                <w:highlight w:val="none"/>
              </w:rPr>
            </w:pPr>
            <w:r>
              <w:rPr>
                <w:rFonts w:hint="eastAsia" w:ascii="仿宋_GB2312" w:hAnsi="宋体" w:eastAsia="仿宋_GB2312" w:cs="Arial"/>
                <w:b/>
                <w:sz w:val="24"/>
                <w:highlight w:val="none"/>
              </w:rPr>
              <w:t>专业工龄</w:t>
            </w:r>
          </w:p>
        </w:tc>
        <w:tc>
          <w:tcPr>
            <w:tcW w:w="2625" w:type="dxa"/>
            <w:tcBorders>
              <w:top w:val="single" w:color="auto" w:sz="12" w:space="0"/>
              <w:bottom w:val="single" w:color="auto" w:sz="2" w:space="0"/>
            </w:tcBorders>
            <w:vAlign w:val="center"/>
          </w:tcPr>
          <w:p>
            <w:pPr>
              <w:jc w:val="center"/>
              <w:rPr>
                <w:rFonts w:ascii="仿宋_GB2312" w:hAnsi="宋体" w:eastAsia="仿宋_GB2312" w:cs="Arial"/>
                <w:b/>
                <w:sz w:val="24"/>
                <w:highlight w:val="none"/>
              </w:rPr>
            </w:pPr>
            <w:r>
              <w:rPr>
                <w:rFonts w:hint="eastAsia" w:ascii="仿宋_GB2312" w:hAnsi="宋体" w:eastAsia="仿宋_GB2312" w:cs="Arial"/>
                <w:b/>
                <w:sz w:val="24"/>
                <w:highlight w:val="none"/>
              </w:rPr>
              <w:t>获得的专业技术资格证或技术培训登记证</w:t>
            </w:r>
          </w:p>
        </w:tc>
        <w:tc>
          <w:tcPr>
            <w:tcW w:w="1890" w:type="dxa"/>
            <w:tcBorders>
              <w:top w:val="single" w:color="auto" w:sz="12" w:space="0"/>
              <w:bottom w:val="single" w:color="auto" w:sz="2" w:space="0"/>
              <w:right w:val="single" w:color="auto" w:sz="4" w:space="0"/>
            </w:tcBorders>
            <w:vAlign w:val="center"/>
          </w:tcPr>
          <w:p>
            <w:pPr>
              <w:jc w:val="center"/>
              <w:rPr>
                <w:rFonts w:ascii="仿宋_GB2312" w:hAnsi="宋体" w:eastAsia="仿宋_GB2312" w:cs="Arial"/>
                <w:b/>
                <w:sz w:val="24"/>
                <w:highlight w:val="none"/>
              </w:rPr>
            </w:pPr>
            <w:r>
              <w:rPr>
                <w:rFonts w:hint="eastAsia" w:ascii="仿宋_GB2312" w:hAnsi="宋体" w:eastAsia="仿宋_GB2312" w:cs="Arial"/>
                <w:b/>
                <w:sz w:val="24"/>
                <w:highlight w:val="none"/>
              </w:rPr>
              <w:t>履 历</w:t>
            </w:r>
          </w:p>
        </w:tc>
        <w:tc>
          <w:tcPr>
            <w:tcW w:w="1995" w:type="dxa"/>
            <w:tcBorders>
              <w:top w:val="single" w:color="auto" w:sz="12" w:space="0"/>
              <w:left w:val="single" w:color="auto" w:sz="4" w:space="0"/>
              <w:bottom w:val="single" w:color="auto" w:sz="2" w:space="0"/>
            </w:tcBorders>
            <w:vAlign w:val="center"/>
          </w:tcPr>
          <w:p>
            <w:pPr>
              <w:jc w:val="center"/>
              <w:rPr>
                <w:rFonts w:ascii="仿宋_GB2312" w:hAnsi="宋体" w:eastAsia="仿宋_GB2312" w:cs="Arial"/>
                <w:b/>
                <w:sz w:val="24"/>
                <w:highlight w:val="none"/>
              </w:rPr>
            </w:pPr>
            <w:r>
              <w:rPr>
                <w:rFonts w:hint="eastAsia" w:ascii="仿宋_GB2312" w:hAnsi="宋体" w:eastAsia="仿宋_GB2312" w:cs="Arial"/>
                <w:b/>
                <w:sz w:val="24"/>
                <w:highlight w:val="none"/>
              </w:rPr>
              <w:t>联系电话/手机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25" w:hRule="atLeast"/>
          <w:jc w:val="center"/>
        </w:trPr>
        <w:tc>
          <w:tcPr>
            <w:tcW w:w="1836" w:type="dxa"/>
            <w:tcBorders>
              <w:top w:val="single" w:color="auto" w:sz="2" w:space="0"/>
            </w:tcBorders>
            <w:vAlign w:val="center"/>
          </w:tcPr>
          <w:p>
            <w:pPr>
              <w:jc w:val="center"/>
              <w:rPr>
                <w:rFonts w:ascii="仿宋_GB2312" w:hAnsi="宋体" w:eastAsia="仿宋_GB2312" w:cs="Arial"/>
                <w:sz w:val="24"/>
                <w:highlight w:val="none"/>
              </w:rPr>
            </w:pPr>
            <w:r>
              <w:rPr>
                <w:rFonts w:hint="eastAsia" w:ascii="仿宋_GB2312" w:hAnsi="宋体" w:eastAsia="仿宋_GB2312" w:cs="Arial"/>
                <w:sz w:val="24"/>
                <w:highlight w:val="none"/>
              </w:rPr>
              <w:t>项目负责人</w:t>
            </w:r>
          </w:p>
        </w:tc>
        <w:tc>
          <w:tcPr>
            <w:tcW w:w="1002"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260" w:type="dxa"/>
            <w:tcBorders>
              <w:top w:val="single" w:color="auto" w:sz="2" w:space="0"/>
            </w:tcBorders>
          </w:tcPr>
          <w:p>
            <w:pPr>
              <w:adjustRightInd w:val="0"/>
              <w:snapToGrid w:val="0"/>
              <w:spacing w:line="360" w:lineRule="auto"/>
              <w:outlineLvl w:val="1"/>
              <w:rPr>
                <w:rFonts w:ascii="仿宋_GB2312" w:hAnsi="仿宋" w:eastAsia="仿宋_GB2312"/>
                <w:b/>
                <w:bCs/>
                <w:color w:val="000000"/>
                <w:sz w:val="30"/>
                <w:szCs w:val="30"/>
                <w:highlight w:val="none"/>
              </w:rPr>
            </w:pPr>
          </w:p>
        </w:tc>
        <w:tc>
          <w:tcPr>
            <w:tcW w:w="1575"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365"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2625"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890" w:type="dxa"/>
            <w:tcBorders>
              <w:top w:val="single" w:color="auto" w:sz="2" w:space="0"/>
              <w:right w:val="single" w:color="auto" w:sz="4"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995" w:type="dxa"/>
            <w:tcBorders>
              <w:top w:val="single" w:color="auto" w:sz="2" w:space="0"/>
              <w:left w:val="single" w:color="auto" w:sz="4"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95" w:hRule="atLeast"/>
          <w:jc w:val="center"/>
        </w:trPr>
        <w:tc>
          <w:tcPr>
            <w:tcW w:w="1836" w:type="dxa"/>
            <w:vMerge w:val="restart"/>
            <w:tcBorders>
              <w:top w:val="single" w:color="auto" w:sz="2" w:space="0"/>
            </w:tcBorders>
            <w:vAlign w:val="center"/>
          </w:tcPr>
          <w:p>
            <w:pPr>
              <w:jc w:val="center"/>
              <w:rPr>
                <w:rFonts w:ascii="仿宋_GB2312" w:hAnsi="宋体" w:eastAsia="仿宋_GB2312" w:cs="Arial"/>
                <w:sz w:val="24"/>
                <w:highlight w:val="none"/>
              </w:rPr>
            </w:pPr>
            <w:r>
              <w:rPr>
                <w:rFonts w:hint="eastAsia" w:ascii="仿宋_GB2312" w:hAnsi="宋体" w:eastAsia="仿宋_GB2312" w:cs="Arial"/>
                <w:sz w:val="24"/>
                <w:highlight w:val="none"/>
              </w:rPr>
              <w:t>供货人员</w:t>
            </w:r>
          </w:p>
        </w:tc>
        <w:tc>
          <w:tcPr>
            <w:tcW w:w="1002"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260" w:type="dxa"/>
            <w:tcBorders>
              <w:top w:val="single" w:color="auto" w:sz="2" w:space="0"/>
            </w:tcBorders>
          </w:tcPr>
          <w:p>
            <w:pPr>
              <w:adjustRightInd w:val="0"/>
              <w:snapToGrid w:val="0"/>
              <w:spacing w:line="360" w:lineRule="auto"/>
              <w:outlineLvl w:val="1"/>
              <w:rPr>
                <w:rFonts w:ascii="仿宋_GB2312" w:hAnsi="仿宋" w:eastAsia="仿宋_GB2312"/>
                <w:b/>
                <w:bCs/>
                <w:color w:val="000000"/>
                <w:sz w:val="30"/>
                <w:szCs w:val="30"/>
                <w:highlight w:val="none"/>
              </w:rPr>
            </w:pPr>
          </w:p>
        </w:tc>
        <w:tc>
          <w:tcPr>
            <w:tcW w:w="1575"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365"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2625"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890" w:type="dxa"/>
            <w:tcBorders>
              <w:top w:val="single" w:color="auto" w:sz="2" w:space="0"/>
              <w:right w:val="single" w:color="auto" w:sz="4"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995" w:type="dxa"/>
            <w:tcBorders>
              <w:top w:val="single" w:color="auto" w:sz="2" w:space="0"/>
              <w:left w:val="single" w:color="auto" w:sz="4"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13" w:hRule="atLeast"/>
          <w:jc w:val="center"/>
        </w:trPr>
        <w:tc>
          <w:tcPr>
            <w:tcW w:w="1836" w:type="dxa"/>
            <w:vMerge w:val="continue"/>
            <w:vAlign w:val="center"/>
          </w:tcPr>
          <w:p>
            <w:pPr>
              <w:jc w:val="center"/>
              <w:rPr>
                <w:rFonts w:ascii="仿宋_GB2312" w:hAnsi="宋体" w:eastAsia="仿宋_GB2312" w:cs="Arial"/>
                <w:sz w:val="24"/>
                <w:highlight w:val="none"/>
              </w:rPr>
            </w:pPr>
          </w:p>
        </w:tc>
        <w:tc>
          <w:tcPr>
            <w:tcW w:w="1002"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260" w:type="dxa"/>
            <w:tcBorders>
              <w:top w:val="single" w:color="auto" w:sz="2" w:space="0"/>
            </w:tcBorders>
          </w:tcPr>
          <w:p>
            <w:pPr>
              <w:adjustRightInd w:val="0"/>
              <w:snapToGrid w:val="0"/>
              <w:spacing w:line="360" w:lineRule="auto"/>
              <w:outlineLvl w:val="1"/>
              <w:rPr>
                <w:rFonts w:ascii="仿宋_GB2312" w:hAnsi="仿宋" w:eastAsia="仿宋_GB2312"/>
                <w:b/>
                <w:bCs/>
                <w:color w:val="000000"/>
                <w:sz w:val="30"/>
                <w:szCs w:val="30"/>
                <w:highlight w:val="none"/>
              </w:rPr>
            </w:pPr>
          </w:p>
        </w:tc>
        <w:tc>
          <w:tcPr>
            <w:tcW w:w="1575"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365"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2625"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890" w:type="dxa"/>
            <w:tcBorders>
              <w:top w:val="single" w:color="auto" w:sz="2" w:space="0"/>
              <w:right w:val="single" w:color="auto" w:sz="4"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995" w:type="dxa"/>
            <w:tcBorders>
              <w:top w:val="single" w:color="auto" w:sz="2" w:space="0"/>
              <w:left w:val="single" w:color="auto" w:sz="4"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36" w:hRule="atLeast"/>
          <w:jc w:val="center"/>
        </w:trPr>
        <w:tc>
          <w:tcPr>
            <w:tcW w:w="1836" w:type="dxa"/>
            <w:vMerge w:val="restart"/>
            <w:tcBorders>
              <w:top w:val="single" w:color="auto" w:sz="2" w:space="0"/>
            </w:tcBorders>
            <w:vAlign w:val="center"/>
          </w:tcPr>
          <w:p>
            <w:pPr>
              <w:jc w:val="center"/>
              <w:rPr>
                <w:rFonts w:ascii="仿宋_GB2312" w:hAnsi="宋体" w:eastAsia="仿宋_GB2312" w:cs="Arial"/>
                <w:sz w:val="24"/>
                <w:highlight w:val="none"/>
              </w:rPr>
            </w:pPr>
            <w:r>
              <w:rPr>
                <w:rFonts w:hint="eastAsia" w:ascii="仿宋_GB2312" w:hAnsi="宋体" w:eastAsia="仿宋_GB2312" w:cs="Arial"/>
                <w:sz w:val="24"/>
                <w:highlight w:val="none"/>
              </w:rPr>
              <w:t>安装调试人员</w:t>
            </w:r>
          </w:p>
        </w:tc>
        <w:tc>
          <w:tcPr>
            <w:tcW w:w="1002"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260" w:type="dxa"/>
            <w:tcBorders>
              <w:top w:val="single" w:color="auto" w:sz="2" w:space="0"/>
            </w:tcBorders>
          </w:tcPr>
          <w:p>
            <w:pPr>
              <w:adjustRightInd w:val="0"/>
              <w:snapToGrid w:val="0"/>
              <w:spacing w:line="360" w:lineRule="auto"/>
              <w:outlineLvl w:val="1"/>
              <w:rPr>
                <w:rFonts w:ascii="仿宋_GB2312" w:hAnsi="仿宋" w:eastAsia="仿宋_GB2312"/>
                <w:b/>
                <w:bCs/>
                <w:color w:val="000000"/>
                <w:sz w:val="30"/>
                <w:szCs w:val="30"/>
                <w:highlight w:val="none"/>
              </w:rPr>
            </w:pPr>
          </w:p>
        </w:tc>
        <w:tc>
          <w:tcPr>
            <w:tcW w:w="1575"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365"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2625"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890" w:type="dxa"/>
            <w:tcBorders>
              <w:top w:val="single" w:color="auto" w:sz="2" w:space="0"/>
              <w:right w:val="single" w:color="auto" w:sz="4"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995" w:type="dxa"/>
            <w:tcBorders>
              <w:top w:val="single" w:color="auto" w:sz="2" w:space="0"/>
              <w:left w:val="single" w:color="auto" w:sz="4"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jc w:val="center"/>
        </w:trPr>
        <w:tc>
          <w:tcPr>
            <w:tcW w:w="1836" w:type="dxa"/>
            <w:vMerge w:val="continue"/>
            <w:vAlign w:val="center"/>
          </w:tcPr>
          <w:p>
            <w:pPr>
              <w:jc w:val="center"/>
              <w:rPr>
                <w:rFonts w:ascii="仿宋_GB2312" w:hAnsi="宋体" w:eastAsia="仿宋_GB2312" w:cs="Arial"/>
                <w:sz w:val="24"/>
                <w:highlight w:val="none"/>
              </w:rPr>
            </w:pPr>
          </w:p>
        </w:tc>
        <w:tc>
          <w:tcPr>
            <w:tcW w:w="1002"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260" w:type="dxa"/>
            <w:tcBorders>
              <w:top w:val="single" w:color="auto" w:sz="2" w:space="0"/>
            </w:tcBorders>
          </w:tcPr>
          <w:p>
            <w:pPr>
              <w:adjustRightInd w:val="0"/>
              <w:snapToGrid w:val="0"/>
              <w:spacing w:line="360" w:lineRule="auto"/>
              <w:outlineLvl w:val="1"/>
              <w:rPr>
                <w:rFonts w:ascii="仿宋_GB2312" w:hAnsi="仿宋" w:eastAsia="仿宋_GB2312"/>
                <w:b/>
                <w:bCs/>
                <w:color w:val="000000"/>
                <w:sz w:val="30"/>
                <w:szCs w:val="30"/>
                <w:highlight w:val="none"/>
              </w:rPr>
            </w:pPr>
          </w:p>
        </w:tc>
        <w:tc>
          <w:tcPr>
            <w:tcW w:w="1575"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365"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2625"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890" w:type="dxa"/>
            <w:tcBorders>
              <w:top w:val="single" w:color="auto" w:sz="2" w:space="0"/>
              <w:right w:val="single" w:color="auto" w:sz="4"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995" w:type="dxa"/>
            <w:tcBorders>
              <w:top w:val="single" w:color="auto" w:sz="2" w:space="0"/>
              <w:left w:val="single" w:color="auto" w:sz="4"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69" w:hRule="atLeast"/>
          <w:jc w:val="center"/>
        </w:trPr>
        <w:tc>
          <w:tcPr>
            <w:tcW w:w="1836" w:type="dxa"/>
            <w:vMerge w:val="restart"/>
            <w:tcBorders>
              <w:top w:val="single" w:color="auto" w:sz="2" w:space="0"/>
            </w:tcBorders>
            <w:vAlign w:val="center"/>
          </w:tcPr>
          <w:p>
            <w:pPr>
              <w:jc w:val="center"/>
              <w:rPr>
                <w:rFonts w:ascii="仿宋_GB2312" w:hAnsi="宋体" w:eastAsia="仿宋_GB2312" w:cs="Arial"/>
                <w:sz w:val="24"/>
                <w:highlight w:val="none"/>
              </w:rPr>
            </w:pPr>
            <w:r>
              <w:rPr>
                <w:rFonts w:hint="eastAsia" w:ascii="仿宋_GB2312" w:hAnsi="宋体" w:eastAsia="仿宋_GB2312" w:cs="Arial"/>
                <w:sz w:val="24"/>
                <w:highlight w:val="none"/>
              </w:rPr>
              <w:t>售后服务人员</w:t>
            </w:r>
          </w:p>
        </w:tc>
        <w:tc>
          <w:tcPr>
            <w:tcW w:w="1002"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260" w:type="dxa"/>
            <w:tcBorders>
              <w:top w:val="single" w:color="auto" w:sz="2" w:space="0"/>
            </w:tcBorders>
          </w:tcPr>
          <w:p>
            <w:pPr>
              <w:adjustRightInd w:val="0"/>
              <w:snapToGrid w:val="0"/>
              <w:spacing w:line="360" w:lineRule="auto"/>
              <w:outlineLvl w:val="1"/>
              <w:rPr>
                <w:rFonts w:ascii="仿宋_GB2312" w:hAnsi="仿宋" w:eastAsia="仿宋_GB2312"/>
                <w:b/>
                <w:bCs/>
                <w:color w:val="000000"/>
                <w:sz w:val="30"/>
                <w:szCs w:val="30"/>
                <w:highlight w:val="none"/>
              </w:rPr>
            </w:pPr>
          </w:p>
        </w:tc>
        <w:tc>
          <w:tcPr>
            <w:tcW w:w="1575"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365"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2625"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890" w:type="dxa"/>
            <w:tcBorders>
              <w:top w:val="single" w:color="auto" w:sz="2" w:space="0"/>
              <w:right w:val="single" w:color="auto" w:sz="4"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995" w:type="dxa"/>
            <w:tcBorders>
              <w:top w:val="single" w:color="auto" w:sz="2" w:space="0"/>
              <w:left w:val="single" w:color="auto" w:sz="4"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61" w:hRule="atLeast"/>
          <w:jc w:val="center"/>
        </w:trPr>
        <w:tc>
          <w:tcPr>
            <w:tcW w:w="1836" w:type="dxa"/>
            <w:vMerge w:val="continue"/>
            <w:vAlign w:val="center"/>
          </w:tcPr>
          <w:p>
            <w:pPr>
              <w:jc w:val="center"/>
              <w:rPr>
                <w:rFonts w:ascii="仿宋_GB2312" w:hAnsi="宋体" w:eastAsia="仿宋_GB2312" w:cs="Arial"/>
                <w:sz w:val="24"/>
                <w:highlight w:val="none"/>
              </w:rPr>
            </w:pPr>
          </w:p>
        </w:tc>
        <w:tc>
          <w:tcPr>
            <w:tcW w:w="1002"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260" w:type="dxa"/>
            <w:tcBorders>
              <w:top w:val="single" w:color="auto" w:sz="2" w:space="0"/>
            </w:tcBorders>
          </w:tcPr>
          <w:p>
            <w:pPr>
              <w:adjustRightInd w:val="0"/>
              <w:snapToGrid w:val="0"/>
              <w:spacing w:line="360" w:lineRule="auto"/>
              <w:outlineLvl w:val="1"/>
              <w:rPr>
                <w:rFonts w:ascii="仿宋_GB2312" w:hAnsi="仿宋" w:eastAsia="仿宋_GB2312"/>
                <w:b/>
                <w:bCs/>
                <w:color w:val="000000"/>
                <w:sz w:val="30"/>
                <w:szCs w:val="30"/>
                <w:highlight w:val="none"/>
              </w:rPr>
            </w:pPr>
          </w:p>
        </w:tc>
        <w:tc>
          <w:tcPr>
            <w:tcW w:w="1575"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365"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2625" w:type="dxa"/>
            <w:tcBorders>
              <w:top w:val="single" w:color="auto" w:sz="2"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890" w:type="dxa"/>
            <w:tcBorders>
              <w:top w:val="single" w:color="auto" w:sz="2" w:space="0"/>
              <w:right w:val="single" w:color="auto" w:sz="4"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995" w:type="dxa"/>
            <w:tcBorders>
              <w:top w:val="single" w:color="auto" w:sz="2" w:space="0"/>
              <w:left w:val="single" w:color="auto" w:sz="4"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4" w:hRule="atLeast"/>
          <w:jc w:val="center"/>
        </w:trPr>
        <w:tc>
          <w:tcPr>
            <w:tcW w:w="1836" w:type="dxa"/>
            <w:vAlign w:val="center"/>
          </w:tcPr>
          <w:p>
            <w:pPr>
              <w:jc w:val="center"/>
              <w:rPr>
                <w:rFonts w:ascii="仿宋_GB2312" w:hAnsi="宋体" w:eastAsia="仿宋_GB2312" w:cs="Arial"/>
                <w:sz w:val="24"/>
                <w:highlight w:val="none"/>
              </w:rPr>
            </w:pPr>
            <w:r>
              <w:rPr>
                <w:rFonts w:hint="eastAsia" w:ascii="仿宋_GB2312" w:hAnsi="宋体" w:eastAsia="仿宋_GB2312" w:cs="Arial"/>
                <w:sz w:val="24"/>
                <w:highlight w:val="none"/>
              </w:rPr>
              <w:t>驻场人员</w:t>
            </w:r>
          </w:p>
        </w:tc>
        <w:tc>
          <w:tcPr>
            <w:tcW w:w="1002" w:type="dxa"/>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260" w:type="dxa"/>
          </w:tcPr>
          <w:p>
            <w:pPr>
              <w:adjustRightInd w:val="0"/>
              <w:snapToGrid w:val="0"/>
              <w:spacing w:line="360" w:lineRule="auto"/>
              <w:outlineLvl w:val="1"/>
              <w:rPr>
                <w:rFonts w:ascii="仿宋_GB2312" w:hAnsi="仿宋" w:eastAsia="仿宋_GB2312"/>
                <w:b/>
                <w:bCs/>
                <w:color w:val="000000"/>
                <w:sz w:val="30"/>
                <w:szCs w:val="30"/>
                <w:highlight w:val="none"/>
              </w:rPr>
            </w:pPr>
          </w:p>
        </w:tc>
        <w:tc>
          <w:tcPr>
            <w:tcW w:w="1575" w:type="dxa"/>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365" w:type="dxa"/>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2625" w:type="dxa"/>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890" w:type="dxa"/>
            <w:tcBorders>
              <w:right w:val="single" w:color="auto" w:sz="4"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995" w:type="dxa"/>
            <w:tcBorders>
              <w:left w:val="single" w:color="auto" w:sz="4"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4" w:hRule="atLeast"/>
          <w:jc w:val="center"/>
        </w:trPr>
        <w:tc>
          <w:tcPr>
            <w:tcW w:w="1836" w:type="dxa"/>
            <w:vAlign w:val="center"/>
          </w:tcPr>
          <w:p>
            <w:pPr>
              <w:jc w:val="center"/>
              <w:rPr>
                <w:rFonts w:ascii="仿宋_GB2312" w:hAnsi="宋体" w:eastAsia="仿宋_GB2312" w:cs="Arial"/>
                <w:sz w:val="24"/>
                <w:highlight w:val="none"/>
              </w:rPr>
            </w:pPr>
            <w:r>
              <w:rPr>
                <w:rFonts w:hint="eastAsia" w:ascii="仿宋_GB2312" w:hAnsi="宋体" w:eastAsia="仿宋_GB2312" w:cs="Arial"/>
                <w:sz w:val="24"/>
                <w:highlight w:val="none"/>
              </w:rPr>
              <w:t>其他人员</w:t>
            </w:r>
          </w:p>
        </w:tc>
        <w:tc>
          <w:tcPr>
            <w:tcW w:w="1002" w:type="dxa"/>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260" w:type="dxa"/>
          </w:tcPr>
          <w:p>
            <w:pPr>
              <w:adjustRightInd w:val="0"/>
              <w:snapToGrid w:val="0"/>
              <w:spacing w:line="360" w:lineRule="auto"/>
              <w:outlineLvl w:val="1"/>
              <w:rPr>
                <w:rFonts w:ascii="仿宋_GB2312" w:hAnsi="仿宋" w:eastAsia="仿宋_GB2312"/>
                <w:b/>
                <w:bCs/>
                <w:color w:val="000000"/>
                <w:sz w:val="30"/>
                <w:szCs w:val="30"/>
                <w:highlight w:val="none"/>
              </w:rPr>
            </w:pPr>
          </w:p>
        </w:tc>
        <w:tc>
          <w:tcPr>
            <w:tcW w:w="1575" w:type="dxa"/>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365" w:type="dxa"/>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2625" w:type="dxa"/>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890" w:type="dxa"/>
            <w:tcBorders>
              <w:right w:val="single" w:color="auto" w:sz="4"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c>
          <w:tcPr>
            <w:tcW w:w="1995" w:type="dxa"/>
            <w:tcBorders>
              <w:left w:val="single" w:color="auto" w:sz="4" w:space="0"/>
            </w:tcBorders>
            <w:vAlign w:val="center"/>
          </w:tcPr>
          <w:p>
            <w:pPr>
              <w:adjustRightInd w:val="0"/>
              <w:snapToGrid w:val="0"/>
              <w:spacing w:line="360" w:lineRule="auto"/>
              <w:outlineLvl w:val="1"/>
              <w:rPr>
                <w:rFonts w:ascii="仿宋_GB2312" w:hAnsi="仿宋" w:eastAsia="仿宋_GB2312"/>
                <w:b/>
                <w:bCs/>
                <w:color w:val="000000"/>
                <w:sz w:val="30"/>
                <w:szCs w:val="30"/>
                <w:highlight w:val="none"/>
              </w:rPr>
            </w:pPr>
          </w:p>
        </w:tc>
      </w:tr>
    </w:tbl>
    <w:p>
      <w:pPr>
        <w:adjustRightInd w:val="0"/>
        <w:snapToGrid w:val="0"/>
        <w:spacing w:line="360" w:lineRule="auto"/>
        <w:outlineLvl w:val="1"/>
        <w:rPr>
          <w:rFonts w:ascii="仿宋_GB2312" w:hAnsi="宋体" w:eastAsia="仿宋_GB2312"/>
          <w:sz w:val="24"/>
          <w:highlight w:val="none"/>
        </w:rPr>
      </w:pPr>
      <w:r>
        <w:rPr>
          <w:rFonts w:hint="eastAsia" w:ascii="仿宋_GB2312" w:hAnsi="宋体" w:eastAsia="仿宋_GB2312"/>
          <w:sz w:val="24"/>
          <w:highlight w:val="none"/>
        </w:rPr>
        <w:t>备注：提供上述人员履历，学历证书的复印件（加盖单位公章）和近6个月的社保缴纳证明（须加盖当地社保部门公章）。</w:t>
      </w:r>
    </w:p>
    <w:p>
      <w:pPr>
        <w:adjustRightInd w:val="0"/>
        <w:snapToGrid w:val="0"/>
        <w:spacing w:line="360" w:lineRule="auto"/>
        <w:outlineLvl w:val="1"/>
        <w:rPr>
          <w:rFonts w:ascii="仿宋_GB2312" w:hAnsi="宋体" w:eastAsia="仿宋_GB2312"/>
          <w:sz w:val="24"/>
          <w:highlight w:val="none"/>
        </w:rPr>
      </w:pPr>
      <w:r>
        <w:rPr>
          <w:rFonts w:hint="eastAsia" w:ascii="仿宋_GB2312" w:hAnsi="宋体" w:eastAsia="仿宋_GB2312"/>
          <w:sz w:val="24"/>
          <w:highlight w:val="none"/>
        </w:rPr>
        <w:t>供应商</w:t>
      </w:r>
      <w:r>
        <w:rPr>
          <w:rFonts w:hint="eastAsia" w:ascii="仿宋_GB2312" w:eastAsia="仿宋_GB2312" w:cs="仿宋_GB2312"/>
          <w:color w:val="000000"/>
          <w:kern w:val="0"/>
          <w:sz w:val="24"/>
          <w:szCs w:val="24"/>
          <w:highlight w:val="none"/>
        </w:rPr>
        <w:t>名称</w:t>
      </w:r>
      <w:r>
        <w:rPr>
          <w:rFonts w:hint="eastAsia" w:ascii="仿宋_GB2312" w:hAnsi="宋体" w:eastAsia="仿宋_GB2312"/>
          <w:sz w:val="24"/>
          <w:highlight w:val="none"/>
        </w:rPr>
        <w:t>（公章）：</w:t>
      </w:r>
    </w:p>
    <w:p>
      <w:pPr>
        <w:adjustRightInd w:val="0"/>
        <w:snapToGrid w:val="0"/>
        <w:spacing w:line="360" w:lineRule="auto"/>
        <w:outlineLvl w:val="1"/>
        <w:rPr>
          <w:rFonts w:ascii="仿宋_GB2312" w:hAnsi="宋体" w:eastAsia="仿宋_GB2312"/>
          <w:sz w:val="24"/>
          <w:highlight w:val="none"/>
        </w:rPr>
      </w:pPr>
      <w:r>
        <w:rPr>
          <w:rFonts w:hint="eastAsia" w:ascii="仿宋_GB2312" w:hAnsi="宋体" w:eastAsia="仿宋_GB2312"/>
          <w:sz w:val="24"/>
          <w:highlight w:val="none"/>
        </w:rPr>
        <w:t xml:space="preserve">                                                                    法定代表人或授权供应商代表（签字或盖章）：</w:t>
      </w:r>
    </w:p>
    <w:p>
      <w:pPr>
        <w:adjustRightInd w:val="0"/>
        <w:snapToGrid w:val="0"/>
        <w:spacing w:line="360" w:lineRule="auto"/>
        <w:outlineLvl w:val="1"/>
        <w:rPr>
          <w:rFonts w:ascii="仿宋_GB2312" w:hAnsi="宋体" w:eastAsia="仿宋_GB2312"/>
          <w:sz w:val="24"/>
          <w:highlight w:val="none"/>
        </w:rPr>
      </w:pPr>
      <w:r>
        <w:rPr>
          <w:rFonts w:hint="eastAsia" w:ascii="仿宋_GB2312" w:hAnsi="宋体" w:eastAsia="仿宋_GB2312"/>
          <w:sz w:val="24"/>
          <w:highlight w:val="none"/>
        </w:rPr>
        <w:t xml:space="preserve">                                                                                  日期：</w:t>
      </w:r>
      <w:r>
        <w:rPr>
          <w:rFonts w:ascii="仿宋_GB2312" w:hAnsi="宋体" w:eastAsia="仿宋_GB2312"/>
          <w:sz w:val="24"/>
          <w:highlight w:val="none"/>
        </w:rPr>
        <w:t>201</w:t>
      </w:r>
      <w:r>
        <w:rPr>
          <w:rFonts w:hint="eastAsia" w:ascii="仿宋_GB2312" w:hAnsi="宋体" w:eastAsia="仿宋_GB2312"/>
          <w:sz w:val="24"/>
          <w:highlight w:val="none"/>
        </w:rPr>
        <w:t>9  年月日</w:t>
      </w:r>
    </w:p>
    <w:p>
      <w:pPr>
        <w:rPr>
          <w:rFonts w:ascii="仿宋_GB2312" w:hAnsi="宋体" w:eastAsia="仿宋_GB2312"/>
          <w:b/>
          <w:kern w:val="0"/>
          <w:sz w:val="32"/>
          <w:szCs w:val="32"/>
          <w:highlight w:val="none"/>
        </w:rPr>
        <w:sectPr>
          <w:pgSz w:w="16838" w:h="11906" w:orient="landscape"/>
          <w:pgMar w:top="1474" w:right="1985" w:bottom="1588" w:left="2098" w:header="851" w:footer="1588" w:gutter="0"/>
          <w:cols w:space="720" w:num="1"/>
          <w:docGrid w:linePitch="286" w:charSpace="0"/>
        </w:sectPr>
      </w:pPr>
    </w:p>
    <w:p>
      <w:pPr>
        <w:autoSpaceDE w:val="0"/>
        <w:autoSpaceDN w:val="0"/>
        <w:adjustRightInd w:val="0"/>
        <w:spacing w:line="440" w:lineRule="exact"/>
        <w:jc w:val="center"/>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四、投标产品服务计划表</w:t>
      </w:r>
    </w:p>
    <w:p>
      <w:pPr>
        <w:spacing w:line="440" w:lineRule="exact"/>
        <w:rPr>
          <w:rFonts w:ascii="宋体" w:hAnsi="宋体" w:cs="仿宋_GB2312"/>
          <w:b/>
          <w:bCs/>
          <w:kern w:val="0"/>
          <w:sz w:val="30"/>
          <w:szCs w:val="30"/>
          <w:highlight w:val="none"/>
          <w:lang w:val="zh-CN"/>
        </w:rPr>
      </w:pPr>
    </w:p>
    <w:tbl>
      <w:tblPr>
        <w:tblStyle w:val="49"/>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763"/>
        <w:gridCol w:w="18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8" w:type="dxa"/>
            <w:vAlign w:val="center"/>
          </w:tcPr>
          <w:p>
            <w:pPr>
              <w:spacing w:before="156" w:after="120"/>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序号</w:t>
            </w:r>
          </w:p>
        </w:tc>
        <w:tc>
          <w:tcPr>
            <w:tcW w:w="4763" w:type="dxa"/>
            <w:vAlign w:val="center"/>
          </w:tcPr>
          <w:p>
            <w:pPr>
              <w:spacing w:before="156" w:after="120"/>
              <w:ind w:firstLine="482"/>
              <w:jc w:val="cente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质量保障措施及服务内容</w:t>
            </w:r>
          </w:p>
        </w:tc>
        <w:tc>
          <w:tcPr>
            <w:tcW w:w="1801" w:type="dxa"/>
            <w:vAlign w:val="center"/>
          </w:tcPr>
          <w:p>
            <w:pPr>
              <w:spacing w:before="156" w:after="120"/>
              <w:ind w:firstLine="482"/>
              <w:jc w:val="cente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承诺</w:t>
            </w:r>
          </w:p>
        </w:tc>
        <w:tc>
          <w:tcPr>
            <w:tcW w:w="1896" w:type="dxa"/>
            <w:vAlign w:val="center"/>
          </w:tcPr>
          <w:p>
            <w:pPr>
              <w:spacing w:before="156" w:after="120"/>
              <w:ind w:firstLine="482"/>
              <w:jc w:val="cente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8" w:type="dxa"/>
            <w:vAlign w:val="center"/>
          </w:tcPr>
          <w:p>
            <w:pPr>
              <w:spacing w:before="156" w:after="120"/>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1</w:t>
            </w:r>
          </w:p>
        </w:tc>
        <w:tc>
          <w:tcPr>
            <w:tcW w:w="4763" w:type="dxa"/>
            <w:vAlign w:val="center"/>
          </w:tcPr>
          <w:p>
            <w:pPr>
              <w:spacing w:before="156" w:after="120"/>
              <w:ind w:firstLine="48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保修</w:t>
            </w:r>
          </w:p>
        </w:tc>
        <w:tc>
          <w:tcPr>
            <w:tcW w:w="1801" w:type="dxa"/>
          </w:tcPr>
          <w:p>
            <w:pPr>
              <w:spacing w:before="156" w:after="120"/>
              <w:ind w:firstLine="480"/>
              <w:rPr>
                <w:rFonts w:ascii="仿宋_GB2312" w:hAnsi="宋体" w:eastAsia="仿宋_GB2312" w:cs="宋体"/>
                <w:sz w:val="24"/>
                <w:szCs w:val="24"/>
                <w:highlight w:val="none"/>
              </w:rPr>
            </w:pPr>
          </w:p>
        </w:tc>
        <w:tc>
          <w:tcPr>
            <w:tcW w:w="1896" w:type="dxa"/>
          </w:tcPr>
          <w:p>
            <w:pPr>
              <w:spacing w:before="156" w:after="120"/>
              <w:ind w:firstLine="480"/>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8" w:type="dxa"/>
            <w:vAlign w:val="center"/>
          </w:tcPr>
          <w:p>
            <w:pPr>
              <w:spacing w:before="156" w:after="120"/>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2</w:t>
            </w:r>
          </w:p>
        </w:tc>
        <w:tc>
          <w:tcPr>
            <w:tcW w:w="4763" w:type="dxa"/>
            <w:vAlign w:val="center"/>
          </w:tcPr>
          <w:p>
            <w:pPr>
              <w:spacing w:before="156" w:after="12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有关技术人员现场免费提供安装、调试服务</w:t>
            </w:r>
          </w:p>
        </w:tc>
        <w:tc>
          <w:tcPr>
            <w:tcW w:w="1801" w:type="dxa"/>
          </w:tcPr>
          <w:p>
            <w:pPr>
              <w:spacing w:before="156" w:after="120"/>
              <w:ind w:firstLine="480"/>
              <w:rPr>
                <w:rFonts w:ascii="仿宋_GB2312" w:hAnsi="宋体" w:eastAsia="仿宋_GB2312" w:cs="宋体"/>
                <w:sz w:val="24"/>
                <w:szCs w:val="24"/>
                <w:highlight w:val="none"/>
              </w:rPr>
            </w:pPr>
          </w:p>
        </w:tc>
        <w:tc>
          <w:tcPr>
            <w:tcW w:w="1896" w:type="dxa"/>
          </w:tcPr>
          <w:p>
            <w:pPr>
              <w:spacing w:before="156" w:after="120"/>
              <w:ind w:firstLine="480"/>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8" w:type="dxa"/>
            <w:vAlign w:val="center"/>
          </w:tcPr>
          <w:p>
            <w:pPr>
              <w:spacing w:before="156" w:after="120"/>
              <w:ind w:firstLine="240" w:firstLineChars="10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3</w:t>
            </w:r>
          </w:p>
        </w:tc>
        <w:tc>
          <w:tcPr>
            <w:tcW w:w="4763" w:type="dxa"/>
            <w:vAlign w:val="center"/>
          </w:tcPr>
          <w:p>
            <w:pPr>
              <w:spacing w:before="156" w:after="120"/>
              <w:ind w:firstLine="48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免费换货期限</w:t>
            </w:r>
          </w:p>
        </w:tc>
        <w:tc>
          <w:tcPr>
            <w:tcW w:w="1801" w:type="dxa"/>
          </w:tcPr>
          <w:p>
            <w:pPr>
              <w:spacing w:before="156" w:after="120"/>
              <w:ind w:firstLine="480"/>
              <w:rPr>
                <w:rFonts w:ascii="仿宋_GB2312" w:hAnsi="宋体" w:eastAsia="仿宋_GB2312" w:cs="宋体"/>
                <w:sz w:val="24"/>
                <w:szCs w:val="24"/>
                <w:highlight w:val="none"/>
              </w:rPr>
            </w:pPr>
          </w:p>
        </w:tc>
        <w:tc>
          <w:tcPr>
            <w:tcW w:w="1896" w:type="dxa"/>
          </w:tcPr>
          <w:p>
            <w:pPr>
              <w:spacing w:before="156" w:after="120"/>
              <w:ind w:firstLine="480"/>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8" w:type="dxa"/>
            <w:vAlign w:val="center"/>
          </w:tcPr>
          <w:p>
            <w:pPr>
              <w:spacing w:before="156" w:after="120"/>
              <w:ind w:firstLine="240" w:firstLineChars="10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4</w:t>
            </w:r>
          </w:p>
        </w:tc>
        <w:tc>
          <w:tcPr>
            <w:tcW w:w="4763" w:type="dxa"/>
            <w:vAlign w:val="center"/>
          </w:tcPr>
          <w:p>
            <w:pPr>
              <w:spacing w:before="156" w:after="120"/>
              <w:ind w:firstLine="48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免费上门服务期限</w:t>
            </w:r>
          </w:p>
        </w:tc>
        <w:tc>
          <w:tcPr>
            <w:tcW w:w="1801" w:type="dxa"/>
          </w:tcPr>
          <w:p>
            <w:pPr>
              <w:spacing w:before="156" w:after="120"/>
              <w:ind w:firstLine="480"/>
              <w:rPr>
                <w:rFonts w:ascii="仿宋_GB2312" w:hAnsi="宋体" w:eastAsia="仿宋_GB2312" w:cs="宋体"/>
                <w:sz w:val="24"/>
                <w:szCs w:val="24"/>
                <w:highlight w:val="none"/>
              </w:rPr>
            </w:pPr>
          </w:p>
        </w:tc>
        <w:tc>
          <w:tcPr>
            <w:tcW w:w="1896" w:type="dxa"/>
          </w:tcPr>
          <w:p>
            <w:pPr>
              <w:spacing w:before="156" w:after="120"/>
              <w:ind w:firstLine="480"/>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8" w:type="dxa"/>
            <w:vAlign w:val="center"/>
          </w:tcPr>
          <w:p>
            <w:pPr>
              <w:spacing w:before="156" w:after="120"/>
              <w:ind w:firstLine="240" w:firstLineChars="10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5</w:t>
            </w:r>
          </w:p>
        </w:tc>
        <w:tc>
          <w:tcPr>
            <w:tcW w:w="4763" w:type="dxa"/>
            <w:vAlign w:val="center"/>
          </w:tcPr>
          <w:p>
            <w:pPr>
              <w:spacing w:before="156" w:after="120"/>
              <w:ind w:firstLine="48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质保期内产品故障服务响应时限</w:t>
            </w:r>
          </w:p>
        </w:tc>
        <w:tc>
          <w:tcPr>
            <w:tcW w:w="1801" w:type="dxa"/>
          </w:tcPr>
          <w:p>
            <w:pPr>
              <w:spacing w:before="156" w:after="120"/>
              <w:ind w:firstLine="480"/>
              <w:rPr>
                <w:rFonts w:ascii="仿宋_GB2312" w:hAnsi="宋体" w:eastAsia="仿宋_GB2312" w:cs="宋体"/>
                <w:sz w:val="24"/>
                <w:szCs w:val="24"/>
                <w:highlight w:val="none"/>
              </w:rPr>
            </w:pPr>
          </w:p>
        </w:tc>
        <w:tc>
          <w:tcPr>
            <w:tcW w:w="1896" w:type="dxa"/>
          </w:tcPr>
          <w:p>
            <w:pPr>
              <w:spacing w:before="156" w:after="120"/>
              <w:ind w:firstLine="480"/>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8" w:type="dxa"/>
            <w:vAlign w:val="center"/>
          </w:tcPr>
          <w:p>
            <w:pPr>
              <w:spacing w:before="156" w:after="120"/>
              <w:ind w:firstLine="240" w:firstLineChars="10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6</w:t>
            </w:r>
          </w:p>
        </w:tc>
        <w:tc>
          <w:tcPr>
            <w:tcW w:w="4763" w:type="dxa"/>
            <w:vAlign w:val="center"/>
          </w:tcPr>
          <w:p>
            <w:pPr>
              <w:spacing w:before="156" w:after="120"/>
              <w:ind w:firstLine="48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服务时间响应</w:t>
            </w:r>
          </w:p>
        </w:tc>
        <w:tc>
          <w:tcPr>
            <w:tcW w:w="1801" w:type="dxa"/>
          </w:tcPr>
          <w:p>
            <w:pPr>
              <w:spacing w:before="156" w:after="120"/>
              <w:ind w:firstLine="480"/>
              <w:rPr>
                <w:rFonts w:ascii="仿宋_GB2312" w:hAnsi="宋体" w:eastAsia="仿宋_GB2312" w:cs="宋体"/>
                <w:sz w:val="24"/>
                <w:szCs w:val="24"/>
                <w:highlight w:val="none"/>
              </w:rPr>
            </w:pPr>
          </w:p>
        </w:tc>
        <w:tc>
          <w:tcPr>
            <w:tcW w:w="1896" w:type="dxa"/>
          </w:tcPr>
          <w:p>
            <w:pPr>
              <w:spacing w:before="156" w:after="120"/>
              <w:ind w:firstLine="480"/>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8" w:type="dxa"/>
            <w:vAlign w:val="center"/>
          </w:tcPr>
          <w:p>
            <w:pPr>
              <w:spacing w:before="156" w:after="120"/>
              <w:ind w:firstLine="240" w:firstLineChars="10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7</w:t>
            </w:r>
          </w:p>
        </w:tc>
        <w:tc>
          <w:tcPr>
            <w:tcW w:w="4763" w:type="dxa"/>
            <w:vAlign w:val="center"/>
          </w:tcPr>
          <w:p>
            <w:pPr>
              <w:spacing w:before="156" w:after="120"/>
              <w:ind w:firstLine="48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质保期满的保修服务费用</w:t>
            </w:r>
          </w:p>
        </w:tc>
        <w:tc>
          <w:tcPr>
            <w:tcW w:w="1801" w:type="dxa"/>
          </w:tcPr>
          <w:p>
            <w:pPr>
              <w:spacing w:before="156" w:after="120"/>
              <w:ind w:firstLine="480"/>
              <w:rPr>
                <w:rFonts w:ascii="仿宋_GB2312" w:hAnsi="宋体" w:eastAsia="仿宋_GB2312" w:cs="宋体"/>
                <w:sz w:val="24"/>
                <w:szCs w:val="24"/>
                <w:highlight w:val="none"/>
              </w:rPr>
            </w:pPr>
          </w:p>
        </w:tc>
        <w:tc>
          <w:tcPr>
            <w:tcW w:w="1896" w:type="dxa"/>
          </w:tcPr>
          <w:p>
            <w:pPr>
              <w:spacing w:before="156" w:after="120"/>
              <w:ind w:firstLine="480"/>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8" w:type="dxa"/>
            <w:vAlign w:val="center"/>
          </w:tcPr>
          <w:p>
            <w:pPr>
              <w:spacing w:before="156" w:after="120"/>
              <w:ind w:firstLine="240" w:firstLineChars="10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8</w:t>
            </w:r>
          </w:p>
        </w:tc>
        <w:tc>
          <w:tcPr>
            <w:tcW w:w="4763" w:type="dxa"/>
            <w:vAlign w:val="center"/>
          </w:tcPr>
          <w:p>
            <w:pPr>
              <w:spacing w:before="156" w:after="120"/>
              <w:ind w:firstLine="48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交货时间</w:t>
            </w:r>
          </w:p>
        </w:tc>
        <w:tc>
          <w:tcPr>
            <w:tcW w:w="1801" w:type="dxa"/>
          </w:tcPr>
          <w:p>
            <w:pPr>
              <w:spacing w:before="156" w:after="120"/>
              <w:ind w:firstLine="480"/>
              <w:rPr>
                <w:rFonts w:ascii="仿宋_GB2312" w:hAnsi="宋体" w:eastAsia="仿宋_GB2312" w:cs="宋体"/>
                <w:sz w:val="24"/>
                <w:szCs w:val="24"/>
                <w:highlight w:val="none"/>
              </w:rPr>
            </w:pPr>
          </w:p>
        </w:tc>
        <w:tc>
          <w:tcPr>
            <w:tcW w:w="1896" w:type="dxa"/>
          </w:tcPr>
          <w:p>
            <w:pPr>
              <w:spacing w:before="156" w:after="120"/>
              <w:ind w:firstLine="480"/>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8" w:type="dxa"/>
            <w:vAlign w:val="center"/>
          </w:tcPr>
          <w:p>
            <w:pPr>
              <w:spacing w:before="156" w:after="120"/>
              <w:ind w:firstLine="480"/>
              <w:jc w:val="center"/>
              <w:rPr>
                <w:rFonts w:ascii="仿宋_GB2312" w:hAnsi="宋体" w:eastAsia="仿宋_GB2312" w:cs="宋体"/>
                <w:sz w:val="24"/>
                <w:szCs w:val="24"/>
                <w:highlight w:val="none"/>
              </w:rPr>
            </w:pPr>
          </w:p>
        </w:tc>
        <w:tc>
          <w:tcPr>
            <w:tcW w:w="4763" w:type="dxa"/>
            <w:vAlign w:val="center"/>
          </w:tcPr>
          <w:p>
            <w:pPr>
              <w:spacing w:before="156" w:after="120"/>
              <w:ind w:firstLine="48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w:t>
            </w:r>
          </w:p>
        </w:tc>
        <w:tc>
          <w:tcPr>
            <w:tcW w:w="1801" w:type="dxa"/>
          </w:tcPr>
          <w:p>
            <w:pPr>
              <w:spacing w:before="156" w:after="120"/>
              <w:ind w:firstLine="480"/>
              <w:rPr>
                <w:rFonts w:ascii="仿宋_GB2312" w:hAnsi="宋体" w:eastAsia="仿宋_GB2312" w:cs="宋体"/>
                <w:sz w:val="24"/>
                <w:szCs w:val="24"/>
                <w:highlight w:val="none"/>
              </w:rPr>
            </w:pPr>
          </w:p>
        </w:tc>
        <w:tc>
          <w:tcPr>
            <w:tcW w:w="1896" w:type="dxa"/>
          </w:tcPr>
          <w:p>
            <w:pPr>
              <w:spacing w:before="156" w:after="120"/>
              <w:ind w:firstLine="480"/>
              <w:rPr>
                <w:rFonts w:ascii="仿宋_GB2312" w:hAnsi="宋体" w:eastAsia="仿宋_GB2312" w:cs="宋体"/>
                <w:sz w:val="24"/>
                <w:szCs w:val="24"/>
                <w:highlight w:val="none"/>
              </w:rPr>
            </w:pPr>
          </w:p>
        </w:tc>
      </w:tr>
    </w:tbl>
    <w:p>
      <w:pPr>
        <w:spacing w:before="156" w:after="120"/>
        <w:ind w:firstLine="630" w:firstLineChars="300"/>
        <w:rPr>
          <w:rFonts w:ascii="宋体" w:hAnsi="宋体" w:cs="宋体"/>
          <w:highlight w:val="none"/>
        </w:rPr>
      </w:pPr>
    </w:p>
    <w:p>
      <w:pPr>
        <w:spacing w:before="156" w:after="120"/>
        <w:ind w:firstLine="630" w:firstLineChars="300"/>
        <w:rPr>
          <w:rFonts w:ascii="宋体" w:hAnsi="宋体" w:cs="宋体"/>
          <w:highlight w:val="none"/>
        </w:rPr>
      </w:pPr>
    </w:p>
    <w:p>
      <w:pPr>
        <w:autoSpaceDE w:val="0"/>
        <w:autoSpaceDN w:val="0"/>
        <w:adjustRightInd w:val="0"/>
        <w:spacing w:line="440" w:lineRule="exact"/>
        <w:jc w:val="center"/>
        <w:rPr>
          <w:rFonts w:ascii="仿宋_GB2312" w:eastAsia="仿宋_GB2312"/>
          <w:kern w:val="0"/>
          <w:sz w:val="24"/>
          <w:highlight w:val="none"/>
        </w:rPr>
      </w:pPr>
      <w:r>
        <w:rPr>
          <w:rFonts w:hint="eastAsia" w:ascii="仿宋_GB2312" w:eastAsia="仿宋_GB2312"/>
          <w:kern w:val="0"/>
          <w:sz w:val="24"/>
          <w:highlight w:val="none"/>
        </w:rPr>
        <w:t xml:space="preserve">                                     供应商</w:t>
      </w:r>
      <w:r>
        <w:rPr>
          <w:rFonts w:hint="eastAsia" w:ascii="仿宋_GB2312" w:eastAsia="仿宋_GB2312" w:cs="仿宋_GB2312"/>
          <w:color w:val="000000"/>
          <w:kern w:val="0"/>
          <w:sz w:val="24"/>
          <w:szCs w:val="24"/>
          <w:highlight w:val="none"/>
        </w:rPr>
        <w:t>名称</w:t>
      </w:r>
      <w:r>
        <w:rPr>
          <w:rFonts w:hint="eastAsia" w:ascii="仿宋_GB2312" w:eastAsia="仿宋_GB2312"/>
          <w:kern w:val="0"/>
          <w:sz w:val="24"/>
          <w:highlight w:val="none"/>
        </w:rPr>
        <w:t>（公章）：</w:t>
      </w:r>
    </w:p>
    <w:p>
      <w:pPr>
        <w:autoSpaceDE w:val="0"/>
        <w:autoSpaceDN w:val="0"/>
        <w:adjustRightInd w:val="0"/>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法定代表人或授权委托人（签字或盖章）：</w:t>
      </w:r>
    </w:p>
    <w:p>
      <w:pPr>
        <w:autoSpaceDE w:val="0"/>
        <w:autoSpaceDN w:val="0"/>
        <w:adjustRightInd w:val="0"/>
        <w:spacing w:line="440" w:lineRule="exact"/>
        <w:rPr>
          <w:rFonts w:ascii="仿宋_GB2312" w:eastAsia="仿宋_GB2312"/>
          <w:kern w:val="0"/>
          <w:sz w:val="24"/>
          <w:highlight w:val="none"/>
        </w:rPr>
      </w:pPr>
      <w:r>
        <w:rPr>
          <w:rFonts w:hint="eastAsia" w:ascii="仿宋_GB2312" w:eastAsia="仿宋_GB2312"/>
          <w:kern w:val="0"/>
          <w:sz w:val="24"/>
          <w:highlight w:val="none"/>
        </w:rPr>
        <w:t>日期：</w:t>
      </w:r>
      <w:r>
        <w:rPr>
          <w:rFonts w:ascii="仿宋_GB2312" w:eastAsia="仿宋_GB2312"/>
          <w:kern w:val="0"/>
          <w:sz w:val="24"/>
          <w:highlight w:val="none"/>
        </w:rPr>
        <w:t>201</w:t>
      </w:r>
      <w:r>
        <w:rPr>
          <w:rFonts w:hint="eastAsia" w:ascii="仿宋_GB2312" w:eastAsia="仿宋_GB2312"/>
          <w:kern w:val="0"/>
          <w:sz w:val="24"/>
          <w:highlight w:val="none"/>
        </w:rPr>
        <w:t>9 年月日</w:t>
      </w:r>
    </w:p>
    <w:p>
      <w:pPr>
        <w:rPr>
          <w:rFonts w:ascii="仿宋_GB2312" w:eastAsia="仿宋_GB2312"/>
          <w:b/>
          <w:kern w:val="0"/>
          <w:sz w:val="28"/>
          <w:highlight w:val="none"/>
        </w:rPr>
      </w:pPr>
      <w:r>
        <w:rPr>
          <w:rFonts w:ascii="仿宋_GB2312" w:eastAsia="仿宋_GB2312"/>
          <w:b/>
          <w:kern w:val="0"/>
          <w:sz w:val="28"/>
          <w:highlight w:val="none"/>
        </w:rPr>
        <w:br w:type="page"/>
      </w:r>
    </w:p>
    <w:p>
      <w:pPr>
        <w:autoSpaceDE w:val="0"/>
        <w:autoSpaceDN w:val="0"/>
        <w:adjustRightInd w:val="0"/>
        <w:spacing w:line="440" w:lineRule="exact"/>
        <w:jc w:val="center"/>
        <w:rPr>
          <w:rFonts w:ascii="仿宋_GB2312" w:eastAsia="仿宋_GB2312"/>
          <w:b/>
          <w:kern w:val="0"/>
          <w:sz w:val="28"/>
          <w:highlight w:val="none"/>
        </w:rPr>
      </w:pPr>
      <w:r>
        <w:rPr>
          <w:rFonts w:hint="eastAsia" w:ascii="仿宋_GB2312" w:eastAsia="仿宋_GB2312"/>
          <w:b/>
          <w:kern w:val="0"/>
          <w:sz w:val="28"/>
          <w:highlight w:val="none"/>
        </w:rPr>
        <w:t>五、附件及易损件清单</w:t>
      </w:r>
    </w:p>
    <w:p>
      <w:pPr>
        <w:autoSpaceDE w:val="0"/>
        <w:autoSpaceDN w:val="0"/>
        <w:adjustRightInd w:val="0"/>
        <w:spacing w:line="440" w:lineRule="exact"/>
        <w:rPr>
          <w:rFonts w:ascii="仿宋_GB2312" w:eastAsia="仿宋_GB2312"/>
          <w:kern w:val="0"/>
          <w:sz w:val="24"/>
          <w:highlight w:val="none"/>
        </w:rPr>
      </w:pPr>
    </w:p>
    <w:tbl>
      <w:tblPr>
        <w:tblStyle w:val="49"/>
        <w:tblW w:w="8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440"/>
        <w:gridCol w:w="900"/>
        <w:gridCol w:w="1620"/>
        <w:gridCol w:w="1080"/>
        <w:gridCol w:w="90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 w:hRule="atLeast"/>
          <w:jc w:val="center"/>
        </w:trPr>
        <w:tc>
          <w:tcPr>
            <w:tcW w:w="1908" w:type="dxa"/>
            <w:vMerge w:val="restart"/>
            <w:vAlign w:val="center"/>
          </w:tcPr>
          <w:p>
            <w:pPr>
              <w:autoSpaceDE w:val="0"/>
              <w:autoSpaceDN w:val="0"/>
              <w:adjustRightInd w:val="0"/>
              <w:spacing w:line="440" w:lineRule="exact"/>
              <w:rPr>
                <w:rFonts w:ascii="仿宋_GB2312" w:eastAsia="仿宋_GB2312"/>
                <w:kern w:val="0"/>
                <w:sz w:val="24"/>
                <w:highlight w:val="none"/>
              </w:rPr>
            </w:pPr>
            <w:r>
              <w:rPr>
                <w:rFonts w:hint="eastAsia" w:ascii="仿宋_GB2312" w:eastAsia="仿宋_GB2312"/>
                <w:kern w:val="0"/>
                <w:sz w:val="24"/>
                <w:highlight w:val="none"/>
              </w:rPr>
              <w:t>货物名称</w:t>
            </w:r>
          </w:p>
        </w:tc>
        <w:tc>
          <w:tcPr>
            <w:tcW w:w="1440" w:type="dxa"/>
            <w:vMerge w:val="restart"/>
            <w:vAlign w:val="center"/>
          </w:tcPr>
          <w:p>
            <w:pPr>
              <w:autoSpaceDE w:val="0"/>
              <w:autoSpaceDN w:val="0"/>
              <w:adjustRightInd w:val="0"/>
              <w:spacing w:line="440" w:lineRule="exact"/>
              <w:rPr>
                <w:rFonts w:ascii="仿宋_GB2312" w:eastAsia="仿宋_GB2312"/>
                <w:kern w:val="0"/>
                <w:sz w:val="24"/>
                <w:highlight w:val="none"/>
              </w:rPr>
            </w:pPr>
            <w:r>
              <w:rPr>
                <w:rFonts w:hint="eastAsia" w:ascii="仿宋_GB2312" w:eastAsia="仿宋_GB2312"/>
                <w:kern w:val="0"/>
                <w:sz w:val="24"/>
                <w:highlight w:val="none"/>
              </w:rPr>
              <w:t>备件名称</w:t>
            </w:r>
          </w:p>
        </w:tc>
        <w:tc>
          <w:tcPr>
            <w:tcW w:w="900" w:type="dxa"/>
            <w:vMerge w:val="restart"/>
            <w:vAlign w:val="center"/>
          </w:tcPr>
          <w:p>
            <w:pPr>
              <w:autoSpaceDE w:val="0"/>
              <w:autoSpaceDN w:val="0"/>
              <w:adjustRightInd w:val="0"/>
              <w:spacing w:line="440" w:lineRule="exact"/>
              <w:rPr>
                <w:rFonts w:ascii="仿宋_GB2312" w:eastAsia="仿宋_GB2312"/>
                <w:kern w:val="0"/>
                <w:sz w:val="24"/>
                <w:highlight w:val="none"/>
              </w:rPr>
            </w:pPr>
            <w:r>
              <w:rPr>
                <w:rFonts w:hint="eastAsia" w:ascii="仿宋_GB2312" w:eastAsia="仿宋_GB2312"/>
                <w:kern w:val="0"/>
                <w:sz w:val="24"/>
                <w:highlight w:val="none"/>
              </w:rPr>
              <w:t>数量</w:t>
            </w:r>
          </w:p>
        </w:tc>
        <w:tc>
          <w:tcPr>
            <w:tcW w:w="1620" w:type="dxa"/>
            <w:vMerge w:val="restart"/>
            <w:vAlign w:val="center"/>
          </w:tcPr>
          <w:p>
            <w:pPr>
              <w:autoSpaceDE w:val="0"/>
              <w:autoSpaceDN w:val="0"/>
              <w:adjustRightInd w:val="0"/>
              <w:spacing w:line="440" w:lineRule="exact"/>
              <w:rPr>
                <w:rFonts w:ascii="仿宋_GB2312" w:eastAsia="仿宋_GB2312"/>
                <w:kern w:val="0"/>
                <w:sz w:val="24"/>
                <w:highlight w:val="none"/>
              </w:rPr>
            </w:pPr>
            <w:r>
              <w:rPr>
                <w:rFonts w:hint="eastAsia" w:ascii="仿宋_GB2312" w:eastAsia="仿宋_GB2312"/>
                <w:kern w:val="0"/>
                <w:sz w:val="24"/>
                <w:highlight w:val="none"/>
              </w:rPr>
              <w:t>产地/厂家</w:t>
            </w:r>
          </w:p>
        </w:tc>
        <w:tc>
          <w:tcPr>
            <w:tcW w:w="1980" w:type="dxa"/>
            <w:gridSpan w:val="2"/>
            <w:vAlign w:val="center"/>
          </w:tcPr>
          <w:p>
            <w:pPr>
              <w:autoSpaceDE w:val="0"/>
              <w:autoSpaceDN w:val="0"/>
              <w:adjustRightInd w:val="0"/>
              <w:spacing w:line="440" w:lineRule="exact"/>
              <w:rPr>
                <w:rFonts w:ascii="仿宋_GB2312" w:eastAsia="仿宋_GB2312"/>
                <w:kern w:val="0"/>
                <w:sz w:val="24"/>
                <w:highlight w:val="none"/>
              </w:rPr>
            </w:pPr>
            <w:r>
              <w:rPr>
                <w:rFonts w:hint="eastAsia" w:ascii="仿宋_GB2312" w:eastAsia="仿宋_GB2312"/>
                <w:kern w:val="0"/>
                <w:sz w:val="24"/>
                <w:highlight w:val="none"/>
              </w:rPr>
              <w:t>价格（万元）</w:t>
            </w:r>
          </w:p>
        </w:tc>
        <w:tc>
          <w:tcPr>
            <w:tcW w:w="1010" w:type="dxa"/>
            <w:vMerge w:val="restart"/>
            <w:vAlign w:val="center"/>
          </w:tcPr>
          <w:p>
            <w:pPr>
              <w:autoSpaceDE w:val="0"/>
              <w:autoSpaceDN w:val="0"/>
              <w:adjustRightInd w:val="0"/>
              <w:spacing w:line="440" w:lineRule="exact"/>
              <w:rPr>
                <w:rFonts w:ascii="仿宋_GB2312" w:eastAsia="仿宋_GB2312"/>
                <w:kern w:val="0"/>
                <w:sz w:val="24"/>
                <w:highlight w:val="none"/>
              </w:rPr>
            </w:pPr>
            <w:r>
              <w:rPr>
                <w:rFonts w:hint="eastAsia" w:ascii="仿宋_GB2312" w:eastAsia="仿宋_GB2312"/>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jc w:val="center"/>
        </w:trPr>
        <w:tc>
          <w:tcPr>
            <w:tcW w:w="1908" w:type="dxa"/>
            <w:vMerge w:val="continue"/>
            <w:vAlign w:val="center"/>
          </w:tcPr>
          <w:p>
            <w:pPr>
              <w:autoSpaceDE w:val="0"/>
              <w:autoSpaceDN w:val="0"/>
              <w:adjustRightInd w:val="0"/>
              <w:spacing w:line="440" w:lineRule="exact"/>
              <w:rPr>
                <w:rFonts w:ascii="仿宋_GB2312" w:eastAsia="仿宋_GB2312"/>
                <w:kern w:val="0"/>
                <w:sz w:val="24"/>
                <w:highlight w:val="none"/>
              </w:rPr>
            </w:pPr>
          </w:p>
        </w:tc>
        <w:tc>
          <w:tcPr>
            <w:tcW w:w="1440" w:type="dxa"/>
            <w:vMerge w:val="continue"/>
            <w:vAlign w:val="center"/>
          </w:tcPr>
          <w:p>
            <w:pPr>
              <w:autoSpaceDE w:val="0"/>
              <w:autoSpaceDN w:val="0"/>
              <w:adjustRightInd w:val="0"/>
              <w:spacing w:line="440" w:lineRule="exact"/>
              <w:rPr>
                <w:rFonts w:ascii="仿宋_GB2312" w:eastAsia="仿宋_GB2312"/>
                <w:kern w:val="0"/>
                <w:sz w:val="24"/>
                <w:highlight w:val="none"/>
              </w:rPr>
            </w:pPr>
          </w:p>
        </w:tc>
        <w:tc>
          <w:tcPr>
            <w:tcW w:w="900" w:type="dxa"/>
            <w:vMerge w:val="continue"/>
            <w:vAlign w:val="center"/>
          </w:tcPr>
          <w:p>
            <w:pPr>
              <w:autoSpaceDE w:val="0"/>
              <w:autoSpaceDN w:val="0"/>
              <w:adjustRightInd w:val="0"/>
              <w:spacing w:line="440" w:lineRule="exact"/>
              <w:rPr>
                <w:rFonts w:ascii="仿宋_GB2312" w:eastAsia="仿宋_GB2312"/>
                <w:kern w:val="0"/>
                <w:sz w:val="24"/>
                <w:highlight w:val="none"/>
              </w:rPr>
            </w:pPr>
          </w:p>
        </w:tc>
        <w:tc>
          <w:tcPr>
            <w:tcW w:w="1620" w:type="dxa"/>
            <w:vMerge w:val="continue"/>
            <w:vAlign w:val="center"/>
          </w:tcPr>
          <w:p>
            <w:pPr>
              <w:autoSpaceDE w:val="0"/>
              <w:autoSpaceDN w:val="0"/>
              <w:adjustRightInd w:val="0"/>
              <w:spacing w:line="440" w:lineRule="exact"/>
              <w:rPr>
                <w:rFonts w:ascii="仿宋_GB2312" w:eastAsia="仿宋_GB2312"/>
                <w:kern w:val="0"/>
                <w:sz w:val="24"/>
                <w:highlight w:val="none"/>
              </w:rPr>
            </w:pPr>
          </w:p>
        </w:tc>
        <w:tc>
          <w:tcPr>
            <w:tcW w:w="1080" w:type="dxa"/>
            <w:vAlign w:val="center"/>
          </w:tcPr>
          <w:p>
            <w:pPr>
              <w:autoSpaceDE w:val="0"/>
              <w:autoSpaceDN w:val="0"/>
              <w:adjustRightInd w:val="0"/>
              <w:spacing w:line="440" w:lineRule="exact"/>
              <w:rPr>
                <w:rFonts w:ascii="仿宋_GB2312" w:eastAsia="仿宋_GB2312"/>
                <w:kern w:val="0"/>
                <w:sz w:val="24"/>
                <w:highlight w:val="none"/>
              </w:rPr>
            </w:pPr>
            <w:r>
              <w:rPr>
                <w:rFonts w:hint="eastAsia" w:ascii="仿宋_GB2312" w:eastAsia="仿宋_GB2312"/>
                <w:kern w:val="0"/>
                <w:sz w:val="24"/>
                <w:highlight w:val="none"/>
              </w:rPr>
              <w:t>单价</w:t>
            </w:r>
          </w:p>
        </w:tc>
        <w:tc>
          <w:tcPr>
            <w:tcW w:w="900" w:type="dxa"/>
            <w:vAlign w:val="center"/>
          </w:tcPr>
          <w:p>
            <w:pPr>
              <w:autoSpaceDE w:val="0"/>
              <w:autoSpaceDN w:val="0"/>
              <w:adjustRightInd w:val="0"/>
              <w:spacing w:line="440" w:lineRule="exact"/>
              <w:rPr>
                <w:rFonts w:ascii="仿宋_GB2312" w:eastAsia="仿宋_GB2312"/>
                <w:kern w:val="0"/>
                <w:sz w:val="24"/>
                <w:highlight w:val="none"/>
              </w:rPr>
            </w:pPr>
            <w:r>
              <w:rPr>
                <w:rFonts w:hint="eastAsia" w:ascii="仿宋_GB2312" w:eastAsia="仿宋_GB2312"/>
                <w:kern w:val="0"/>
                <w:sz w:val="24"/>
                <w:highlight w:val="none"/>
              </w:rPr>
              <w:t>总价</w:t>
            </w:r>
          </w:p>
        </w:tc>
        <w:tc>
          <w:tcPr>
            <w:tcW w:w="1010" w:type="dxa"/>
            <w:vMerge w:val="continue"/>
            <w:vAlign w:val="center"/>
          </w:tcPr>
          <w:p>
            <w:pPr>
              <w:autoSpaceDE w:val="0"/>
              <w:autoSpaceDN w:val="0"/>
              <w:adjustRightInd w:val="0"/>
              <w:spacing w:line="440" w:lineRule="exact"/>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908" w:type="dxa"/>
            <w:vMerge w:val="restart"/>
            <w:vAlign w:val="center"/>
          </w:tcPr>
          <w:p>
            <w:pPr>
              <w:autoSpaceDE w:val="0"/>
              <w:autoSpaceDN w:val="0"/>
              <w:adjustRightInd w:val="0"/>
              <w:spacing w:line="440" w:lineRule="exact"/>
              <w:rPr>
                <w:rFonts w:ascii="仿宋_GB2312" w:eastAsia="仿宋_GB2312"/>
                <w:kern w:val="0"/>
                <w:sz w:val="24"/>
                <w:highlight w:val="none"/>
              </w:rPr>
            </w:pPr>
          </w:p>
        </w:tc>
        <w:tc>
          <w:tcPr>
            <w:tcW w:w="1440" w:type="dxa"/>
            <w:vAlign w:val="center"/>
          </w:tcPr>
          <w:p>
            <w:pPr>
              <w:autoSpaceDE w:val="0"/>
              <w:autoSpaceDN w:val="0"/>
              <w:adjustRightInd w:val="0"/>
              <w:spacing w:line="440" w:lineRule="exact"/>
              <w:rPr>
                <w:rFonts w:ascii="仿宋_GB2312" w:eastAsia="仿宋_GB2312"/>
                <w:kern w:val="0"/>
                <w:sz w:val="24"/>
                <w:highlight w:val="none"/>
              </w:rPr>
            </w:pPr>
          </w:p>
        </w:tc>
        <w:tc>
          <w:tcPr>
            <w:tcW w:w="900" w:type="dxa"/>
            <w:vAlign w:val="center"/>
          </w:tcPr>
          <w:p>
            <w:pPr>
              <w:autoSpaceDE w:val="0"/>
              <w:autoSpaceDN w:val="0"/>
              <w:adjustRightInd w:val="0"/>
              <w:spacing w:line="440" w:lineRule="exact"/>
              <w:rPr>
                <w:rFonts w:ascii="仿宋_GB2312" w:eastAsia="仿宋_GB2312"/>
                <w:kern w:val="0"/>
                <w:sz w:val="24"/>
                <w:highlight w:val="none"/>
              </w:rPr>
            </w:pPr>
          </w:p>
        </w:tc>
        <w:tc>
          <w:tcPr>
            <w:tcW w:w="1620" w:type="dxa"/>
            <w:vAlign w:val="center"/>
          </w:tcPr>
          <w:p>
            <w:pPr>
              <w:autoSpaceDE w:val="0"/>
              <w:autoSpaceDN w:val="0"/>
              <w:adjustRightInd w:val="0"/>
              <w:spacing w:line="440" w:lineRule="exact"/>
              <w:rPr>
                <w:rFonts w:ascii="仿宋_GB2312" w:eastAsia="仿宋_GB2312"/>
                <w:kern w:val="0"/>
                <w:sz w:val="24"/>
                <w:highlight w:val="none"/>
              </w:rPr>
            </w:pPr>
          </w:p>
        </w:tc>
        <w:tc>
          <w:tcPr>
            <w:tcW w:w="1080" w:type="dxa"/>
            <w:vAlign w:val="center"/>
          </w:tcPr>
          <w:p>
            <w:pPr>
              <w:autoSpaceDE w:val="0"/>
              <w:autoSpaceDN w:val="0"/>
              <w:adjustRightInd w:val="0"/>
              <w:spacing w:line="440" w:lineRule="exact"/>
              <w:rPr>
                <w:rFonts w:ascii="仿宋_GB2312" w:eastAsia="仿宋_GB2312"/>
                <w:kern w:val="0"/>
                <w:sz w:val="24"/>
                <w:highlight w:val="none"/>
              </w:rPr>
            </w:pPr>
          </w:p>
        </w:tc>
        <w:tc>
          <w:tcPr>
            <w:tcW w:w="900" w:type="dxa"/>
            <w:vAlign w:val="center"/>
          </w:tcPr>
          <w:p>
            <w:pPr>
              <w:autoSpaceDE w:val="0"/>
              <w:autoSpaceDN w:val="0"/>
              <w:adjustRightInd w:val="0"/>
              <w:spacing w:line="440" w:lineRule="exact"/>
              <w:rPr>
                <w:rFonts w:ascii="仿宋_GB2312" w:eastAsia="仿宋_GB2312"/>
                <w:kern w:val="0"/>
                <w:sz w:val="24"/>
                <w:highlight w:val="none"/>
              </w:rPr>
            </w:pPr>
          </w:p>
        </w:tc>
        <w:tc>
          <w:tcPr>
            <w:tcW w:w="1010" w:type="dxa"/>
            <w:vAlign w:val="center"/>
          </w:tcPr>
          <w:p>
            <w:pPr>
              <w:autoSpaceDE w:val="0"/>
              <w:autoSpaceDN w:val="0"/>
              <w:adjustRightInd w:val="0"/>
              <w:spacing w:line="440" w:lineRule="exact"/>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908" w:type="dxa"/>
            <w:vMerge w:val="continue"/>
          </w:tcPr>
          <w:p>
            <w:pPr>
              <w:autoSpaceDE w:val="0"/>
              <w:autoSpaceDN w:val="0"/>
              <w:adjustRightInd w:val="0"/>
              <w:spacing w:line="440" w:lineRule="exact"/>
              <w:rPr>
                <w:rFonts w:ascii="仿宋_GB2312" w:eastAsia="仿宋_GB2312"/>
                <w:kern w:val="0"/>
                <w:sz w:val="24"/>
                <w:highlight w:val="none"/>
              </w:rPr>
            </w:pPr>
          </w:p>
        </w:tc>
        <w:tc>
          <w:tcPr>
            <w:tcW w:w="144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620" w:type="dxa"/>
          </w:tcPr>
          <w:p>
            <w:pPr>
              <w:autoSpaceDE w:val="0"/>
              <w:autoSpaceDN w:val="0"/>
              <w:adjustRightInd w:val="0"/>
              <w:spacing w:line="440" w:lineRule="exact"/>
              <w:rPr>
                <w:rFonts w:ascii="仿宋_GB2312" w:eastAsia="仿宋_GB2312"/>
                <w:kern w:val="0"/>
                <w:sz w:val="24"/>
                <w:highlight w:val="none"/>
              </w:rPr>
            </w:pPr>
          </w:p>
        </w:tc>
        <w:tc>
          <w:tcPr>
            <w:tcW w:w="108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010" w:type="dxa"/>
          </w:tcPr>
          <w:p>
            <w:pPr>
              <w:autoSpaceDE w:val="0"/>
              <w:autoSpaceDN w:val="0"/>
              <w:adjustRightInd w:val="0"/>
              <w:spacing w:line="440" w:lineRule="exact"/>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908" w:type="dxa"/>
            <w:vMerge w:val="continue"/>
          </w:tcPr>
          <w:p>
            <w:pPr>
              <w:autoSpaceDE w:val="0"/>
              <w:autoSpaceDN w:val="0"/>
              <w:adjustRightInd w:val="0"/>
              <w:spacing w:line="440" w:lineRule="exact"/>
              <w:rPr>
                <w:rFonts w:ascii="仿宋_GB2312" w:eastAsia="仿宋_GB2312"/>
                <w:kern w:val="0"/>
                <w:sz w:val="24"/>
                <w:highlight w:val="none"/>
              </w:rPr>
            </w:pPr>
          </w:p>
        </w:tc>
        <w:tc>
          <w:tcPr>
            <w:tcW w:w="144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620" w:type="dxa"/>
          </w:tcPr>
          <w:p>
            <w:pPr>
              <w:autoSpaceDE w:val="0"/>
              <w:autoSpaceDN w:val="0"/>
              <w:adjustRightInd w:val="0"/>
              <w:spacing w:line="440" w:lineRule="exact"/>
              <w:rPr>
                <w:rFonts w:ascii="仿宋_GB2312" w:eastAsia="仿宋_GB2312"/>
                <w:kern w:val="0"/>
                <w:sz w:val="24"/>
                <w:highlight w:val="none"/>
              </w:rPr>
            </w:pPr>
          </w:p>
        </w:tc>
        <w:tc>
          <w:tcPr>
            <w:tcW w:w="108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010" w:type="dxa"/>
          </w:tcPr>
          <w:p>
            <w:pPr>
              <w:autoSpaceDE w:val="0"/>
              <w:autoSpaceDN w:val="0"/>
              <w:adjustRightInd w:val="0"/>
              <w:spacing w:line="440" w:lineRule="exact"/>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908" w:type="dxa"/>
            <w:vMerge w:val="continue"/>
          </w:tcPr>
          <w:p>
            <w:pPr>
              <w:autoSpaceDE w:val="0"/>
              <w:autoSpaceDN w:val="0"/>
              <w:adjustRightInd w:val="0"/>
              <w:spacing w:line="440" w:lineRule="exact"/>
              <w:rPr>
                <w:rFonts w:ascii="仿宋_GB2312" w:eastAsia="仿宋_GB2312"/>
                <w:kern w:val="0"/>
                <w:sz w:val="24"/>
                <w:highlight w:val="none"/>
              </w:rPr>
            </w:pPr>
          </w:p>
        </w:tc>
        <w:tc>
          <w:tcPr>
            <w:tcW w:w="144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620" w:type="dxa"/>
          </w:tcPr>
          <w:p>
            <w:pPr>
              <w:autoSpaceDE w:val="0"/>
              <w:autoSpaceDN w:val="0"/>
              <w:adjustRightInd w:val="0"/>
              <w:spacing w:line="440" w:lineRule="exact"/>
              <w:rPr>
                <w:rFonts w:ascii="仿宋_GB2312" w:eastAsia="仿宋_GB2312"/>
                <w:kern w:val="0"/>
                <w:sz w:val="24"/>
                <w:highlight w:val="none"/>
              </w:rPr>
            </w:pPr>
          </w:p>
        </w:tc>
        <w:tc>
          <w:tcPr>
            <w:tcW w:w="108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010" w:type="dxa"/>
          </w:tcPr>
          <w:p>
            <w:pPr>
              <w:autoSpaceDE w:val="0"/>
              <w:autoSpaceDN w:val="0"/>
              <w:adjustRightInd w:val="0"/>
              <w:spacing w:line="440" w:lineRule="exact"/>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908" w:type="dxa"/>
            <w:vMerge w:val="continue"/>
          </w:tcPr>
          <w:p>
            <w:pPr>
              <w:autoSpaceDE w:val="0"/>
              <w:autoSpaceDN w:val="0"/>
              <w:adjustRightInd w:val="0"/>
              <w:spacing w:line="440" w:lineRule="exact"/>
              <w:rPr>
                <w:rFonts w:ascii="仿宋_GB2312" w:eastAsia="仿宋_GB2312"/>
                <w:kern w:val="0"/>
                <w:sz w:val="24"/>
                <w:highlight w:val="none"/>
              </w:rPr>
            </w:pPr>
          </w:p>
        </w:tc>
        <w:tc>
          <w:tcPr>
            <w:tcW w:w="144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620" w:type="dxa"/>
          </w:tcPr>
          <w:p>
            <w:pPr>
              <w:autoSpaceDE w:val="0"/>
              <w:autoSpaceDN w:val="0"/>
              <w:adjustRightInd w:val="0"/>
              <w:spacing w:line="440" w:lineRule="exact"/>
              <w:rPr>
                <w:rFonts w:ascii="仿宋_GB2312" w:eastAsia="仿宋_GB2312"/>
                <w:kern w:val="0"/>
                <w:sz w:val="24"/>
                <w:highlight w:val="none"/>
              </w:rPr>
            </w:pPr>
          </w:p>
        </w:tc>
        <w:tc>
          <w:tcPr>
            <w:tcW w:w="108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010" w:type="dxa"/>
          </w:tcPr>
          <w:p>
            <w:pPr>
              <w:autoSpaceDE w:val="0"/>
              <w:autoSpaceDN w:val="0"/>
              <w:adjustRightInd w:val="0"/>
              <w:spacing w:line="440" w:lineRule="exact"/>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908" w:type="dxa"/>
            <w:vMerge w:val="continue"/>
          </w:tcPr>
          <w:p>
            <w:pPr>
              <w:autoSpaceDE w:val="0"/>
              <w:autoSpaceDN w:val="0"/>
              <w:adjustRightInd w:val="0"/>
              <w:spacing w:line="440" w:lineRule="exact"/>
              <w:rPr>
                <w:rFonts w:ascii="仿宋_GB2312" w:eastAsia="仿宋_GB2312"/>
                <w:kern w:val="0"/>
                <w:sz w:val="24"/>
                <w:highlight w:val="none"/>
              </w:rPr>
            </w:pPr>
          </w:p>
        </w:tc>
        <w:tc>
          <w:tcPr>
            <w:tcW w:w="144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620" w:type="dxa"/>
          </w:tcPr>
          <w:p>
            <w:pPr>
              <w:autoSpaceDE w:val="0"/>
              <w:autoSpaceDN w:val="0"/>
              <w:adjustRightInd w:val="0"/>
              <w:spacing w:line="440" w:lineRule="exact"/>
              <w:rPr>
                <w:rFonts w:ascii="仿宋_GB2312" w:eastAsia="仿宋_GB2312"/>
                <w:kern w:val="0"/>
                <w:sz w:val="24"/>
                <w:highlight w:val="none"/>
              </w:rPr>
            </w:pPr>
          </w:p>
        </w:tc>
        <w:tc>
          <w:tcPr>
            <w:tcW w:w="108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010" w:type="dxa"/>
          </w:tcPr>
          <w:p>
            <w:pPr>
              <w:autoSpaceDE w:val="0"/>
              <w:autoSpaceDN w:val="0"/>
              <w:adjustRightInd w:val="0"/>
              <w:spacing w:line="440" w:lineRule="exact"/>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908" w:type="dxa"/>
            <w:vMerge w:val="restart"/>
            <w:vAlign w:val="center"/>
          </w:tcPr>
          <w:p>
            <w:pPr>
              <w:autoSpaceDE w:val="0"/>
              <w:autoSpaceDN w:val="0"/>
              <w:adjustRightInd w:val="0"/>
              <w:spacing w:line="440" w:lineRule="exact"/>
              <w:rPr>
                <w:rFonts w:ascii="仿宋_GB2312" w:eastAsia="仿宋_GB2312"/>
                <w:kern w:val="0"/>
                <w:sz w:val="24"/>
                <w:highlight w:val="none"/>
              </w:rPr>
            </w:pPr>
          </w:p>
        </w:tc>
        <w:tc>
          <w:tcPr>
            <w:tcW w:w="144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620" w:type="dxa"/>
          </w:tcPr>
          <w:p>
            <w:pPr>
              <w:autoSpaceDE w:val="0"/>
              <w:autoSpaceDN w:val="0"/>
              <w:adjustRightInd w:val="0"/>
              <w:spacing w:line="440" w:lineRule="exact"/>
              <w:rPr>
                <w:rFonts w:ascii="仿宋_GB2312" w:eastAsia="仿宋_GB2312"/>
                <w:kern w:val="0"/>
                <w:sz w:val="24"/>
                <w:highlight w:val="none"/>
              </w:rPr>
            </w:pPr>
          </w:p>
        </w:tc>
        <w:tc>
          <w:tcPr>
            <w:tcW w:w="108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010" w:type="dxa"/>
          </w:tcPr>
          <w:p>
            <w:pPr>
              <w:autoSpaceDE w:val="0"/>
              <w:autoSpaceDN w:val="0"/>
              <w:adjustRightInd w:val="0"/>
              <w:spacing w:line="440" w:lineRule="exact"/>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908" w:type="dxa"/>
            <w:vMerge w:val="continue"/>
          </w:tcPr>
          <w:p>
            <w:pPr>
              <w:autoSpaceDE w:val="0"/>
              <w:autoSpaceDN w:val="0"/>
              <w:adjustRightInd w:val="0"/>
              <w:spacing w:line="440" w:lineRule="exact"/>
              <w:rPr>
                <w:rFonts w:ascii="仿宋_GB2312" w:eastAsia="仿宋_GB2312"/>
                <w:kern w:val="0"/>
                <w:sz w:val="24"/>
                <w:highlight w:val="none"/>
              </w:rPr>
            </w:pPr>
          </w:p>
        </w:tc>
        <w:tc>
          <w:tcPr>
            <w:tcW w:w="144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620" w:type="dxa"/>
          </w:tcPr>
          <w:p>
            <w:pPr>
              <w:autoSpaceDE w:val="0"/>
              <w:autoSpaceDN w:val="0"/>
              <w:adjustRightInd w:val="0"/>
              <w:spacing w:line="440" w:lineRule="exact"/>
              <w:rPr>
                <w:rFonts w:ascii="仿宋_GB2312" w:eastAsia="仿宋_GB2312"/>
                <w:kern w:val="0"/>
                <w:sz w:val="24"/>
                <w:highlight w:val="none"/>
              </w:rPr>
            </w:pPr>
          </w:p>
        </w:tc>
        <w:tc>
          <w:tcPr>
            <w:tcW w:w="108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010" w:type="dxa"/>
          </w:tcPr>
          <w:p>
            <w:pPr>
              <w:autoSpaceDE w:val="0"/>
              <w:autoSpaceDN w:val="0"/>
              <w:adjustRightInd w:val="0"/>
              <w:spacing w:line="440" w:lineRule="exact"/>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908" w:type="dxa"/>
            <w:vMerge w:val="continue"/>
          </w:tcPr>
          <w:p>
            <w:pPr>
              <w:autoSpaceDE w:val="0"/>
              <w:autoSpaceDN w:val="0"/>
              <w:adjustRightInd w:val="0"/>
              <w:spacing w:line="440" w:lineRule="exact"/>
              <w:rPr>
                <w:rFonts w:ascii="仿宋_GB2312" w:eastAsia="仿宋_GB2312"/>
                <w:kern w:val="0"/>
                <w:sz w:val="24"/>
                <w:highlight w:val="none"/>
              </w:rPr>
            </w:pPr>
          </w:p>
        </w:tc>
        <w:tc>
          <w:tcPr>
            <w:tcW w:w="144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620" w:type="dxa"/>
          </w:tcPr>
          <w:p>
            <w:pPr>
              <w:autoSpaceDE w:val="0"/>
              <w:autoSpaceDN w:val="0"/>
              <w:adjustRightInd w:val="0"/>
              <w:spacing w:line="440" w:lineRule="exact"/>
              <w:rPr>
                <w:rFonts w:ascii="仿宋_GB2312" w:eastAsia="仿宋_GB2312"/>
                <w:kern w:val="0"/>
                <w:sz w:val="24"/>
                <w:highlight w:val="none"/>
              </w:rPr>
            </w:pPr>
          </w:p>
        </w:tc>
        <w:tc>
          <w:tcPr>
            <w:tcW w:w="108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010" w:type="dxa"/>
          </w:tcPr>
          <w:p>
            <w:pPr>
              <w:autoSpaceDE w:val="0"/>
              <w:autoSpaceDN w:val="0"/>
              <w:adjustRightInd w:val="0"/>
              <w:spacing w:line="440" w:lineRule="exact"/>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908" w:type="dxa"/>
            <w:vMerge w:val="continue"/>
          </w:tcPr>
          <w:p>
            <w:pPr>
              <w:autoSpaceDE w:val="0"/>
              <w:autoSpaceDN w:val="0"/>
              <w:adjustRightInd w:val="0"/>
              <w:spacing w:line="440" w:lineRule="exact"/>
              <w:rPr>
                <w:rFonts w:ascii="仿宋_GB2312" w:eastAsia="仿宋_GB2312"/>
                <w:kern w:val="0"/>
                <w:sz w:val="24"/>
                <w:highlight w:val="none"/>
              </w:rPr>
            </w:pPr>
          </w:p>
        </w:tc>
        <w:tc>
          <w:tcPr>
            <w:tcW w:w="144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620" w:type="dxa"/>
          </w:tcPr>
          <w:p>
            <w:pPr>
              <w:autoSpaceDE w:val="0"/>
              <w:autoSpaceDN w:val="0"/>
              <w:adjustRightInd w:val="0"/>
              <w:spacing w:line="440" w:lineRule="exact"/>
              <w:rPr>
                <w:rFonts w:ascii="仿宋_GB2312" w:eastAsia="仿宋_GB2312"/>
                <w:kern w:val="0"/>
                <w:sz w:val="24"/>
                <w:highlight w:val="none"/>
              </w:rPr>
            </w:pPr>
          </w:p>
        </w:tc>
        <w:tc>
          <w:tcPr>
            <w:tcW w:w="108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010" w:type="dxa"/>
          </w:tcPr>
          <w:p>
            <w:pPr>
              <w:autoSpaceDE w:val="0"/>
              <w:autoSpaceDN w:val="0"/>
              <w:adjustRightInd w:val="0"/>
              <w:spacing w:line="440" w:lineRule="exact"/>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908" w:type="dxa"/>
            <w:vMerge w:val="continue"/>
          </w:tcPr>
          <w:p>
            <w:pPr>
              <w:autoSpaceDE w:val="0"/>
              <w:autoSpaceDN w:val="0"/>
              <w:adjustRightInd w:val="0"/>
              <w:spacing w:line="440" w:lineRule="exact"/>
              <w:rPr>
                <w:rFonts w:ascii="仿宋_GB2312" w:eastAsia="仿宋_GB2312"/>
                <w:kern w:val="0"/>
                <w:sz w:val="24"/>
                <w:highlight w:val="none"/>
              </w:rPr>
            </w:pPr>
          </w:p>
        </w:tc>
        <w:tc>
          <w:tcPr>
            <w:tcW w:w="144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620" w:type="dxa"/>
          </w:tcPr>
          <w:p>
            <w:pPr>
              <w:autoSpaceDE w:val="0"/>
              <w:autoSpaceDN w:val="0"/>
              <w:adjustRightInd w:val="0"/>
              <w:spacing w:line="440" w:lineRule="exact"/>
              <w:rPr>
                <w:rFonts w:ascii="仿宋_GB2312" w:eastAsia="仿宋_GB2312"/>
                <w:kern w:val="0"/>
                <w:sz w:val="24"/>
                <w:highlight w:val="none"/>
              </w:rPr>
            </w:pPr>
          </w:p>
        </w:tc>
        <w:tc>
          <w:tcPr>
            <w:tcW w:w="108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010" w:type="dxa"/>
          </w:tcPr>
          <w:p>
            <w:pPr>
              <w:autoSpaceDE w:val="0"/>
              <w:autoSpaceDN w:val="0"/>
              <w:adjustRightInd w:val="0"/>
              <w:spacing w:line="440" w:lineRule="exact"/>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908" w:type="dxa"/>
            <w:vMerge w:val="continue"/>
          </w:tcPr>
          <w:p>
            <w:pPr>
              <w:autoSpaceDE w:val="0"/>
              <w:autoSpaceDN w:val="0"/>
              <w:adjustRightInd w:val="0"/>
              <w:spacing w:line="440" w:lineRule="exact"/>
              <w:rPr>
                <w:rFonts w:ascii="仿宋_GB2312" w:eastAsia="仿宋_GB2312"/>
                <w:kern w:val="0"/>
                <w:sz w:val="24"/>
                <w:highlight w:val="none"/>
              </w:rPr>
            </w:pPr>
          </w:p>
        </w:tc>
        <w:tc>
          <w:tcPr>
            <w:tcW w:w="144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620" w:type="dxa"/>
          </w:tcPr>
          <w:p>
            <w:pPr>
              <w:autoSpaceDE w:val="0"/>
              <w:autoSpaceDN w:val="0"/>
              <w:adjustRightInd w:val="0"/>
              <w:spacing w:line="440" w:lineRule="exact"/>
              <w:rPr>
                <w:rFonts w:ascii="仿宋_GB2312" w:eastAsia="仿宋_GB2312"/>
                <w:kern w:val="0"/>
                <w:sz w:val="24"/>
                <w:highlight w:val="none"/>
              </w:rPr>
            </w:pPr>
          </w:p>
        </w:tc>
        <w:tc>
          <w:tcPr>
            <w:tcW w:w="1080" w:type="dxa"/>
          </w:tcPr>
          <w:p>
            <w:pPr>
              <w:autoSpaceDE w:val="0"/>
              <w:autoSpaceDN w:val="0"/>
              <w:adjustRightInd w:val="0"/>
              <w:spacing w:line="440" w:lineRule="exact"/>
              <w:rPr>
                <w:rFonts w:ascii="仿宋_GB2312" w:eastAsia="仿宋_GB2312"/>
                <w:kern w:val="0"/>
                <w:sz w:val="24"/>
                <w:highlight w:val="none"/>
              </w:rPr>
            </w:pPr>
          </w:p>
        </w:tc>
        <w:tc>
          <w:tcPr>
            <w:tcW w:w="900" w:type="dxa"/>
          </w:tcPr>
          <w:p>
            <w:pPr>
              <w:autoSpaceDE w:val="0"/>
              <w:autoSpaceDN w:val="0"/>
              <w:adjustRightInd w:val="0"/>
              <w:spacing w:line="440" w:lineRule="exact"/>
              <w:rPr>
                <w:rFonts w:ascii="仿宋_GB2312" w:eastAsia="仿宋_GB2312"/>
                <w:kern w:val="0"/>
                <w:sz w:val="24"/>
                <w:highlight w:val="none"/>
              </w:rPr>
            </w:pPr>
          </w:p>
        </w:tc>
        <w:tc>
          <w:tcPr>
            <w:tcW w:w="1010" w:type="dxa"/>
          </w:tcPr>
          <w:p>
            <w:pPr>
              <w:autoSpaceDE w:val="0"/>
              <w:autoSpaceDN w:val="0"/>
              <w:adjustRightInd w:val="0"/>
              <w:spacing w:line="440" w:lineRule="exact"/>
              <w:rPr>
                <w:rFonts w:ascii="仿宋_GB2312" w:eastAsia="仿宋_GB2312"/>
                <w:kern w:val="0"/>
                <w:sz w:val="24"/>
                <w:highlight w:val="none"/>
              </w:rPr>
            </w:pPr>
          </w:p>
        </w:tc>
      </w:tr>
    </w:tbl>
    <w:p>
      <w:pPr>
        <w:autoSpaceDE w:val="0"/>
        <w:autoSpaceDN w:val="0"/>
        <w:adjustRightInd w:val="0"/>
        <w:spacing w:line="440" w:lineRule="exact"/>
        <w:rPr>
          <w:rFonts w:ascii="仿宋_GB2312" w:eastAsia="仿宋_GB2312"/>
          <w:kern w:val="0"/>
          <w:sz w:val="24"/>
          <w:highlight w:val="none"/>
        </w:rPr>
      </w:pPr>
    </w:p>
    <w:p>
      <w:pPr>
        <w:autoSpaceDE w:val="0"/>
        <w:autoSpaceDN w:val="0"/>
        <w:adjustRightInd w:val="0"/>
        <w:spacing w:line="440" w:lineRule="exact"/>
        <w:rPr>
          <w:rFonts w:ascii="仿宋_GB2312" w:eastAsia="仿宋_GB2312"/>
          <w:kern w:val="0"/>
          <w:sz w:val="24"/>
          <w:highlight w:val="none"/>
        </w:rPr>
      </w:pPr>
      <w:r>
        <w:rPr>
          <w:rFonts w:hint="eastAsia" w:ascii="仿宋_GB2312" w:eastAsia="仿宋_GB2312"/>
          <w:kern w:val="0"/>
          <w:sz w:val="24"/>
          <w:highlight w:val="none"/>
        </w:rPr>
        <w:t>注：1.本表所列为随货物所带的备品备件。</w:t>
      </w:r>
    </w:p>
    <w:p>
      <w:pPr>
        <w:autoSpaceDE w:val="0"/>
        <w:autoSpaceDN w:val="0"/>
        <w:adjustRightInd w:val="0"/>
        <w:spacing w:line="440" w:lineRule="exact"/>
        <w:rPr>
          <w:rFonts w:ascii="仿宋_GB2312" w:eastAsia="仿宋_GB2312"/>
          <w:kern w:val="0"/>
          <w:sz w:val="24"/>
          <w:highlight w:val="none"/>
        </w:rPr>
      </w:pPr>
      <w:r>
        <w:rPr>
          <w:rFonts w:hint="eastAsia" w:ascii="仿宋_GB2312" w:eastAsia="仿宋_GB2312"/>
          <w:kern w:val="0"/>
          <w:sz w:val="24"/>
          <w:highlight w:val="none"/>
        </w:rPr>
        <w:t>2.本表中所列价格应计入投标总价。</w:t>
      </w:r>
    </w:p>
    <w:p>
      <w:pPr>
        <w:autoSpaceDE w:val="0"/>
        <w:autoSpaceDN w:val="0"/>
        <w:adjustRightInd w:val="0"/>
        <w:spacing w:line="440" w:lineRule="exact"/>
        <w:rPr>
          <w:rFonts w:ascii="仿宋_GB2312" w:eastAsia="仿宋_GB2312"/>
          <w:kern w:val="0"/>
          <w:sz w:val="24"/>
          <w:highlight w:val="none"/>
        </w:rPr>
      </w:pPr>
      <w:r>
        <w:rPr>
          <w:rFonts w:hint="eastAsia" w:ascii="仿宋_GB2312" w:eastAsia="仿宋_GB2312"/>
          <w:kern w:val="0"/>
          <w:sz w:val="24"/>
          <w:highlight w:val="none"/>
        </w:rPr>
        <w:t>3.此表仅提供了表格形式，投标人应根据需要准备足够数量的表格来填写。</w:t>
      </w:r>
    </w:p>
    <w:p>
      <w:pPr>
        <w:autoSpaceDE w:val="0"/>
        <w:autoSpaceDN w:val="0"/>
        <w:adjustRightInd w:val="0"/>
        <w:spacing w:line="440" w:lineRule="exact"/>
        <w:rPr>
          <w:rFonts w:ascii="仿宋_GB2312" w:eastAsia="仿宋_GB2312"/>
          <w:kern w:val="0"/>
          <w:sz w:val="24"/>
          <w:highlight w:val="none"/>
        </w:rPr>
      </w:pPr>
      <w:r>
        <w:rPr>
          <w:rFonts w:hint="eastAsia" w:ascii="仿宋_GB2312" w:eastAsia="仿宋_GB2312"/>
          <w:kern w:val="0"/>
          <w:sz w:val="24"/>
          <w:highlight w:val="none"/>
        </w:rPr>
        <w:t>4.如无此项内容，投标时需说明。</w:t>
      </w:r>
    </w:p>
    <w:p>
      <w:pPr>
        <w:autoSpaceDE w:val="0"/>
        <w:autoSpaceDN w:val="0"/>
        <w:adjustRightInd w:val="0"/>
        <w:spacing w:line="440" w:lineRule="exact"/>
        <w:rPr>
          <w:rFonts w:ascii="仿宋_GB2312" w:eastAsia="仿宋_GB2312"/>
          <w:kern w:val="0"/>
          <w:sz w:val="24"/>
          <w:highlight w:val="none"/>
        </w:rPr>
      </w:pPr>
    </w:p>
    <w:p>
      <w:pPr>
        <w:autoSpaceDE w:val="0"/>
        <w:autoSpaceDN w:val="0"/>
        <w:adjustRightInd w:val="0"/>
        <w:spacing w:line="440" w:lineRule="exact"/>
        <w:rPr>
          <w:rFonts w:ascii="仿宋_GB2312" w:eastAsia="仿宋_GB2312"/>
          <w:kern w:val="0"/>
          <w:sz w:val="24"/>
          <w:highlight w:val="none"/>
        </w:rPr>
      </w:pPr>
    </w:p>
    <w:p>
      <w:pPr>
        <w:autoSpaceDE w:val="0"/>
        <w:autoSpaceDN w:val="0"/>
        <w:adjustRightInd w:val="0"/>
        <w:spacing w:line="440" w:lineRule="exact"/>
        <w:rPr>
          <w:rFonts w:ascii="仿宋_GB2312" w:eastAsia="仿宋_GB2312"/>
          <w:kern w:val="0"/>
          <w:sz w:val="24"/>
          <w:highlight w:val="none"/>
        </w:rPr>
      </w:pPr>
    </w:p>
    <w:p>
      <w:pPr>
        <w:autoSpaceDE w:val="0"/>
        <w:autoSpaceDN w:val="0"/>
        <w:adjustRightInd w:val="0"/>
        <w:spacing w:line="440" w:lineRule="exact"/>
        <w:ind w:right="960"/>
        <w:jc w:val="right"/>
        <w:rPr>
          <w:rFonts w:ascii="仿宋_GB2312" w:eastAsia="仿宋_GB2312"/>
          <w:kern w:val="0"/>
          <w:sz w:val="24"/>
          <w:highlight w:val="none"/>
        </w:rPr>
      </w:pPr>
      <w:r>
        <w:rPr>
          <w:rFonts w:hint="eastAsia" w:ascii="仿宋_GB2312" w:eastAsia="仿宋_GB2312"/>
          <w:kern w:val="0"/>
          <w:sz w:val="24"/>
          <w:highlight w:val="none"/>
        </w:rPr>
        <w:t xml:space="preserve">供应商名称（公章）： </w:t>
      </w:r>
    </w:p>
    <w:p>
      <w:pPr>
        <w:autoSpaceDE w:val="0"/>
        <w:autoSpaceDN w:val="0"/>
        <w:adjustRightInd w:val="0"/>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法定代表人或授权委托人（签字或盖章）：</w:t>
      </w:r>
    </w:p>
    <w:p>
      <w:pPr>
        <w:adjustRightInd w:val="0"/>
        <w:snapToGrid w:val="0"/>
        <w:spacing w:line="360" w:lineRule="auto"/>
        <w:jc w:val="center"/>
        <w:outlineLvl w:val="0"/>
        <w:rPr>
          <w:rFonts w:ascii="仿宋_GB2312" w:eastAsia="仿宋_GB2312"/>
          <w:kern w:val="0"/>
          <w:sz w:val="24"/>
          <w:highlight w:val="none"/>
        </w:rPr>
      </w:pPr>
      <w:r>
        <w:rPr>
          <w:rFonts w:hint="eastAsia" w:ascii="仿宋_GB2312" w:eastAsia="仿宋_GB2312"/>
          <w:kern w:val="0"/>
          <w:sz w:val="24"/>
          <w:highlight w:val="none"/>
        </w:rPr>
        <w:t xml:space="preserve">                                       日期：2019  年  月   日</w:t>
      </w:r>
    </w:p>
    <w:p>
      <w:pPr>
        <w:autoSpaceDE w:val="0"/>
        <w:autoSpaceDN w:val="0"/>
        <w:adjustRightInd w:val="0"/>
        <w:spacing w:line="440" w:lineRule="exact"/>
        <w:jc w:val="center"/>
        <w:rPr>
          <w:rFonts w:ascii="仿宋_GB2312" w:hAnsi="宋体" w:eastAsia="仿宋_GB2312"/>
          <w:b/>
          <w:kern w:val="0"/>
          <w:sz w:val="32"/>
          <w:szCs w:val="32"/>
          <w:highlight w:val="none"/>
        </w:rPr>
      </w:pPr>
      <w:r>
        <w:rPr>
          <w:rFonts w:ascii="仿宋_GB2312" w:eastAsia="仿宋_GB2312"/>
          <w:kern w:val="0"/>
          <w:sz w:val="24"/>
          <w:highlight w:val="none"/>
        </w:rPr>
        <w:br w:type="page"/>
      </w:r>
      <w:r>
        <w:rPr>
          <w:rFonts w:hint="eastAsia" w:ascii="仿宋_GB2312" w:hAnsi="宋体" w:eastAsia="仿宋_GB2312"/>
          <w:b/>
          <w:kern w:val="0"/>
          <w:sz w:val="32"/>
          <w:szCs w:val="32"/>
          <w:highlight w:val="none"/>
        </w:rPr>
        <w:t>六、距采购人最近或者能为本项目提供最优服务的网点情况表</w:t>
      </w:r>
    </w:p>
    <w:tbl>
      <w:tblPr>
        <w:tblStyle w:val="49"/>
        <w:tblW w:w="806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2"/>
        <w:gridCol w:w="2176"/>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9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r>
              <w:rPr>
                <w:rFonts w:hint="eastAsia" w:ascii="仿宋_GB2312" w:hAnsi="宋体" w:eastAsia="仿宋_GB2312"/>
                <w:sz w:val="24"/>
                <w:highlight w:val="none"/>
              </w:rPr>
              <w:t>服务网点名称</w:t>
            </w:r>
          </w:p>
        </w:tc>
        <w:tc>
          <w:tcPr>
            <w:tcW w:w="6132"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9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r>
              <w:rPr>
                <w:rFonts w:hint="eastAsia" w:ascii="仿宋_GB2312" w:hAnsi="宋体" w:eastAsia="仿宋_GB2312"/>
                <w:sz w:val="24"/>
                <w:highlight w:val="none"/>
              </w:rPr>
              <w:t>地址</w:t>
            </w:r>
          </w:p>
        </w:tc>
        <w:tc>
          <w:tcPr>
            <w:tcW w:w="6132"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r>
              <w:rPr>
                <w:rFonts w:hint="eastAsia" w:ascii="仿宋_GB2312" w:hAnsi="宋体" w:eastAsia="仿宋_GB2312"/>
                <w:sz w:val="24"/>
                <w:highlight w:val="none"/>
              </w:rPr>
              <w:t>注册资本金</w:t>
            </w:r>
          </w:p>
        </w:tc>
        <w:tc>
          <w:tcPr>
            <w:tcW w:w="21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r>
              <w:rPr>
                <w:rFonts w:hint="eastAsia" w:ascii="仿宋_GB2312" w:hAnsi="宋体" w:eastAsia="仿宋_GB2312"/>
                <w:sz w:val="24"/>
                <w:highlight w:val="none"/>
              </w:rPr>
              <w:t>其中：投标人出资比例</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r>
              <w:rPr>
                <w:rFonts w:hint="eastAsia" w:ascii="仿宋_GB2312" w:hAnsi="宋体" w:eastAsia="仿宋_GB2312"/>
                <w:sz w:val="24"/>
                <w:highlight w:val="none"/>
              </w:rPr>
              <w:t>员工总人数</w:t>
            </w:r>
          </w:p>
        </w:tc>
        <w:tc>
          <w:tcPr>
            <w:tcW w:w="21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left="60"/>
              <w:rPr>
                <w:rFonts w:ascii="仿宋_GB2312" w:hAnsi="宋体" w:eastAsia="仿宋_GB2312"/>
                <w:sz w:val="24"/>
                <w:szCs w:val="20"/>
                <w:highlight w:val="none"/>
              </w:rPr>
            </w:pPr>
            <w:r>
              <w:rPr>
                <w:rFonts w:hint="eastAsia" w:ascii="仿宋_GB2312" w:hAnsi="宋体" w:eastAsia="仿宋_GB2312"/>
                <w:sz w:val="24"/>
                <w:highlight w:val="none"/>
              </w:rPr>
              <w:t>其中：技术人员数</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r>
              <w:rPr>
                <w:rFonts w:hint="eastAsia" w:ascii="仿宋_GB2312" w:hAnsi="宋体" w:eastAsia="仿宋_GB2312"/>
                <w:sz w:val="24"/>
                <w:highlight w:val="none"/>
              </w:rPr>
              <w:t>经营期限</w:t>
            </w:r>
          </w:p>
        </w:tc>
        <w:tc>
          <w:tcPr>
            <w:tcW w:w="6132"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95" w:hRule="atLeast"/>
          <w:jc w:val="center"/>
        </w:trPr>
        <w:tc>
          <w:tcPr>
            <w:tcW w:w="19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r>
              <w:rPr>
                <w:rFonts w:hint="eastAsia" w:ascii="仿宋_GB2312" w:hAnsi="宋体" w:eastAsia="仿宋_GB2312"/>
                <w:sz w:val="24"/>
                <w:highlight w:val="none"/>
              </w:rPr>
              <w:t>售后服务协议</w:t>
            </w:r>
          </w:p>
        </w:tc>
        <w:tc>
          <w:tcPr>
            <w:tcW w:w="6132"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78" w:hRule="atLeast"/>
          <w:jc w:val="center"/>
        </w:trPr>
        <w:tc>
          <w:tcPr>
            <w:tcW w:w="19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r>
              <w:rPr>
                <w:rFonts w:hint="eastAsia" w:ascii="仿宋_GB2312" w:hAnsi="宋体" w:eastAsia="仿宋_GB2312"/>
                <w:sz w:val="24"/>
                <w:highlight w:val="none"/>
              </w:rPr>
              <w:t>售后服务内容</w:t>
            </w:r>
          </w:p>
        </w:tc>
        <w:tc>
          <w:tcPr>
            <w:tcW w:w="6132"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r>
              <w:rPr>
                <w:rFonts w:hint="eastAsia" w:ascii="仿宋_GB2312" w:hAnsi="宋体" w:eastAsia="仿宋_GB2312"/>
                <w:sz w:val="24"/>
                <w:highlight w:val="none"/>
              </w:rPr>
              <w:t>工作业绩</w:t>
            </w:r>
          </w:p>
        </w:tc>
        <w:tc>
          <w:tcPr>
            <w:tcW w:w="6132"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r>
              <w:rPr>
                <w:rFonts w:hint="eastAsia" w:ascii="仿宋_GB2312" w:hAnsi="宋体" w:eastAsia="仿宋_GB2312"/>
                <w:sz w:val="24"/>
                <w:highlight w:val="none"/>
              </w:rPr>
              <w:t>服务承诺</w:t>
            </w:r>
          </w:p>
        </w:tc>
        <w:tc>
          <w:tcPr>
            <w:tcW w:w="6132"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r>
              <w:rPr>
                <w:rFonts w:hint="eastAsia" w:ascii="仿宋_GB2312" w:hAnsi="宋体" w:eastAsia="仿宋_GB2312"/>
                <w:sz w:val="24"/>
                <w:highlight w:val="none"/>
              </w:rPr>
              <w:t>业务咨询电话</w:t>
            </w:r>
          </w:p>
        </w:tc>
        <w:tc>
          <w:tcPr>
            <w:tcW w:w="2367"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line="400" w:lineRule="exact"/>
              <w:rPr>
                <w:rFonts w:ascii="仿宋_GB2312" w:hAnsi="宋体" w:eastAsia="仿宋_GB2312"/>
                <w:sz w:val="24"/>
                <w:szCs w:val="20"/>
                <w:highlight w:val="none"/>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Lines="50" w:line="400" w:lineRule="exact"/>
              <w:rPr>
                <w:rFonts w:ascii="仿宋_GB2312" w:hAnsi="宋体" w:eastAsia="仿宋_GB2312"/>
                <w:sz w:val="24"/>
                <w:szCs w:val="20"/>
                <w:highlight w:val="none"/>
              </w:rPr>
            </w:pPr>
            <w:r>
              <w:rPr>
                <w:rFonts w:hint="eastAsia" w:ascii="仿宋_GB2312" w:hAnsi="宋体" w:eastAsia="仿宋_GB2312"/>
                <w:sz w:val="24"/>
                <w:highlight w:val="none"/>
              </w:rPr>
              <w:t>传 真</w:t>
            </w:r>
          </w:p>
        </w:tc>
        <w:tc>
          <w:tcPr>
            <w:tcW w:w="2325" w:type="dxa"/>
            <w:gridSpan w:val="2"/>
            <w:tcBorders>
              <w:top w:val="single" w:color="auto" w:sz="4" w:space="0"/>
              <w:left w:val="single" w:color="auto" w:sz="2" w:space="0"/>
              <w:bottom w:val="single" w:color="auto" w:sz="4" w:space="0"/>
              <w:right w:val="single" w:color="auto" w:sz="2" w:space="0"/>
            </w:tcBorders>
          </w:tcPr>
          <w:p>
            <w:pPr>
              <w:snapToGrid w:val="0"/>
              <w:spacing w:before="50" w:afterLines="50" w:line="400" w:lineRule="exact"/>
              <w:rPr>
                <w:rFonts w:ascii="仿宋_GB2312" w:hAnsi="宋体" w:eastAsia="仿宋_GB2312"/>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r>
              <w:rPr>
                <w:rFonts w:hint="eastAsia" w:ascii="仿宋_GB2312" w:hAnsi="宋体" w:eastAsia="仿宋_GB2312"/>
                <w:sz w:val="24"/>
                <w:highlight w:val="none"/>
              </w:rPr>
              <w:t>负责人</w:t>
            </w:r>
          </w:p>
        </w:tc>
        <w:tc>
          <w:tcPr>
            <w:tcW w:w="2367"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line="400" w:lineRule="exact"/>
              <w:rPr>
                <w:rFonts w:ascii="仿宋_GB2312" w:hAnsi="宋体" w:eastAsia="仿宋_GB2312"/>
                <w:sz w:val="24"/>
                <w:szCs w:val="20"/>
                <w:highlight w:val="none"/>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Lines="50" w:line="400" w:lineRule="exact"/>
              <w:rPr>
                <w:rFonts w:ascii="仿宋_GB2312" w:hAnsi="宋体" w:eastAsia="仿宋_GB2312"/>
                <w:sz w:val="24"/>
                <w:szCs w:val="20"/>
                <w:highlight w:val="none"/>
              </w:rPr>
            </w:pPr>
            <w:r>
              <w:rPr>
                <w:rFonts w:hint="eastAsia" w:ascii="仿宋_GB2312" w:hAnsi="宋体" w:eastAsia="仿宋_GB2312"/>
                <w:sz w:val="24"/>
                <w:highlight w:val="none"/>
              </w:rPr>
              <w:t>联系电话</w:t>
            </w:r>
          </w:p>
        </w:tc>
        <w:tc>
          <w:tcPr>
            <w:tcW w:w="2325" w:type="dxa"/>
            <w:gridSpan w:val="2"/>
            <w:tcBorders>
              <w:top w:val="single" w:color="auto" w:sz="4" w:space="0"/>
              <w:left w:val="single" w:color="auto" w:sz="2" w:space="0"/>
              <w:bottom w:val="single" w:color="auto" w:sz="4" w:space="0"/>
              <w:right w:val="single" w:color="auto" w:sz="4" w:space="0"/>
            </w:tcBorders>
          </w:tcPr>
          <w:p>
            <w:pPr>
              <w:snapToGrid w:val="0"/>
              <w:spacing w:before="50" w:afterLines="50" w:line="400" w:lineRule="exact"/>
              <w:rPr>
                <w:rFonts w:ascii="仿宋_GB2312" w:hAnsi="宋体" w:eastAsia="仿宋_GB2312"/>
                <w:sz w:val="24"/>
                <w:szCs w:val="20"/>
                <w:highlight w:val="none"/>
              </w:rPr>
            </w:pPr>
          </w:p>
        </w:tc>
      </w:tr>
    </w:tbl>
    <w:p>
      <w:pPr>
        <w:spacing w:line="460" w:lineRule="exact"/>
        <w:ind w:firstLine="5280" w:firstLineChars="2200"/>
        <w:rPr>
          <w:rFonts w:ascii="宋体" w:hAnsi="宋体"/>
          <w:sz w:val="24"/>
          <w:highlight w:val="none"/>
        </w:rPr>
      </w:pPr>
    </w:p>
    <w:p>
      <w:pPr>
        <w:wordWrap w:val="0"/>
        <w:autoSpaceDE w:val="0"/>
        <w:autoSpaceDN w:val="0"/>
        <w:adjustRightInd w:val="0"/>
        <w:spacing w:line="440" w:lineRule="exact"/>
        <w:jc w:val="right"/>
        <w:rPr>
          <w:rFonts w:ascii="仿宋_GB2312" w:eastAsia="仿宋_GB2312"/>
          <w:kern w:val="0"/>
          <w:sz w:val="24"/>
          <w:highlight w:val="none"/>
        </w:rPr>
      </w:pPr>
    </w:p>
    <w:p>
      <w:pPr>
        <w:autoSpaceDE w:val="0"/>
        <w:autoSpaceDN w:val="0"/>
        <w:adjustRightInd w:val="0"/>
        <w:spacing w:line="440" w:lineRule="exact"/>
        <w:jc w:val="right"/>
        <w:rPr>
          <w:rFonts w:ascii="仿宋_GB2312" w:eastAsia="仿宋_GB2312"/>
          <w:kern w:val="0"/>
          <w:sz w:val="24"/>
          <w:highlight w:val="none"/>
        </w:rPr>
      </w:pPr>
    </w:p>
    <w:p>
      <w:pPr>
        <w:spacing w:line="440" w:lineRule="exact"/>
        <w:jc w:val="center"/>
        <w:rPr>
          <w:rFonts w:ascii="仿宋_GB2312" w:eastAsia="仿宋_GB2312"/>
          <w:b/>
          <w:sz w:val="32"/>
          <w:szCs w:val="32"/>
          <w:highlight w:val="none"/>
        </w:rPr>
      </w:pPr>
    </w:p>
    <w:p>
      <w:pPr>
        <w:autoSpaceDE w:val="0"/>
        <w:autoSpaceDN w:val="0"/>
        <w:adjustRightInd w:val="0"/>
        <w:spacing w:line="420" w:lineRule="exact"/>
        <w:ind w:firstLine="5280" w:firstLineChars="2200"/>
        <w:rPr>
          <w:rFonts w:ascii="仿宋_GB2312" w:eastAsia="仿宋_GB2312"/>
          <w:kern w:val="0"/>
          <w:sz w:val="24"/>
          <w:highlight w:val="none"/>
        </w:rPr>
      </w:pPr>
      <w:r>
        <w:rPr>
          <w:rFonts w:hint="eastAsia" w:ascii="仿宋_GB2312" w:eastAsia="仿宋_GB2312"/>
          <w:kern w:val="0"/>
          <w:sz w:val="24"/>
          <w:highlight w:val="none"/>
        </w:rPr>
        <w:t>投标人名称（公章）：</w:t>
      </w:r>
    </w:p>
    <w:p>
      <w:pPr>
        <w:autoSpaceDE w:val="0"/>
        <w:autoSpaceDN w:val="0"/>
        <w:adjustRightInd w:val="0"/>
        <w:spacing w:line="420" w:lineRule="exact"/>
        <w:rPr>
          <w:rFonts w:ascii="仿宋_GB2312" w:eastAsia="仿宋_GB2312"/>
          <w:kern w:val="0"/>
          <w:sz w:val="24"/>
          <w:highlight w:val="none"/>
        </w:rPr>
      </w:pPr>
      <w:r>
        <w:rPr>
          <w:rFonts w:hint="eastAsia" w:ascii="仿宋_GB2312" w:eastAsia="仿宋_GB2312"/>
          <w:kern w:val="0"/>
          <w:sz w:val="24"/>
          <w:highlight w:val="none"/>
        </w:rPr>
        <w:t xml:space="preserve">                                     法定代表人或授权委托人（签字或盖章）：</w:t>
      </w:r>
    </w:p>
    <w:p>
      <w:pPr>
        <w:spacing w:line="480" w:lineRule="exact"/>
        <w:rPr>
          <w:rFonts w:ascii="仿宋_GB2312" w:hAnsi="宋体" w:eastAsia="仿宋_GB2312"/>
          <w:b/>
          <w:sz w:val="30"/>
          <w:highlight w:val="none"/>
        </w:rPr>
      </w:pPr>
      <w:r>
        <w:rPr>
          <w:rFonts w:hint="eastAsia" w:ascii="仿宋_GB2312" w:eastAsia="仿宋_GB2312"/>
          <w:kern w:val="0"/>
          <w:sz w:val="24"/>
          <w:highlight w:val="none"/>
        </w:rPr>
        <w:t xml:space="preserve">                                            日期：2019年  月   日</w:t>
      </w:r>
    </w:p>
    <w:p>
      <w:pPr>
        <w:adjustRightInd w:val="0"/>
        <w:snapToGrid w:val="0"/>
        <w:spacing w:line="360" w:lineRule="auto"/>
        <w:jc w:val="center"/>
        <w:outlineLvl w:val="0"/>
        <w:rPr>
          <w:rFonts w:ascii="仿宋_GB2312" w:hAnsi="宋体" w:eastAsia="仿宋_GB2312"/>
          <w:b/>
          <w:sz w:val="28"/>
          <w:szCs w:val="28"/>
          <w:highlight w:val="none"/>
        </w:rPr>
      </w:pPr>
    </w:p>
    <w:p>
      <w:pPr>
        <w:rPr>
          <w:rFonts w:ascii="华文中宋" w:hAnsi="华文中宋" w:eastAsia="华文中宋"/>
          <w:b/>
          <w:color w:val="000000"/>
          <w:sz w:val="36"/>
          <w:szCs w:val="36"/>
          <w:highlight w:val="none"/>
        </w:rPr>
      </w:pPr>
      <w:r>
        <w:rPr>
          <w:rFonts w:ascii="华文中宋" w:hAnsi="华文中宋" w:eastAsia="华文中宋"/>
          <w:b/>
          <w:color w:val="000000"/>
          <w:sz w:val="36"/>
          <w:szCs w:val="36"/>
          <w:highlight w:val="none"/>
        </w:rPr>
        <w:br w:type="page"/>
      </w:r>
    </w:p>
    <w:p>
      <w:pPr>
        <w:adjustRightInd w:val="0"/>
        <w:snapToGrid w:val="0"/>
        <w:spacing w:line="360" w:lineRule="auto"/>
        <w:jc w:val="center"/>
        <w:outlineLvl w:val="0"/>
        <w:rPr>
          <w:rFonts w:ascii="华文中宋" w:hAnsi="华文中宋" w:eastAsia="华文中宋"/>
          <w:b/>
          <w:color w:val="000000"/>
          <w:sz w:val="36"/>
          <w:szCs w:val="36"/>
          <w:highlight w:val="none"/>
        </w:rPr>
      </w:pPr>
      <w:r>
        <w:rPr>
          <w:rFonts w:hint="eastAsia" w:ascii="华文中宋" w:hAnsi="华文中宋" w:eastAsia="华文中宋"/>
          <w:b/>
          <w:color w:val="000000"/>
          <w:sz w:val="36"/>
          <w:szCs w:val="36"/>
          <w:highlight w:val="none"/>
        </w:rPr>
        <w:t>第六部分 合同主要条款及特殊条款</w:t>
      </w:r>
    </w:p>
    <w:p>
      <w:pPr>
        <w:snapToGrid w:val="0"/>
        <w:spacing w:line="360" w:lineRule="auto"/>
        <w:rPr>
          <w:rFonts w:ascii="仿宋_GB2312" w:hAnsi="宋体" w:eastAsia="仿宋_GB2312" w:cs="宋体"/>
          <w:b/>
          <w:color w:val="222222"/>
          <w:kern w:val="0"/>
          <w:sz w:val="24"/>
          <w:szCs w:val="24"/>
          <w:highlight w:val="none"/>
        </w:rPr>
      </w:pPr>
      <w:r>
        <w:rPr>
          <w:rFonts w:hint="eastAsia" w:ascii="仿宋_GB2312" w:hAnsi="宋体" w:eastAsia="仿宋_GB2312" w:cs="宋体"/>
          <w:b/>
          <w:color w:val="222222"/>
          <w:kern w:val="0"/>
          <w:sz w:val="24"/>
          <w:szCs w:val="24"/>
          <w:highlight w:val="none"/>
        </w:rPr>
        <w:t>采购单位（ 甲方）：杭州市江干区四季青街道社区卫生服务中心</w:t>
      </w:r>
    </w:p>
    <w:p>
      <w:pPr>
        <w:snapToGrid w:val="0"/>
        <w:spacing w:line="360" w:lineRule="auto"/>
        <w:rPr>
          <w:rFonts w:ascii="仿宋_GB2312" w:hAnsi="宋体" w:eastAsia="仿宋_GB2312" w:cs="宋体"/>
          <w:b/>
          <w:color w:val="222222"/>
          <w:kern w:val="0"/>
          <w:sz w:val="24"/>
          <w:szCs w:val="24"/>
          <w:highlight w:val="none"/>
        </w:rPr>
      </w:pPr>
      <w:r>
        <w:rPr>
          <w:rFonts w:hint="eastAsia" w:ascii="仿宋_GB2312" w:hAnsi="宋体" w:eastAsia="仿宋_GB2312" w:cs="宋体"/>
          <w:b/>
          <w:color w:val="222222"/>
          <w:kern w:val="0"/>
          <w:sz w:val="24"/>
          <w:szCs w:val="24"/>
          <w:highlight w:val="none"/>
        </w:rPr>
        <w:t xml:space="preserve">供应商（ 乙方）： </w:t>
      </w:r>
    </w:p>
    <w:p>
      <w:pPr>
        <w:spacing w:line="360" w:lineRule="auto"/>
        <w:rPr>
          <w:rFonts w:ascii="仿宋_GB2312" w:hAnsi="宋体" w:eastAsia="仿宋_GB2312" w:cs="宋体"/>
          <w:b/>
          <w:color w:val="222222"/>
          <w:kern w:val="0"/>
          <w:sz w:val="24"/>
          <w:szCs w:val="24"/>
          <w:highlight w:val="none"/>
        </w:rPr>
      </w:pPr>
      <w:r>
        <w:rPr>
          <w:rFonts w:hint="eastAsia" w:ascii="仿宋_GB2312" w:hAnsi="宋体" w:eastAsia="仿宋_GB2312" w:cs="宋体"/>
          <w:b/>
          <w:color w:val="222222"/>
          <w:kern w:val="0"/>
          <w:sz w:val="24"/>
          <w:szCs w:val="24"/>
          <w:highlight w:val="none"/>
        </w:rPr>
        <w:t>见证方： 杭州市公共资源交易中心江干分中心</w:t>
      </w:r>
    </w:p>
    <w:p>
      <w:pPr>
        <w:snapToGrid w:val="0"/>
        <w:spacing w:line="460" w:lineRule="exact"/>
        <w:ind w:firstLine="482"/>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根据《中华人民共和国政府采购法》、《中华人民共和国合同法》等相关法律法规和（采购编号：）的中标情况，遵循平等、自愿、公平、诚实信用的原则，由采购单位（以下简称甲方）与经评审最终确定的中标供应商（以下简称乙方）结合本项目具体情况，经双方协商一致后达成以下条款:</w:t>
      </w:r>
    </w:p>
    <w:p>
      <w:pPr>
        <w:spacing w:line="460" w:lineRule="exact"/>
        <w:ind w:firstLine="482" w:firstLineChars="200"/>
        <w:rPr>
          <w:rFonts w:ascii="仿宋_GB2312" w:eastAsia="仿宋_GB2312"/>
          <w:b/>
          <w:sz w:val="24"/>
          <w:highlight w:val="none"/>
        </w:rPr>
      </w:pPr>
      <w:r>
        <w:rPr>
          <w:rFonts w:hint="eastAsia" w:ascii="仿宋_GB2312" w:eastAsia="仿宋_GB2312"/>
          <w:b/>
          <w:sz w:val="24"/>
          <w:highlight w:val="none"/>
        </w:rPr>
        <w:t>一、项目基本情况</w:t>
      </w:r>
    </w:p>
    <w:p>
      <w:pPr>
        <w:spacing w:line="460" w:lineRule="exact"/>
        <w:ind w:left="120" w:hanging="120" w:hangingChars="50"/>
        <w:rPr>
          <w:rFonts w:ascii="仿宋_GB2312" w:hAnsi="宋体" w:eastAsia="仿宋_GB2312" w:cs="宋体-18030"/>
          <w:color w:val="000000"/>
          <w:sz w:val="24"/>
          <w:highlight w:val="none"/>
        </w:rPr>
      </w:pPr>
      <w:r>
        <w:rPr>
          <w:rFonts w:hint="eastAsia" w:ascii="仿宋_GB2312" w:hAnsi="宋体" w:eastAsia="仿宋_GB2312" w:cs="宋体-18030"/>
          <w:color w:val="000000"/>
          <w:sz w:val="24"/>
          <w:highlight w:val="none"/>
        </w:rPr>
        <w:t xml:space="preserve">1、名称： </w:t>
      </w:r>
    </w:p>
    <w:p>
      <w:pPr>
        <w:spacing w:line="460" w:lineRule="exact"/>
        <w:ind w:left="120" w:hanging="120" w:hangingChars="50"/>
        <w:rPr>
          <w:rFonts w:ascii="仿宋_GB2312" w:hAnsi="宋体" w:eastAsia="仿宋_GB2312" w:cs="宋体-18030"/>
          <w:color w:val="000000"/>
          <w:sz w:val="24"/>
          <w:highlight w:val="none"/>
          <w:u w:val="single"/>
        </w:rPr>
      </w:pPr>
      <w:r>
        <w:rPr>
          <w:rFonts w:hint="eastAsia" w:ascii="仿宋_GB2312" w:hAnsi="宋体" w:eastAsia="仿宋_GB2312" w:cs="宋体-18030"/>
          <w:color w:val="000000"/>
          <w:sz w:val="24"/>
          <w:highlight w:val="none"/>
        </w:rPr>
        <w:t>2、类型：</w:t>
      </w:r>
    </w:p>
    <w:p>
      <w:pPr>
        <w:spacing w:line="460" w:lineRule="exact"/>
        <w:ind w:left="120" w:hanging="120" w:hangingChars="50"/>
        <w:rPr>
          <w:rFonts w:ascii="仿宋_GB2312" w:hAnsi="宋体" w:eastAsia="仿宋_GB2312" w:cs="宋体-18030"/>
          <w:color w:val="000000"/>
          <w:sz w:val="24"/>
          <w:highlight w:val="none"/>
        </w:rPr>
      </w:pPr>
      <w:r>
        <w:rPr>
          <w:rFonts w:hint="eastAsia" w:ascii="仿宋_GB2312" w:hAnsi="宋体" w:eastAsia="仿宋_GB2312" w:cs="宋体-18030"/>
          <w:color w:val="000000"/>
          <w:sz w:val="24"/>
          <w:highlight w:val="none"/>
        </w:rPr>
        <w:t>3、范围:</w:t>
      </w:r>
    </w:p>
    <w:p>
      <w:pPr>
        <w:spacing w:line="460" w:lineRule="exact"/>
        <w:ind w:left="120" w:hanging="120" w:hangingChars="50"/>
        <w:rPr>
          <w:rFonts w:ascii="仿宋_GB2312" w:hAnsi="宋体" w:eastAsia="仿宋_GB2312" w:cs="宋体-18030"/>
          <w:color w:val="000000"/>
          <w:sz w:val="24"/>
          <w:highlight w:val="none"/>
          <w:u w:val="single"/>
        </w:rPr>
      </w:pPr>
      <w:r>
        <w:rPr>
          <w:rFonts w:hint="eastAsia" w:ascii="仿宋_GB2312" w:hAnsi="宋体" w:eastAsia="仿宋_GB2312" w:cs="宋体-18030"/>
          <w:color w:val="000000"/>
          <w:sz w:val="24"/>
          <w:highlight w:val="none"/>
        </w:rPr>
        <w:t>4、内容：</w:t>
      </w:r>
    </w:p>
    <w:p>
      <w:pPr>
        <w:pStyle w:val="24"/>
        <w:spacing w:line="460" w:lineRule="exact"/>
        <w:ind w:firstLine="540"/>
        <w:rPr>
          <w:rFonts w:ascii="仿宋_GB2312" w:eastAsia="仿宋_GB2312"/>
          <w:b/>
          <w:sz w:val="24"/>
          <w:szCs w:val="24"/>
          <w:highlight w:val="none"/>
        </w:rPr>
      </w:pPr>
      <w:r>
        <w:rPr>
          <w:rFonts w:hint="eastAsia" w:ascii="仿宋_GB2312" w:eastAsia="仿宋_GB2312"/>
          <w:b/>
          <w:sz w:val="24"/>
          <w:szCs w:val="24"/>
          <w:highlight w:val="none"/>
        </w:rPr>
        <w:t>二、项目人员安排：</w:t>
      </w:r>
    </w:p>
    <w:p>
      <w:pPr>
        <w:pStyle w:val="24"/>
        <w:spacing w:line="460" w:lineRule="exact"/>
        <w:ind w:firstLine="540"/>
        <w:rPr>
          <w:rFonts w:ascii="仿宋_GB2312" w:eastAsia="仿宋_GB2312"/>
          <w:b/>
          <w:sz w:val="24"/>
          <w:szCs w:val="24"/>
          <w:highlight w:val="none"/>
        </w:rPr>
      </w:pPr>
      <w:r>
        <w:rPr>
          <w:rFonts w:hint="eastAsia" w:ascii="仿宋_GB2312" w:eastAsia="仿宋_GB2312"/>
          <w:b/>
          <w:sz w:val="24"/>
          <w:szCs w:val="24"/>
          <w:highlight w:val="none"/>
        </w:rPr>
        <w:t>三、机械设备：</w:t>
      </w:r>
    </w:p>
    <w:p>
      <w:pPr>
        <w:pStyle w:val="24"/>
        <w:spacing w:line="460" w:lineRule="exact"/>
        <w:ind w:firstLine="540"/>
        <w:rPr>
          <w:rFonts w:ascii="仿宋_GB2312" w:eastAsia="仿宋_GB2312"/>
          <w:sz w:val="24"/>
          <w:szCs w:val="24"/>
          <w:highlight w:val="none"/>
        </w:rPr>
      </w:pPr>
      <w:r>
        <w:rPr>
          <w:rFonts w:hint="eastAsia" w:ascii="仿宋_GB2312" w:eastAsia="仿宋_GB2312"/>
          <w:b/>
          <w:sz w:val="24"/>
          <w:szCs w:val="24"/>
          <w:highlight w:val="none"/>
        </w:rPr>
        <w:t>四、合同有效期：</w:t>
      </w:r>
      <w:r>
        <w:rPr>
          <w:rFonts w:hint="eastAsia" w:ascii="仿宋_GB2312" w:eastAsia="仿宋_GB2312"/>
          <w:sz w:val="24"/>
          <w:szCs w:val="24"/>
          <w:highlight w:val="none"/>
        </w:rPr>
        <w:t>年月日至年月日止</w:t>
      </w:r>
    </w:p>
    <w:p>
      <w:pPr>
        <w:pStyle w:val="24"/>
        <w:spacing w:line="460" w:lineRule="exact"/>
        <w:ind w:firstLine="540"/>
        <w:rPr>
          <w:rFonts w:ascii="仿宋_GB2312" w:eastAsia="仿宋_GB2312"/>
          <w:b/>
          <w:sz w:val="24"/>
          <w:szCs w:val="24"/>
          <w:highlight w:val="none"/>
        </w:rPr>
      </w:pPr>
      <w:r>
        <w:rPr>
          <w:rFonts w:hint="eastAsia" w:ascii="仿宋_GB2312" w:eastAsia="仿宋_GB2312"/>
          <w:b/>
          <w:sz w:val="24"/>
          <w:szCs w:val="24"/>
          <w:highlight w:val="none"/>
        </w:rPr>
        <w:t>五、</w:t>
      </w:r>
      <w:r>
        <w:rPr>
          <w:rFonts w:hint="eastAsia" w:ascii="仿宋_GB2312" w:hAnsi="Times New Roman" w:eastAsia="仿宋_GB2312"/>
          <w:b/>
          <w:color w:val="000000"/>
          <w:sz w:val="24"/>
          <w:szCs w:val="24"/>
          <w:highlight w:val="none"/>
        </w:rPr>
        <w:t>履约保证金</w:t>
      </w:r>
    </w:p>
    <w:p>
      <w:pPr>
        <w:spacing w:line="460" w:lineRule="exact"/>
        <w:ind w:firstLine="480" w:firstLineChars="200"/>
        <w:rPr>
          <w:rFonts w:ascii="仿宋_GB2312" w:eastAsia="仿宋_GB2312"/>
          <w:sz w:val="24"/>
          <w:highlight w:val="none"/>
        </w:rPr>
      </w:pPr>
      <w:r>
        <w:rPr>
          <w:rFonts w:hint="eastAsia" w:ascii="仿宋_GB2312" w:eastAsia="仿宋_GB2312"/>
          <w:color w:val="000000"/>
          <w:sz w:val="24"/>
          <w:highlight w:val="none"/>
        </w:rPr>
        <w:t>乙方须在本合同生效前</w:t>
      </w:r>
      <w:r>
        <w:rPr>
          <w:rFonts w:hint="eastAsia" w:ascii="仿宋_GB2312" w:eastAsia="仿宋_GB2312" w:cs="仿宋_GB2312"/>
          <w:color w:val="000000"/>
          <w:sz w:val="24"/>
          <w:highlight w:val="none"/>
        </w:rPr>
        <w:t>向</w:t>
      </w:r>
      <w:r>
        <w:rPr>
          <w:rFonts w:hint="eastAsia" w:ascii="仿宋_GB2312" w:hAnsi="宋体" w:eastAsia="仿宋_GB2312" w:cs="宋体"/>
          <w:color w:val="222222"/>
          <w:kern w:val="0"/>
          <w:sz w:val="24"/>
          <w:szCs w:val="24"/>
          <w:highlight w:val="none"/>
        </w:rPr>
        <w:t>甲方</w:t>
      </w:r>
      <w:r>
        <w:rPr>
          <w:rFonts w:hint="eastAsia" w:ascii="仿宋_GB2312" w:eastAsia="仿宋_GB2312"/>
          <w:color w:val="000000"/>
          <w:sz w:val="24"/>
          <w:highlight w:val="none"/>
        </w:rPr>
        <w:t>缴纳合同总价的履约保证金（取整数到百位），</w:t>
      </w:r>
      <w:r>
        <w:rPr>
          <w:rFonts w:hint="eastAsia" w:ascii="仿宋_GB2312" w:eastAsia="仿宋_GB2312"/>
          <w:sz w:val="24"/>
          <w:highlight w:val="none"/>
        </w:rPr>
        <w:t>作为合同生效的必要条件。履约保证金在合同期满无违约的情况下，5个工作日内无息退还。</w:t>
      </w:r>
    </w:p>
    <w:p>
      <w:pPr>
        <w:spacing w:line="460" w:lineRule="exact"/>
        <w:ind w:firstLine="482" w:firstLineChars="200"/>
        <w:rPr>
          <w:rFonts w:ascii="仿宋_GB2312" w:eastAsia="仿宋_GB2312"/>
          <w:sz w:val="24"/>
          <w:highlight w:val="none"/>
        </w:rPr>
      </w:pPr>
      <w:r>
        <w:rPr>
          <w:rFonts w:hint="eastAsia" w:ascii="仿宋_GB2312" w:eastAsia="仿宋_GB2312"/>
          <w:b/>
          <w:sz w:val="24"/>
          <w:highlight w:val="none"/>
        </w:rPr>
        <w:t>六、合同价款及支付方式：</w:t>
      </w:r>
    </w:p>
    <w:p>
      <w:pPr>
        <w:spacing w:line="460" w:lineRule="exact"/>
        <w:ind w:firstLine="480" w:firstLineChars="200"/>
        <w:rPr>
          <w:rFonts w:ascii="仿宋_GB2312" w:eastAsia="仿宋_GB2312"/>
          <w:sz w:val="24"/>
          <w:highlight w:val="none"/>
        </w:rPr>
      </w:pPr>
      <w:r>
        <w:rPr>
          <w:rFonts w:hint="eastAsia" w:ascii="仿宋_GB2312" w:eastAsia="仿宋_GB2312"/>
          <w:sz w:val="24"/>
          <w:highlight w:val="none"/>
        </w:rPr>
        <w:t>1、合同总价金额（人民币大写） 元。</w:t>
      </w:r>
    </w:p>
    <w:p>
      <w:pPr>
        <w:spacing w:line="400" w:lineRule="exact"/>
        <w:ind w:firstLine="470" w:firstLineChars="196"/>
        <w:rPr>
          <w:rFonts w:ascii="仿宋_GB2312" w:hAnsi="宋体" w:eastAsia="仿宋_GB2312"/>
          <w:b/>
          <w:bCs/>
          <w:color w:val="000000"/>
          <w:sz w:val="24"/>
          <w:highlight w:val="none"/>
        </w:rPr>
      </w:pPr>
      <w:r>
        <w:rPr>
          <w:rFonts w:hint="eastAsia" w:ascii="仿宋_GB2312" w:eastAsia="仿宋_GB2312"/>
          <w:sz w:val="24"/>
          <w:szCs w:val="24"/>
          <w:highlight w:val="none"/>
        </w:rPr>
        <w:t>2、付款方式：</w:t>
      </w:r>
    </w:p>
    <w:p>
      <w:pPr>
        <w:spacing w:line="460" w:lineRule="exact"/>
        <w:ind w:firstLine="482" w:firstLineChars="200"/>
        <w:rPr>
          <w:rFonts w:ascii="仿宋_GB2312" w:eastAsia="仿宋_GB2312"/>
          <w:b/>
          <w:sz w:val="24"/>
          <w:highlight w:val="none"/>
        </w:rPr>
      </w:pPr>
      <w:r>
        <w:rPr>
          <w:rFonts w:hint="eastAsia" w:ascii="仿宋_GB2312" w:eastAsia="仿宋_GB2312"/>
          <w:b/>
          <w:sz w:val="24"/>
          <w:highlight w:val="none"/>
        </w:rPr>
        <w:t>七、双方责任</w:t>
      </w:r>
    </w:p>
    <w:p>
      <w:pPr>
        <w:spacing w:line="460" w:lineRule="exact"/>
        <w:ind w:firstLine="480" w:firstLineChars="200"/>
        <w:rPr>
          <w:rFonts w:ascii="仿宋_GB2312" w:eastAsia="仿宋_GB2312"/>
          <w:sz w:val="24"/>
          <w:highlight w:val="none"/>
        </w:rPr>
      </w:pPr>
      <w:r>
        <w:rPr>
          <w:rFonts w:hint="eastAsia" w:ascii="仿宋_GB2312" w:eastAsia="仿宋_GB2312"/>
          <w:sz w:val="24"/>
          <w:highlight w:val="none"/>
        </w:rPr>
        <w:t>甲方责任：</w:t>
      </w:r>
    </w:p>
    <w:p>
      <w:pPr>
        <w:spacing w:line="460" w:lineRule="exact"/>
        <w:ind w:firstLine="480" w:firstLineChars="200"/>
        <w:rPr>
          <w:rFonts w:ascii="仿宋_GB2312" w:eastAsia="仿宋_GB2312"/>
          <w:sz w:val="24"/>
          <w:highlight w:val="none"/>
        </w:rPr>
      </w:pPr>
      <w:r>
        <w:rPr>
          <w:rFonts w:hint="eastAsia" w:ascii="仿宋_GB2312" w:eastAsia="仿宋_GB2312"/>
          <w:sz w:val="24"/>
          <w:highlight w:val="none"/>
        </w:rPr>
        <w:t>1、根据考核情况支付相应的服务费用。</w:t>
      </w:r>
    </w:p>
    <w:p>
      <w:pPr>
        <w:spacing w:line="460" w:lineRule="exact"/>
        <w:ind w:firstLine="480" w:firstLineChars="200"/>
        <w:rPr>
          <w:rFonts w:ascii="仿宋_GB2312" w:eastAsia="仿宋_GB2312"/>
          <w:sz w:val="24"/>
          <w:highlight w:val="none"/>
        </w:rPr>
      </w:pPr>
      <w:r>
        <w:rPr>
          <w:rFonts w:hint="eastAsia" w:ascii="仿宋_GB2312" w:eastAsia="仿宋_GB2312"/>
          <w:sz w:val="24"/>
          <w:highlight w:val="none"/>
        </w:rPr>
        <w:t>2、检查、监督乙方服务工作的实施及制度的执行情况。</w:t>
      </w:r>
    </w:p>
    <w:p>
      <w:pPr>
        <w:spacing w:line="460" w:lineRule="exact"/>
        <w:ind w:firstLine="480" w:firstLineChars="200"/>
        <w:rPr>
          <w:rFonts w:ascii="仿宋_GB2312" w:eastAsia="仿宋_GB2312"/>
          <w:sz w:val="24"/>
          <w:highlight w:val="none"/>
        </w:rPr>
      </w:pPr>
      <w:r>
        <w:rPr>
          <w:rFonts w:hint="eastAsia" w:ascii="仿宋_GB2312" w:eastAsia="仿宋_GB2312"/>
          <w:sz w:val="24"/>
          <w:highlight w:val="none"/>
        </w:rPr>
        <w:t>3、按招标文件要求提供相应的设施设备。</w:t>
      </w:r>
    </w:p>
    <w:p>
      <w:pPr>
        <w:spacing w:line="460" w:lineRule="exact"/>
        <w:ind w:firstLine="480" w:firstLineChars="200"/>
        <w:rPr>
          <w:rFonts w:ascii="仿宋_GB2312" w:hAnsi="宋体" w:eastAsia="仿宋_GB2312" w:cs="宋体"/>
          <w:kern w:val="0"/>
          <w:sz w:val="24"/>
          <w:highlight w:val="none"/>
          <w:lang w:val="zh-CN"/>
        </w:rPr>
      </w:pPr>
      <w:r>
        <w:rPr>
          <w:rFonts w:hint="eastAsia" w:ascii="仿宋_GB2312" w:eastAsia="仿宋_GB2312"/>
          <w:sz w:val="24"/>
          <w:highlight w:val="none"/>
        </w:rPr>
        <w:t>4、</w:t>
      </w:r>
      <w:r>
        <w:rPr>
          <w:rFonts w:hint="eastAsia" w:ascii="仿宋_GB2312" w:hAnsi="宋体" w:eastAsia="仿宋_GB2312" w:cs="宋体"/>
          <w:kern w:val="0"/>
          <w:sz w:val="24"/>
          <w:highlight w:val="none"/>
          <w:lang w:val="zh-CN"/>
        </w:rPr>
        <w:t>如遇突发事件，乙方将配合甲方要求服务。</w:t>
      </w:r>
    </w:p>
    <w:p>
      <w:pPr>
        <w:spacing w:line="460" w:lineRule="exact"/>
        <w:ind w:firstLine="480" w:firstLineChars="200"/>
        <w:rPr>
          <w:rFonts w:ascii="仿宋_GB2312" w:hAnsi="宋体" w:eastAsia="仿宋_GB2312" w:cs="宋体"/>
          <w:kern w:val="0"/>
          <w:sz w:val="24"/>
          <w:highlight w:val="none"/>
          <w:lang w:val="zh-CN"/>
        </w:rPr>
      </w:pPr>
      <w:r>
        <w:rPr>
          <w:rFonts w:hint="eastAsia" w:ascii="仿宋_GB2312" w:hAnsi="宋体" w:eastAsia="仿宋_GB2312" w:cs="宋体"/>
          <w:kern w:val="0"/>
          <w:sz w:val="24"/>
          <w:highlight w:val="none"/>
          <w:lang w:val="zh-CN"/>
        </w:rPr>
        <w:t>5、其他：</w:t>
      </w:r>
    </w:p>
    <w:p>
      <w:pPr>
        <w:spacing w:line="460" w:lineRule="exact"/>
        <w:ind w:firstLine="480" w:firstLineChars="200"/>
        <w:rPr>
          <w:rFonts w:ascii="仿宋_GB2312" w:eastAsia="仿宋_GB2312"/>
          <w:sz w:val="24"/>
          <w:highlight w:val="none"/>
        </w:rPr>
      </w:pPr>
      <w:r>
        <w:rPr>
          <w:rFonts w:hint="eastAsia" w:ascii="仿宋_GB2312" w:eastAsia="仿宋_GB2312"/>
          <w:sz w:val="24"/>
          <w:highlight w:val="none"/>
        </w:rPr>
        <w:t>乙方责任：</w:t>
      </w:r>
    </w:p>
    <w:p>
      <w:pPr>
        <w:adjustRightInd w:val="0"/>
        <w:snapToGrid w:val="0"/>
        <w:spacing w:line="460" w:lineRule="exact"/>
        <w:ind w:firstLine="480" w:firstLineChars="200"/>
        <w:rPr>
          <w:rFonts w:ascii="仿宋_GB2312" w:hAnsi="宋体" w:eastAsia="仿宋_GB2312" w:cs="宋体-18030"/>
          <w:snapToGrid w:val="0"/>
          <w:color w:val="000000"/>
          <w:kern w:val="0"/>
          <w:sz w:val="24"/>
          <w:highlight w:val="none"/>
        </w:rPr>
      </w:pPr>
      <w:r>
        <w:rPr>
          <w:rFonts w:hint="eastAsia" w:ascii="仿宋_GB2312" w:hAnsi="宋体" w:eastAsia="仿宋_GB2312" w:cs="宋体-18030"/>
          <w:snapToGrid w:val="0"/>
          <w:color w:val="000000"/>
          <w:kern w:val="0"/>
          <w:sz w:val="24"/>
          <w:highlight w:val="none"/>
        </w:rPr>
        <w:t>1、根据有关法律法规、投标文件及本合同的约定，制订服务管理制度、方案，根据甲方核定的服务管理制度、方案自主开展日常管理服务活动。</w:t>
      </w:r>
    </w:p>
    <w:p>
      <w:pPr>
        <w:adjustRightInd w:val="0"/>
        <w:snapToGrid w:val="0"/>
        <w:spacing w:line="460" w:lineRule="exact"/>
        <w:ind w:firstLine="480" w:firstLineChars="200"/>
        <w:rPr>
          <w:rFonts w:ascii="仿宋_GB2312" w:hAnsi="宋体" w:eastAsia="仿宋_GB2312" w:cs="宋体-18030"/>
          <w:snapToGrid w:val="0"/>
          <w:color w:val="000000"/>
          <w:kern w:val="0"/>
          <w:sz w:val="24"/>
          <w:highlight w:val="none"/>
        </w:rPr>
      </w:pPr>
      <w:r>
        <w:rPr>
          <w:rFonts w:hint="eastAsia" w:ascii="仿宋_GB2312" w:hAnsi="宋体" w:eastAsia="仿宋_GB2312" w:cs="宋体-18030"/>
          <w:snapToGrid w:val="0"/>
          <w:color w:val="000000"/>
          <w:kern w:val="0"/>
          <w:sz w:val="24"/>
          <w:highlight w:val="none"/>
        </w:rPr>
        <w:t>2、按甲方要求及时如实向甲方报告服务实施情况。</w:t>
      </w:r>
    </w:p>
    <w:p>
      <w:pPr>
        <w:adjustRightInd w:val="0"/>
        <w:snapToGrid w:val="0"/>
        <w:spacing w:line="460" w:lineRule="exact"/>
        <w:ind w:firstLine="480" w:firstLineChars="200"/>
        <w:rPr>
          <w:rFonts w:ascii="仿宋_GB2312" w:hAnsi="宋体" w:eastAsia="仿宋_GB2312" w:cs="宋体-18030"/>
          <w:snapToGrid w:val="0"/>
          <w:color w:val="000000"/>
          <w:kern w:val="0"/>
          <w:sz w:val="24"/>
          <w:highlight w:val="none"/>
        </w:rPr>
      </w:pPr>
      <w:r>
        <w:rPr>
          <w:rFonts w:hint="eastAsia" w:ascii="仿宋_GB2312" w:hAnsi="宋体" w:eastAsia="仿宋_GB2312" w:cs="宋体-18030"/>
          <w:snapToGrid w:val="0"/>
          <w:color w:val="000000"/>
          <w:kern w:val="0"/>
          <w:sz w:val="24"/>
          <w:highlight w:val="none"/>
        </w:rPr>
        <w:t>3、因乙方在管理中的过错或违反本合同的约定进行管理造成甲方或第三人损失的，乙方应依法承担赔偿责任。</w:t>
      </w:r>
    </w:p>
    <w:p>
      <w:pPr>
        <w:adjustRightInd w:val="0"/>
        <w:snapToGrid w:val="0"/>
        <w:spacing w:line="460" w:lineRule="exact"/>
        <w:ind w:firstLine="480" w:firstLineChars="200"/>
        <w:rPr>
          <w:rFonts w:ascii="仿宋_GB2312" w:hAnsi="宋体" w:eastAsia="仿宋_GB2312" w:cs="宋体-18030"/>
          <w:snapToGrid w:val="0"/>
          <w:color w:val="000000"/>
          <w:kern w:val="0"/>
          <w:sz w:val="24"/>
          <w:highlight w:val="none"/>
        </w:rPr>
      </w:pPr>
      <w:r>
        <w:rPr>
          <w:rFonts w:hint="eastAsia" w:ascii="仿宋_GB2312" w:hAnsi="宋体" w:eastAsia="仿宋_GB2312" w:cs="宋体-18030"/>
          <w:snapToGrid w:val="0"/>
          <w:color w:val="000000"/>
          <w:kern w:val="0"/>
          <w:sz w:val="24"/>
          <w:highlight w:val="none"/>
        </w:rPr>
        <w:t>4、乙方工作人员上岗穿着由甲方确可的制服及甲方许可的装饰物品，费用和制作均由乙方负担。</w:t>
      </w:r>
    </w:p>
    <w:p>
      <w:pPr>
        <w:adjustRightInd w:val="0"/>
        <w:snapToGrid w:val="0"/>
        <w:spacing w:line="460" w:lineRule="exact"/>
        <w:ind w:firstLine="480" w:firstLineChars="200"/>
        <w:rPr>
          <w:rFonts w:ascii="仿宋_GB2312" w:hAnsi="宋体" w:eastAsia="仿宋_GB2312" w:cs="宋体-18030"/>
          <w:snapToGrid w:val="0"/>
          <w:color w:val="000000"/>
          <w:kern w:val="0"/>
          <w:sz w:val="24"/>
          <w:highlight w:val="none"/>
        </w:rPr>
      </w:pPr>
      <w:r>
        <w:rPr>
          <w:rFonts w:hint="eastAsia" w:ascii="仿宋_GB2312" w:hAnsi="宋体" w:eastAsia="仿宋_GB2312" w:cs="宋体-18030"/>
          <w:snapToGrid w:val="0"/>
          <w:color w:val="000000"/>
          <w:kern w:val="0"/>
          <w:sz w:val="24"/>
          <w:highlight w:val="none"/>
        </w:rPr>
        <w:t>5、其他：</w:t>
      </w:r>
    </w:p>
    <w:p>
      <w:pPr>
        <w:adjustRightInd w:val="0"/>
        <w:snapToGrid w:val="0"/>
        <w:spacing w:line="460" w:lineRule="exact"/>
        <w:ind w:firstLine="482" w:firstLineChars="200"/>
        <w:rPr>
          <w:rFonts w:ascii="仿宋_GB2312" w:hAnsi="宋体" w:eastAsia="仿宋_GB2312" w:cs="宋体-18030"/>
          <w:b/>
          <w:snapToGrid w:val="0"/>
          <w:color w:val="000000"/>
          <w:kern w:val="0"/>
          <w:sz w:val="24"/>
          <w:highlight w:val="none"/>
        </w:rPr>
      </w:pPr>
      <w:r>
        <w:rPr>
          <w:rFonts w:hint="eastAsia" w:ascii="仿宋_GB2312" w:eastAsia="仿宋_GB2312"/>
          <w:b/>
          <w:sz w:val="24"/>
          <w:highlight w:val="none"/>
        </w:rPr>
        <w:t>八、</w:t>
      </w:r>
      <w:r>
        <w:rPr>
          <w:rFonts w:hint="eastAsia" w:ascii="仿宋_GB2312" w:hAnsi="宋体" w:eastAsia="仿宋_GB2312" w:cs="宋体-18030"/>
          <w:b/>
          <w:snapToGrid w:val="0"/>
          <w:color w:val="000000"/>
          <w:kern w:val="0"/>
          <w:sz w:val="24"/>
          <w:highlight w:val="none"/>
        </w:rPr>
        <w:t>保险</w:t>
      </w:r>
    </w:p>
    <w:p>
      <w:pPr>
        <w:spacing w:line="460" w:lineRule="exact"/>
        <w:ind w:firstLine="556"/>
        <w:rPr>
          <w:rFonts w:ascii="仿宋_GB2312" w:hAnsi="宋体" w:eastAsia="仿宋_GB2312" w:cs="宋体-18030"/>
          <w:snapToGrid w:val="0"/>
          <w:color w:val="000000"/>
          <w:kern w:val="0"/>
          <w:sz w:val="24"/>
          <w:highlight w:val="none"/>
        </w:rPr>
      </w:pPr>
      <w:r>
        <w:rPr>
          <w:rFonts w:hint="eastAsia" w:ascii="仿宋_GB2312" w:hAnsi="宋体" w:eastAsia="仿宋_GB2312" w:cs="宋体-18030"/>
          <w:snapToGrid w:val="0"/>
          <w:color w:val="000000"/>
          <w:kern w:val="0"/>
          <w:sz w:val="24"/>
          <w:highlight w:val="none"/>
        </w:rPr>
        <w:t>1、第三者责任保险</w:t>
      </w:r>
    </w:p>
    <w:p>
      <w:pPr>
        <w:spacing w:line="460" w:lineRule="exact"/>
        <w:ind w:firstLine="556"/>
        <w:rPr>
          <w:rFonts w:ascii="仿宋_GB2312" w:hAnsi="宋体" w:eastAsia="仿宋_GB2312" w:cs="宋体-18030"/>
          <w:snapToGrid w:val="0"/>
          <w:color w:val="000000"/>
          <w:kern w:val="0"/>
          <w:sz w:val="24"/>
          <w:highlight w:val="none"/>
        </w:rPr>
      </w:pPr>
      <w:r>
        <w:rPr>
          <w:rFonts w:hint="eastAsia" w:ascii="仿宋_GB2312" w:hAnsi="宋体" w:eastAsia="仿宋_GB2312" w:cs="宋体-18030"/>
          <w:snapToGrid w:val="0"/>
          <w:color w:val="000000"/>
          <w:kern w:val="0"/>
          <w:sz w:val="24"/>
          <w:highlight w:val="none"/>
        </w:rPr>
        <w:t>乙方应对乙方人员以及第三方全权负责(如乙方应投保第三责任险)，在乙方的责任区内由于乙方原因导致自己员工或第三方的事故由乙方负责，甲方不承担任何责任。</w:t>
      </w:r>
    </w:p>
    <w:p>
      <w:pPr>
        <w:spacing w:line="460" w:lineRule="exact"/>
        <w:ind w:firstLine="556"/>
        <w:rPr>
          <w:rFonts w:ascii="仿宋_GB2312" w:hAnsi="宋体" w:eastAsia="仿宋_GB2312" w:cs="宋体-18030"/>
          <w:snapToGrid w:val="0"/>
          <w:color w:val="000000"/>
          <w:kern w:val="0"/>
          <w:sz w:val="24"/>
          <w:highlight w:val="none"/>
        </w:rPr>
      </w:pPr>
      <w:r>
        <w:rPr>
          <w:rFonts w:hint="eastAsia" w:ascii="仿宋_GB2312" w:hAnsi="宋体" w:eastAsia="仿宋_GB2312" w:cs="宋体-18030"/>
          <w:snapToGrid w:val="0"/>
          <w:color w:val="000000"/>
          <w:kern w:val="0"/>
          <w:sz w:val="24"/>
          <w:highlight w:val="none"/>
        </w:rPr>
        <w:t>2、员工人身意外</w:t>
      </w:r>
    </w:p>
    <w:p>
      <w:pPr>
        <w:spacing w:line="460" w:lineRule="exact"/>
        <w:ind w:firstLine="556"/>
        <w:rPr>
          <w:rFonts w:ascii="仿宋_GB2312" w:hAnsi="宋体" w:eastAsia="仿宋_GB2312" w:cs="宋体-18030"/>
          <w:snapToGrid w:val="0"/>
          <w:color w:val="000000"/>
          <w:kern w:val="0"/>
          <w:sz w:val="24"/>
          <w:highlight w:val="none"/>
        </w:rPr>
      </w:pPr>
      <w:r>
        <w:rPr>
          <w:rFonts w:hint="eastAsia" w:ascii="仿宋_GB2312" w:hAnsi="宋体" w:eastAsia="仿宋_GB2312" w:cs="宋体-18030"/>
          <w:snapToGrid w:val="0"/>
          <w:color w:val="000000"/>
          <w:kern w:val="0"/>
          <w:sz w:val="24"/>
          <w:highlight w:val="none"/>
        </w:rPr>
        <w:t>在服务期内，乙方所有人员的事故由乙方自行全权负责(如乙方应对其员工投保人身意外险)，以保证甲方在乙方工作人员索赔时不受任何责任的约束。</w:t>
      </w:r>
    </w:p>
    <w:p>
      <w:pPr>
        <w:spacing w:line="460" w:lineRule="exact"/>
        <w:ind w:firstLine="535" w:firstLineChars="223"/>
        <w:rPr>
          <w:rFonts w:ascii="仿宋_GB2312" w:hAnsi="宋体" w:eastAsia="仿宋_GB2312" w:cs="宋体-18030"/>
          <w:snapToGrid w:val="0"/>
          <w:color w:val="000000"/>
          <w:kern w:val="0"/>
          <w:sz w:val="24"/>
          <w:highlight w:val="none"/>
        </w:rPr>
      </w:pPr>
      <w:r>
        <w:rPr>
          <w:rFonts w:hint="eastAsia" w:ascii="仿宋_GB2312" w:hAnsi="宋体" w:eastAsia="仿宋_GB2312" w:cs="宋体-18030"/>
          <w:snapToGrid w:val="0"/>
          <w:color w:val="000000"/>
          <w:kern w:val="0"/>
          <w:sz w:val="24"/>
          <w:highlight w:val="none"/>
        </w:rPr>
        <w:t>3、其他保险及费用</w:t>
      </w:r>
    </w:p>
    <w:p>
      <w:pPr>
        <w:spacing w:line="460" w:lineRule="exact"/>
        <w:ind w:firstLine="480" w:firstLineChars="200"/>
        <w:rPr>
          <w:rFonts w:ascii="仿宋_GB2312" w:hAnsi="宋体" w:eastAsia="仿宋_GB2312" w:cs="宋体-18030"/>
          <w:snapToGrid w:val="0"/>
          <w:color w:val="000000"/>
          <w:kern w:val="0"/>
          <w:sz w:val="24"/>
          <w:highlight w:val="none"/>
        </w:rPr>
      </w:pPr>
      <w:r>
        <w:rPr>
          <w:rFonts w:hint="eastAsia" w:ascii="仿宋_GB2312" w:hAnsi="宋体" w:eastAsia="仿宋_GB2312" w:cs="宋体-18030"/>
          <w:snapToGrid w:val="0"/>
          <w:color w:val="000000"/>
          <w:kern w:val="0"/>
          <w:sz w:val="24"/>
          <w:highlight w:val="none"/>
        </w:rPr>
        <w:t>乙方须按《劳动合同法》和政府有关各部门规定为全体服务人员交纳所有相关的社会保险及其他相关费用。乙方对此全权负责。</w:t>
      </w:r>
    </w:p>
    <w:p>
      <w:pPr>
        <w:spacing w:line="460" w:lineRule="exact"/>
        <w:ind w:firstLine="482" w:firstLineChars="200"/>
        <w:rPr>
          <w:rFonts w:ascii="仿宋_GB2312" w:hAnsi="宋体" w:eastAsia="仿宋_GB2312" w:cs="宋体-18030"/>
          <w:snapToGrid w:val="0"/>
          <w:color w:val="000000"/>
          <w:kern w:val="0"/>
          <w:sz w:val="24"/>
          <w:highlight w:val="none"/>
        </w:rPr>
      </w:pPr>
      <w:r>
        <w:rPr>
          <w:rFonts w:hint="eastAsia" w:ascii="仿宋_GB2312" w:eastAsia="仿宋_GB2312"/>
          <w:b/>
          <w:sz w:val="24"/>
          <w:highlight w:val="none"/>
        </w:rPr>
        <w:t>九、考核标准：</w:t>
      </w:r>
    </w:p>
    <w:p>
      <w:pPr>
        <w:spacing w:line="460" w:lineRule="exact"/>
        <w:ind w:firstLine="495"/>
        <w:rPr>
          <w:rFonts w:ascii="仿宋_GB2312" w:eastAsia="仿宋_GB2312"/>
          <w:b/>
          <w:sz w:val="24"/>
          <w:highlight w:val="none"/>
        </w:rPr>
      </w:pPr>
      <w:r>
        <w:rPr>
          <w:rFonts w:hint="eastAsia" w:ascii="仿宋_GB2312" w:eastAsia="仿宋_GB2312"/>
          <w:b/>
          <w:sz w:val="24"/>
          <w:highlight w:val="none"/>
        </w:rPr>
        <w:t>十、其他：</w:t>
      </w:r>
    </w:p>
    <w:p>
      <w:pPr>
        <w:spacing w:line="460" w:lineRule="exact"/>
        <w:ind w:firstLine="495"/>
        <w:rPr>
          <w:rFonts w:ascii="仿宋_GB2312" w:eastAsia="仿宋_GB2312"/>
          <w:b/>
          <w:sz w:val="24"/>
          <w:highlight w:val="none"/>
        </w:rPr>
      </w:pPr>
      <w:r>
        <w:rPr>
          <w:rFonts w:hint="eastAsia" w:ascii="仿宋_GB2312" w:hAnsi="宋体" w:eastAsia="仿宋_GB2312"/>
          <w:color w:val="000000"/>
          <w:sz w:val="24"/>
          <w:highlight w:val="none"/>
        </w:rPr>
        <w:t>1、</w:t>
      </w:r>
      <w:r>
        <w:rPr>
          <w:rFonts w:hint="eastAsia" w:ascii="仿宋_GB2312" w:hAnsi="宋体" w:eastAsia="仿宋_GB2312" w:cs="仿宋_GB2312"/>
          <w:kern w:val="0"/>
          <w:sz w:val="24"/>
          <w:szCs w:val="24"/>
          <w:highlight w:val="none"/>
          <w:lang w:val="zh-CN"/>
        </w:rPr>
        <w:t>参加本次政府采购活动前五年内，我司及法定代表人、主要管理人员在生产经营活动中无重大违法犯罪记录。</w:t>
      </w:r>
    </w:p>
    <w:p>
      <w:pPr>
        <w:spacing w:line="460" w:lineRule="exact"/>
        <w:ind w:firstLine="495"/>
        <w:rPr>
          <w:rFonts w:ascii="仿宋_GB2312" w:eastAsia="仿宋_GB2312"/>
          <w:b/>
          <w:sz w:val="24"/>
          <w:highlight w:val="none"/>
        </w:rPr>
      </w:pPr>
      <w:r>
        <w:rPr>
          <w:rFonts w:hint="eastAsia" w:ascii="仿宋_GB2312" w:hAnsi="宋体" w:eastAsia="仿宋_GB2312"/>
          <w:color w:val="000000"/>
          <w:sz w:val="24"/>
          <w:highlight w:val="none"/>
        </w:rPr>
        <w:t>2、</w:t>
      </w:r>
      <w:r>
        <w:rPr>
          <w:rFonts w:hint="eastAsia" w:ascii="仿宋_GB2312" w:hAnsi="宋体" w:eastAsia="仿宋_GB2312" w:cs="仿宋_GB2312"/>
          <w:kern w:val="0"/>
          <w:sz w:val="24"/>
          <w:szCs w:val="24"/>
          <w:highlight w:val="none"/>
          <w:lang w:val="zh-CN"/>
        </w:rPr>
        <w:t>参加本次政府采购活动前五年内，我司及法定代表人、主要管理人员无涉嫌行贿犯罪等违法行为正被相关部门调查的。</w:t>
      </w:r>
    </w:p>
    <w:p>
      <w:pPr>
        <w:spacing w:line="460" w:lineRule="exact"/>
        <w:ind w:firstLine="530" w:firstLineChars="220"/>
        <w:rPr>
          <w:rFonts w:ascii="仿宋_GB2312" w:hAnsi="宋体" w:eastAsia="仿宋_GB2312"/>
          <w:b/>
          <w:color w:val="000000"/>
          <w:sz w:val="24"/>
          <w:highlight w:val="none"/>
        </w:rPr>
      </w:pPr>
      <w:r>
        <w:rPr>
          <w:rFonts w:hint="eastAsia" w:ascii="仿宋_GB2312" w:eastAsia="仿宋_GB2312" w:cs="仿宋_GB2312"/>
          <w:b/>
          <w:kern w:val="0"/>
          <w:sz w:val="24"/>
          <w:highlight w:val="none"/>
          <w:lang w:val="zh-CN"/>
        </w:rPr>
        <w:t>十一、</w:t>
      </w:r>
      <w:r>
        <w:rPr>
          <w:rFonts w:hint="eastAsia" w:ascii="仿宋_GB2312" w:hAnsi="宋体" w:eastAsia="仿宋_GB2312"/>
          <w:b/>
          <w:color w:val="000000"/>
          <w:sz w:val="24"/>
          <w:highlight w:val="none"/>
        </w:rPr>
        <w:t>争议的解决</w:t>
      </w:r>
    </w:p>
    <w:p>
      <w:pPr>
        <w:spacing w:line="460" w:lineRule="exact"/>
        <w:ind w:firstLine="480"/>
        <w:rPr>
          <w:rFonts w:ascii="仿宋_GB2312" w:hAnsi="宋体" w:eastAsia="仿宋_GB2312"/>
          <w:color w:val="000000"/>
          <w:sz w:val="24"/>
          <w:highlight w:val="none"/>
        </w:rPr>
      </w:pPr>
      <w:r>
        <w:rPr>
          <w:rFonts w:hint="eastAsia" w:ascii="仿宋_GB2312" w:hAnsi="宋体" w:eastAsia="仿宋_GB2312"/>
          <w:color w:val="000000"/>
          <w:sz w:val="24"/>
          <w:highlight w:val="none"/>
        </w:rPr>
        <w:t>1、双方应通过友好协商，解决在执行本政府采购合同过程中所发生的或与本政府采购合同有关的一切争端。如从协商开始</w:t>
      </w:r>
      <w:r>
        <w:rPr>
          <w:rFonts w:hint="eastAsia" w:ascii="仿宋_GB2312" w:eastAsia="仿宋_GB2312"/>
          <w:color w:val="000000"/>
          <w:sz w:val="24"/>
          <w:highlight w:val="none"/>
          <w:u w:val="single"/>
        </w:rPr>
        <w:t xml:space="preserve"> 30 </w:t>
      </w:r>
      <w:r>
        <w:rPr>
          <w:rFonts w:hint="eastAsia" w:ascii="仿宋_GB2312" w:hAnsi="宋体" w:eastAsia="仿宋_GB2312"/>
          <w:color w:val="000000"/>
          <w:sz w:val="24"/>
          <w:highlight w:val="none"/>
        </w:rPr>
        <w:t>日内仍不能解决，可向有关政府采购管理部门提请调解。</w:t>
      </w:r>
    </w:p>
    <w:p>
      <w:pPr>
        <w:spacing w:line="460" w:lineRule="exact"/>
        <w:ind w:firstLine="480"/>
        <w:rPr>
          <w:rFonts w:ascii="仿宋_GB2312" w:hAnsi="宋体" w:eastAsia="仿宋_GB2312"/>
          <w:color w:val="000000"/>
          <w:sz w:val="24"/>
          <w:highlight w:val="none"/>
        </w:rPr>
      </w:pPr>
      <w:r>
        <w:rPr>
          <w:rFonts w:hint="eastAsia" w:ascii="仿宋_GB2312" w:hAnsi="宋体" w:eastAsia="仿宋_GB2312"/>
          <w:color w:val="000000"/>
          <w:sz w:val="24"/>
          <w:highlight w:val="none"/>
        </w:rPr>
        <w:t>2、如果调解不成，双方中的任何一方可向</w:t>
      </w:r>
      <w:r>
        <w:rPr>
          <w:rFonts w:hint="eastAsia" w:ascii="仿宋_GB2312" w:eastAsia="仿宋_GB2312"/>
          <w:color w:val="000000"/>
          <w:sz w:val="24"/>
          <w:highlight w:val="none"/>
          <w:u w:val="single"/>
        </w:rPr>
        <w:t xml:space="preserve">   江干区         </w:t>
      </w:r>
      <w:r>
        <w:rPr>
          <w:rFonts w:hint="eastAsia" w:ascii="仿宋_GB2312" w:hAnsi="宋体" w:eastAsia="仿宋_GB2312"/>
          <w:color w:val="000000"/>
          <w:sz w:val="24"/>
          <w:highlight w:val="none"/>
        </w:rPr>
        <w:t>仲裁委员会提请仲裁，或者向合同签订地的人民法院提起诉讼。</w:t>
      </w:r>
    </w:p>
    <w:p>
      <w:pPr>
        <w:spacing w:line="460" w:lineRule="exact"/>
        <w:ind w:firstLine="480"/>
        <w:rPr>
          <w:rFonts w:ascii="仿宋_GB2312" w:hAnsi="宋体" w:eastAsia="仿宋_GB2312"/>
          <w:color w:val="000000"/>
          <w:sz w:val="24"/>
          <w:highlight w:val="none"/>
        </w:rPr>
      </w:pPr>
      <w:r>
        <w:rPr>
          <w:rFonts w:hint="eastAsia" w:ascii="仿宋_GB2312" w:hAnsi="宋体" w:eastAsia="仿宋_GB2312"/>
          <w:color w:val="000000"/>
          <w:sz w:val="24"/>
          <w:highlight w:val="none"/>
        </w:rPr>
        <w:t>3、因合同部分履行引发诉讼的，在诉讼期间，除正在进行诉讼的部分外，本合同的其它部分应继续执行。</w:t>
      </w:r>
    </w:p>
    <w:p>
      <w:pPr>
        <w:spacing w:line="460" w:lineRule="exact"/>
        <w:ind w:firstLine="480" w:firstLineChars="200"/>
        <w:rPr>
          <w:rFonts w:ascii="仿宋_GB2312" w:eastAsia="仿宋_GB2312"/>
          <w:color w:val="000000"/>
          <w:sz w:val="24"/>
          <w:highlight w:val="none"/>
        </w:rPr>
      </w:pPr>
      <w:r>
        <w:rPr>
          <w:rFonts w:hint="eastAsia" w:ascii="仿宋_GB2312" w:eastAsia="仿宋_GB2312"/>
          <w:color w:val="000000"/>
          <w:sz w:val="24"/>
          <w:highlight w:val="none"/>
        </w:rPr>
        <w:t>4、本合同按照中华人民共和国现行法律、法规进行解释。</w:t>
      </w:r>
    </w:p>
    <w:p>
      <w:pPr>
        <w:spacing w:line="460" w:lineRule="exact"/>
        <w:ind w:firstLine="480"/>
        <w:rPr>
          <w:rFonts w:ascii="仿宋_GB2312" w:hAnsi="宋体" w:eastAsia="仿宋_GB2312"/>
          <w:b/>
          <w:color w:val="000000"/>
          <w:sz w:val="24"/>
          <w:highlight w:val="none"/>
        </w:rPr>
      </w:pPr>
      <w:r>
        <w:rPr>
          <w:rFonts w:hint="eastAsia" w:ascii="仿宋_GB2312" w:hAnsi="宋体" w:eastAsia="仿宋_GB2312"/>
          <w:b/>
          <w:color w:val="000000"/>
          <w:sz w:val="24"/>
          <w:highlight w:val="none"/>
        </w:rPr>
        <w:t>十二、合同的终止</w:t>
      </w:r>
    </w:p>
    <w:p>
      <w:pPr>
        <w:spacing w:line="460" w:lineRule="exact"/>
        <w:ind w:firstLine="480" w:firstLineChars="200"/>
        <w:rPr>
          <w:rFonts w:ascii="仿宋_GB2312" w:hAnsi="宋体" w:eastAsia="仿宋_GB2312"/>
          <w:color w:val="000000"/>
          <w:sz w:val="24"/>
          <w:highlight w:val="none"/>
        </w:rPr>
      </w:pPr>
      <w:r>
        <w:rPr>
          <w:rFonts w:hint="eastAsia" w:ascii="仿宋_GB2312" w:hAnsi="宋体" w:eastAsia="仿宋_GB2312"/>
          <w:color w:val="000000"/>
          <w:sz w:val="24"/>
          <w:highlight w:val="none"/>
        </w:rPr>
        <w:t>1、若乙方因破产或经营不善导致合同履行不能，乙方应书面通知甲方终止合同；在甲方知情而未收到乙方终止合同书面通知时，甲方可在任何时候书面通知乙方终止合同。</w:t>
      </w:r>
    </w:p>
    <w:p>
      <w:pPr>
        <w:spacing w:line="460" w:lineRule="exact"/>
        <w:ind w:firstLine="480"/>
        <w:rPr>
          <w:rFonts w:ascii="仿宋_GB2312" w:hAnsi="宋体" w:eastAsia="仿宋_GB2312"/>
          <w:color w:val="000000"/>
          <w:sz w:val="24"/>
          <w:highlight w:val="none"/>
        </w:rPr>
      </w:pPr>
      <w:r>
        <w:rPr>
          <w:rFonts w:hint="eastAsia" w:ascii="仿宋_GB2312" w:hAnsi="宋体" w:eastAsia="仿宋_GB2312"/>
          <w:color w:val="000000"/>
          <w:sz w:val="24"/>
          <w:highlight w:val="none"/>
        </w:rPr>
        <w:t>2、因不可抗力导致合同履行不能。</w:t>
      </w:r>
    </w:p>
    <w:p>
      <w:pPr>
        <w:spacing w:line="460" w:lineRule="exact"/>
        <w:ind w:firstLine="480"/>
        <w:rPr>
          <w:rFonts w:ascii="仿宋_GB2312" w:eastAsia="仿宋_GB2312"/>
          <w:b/>
          <w:color w:val="000000"/>
          <w:sz w:val="24"/>
          <w:highlight w:val="none"/>
        </w:rPr>
      </w:pPr>
      <w:r>
        <w:rPr>
          <w:rFonts w:hint="eastAsia" w:ascii="仿宋_GB2312" w:hAnsi="宋体" w:eastAsia="仿宋_GB2312"/>
          <w:b/>
          <w:color w:val="000000"/>
          <w:sz w:val="24"/>
          <w:highlight w:val="none"/>
        </w:rPr>
        <w:t>十三、合同的生效</w:t>
      </w:r>
    </w:p>
    <w:p>
      <w:pPr>
        <w:spacing w:line="460" w:lineRule="exact"/>
        <w:ind w:firstLine="480" w:firstLineChars="200"/>
        <w:rPr>
          <w:rFonts w:ascii="仿宋_GB2312" w:eastAsia="仿宋_GB2312"/>
          <w:color w:val="000000"/>
          <w:sz w:val="24"/>
          <w:highlight w:val="none"/>
        </w:rPr>
      </w:pPr>
      <w:r>
        <w:rPr>
          <w:rFonts w:hint="eastAsia" w:ascii="仿宋_GB2312" w:eastAsia="仿宋_GB2312"/>
          <w:color w:val="000000"/>
          <w:sz w:val="24"/>
          <w:highlight w:val="none"/>
        </w:rPr>
        <w:t>1、本合同经甲乙双方法定代表人或其委托人签字盖章，由乙方向甲方缴</w:t>
      </w:r>
      <w:r>
        <w:rPr>
          <w:rFonts w:hint="eastAsia" w:ascii="仿宋_GB2312" w:eastAsia="仿宋_GB2312"/>
          <w:sz w:val="24"/>
          <w:highlight w:val="none"/>
        </w:rPr>
        <w:t>纳履</w:t>
      </w:r>
      <w:r>
        <w:rPr>
          <w:rFonts w:hint="eastAsia" w:ascii="仿宋_GB2312" w:eastAsia="仿宋_GB2312"/>
          <w:color w:val="000000"/>
          <w:sz w:val="24"/>
          <w:highlight w:val="none"/>
        </w:rPr>
        <w:t>约保证金，并由见证方见证后生效。</w:t>
      </w:r>
    </w:p>
    <w:p>
      <w:pPr>
        <w:spacing w:line="460" w:lineRule="exact"/>
        <w:ind w:firstLine="480" w:firstLineChars="200"/>
        <w:rPr>
          <w:rFonts w:ascii="仿宋_GB2312" w:eastAsia="仿宋_GB2312"/>
          <w:color w:val="000000"/>
          <w:sz w:val="24"/>
          <w:highlight w:val="none"/>
        </w:rPr>
      </w:pPr>
      <w:r>
        <w:rPr>
          <w:rFonts w:hint="eastAsia" w:ascii="仿宋_GB2312" w:eastAsia="仿宋_GB2312"/>
          <w:color w:val="000000"/>
          <w:sz w:val="24"/>
          <w:highlight w:val="none"/>
        </w:rPr>
        <w:t>2、合同履行期内甲乙双方均不得随意变更或解除合同。合同若有未尽事宜，需经双方共同协商，并由见证方见证，订立补充协议，补充协议与本合同有同等法律效力。</w:t>
      </w:r>
    </w:p>
    <w:p>
      <w:pPr>
        <w:spacing w:line="460" w:lineRule="exact"/>
        <w:ind w:firstLine="480" w:firstLineChars="200"/>
        <w:rPr>
          <w:rFonts w:ascii="仿宋_GB2312" w:eastAsia="仿宋_GB2312"/>
          <w:color w:val="000000"/>
          <w:sz w:val="24"/>
          <w:highlight w:val="none"/>
        </w:rPr>
      </w:pPr>
      <w:r>
        <w:rPr>
          <w:rFonts w:hint="eastAsia" w:ascii="仿宋_GB2312" w:eastAsia="仿宋_GB2312"/>
          <w:color w:val="000000"/>
          <w:sz w:val="24"/>
          <w:highlight w:val="none"/>
        </w:rPr>
        <w:t>3、招标文件、投标文件及评审过程中形成的文字资料、询标纪要均作为本合同的组成部分，具有同等效力。</w:t>
      </w:r>
    </w:p>
    <w:p>
      <w:pPr>
        <w:spacing w:line="460" w:lineRule="exact"/>
        <w:ind w:firstLine="480" w:firstLineChars="200"/>
        <w:rPr>
          <w:rFonts w:ascii="仿宋_GB2312" w:eastAsia="仿宋_GB2312"/>
          <w:color w:val="000000"/>
          <w:sz w:val="24"/>
          <w:highlight w:val="none"/>
        </w:rPr>
      </w:pPr>
      <w:r>
        <w:rPr>
          <w:rFonts w:hint="eastAsia" w:ascii="仿宋_GB2312" w:eastAsia="仿宋_GB2312"/>
          <w:color w:val="000000"/>
          <w:sz w:val="24"/>
          <w:highlight w:val="none"/>
        </w:rPr>
        <w:t>4、本合同一式五份，甲、乙双方各执两份，见证方执一份。</w:t>
      </w:r>
    </w:p>
    <w:p>
      <w:pPr>
        <w:spacing w:line="460" w:lineRule="exact"/>
        <w:ind w:firstLine="480" w:firstLineChars="200"/>
        <w:rPr>
          <w:rFonts w:ascii="仿宋_GB2312" w:hAnsi="宋体" w:eastAsia="仿宋_GB2312"/>
          <w:bCs/>
          <w:sz w:val="24"/>
          <w:highlight w:val="none"/>
        </w:rPr>
      </w:pPr>
    </w:p>
    <w:tbl>
      <w:tblPr>
        <w:tblStyle w:val="49"/>
        <w:tblW w:w="12780" w:type="dxa"/>
        <w:tblCellSpacing w:w="0" w:type="dxa"/>
        <w:tblInd w:w="0" w:type="dxa"/>
        <w:tblLayout w:type="fixed"/>
        <w:tblCellMar>
          <w:top w:w="0" w:type="dxa"/>
          <w:left w:w="0" w:type="dxa"/>
          <w:bottom w:w="0" w:type="dxa"/>
          <w:right w:w="0" w:type="dxa"/>
        </w:tblCellMar>
      </w:tblPr>
      <w:tblGrid>
        <w:gridCol w:w="5160"/>
        <w:gridCol w:w="7620"/>
      </w:tblGrid>
      <w:tr>
        <w:tblPrEx>
          <w:tblLayout w:type="fixed"/>
          <w:tblCellMar>
            <w:top w:w="0" w:type="dxa"/>
            <w:left w:w="0" w:type="dxa"/>
            <w:bottom w:w="0" w:type="dxa"/>
            <w:right w:w="0" w:type="dxa"/>
          </w:tblCellMar>
        </w:tblPrEx>
        <w:trPr>
          <w:trHeight w:val="600" w:hRule="atLeast"/>
          <w:tblCellSpacing w:w="0" w:type="dxa"/>
        </w:trPr>
        <w:tc>
          <w:tcPr>
            <w:tcW w:w="516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t xml:space="preserve">甲方（盖章）： </w:t>
            </w:r>
          </w:p>
        </w:tc>
        <w:tc>
          <w:tcPr>
            <w:tcW w:w="762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t xml:space="preserve">乙方（盖章）： </w:t>
            </w:r>
          </w:p>
        </w:tc>
      </w:tr>
      <w:tr>
        <w:tblPrEx>
          <w:tblLayout w:type="fixed"/>
          <w:tblCellMar>
            <w:top w:w="0" w:type="dxa"/>
            <w:left w:w="0" w:type="dxa"/>
            <w:bottom w:w="0" w:type="dxa"/>
            <w:right w:w="0" w:type="dxa"/>
          </w:tblCellMar>
        </w:tblPrEx>
        <w:trPr>
          <w:trHeight w:val="705" w:hRule="atLeast"/>
          <w:tblCellSpacing w:w="0" w:type="dxa"/>
        </w:trPr>
        <w:tc>
          <w:tcPr>
            <w:tcW w:w="516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t>法定代表人：</w:t>
            </w:r>
            <w:r>
              <w:rPr>
                <w:rFonts w:hint="eastAsia" w:ascii="仿宋_GB2312" w:hAnsi="宋体" w:eastAsia="仿宋_GB2312" w:cs="宋体"/>
                <w:color w:val="222222"/>
                <w:kern w:val="0"/>
                <w:sz w:val="24"/>
                <w:szCs w:val="24"/>
                <w:highlight w:val="none"/>
              </w:rPr>
              <w:br w:type="textWrapping"/>
            </w:r>
            <w:r>
              <w:rPr>
                <w:rFonts w:hint="eastAsia" w:ascii="仿宋_GB2312" w:hAnsi="宋体" w:eastAsia="仿宋_GB2312" w:cs="宋体"/>
                <w:color w:val="222222"/>
                <w:kern w:val="0"/>
                <w:sz w:val="24"/>
                <w:szCs w:val="24"/>
                <w:highlight w:val="none"/>
              </w:rPr>
              <w:t xml:space="preserve">或授权委托人（签字）： </w:t>
            </w:r>
          </w:p>
        </w:tc>
        <w:tc>
          <w:tcPr>
            <w:tcW w:w="762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t>法定代表人：</w:t>
            </w:r>
            <w:r>
              <w:rPr>
                <w:rFonts w:hint="eastAsia" w:ascii="仿宋_GB2312" w:hAnsi="宋体" w:eastAsia="仿宋_GB2312" w:cs="宋体"/>
                <w:color w:val="222222"/>
                <w:kern w:val="0"/>
                <w:sz w:val="24"/>
                <w:szCs w:val="24"/>
                <w:highlight w:val="none"/>
              </w:rPr>
              <w:br w:type="textWrapping"/>
            </w:r>
            <w:r>
              <w:rPr>
                <w:rFonts w:hint="eastAsia" w:ascii="仿宋_GB2312" w:hAnsi="宋体" w:eastAsia="仿宋_GB2312" w:cs="宋体"/>
                <w:color w:val="222222"/>
                <w:kern w:val="0"/>
                <w:sz w:val="24"/>
                <w:szCs w:val="24"/>
                <w:highlight w:val="none"/>
              </w:rPr>
              <w:t xml:space="preserve">或授权委托人（签字）： </w:t>
            </w:r>
          </w:p>
        </w:tc>
      </w:tr>
      <w:tr>
        <w:tblPrEx>
          <w:tblLayout w:type="fixed"/>
          <w:tblCellMar>
            <w:top w:w="0" w:type="dxa"/>
            <w:left w:w="0" w:type="dxa"/>
            <w:bottom w:w="0" w:type="dxa"/>
            <w:right w:w="0" w:type="dxa"/>
          </w:tblCellMar>
        </w:tblPrEx>
        <w:trPr>
          <w:trHeight w:val="600" w:hRule="atLeast"/>
          <w:tblCellSpacing w:w="0" w:type="dxa"/>
        </w:trPr>
        <w:tc>
          <w:tcPr>
            <w:tcW w:w="516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t xml:space="preserve">联系人（签字）： </w:t>
            </w:r>
          </w:p>
        </w:tc>
        <w:tc>
          <w:tcPr>
            <w:tcW w:w="762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t xml:space="preserve">联系人（签字）： </w:t>
            </w:r>
          </w:p>
        </w:tc>
      </w:tr>
      <w:tr>
        <w:tblPrEx>
          <w:tblLayout w:type="fixed"/>
          <w:tblCellMar>
            <w:top w:w="0" w:type="dxa"/>
            <w:left w:w="0" w:type="dxa"/>
            <w:bottom w:w="0" w:type="dxa"/>
            <w:right w:w="0" w:type="dxa"/>
          </w:tblCellMar>
        </w:tblPrEx>
        <w:trPr>
          <w:trHeight w:val="600" w:hRule="atLeast"/>
          <w:tblCellSpacing w:w="0" w:type="dxa"/>
        </w:trPr>
        <w:tc>
          <w:tcPr>
            <w:tcW w:w="516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t xml:space="preserve">地址： </w:t>
            </w:r>
          </w:p>
        </w:tc>
        <w:tc>
          <w:tcPr>
            <w:tcW w:w="762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t xml:space="preserve">地址： </w:t>
            </w:r>
          </w:p>
        </w:tc>
      </w:tr>
      <w:tr>
        <w:tblPrEx>
          <w:tblLayout w:type="fixed"/>
          <w:tblCellMar>
            <w:top w:w="0" w:type="dxa"/>
            <w:left w:w="0" w:type="dxa"/>
            <w:bottom w:w="0" w:type="dxa"/>
            <w:right w:w="0" w:type="dxa"/>
          </w:tblCellMar>
        </w:tblPrEx>
        <w:trPr>
          <w:trHeight w:val="600" w:hRule="atLeast"/>
          <w:tblCellSpacing w:w="0" w:type="dxa"/>
        </w:trPr>
        <w:tc>
          <w:tcPr>
            <w:tcW w:w="516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t>邮编：</w:t>
            </w:r>
          </w:p>
        </w:tc>
        <w:tc>
          <w:tcPr>
            <w:tcW w:w="762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t xml:space="preserve">邮编： </w:t>
            </w:r>
          </w:p>
        </w:tc>
      </w:tr>
      <w:tr>
        <w:tblPrEx>
          <w:tblLayout w:type="fixed"/>
          <w:tblCellMar>
            <w:top w:w="0" w:type="dxa"/>
            <w:left w:w="0" w:type="dxa"/>
            <w:bottom w:w="0" w:type="dxa"/>
            <w:right w:w="0" w:type="dxa"/>
          </w:tblCellMar>
        </w:tblPrEx>
        <w:trPr>
          <w:trHeight w:val="600" w:hRule="atLeast"/>
          <w:tblCellSpacing w:w="0" w:type="dxa"/>
        </w:trPr>
        <w:tc>
          <w:tcPr>
            <w:tcW w:w="516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t>电话：</w:t>
            </w:r>
          </w:p>
        </w:tc>
        <w:tc>
          <w:tcPr>
            <w:tcW w:w="762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t xml:space="preserve">电话： </w:t>
            </w:r>
          </w:p>
        </w:tc>
      </w:tr>
      <w:tr>
        <w:tblPrEx>
          <w:tblLayout w:type="fixed"/>
          <w:tblCellMar>
            <w:top w:w="0" w:type="dxa"/>
            <w:left w:w="0" w:type="dxa"/>
            <w:bottom w:w="0" w:type="dxa"/>
            <w:right w:w="0" w:type="dxa"/>
          </w:tblCellMar>
        </w:tblPrEx>
        <w:trPr>
          <w:trHeight w:val="600" w:hRule="atLeast"/>
          <w:tblCellSpacing w:w="0" w:type="dxa"/>
        </w:trPr>
        <w:tc>
          <w:tcPr>
            <w:tcW w:w="516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t xml:space="preserve">传真： </w:t>
            </w:r>
          </w:p>
        </w:tc>
        <w:tc>
          <w:tcPr>
            <w:tcW w:w="762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t xml:space="preserve">传真： </w:t>
            </w:r>
          </w:p>
        </w:tc>
      </w:tr>
      <w:tr>
        <w:tblPrEx>
          <w:tblLayout w:type="fixed"/>
          <w:tblCellMar>
            <w:top w:w="0" w:type="dxa"/>
            <w:left w:w="0" w:type="dxa"/>
            <w:bottom w:w="0" w:type="dxa"/>
            <w:right w:w="0" w:type="dxa"/>
          </w:tblCellMar>
        </w:tblPrEx>
        <w:trPr>
          <w:trHeight w:val="600" w:hRule="atLeast"/>
          <w:tblCellSpacing w:w="0" w:type="dxa"/>
        </w:trPr>
        <w:tc>
          <w:tcPr>
            <w:tcW w:w="516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t xml:space="preserve">开户银行： </w:t>
            </w:r>
          </w:p>
        </w:tc>
        <w:tc>
          <w:tcPr>
            <w:tcW w:w="762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t xml:space="preserve">开户银行： </w:t>
            </w:r>
          </w:p>
        </w:tc>
      </w:tr>
      <w:tr>
        <w:tblPrEx>
          <w:tblLayout w:type="fixed"/>
          <w:tblCellMar>
            <w:top w:w="0" w:type="dxa"/>
            <w:left w:w="0" w:type="dxa"/>
            <w:bottom w:w="0" w:type="dxa"/>
            <w:right w:w="0" w:type="dxa"/>
          </w:tblCellMar>
        </w:tblPrEx>
        <w:trPr>
          <w:trHeight w:val="600" w:hRule="atLeast"/>
          <w:tblCellSpacing w:w="0" w:type="dxa"/>
        </w:trPr>
        <w:tc>
          <w:tcPr>
            <w:tcW w:w="516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t xml:space="preserve">帐号 ： </w:t>
            </w:r>
          </w:p>
        </w:tc>
        <w:tc>
          <w:tcPr>
            <w:tcW w:w="762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t xml:space="preserve">帐号 ： </w:t>
            </w:r>
          </w:p>
        </w:tc>
      </w:tr>
    </w:tbl>
    <w:p>
      <w:pPr>
        <w:snapToGrid w:val="0"/>
        <w:spacing w:line="460" w:lineRule="exact"/>
        <w:ind w:right="480"/>
        <w:rPr>
          <w:rFonts w:ascii="仿宋_GB2312" w:hAnsi="Arial" w:eastAsia="仿宋_GB2312" w:cs="Arial"/>
          <w:color w:val="222222"/>
          <w:kern w:val="0"/>
          <w:sz w:val="24"/>
          <w:szCs w:val="24"/>
          <w:highlight w:val="none"/>
        </w:rPr>
      </w:pPr>
    </w:p>
    <w:tbl>
      <w:tblPr>
        <w:tblStyle w:val="49"/>
        <w:tblpPr w:leftFromText="180" w:rightFromText="180" w:vertAnchor="text" w:tblpY="1"/>
        <w:tblOverlap w:val="never"/>
        <w:tblW w:w="5160" w:type="dxa"/>
        <w:tblCellSpacing w:w="0" w:type="dxa"/>
        <w:tblInd w:w="0" w:type="dxa"/>
        <w:tblLayout w:type="fixed"/>
        <w:tblCellMar>
          <w:top w:w="0" w:type="dxa"/>
          <w:left w:w="0" w:type="dxa"/>
          <w:bottom w:w="0" w:type="dxa"/>
          <w:right w:w="0" w:type="dxa"/>
        </w:tblCellMar>
      </w:tblPr>
      <w:tblGrid>
        <w:gridCol w:w="5160"/>
      </w:tblGrid>
      <w:tr>
        <w:tblPrEx>
          <w:tblLayout w:type="fixed"/>
          <w:tblCellMar>
            <w:top w:w="0" w:type="dxa"/>
            <w:left w:w="0" w:type="dxa"/>
            <w:bottom w:w="0" w:type="dxa"/>
            <w:right w:w="0" w:type="dxa"/>
          </w:tblCellMar>
        </w:tblPrEx>
        <w:trPr>
          <w:trHeight w:val="600" w:hRule="atLeast"/>
          <w:tblCellSpacing w:w="0" w:type="dxa"/>
        </w:trPr>
        <w:tc>
          <w:tcPr>
            <w:tcW w:w="516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t xml:space="preserve">见证方（盖章）： </w:t>
            </w:r>
          </w:p>
        </w:tc>
      </w:tr>
      <w:tr>
        <w:tblPrEx>
          <w:tblLayout w:type="fixed"/>
          <w:tblCellMar>
            <w:top w:w="0" w:type="dxa"/>
            <w:left w:w="0" w:type="dxa"/>
            <w:bottom w:w="0" w:type="dxa"/>
            <w:right w:w="0" w:type="dxa"/>
          </w:tblCellMar>
        </w:tblPrEx>
        <w:trPr>
          <w:trHeight w:val="705" w:hRule="atLeast"/>
          <w:tblCellSpacing w:w="0" w:type="dxa"/>
        </w:trPr>
        <w:tc>
          <w:tcPr>
            <w:tcW w:w="516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br w:type="textWrapping"/>
            </w:r>
          </w:p>
        </w:tc>
      </w:tr>
      <w:tr>
        <w:tblPrEx>
          <w:tblLayout w:type="fixed"/>
          <w:tblCellMar>
            <w:top w:w="0" w:type="dxa"/>
            <w:left w:w="0" w:type="dxa"/>
            <w:bottom w:w="0" w:type="dxa"/>
            <w:right w:w="0" w:type="dxa"/>
          </w:tblCellMar>
        </w:tblPrEx>
        <w:trPr>
          <w:trHeight w:val="600" w:hRule="atLeast"/>
          <w:tblCellSpacing w:w="0" w:type="dxa"/>
        </w:trPr>
        <w:tc>
          <w:tcPr>
            <w:tcW w:w="516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p>
        </w:tc>
      </w:tr>
      <w:tr>
        <w:tblPrEx>
          <w:tblLayout w:type="fixed"/>
          <w:tblCellMar>
            <w:top w:w="0" w:type="dxa"/>
            <w:left w:w="0" w:type="dxa"/>
            <w:bottom w:w="0" w:type="dxa"/>
            <w:right w:w="0" w:type="dxa"/>
          </w:tblCellMar>
        </w:tblPrEx>
        <w:trPr>
          <w:trHeight w:val="600" w:hRule="atLeast"/>
          <w:tblCellSpacing w:w="0" w:type="dxa"/>
        </w:trPr>
        <w:tc>
          <w:tcPr>
            <w:tcW w:w="5160" w:type="dxa"/>
            <w:vAlign w:val="center"/>
          </w:tcPr>
          <w:p>
            <w:pPr>
              <w:spacing w:before="100" w:beforeAutospacing="1" w:after="100" w:afterAutospacing="1" w:line="460" w:lineRule="exact"/>
              <w:rPr>
                <w:rFonts w:ascii="仿宋_GB2312" w:hAnsi="宋体" w:eastAsia="仿宋_GB2312" w:cs="宋体"/>
                <w:color w:val="222222"/>
                <w:kern w:val="0"/>
                <w:sz w:val="24"/>
                <w:szCs w:val="24"/>
                <w:highlight w:val="none"/>
              </w:rPr>
            </w:pPr>
          </w:p>
        </w:tc>
      </w:tr>
    </w:tbl>
    <w:p>
      <w:pPr>
        <w:autoSpaceDE w:val="0"/>
        <w:autoSpaceDN w:val="0"/>
        <w:adjustRightInd w:val="0"/>
        <w:spacing w:line="460" w:lineRule="exact"/>
        <w:rPr>
          <w:rFonts w:ascii="仿宋_GB2312" w:hAnsi="宋体" w:eastAsia="仿宋_GB2312" w:cs="宋体"/>
          <w:color w:val="222222"/>
          <w:kern w:val="0"/>
          <w:sz w:val="24"/>
          <w:szCs w:val="24"/>
          <w:highlight w:val="none"/>
        </w:rPr>
      </w:pPr>
    </w:p>
    <w:p>
      <w:pPr>
        <w:autoSpaceDE w:val="0"/>
        <w:autoSpaceDN w:val="0"/>
        <w:adjustRightInd w:val="0"/>
        <w:spacing w:line="460" w:lineRule="exact"/>
        <w:rPr>
          <w:rFonts w:ascii="仿宋_GB2312" w:hAnsi="宋体" w:eastAsia="仿宋_GB2312" w:cs="宋体"/>
          <w:color w:val="222222"/>
          <w:kern w:val="0"/>
          <w:sz w:val="24"/>
          <w:szCs w:val="24"/>
          <w:highlight w:val="none"/>
        </w:rPr>
      </w:pPr>
    </w:p>
    <w:p>
      <w:pPr>
        <w:autoSpaceDE w:val="0"/>
        <w:autoSpaceDN w:val="0"/>
        <w:adjustRightInd w:val="0"/>
        <w:spacing w:line="460" w:lineRule="exact"/>
        <w:rPr>
          <w:rFonts w:ascii="仿宋_GB2312" w:hAnsi="宋体" w:eastAsia="仿宋_GB2312" w:cs="宋体"/>
          <w:color w:val="222222"/>
          <w:kern w:val="0"/>
          <w:sz w:val="24"/>
          <w:szCs w:val="24"/>
          <w:highlight w:val="none"/>
        </w:rPr>
      </w:pPr>
    </w:p>
    <w:p>
      <w:pPr>
        <w:autoSpaceDE w:val="0"/>
        <w:autoSpaceDN w:val="0"/>
        <w:adjustRightInd w:val="0"/>
        <w:spacing w:line="460" w:lineRule="exact"/>
        <w:rPr>
          <w:rFonts w:ascii="仿宋_GB2312" w:hAnsi="宋体" w:eastAsia="仿宋_GB2312" w:cs="宋体"/>
          <w:color w:val="222222"/>
          <w:kern w:val="0"/>
          <w:sz w:val="24"/>
          <w:szCs w:val="24"/>
          <w:highlight w:val="none"/>
        </w:rPr>
      </w:pPr>
    </w:p>
    <w:p>
      <w:pPr>
        <w:autoSpaceDE w:val="0"/>
        <w:autoSpaceDN w:val="0"/>
        <w:adjustRightInd w:val="0"/>
        <w:spacing w:line="460" w:lineRule="exact"/>
        <w:rPr>
          <w:rFonts w:ascii="仿宋_GB2312" w:hAnsi="宋体" w:eastAsia="仿宋_GB2312" w:cs="宋体"/>
          <w:color w:val="222222"/>
          <w:kern w:val="0"/>
          <w:sz w:val="24"/>
          <w:szCs w:val="24"/>
          <w:highlight w:val="none"/>
        </w:rPr>
      </w:pPr>
    </w:p>
    <w:p>
      <w:pPr>
        <w:autoSpaceDE w:val="0"/>
        <w:autoSpaceDN w:val="0"/>
        <w:adjustRightInd w:val="0"/>
        <w:spacing w:line="460" w:lineRule="exact"/>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t>合同签订地点：</w:t>
      </w:r>
    </w:p>
    <w:p>
      <w:pPr>
        <w:autoSpaceDE w:val="0"/>
        <w:autoSpaceDN w:val="0"/>
        <w:adjustRightInd w:val="0"/>
        <w:spacing w:line="460" w:lineRule="exact"/>
        <w:ind w:firstLine="5040" w:firstLineChars="2100"/>
        <w:rPr>
          <w:rFonts w:ascii="仿宋_GB2312" w:hAnsi="宋体" w:eastAsia="仿宋_GB2312" w:cs="宋体"/>
          <w:color w:val="222222"/>
          <w:kern w:val="0"/>
          <w:sz w:val="24"/>
          <w:szCs w:val="24"/>
          <w:highlight w:val="none"/>
        </w:rPr>
      </w:pPr>
      <w:r>
        <w:rPr>
          <w:rFonts w:hint="eastAsia" w:ascii="仿宋_GB2312" w:hAnsi="宋体" w:eastAsia="仿宋_GB2312" w:cs="宋体"/>
          <w:color w:val="222222"/>
          <w:kern w:val="0"/>
          <w:sz w:val="24"/>
          <w:szCs w:val="24"/>
          <w:highlight w:val="none"/>
        </w:rPr>
        <w:t>合同签订时间：    年 月  日</w:t>
      </w:r>
    </w:p>
    <w:bookmarkEnd w:id="11"/>
    <w:p>
      <w:pPr>
        <w:autoSpaceDE w:val="0"/>
        <w:autoSpaceDN w:val="0"/>
        <w:adjustRightInd w:val="0"/>
        <w:spacing w:line="460" w:lineRule="exact"/>
        <w:rPr>
          <w:rFonts w:ascii="仿宋_GB2312" w:hAnsi="宋体" w:eastAsia="仿宋_GB2312" w:cs="宋体"/>
          <w:color w:val="222222"/>
          <w:kern w:val="0"/>
          <w:sz w:val="24"/>
          <w:szCs w:val="24"/>
          <w:highlight w:val="none"/>
        </w:rPr>
      </w:pPr>
    </w:p>
    <w:sectPr>
      <w:footerReference r:id="rId5" w:type="default"/>
      <w:pgSz w:w="11906" w:h="16838"/>
      <w:pgMar w:top="1985" w:right="1588" w:bottom="2098" w:left="1474" w:header="851" w:footer="1588"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Helvetica Neue">
    <w:altName w:val="Arial Unicode MS"/>
    <w:panose1 w:val="00000000000000000000"/>
    <w:charset w:val="00"/>
    <w:family w:val="auto"/>
    <w:pitch w:val="default"/>
    <w:sig w:usb0="00000000" w:usb1="00000000" w:usb2="00000010" w:usb3="00000000" w:csb0="00000000" w:csb1="00000000"/>
  </w:font>
  <w:font w:name="微软雅黑">
    <w:panose1 w:val="020B0503020204020204"/>
    <w:charset w:val="86"/>
    <w:family w:val="swiss"/>
    <w:pitch w:val="default"/>
    <w:sig w:usb0="80000287" w:usb1="280F3C52"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rect id="文本框 5" o:spid="_x0000_s4097" o:spt="1" style="position:absolute;left:0pt;margin-top:0pt;height:13.95pt;width:10.55pt;mso-position-horizontal:center;mso-position-horizontal-relative:margin;mso-wrap-style:none;z-index:1024;mso-width-relative:page;mso-height-relative:page;" filled="f" stroked="f" coordsize="21600,21600" o:gfxdata="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HH5HtEA&#10;AAADAQAADwAAAAAAAAABACAAAAAiAAAAZHJzL2Rvd25yZXYueG1sUEsBAhQAFAAAAAgAh07iQFnZ&#10;gwq0AQAAQgMAAA4AAAAAAAAAAQAgAAAAIAEAAGRycy9lMm9Eb2MueG1sUEsFBgAAAAAGAAYAWQEA&#10;AEYFA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zh-CN"/>
                  </w:rPr>
                  <w:t>63</w:t>
                </w:r>
                <w:r>
                  <w:rPr>
                    <w:rFonts w:hint="eastAsia"/>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81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82</w:t>
    </w:r>
    <w:r>
      <w:rPr>
        <w:b/>
        <w:bCs/>
        <w:sz w:val="24"/>
        <w:szCs w:val="24"/>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B"/>
    <w:multiLevelType w:val="multilevel"/>
    <w:tmpl w:val="0000000B"/>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0E"/>
    <w:multiLevelType w:val="multilevel"/>
    <w:tmpl w:val="0000000E"/>
    <w:lvl w:ilvl="0" w:tentative="0">
      <w:start w:val="1"/>
      <w:numFmt w:val="japaneseCounting"/>
      <w:lvlText w:val="%1、"/>
      <w:lvlJc w:val="left"/>
      <w:pPr>
        <w:ind w:left="690" w:hanging="690"/>
      </w:pPr>
      <w:rPr>
        <w:rFonts w:hint="default"/>
      </w:rPr>
    </w:lvl>
    <w:lvl w:ilvl="1" w:tentative="0">
      <w:start w:val="3"/>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6"/>
    <w:multiLevelType w:val="singleLevel"/>
    <w:tmpl w:val="00000016"/>
    <w:lvl w:ilvl="0" w:tentative="0">
      <w:start w:val="3"/>
      <w:numFmt w:val="chineseCounting"/>
      <w:suff w:val="nothing"/>
      <w:lvlText w:val="%1、"/>
      <w:lvlJc w:val="left"/>
    </w:lvl>
  </w:abstractNum>
  <w:abstractNum w:abstractNumId="4">
    <w:nsid w:val="00000021"/>
    <w:multiLevelType w:val="multilevel"/>
    <w:tmpl w:val="0000002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dit="readOnly" w:formatting="1" w:enforcement="0"/>
  <w:defaultTabStop w:val="420"/>
  <w:drawingGridVerticalSpacing w:val="164"/>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22062B"/>
    <w:rsid w:val="0022062B"/>
    <w:rsid w:val="006C0C7A"/>
    <w:rsid w:val="0091169C"/>
    <w:rsid w:val="00F247F0"/>
    <w:rsid w:val="00F50D81"/>
    <w:rsid w:val="00F80438"/>
    <w:rsid w:val="00FA28BC"/>
    <w:rsid w:val="10203AC7"/>
    <w:rsid w:val="11191C69"/>
    <w:rsid w:val="2234058D"/>
    <w:rsid w:val="3CB94698"/>
    <w:rsid w:val="537B16B0"/>
    <w:rsid w:val="56685F50"/>
    <w:rsid w:val="5A061E54"/>
    <w:rsid w:val="60617D27"/>
    <w:rsid w:val="7EFA0F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80" w:lineRule="exact"/>
    </w:pPr>
    <w:rPr>
      <w:rFonts w:ascii="Times New Roman" w:hAnsi="Times New Roman" w:eastAsia="宋体" w:cs="Times New Roman"/>
      <w:kern w:val="2"/>
      <w:sz w:val="21"/>
      <w:szCs w:val="21"/>
      <w:lang w:val="en-US" w:eastAsia="zh-CN" w:bidi="ar-SA"/>
    </w:rPr>
  </w:style>
  <w:style w:type="paragraph" w:styleId="2">
    <w:name w:val="heading 1"/>
    <w:basedOn w:val="1"/>
    <w:next w:val="1"/>
    <w:link w:val="51"/>
    <w:qFormat/>
    <w:uiPriority w:val="9"/>
    <w:pPr>
      <w:keepNext/>
      <w:autoSpaceDE w:val="0"/>
      <w:autoSpaceDN w:val="0"/>
      <w:adjustRightInd w:val="0"/>
      <w:spacing w:line="500" w:lineRule="atLeast"/>
      <w:outlineLvl w:val="0"/>
    </w:pPr>
    <w:rPr>
      <w:rFonts w:ascii="宋体" w:hAnsi="宋体" w:cs="宋体"/>
      <w:b/>
      <w:bCs/>
      <w:sz w:val="24"/>
      <w:szCs w:val="24"/>
    </w:rPr>
  </w:style>
  <w:style w:type="paragraph" w:styleId="3">
    <w:name w:val="heading 2"/>
    <w:basedOn w:val="1"/>
    <w:next w:val="1"/>
    <w:link w:val="52"/>
    <w:qFormat/>
    <w:uiPriority w:val="0"/>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53"/>
    <w:qFormat/>
    <w:uiPriority w:val="9"/>
    <w:pPr>
      <w:keepNext/>
      <w:keepLines/>
      <w:spacing w:before="260" w:after="260" w:line="408" w:lineRule="auto"/>
      <w:outlineLvl w:val="2"/>
    </w:pPr>
    <w:rPr>
      <w:b/>
      <w:bCs/>
      <w:sz w:val="32"/>
      <w:szCs w:val="32"/>
    </w:rPr>
  </w:style>
  <w:style w:type="paragraph" w:styleId="5">
    <w:name w:val="heading 4"/>
    <w:basedOn w:val="1"/>
    <w:next w:val="1"/>
    <w:link w:val="54"/>
    <w:qFormat/>
    <w:uiPriority w:val="0"/>
    <w:pPr>
      <w:keepNext/>
      <w:keepLines/>
      <w:tabs>
        <w:tab w:val="left" w:pos="864"/>
      </w:tabs>
      <w:spacing w:before="280" w:after="290" w:line="372" w:lineRule="auto"/>
      <w:ind w:left="864" w:hanging="864"/>
      <w:outlineLvl w:val="3"/>
    </w:pPr>
    <w:rPr>
      <w:rFonts w:ascii="Arial" w:hAnsi="Arial" w:eastAsia="黑体" w:cs="Arial"/>
      <w:b/>
      <w:bCs/>
      <w:sz w:val="28"/>
      <w:szCs w:val="28"/>
      <w:lang w:val="zh-CN"/>
    </w:rPr>
  </w:style>
  <w:style w:type="paragraph" w:styleId="6">
    <w:name w:val="heading 5"/>
    <w:basedOn w:val="1"/>
    <w:next w:val="1"/>
    <w:link w:val="55"/>
    <w:qFormat/>
    <w:uiPriority w:val="0"/>
    <w:pPr>
      <w:keepNext/>
      <w:keepLines/>
      <w:tabs>
        <w:tab w:val="left" w:pos="1008"/>
      </w:tabs>
      <w:spacing w:before="280" w:after="290" w:line="372" w:lineRule="auto"/>
      <w:ind w:left="1008" w:hanging="1008"/>
      <w:outlineLvl w:val="4"/>
    </w:pPr>
    <w:rPr>
      <w:b/>
      <w:bCs/>
      <w:sz w:val="28"/>
      <w:szCs w:val="28"/>
    </w:rPr>
  </w:style>
  <w:style w:type="paragraph" w:styleId="7">
    <w:name w:val="heading 6"/>
    <w:basedOn w:val="1"/>
    <w:next w:val="1"/>
    <w:link w:val="56"/>
    <w:qFormat/>
    <w:uiPriority w:val="0"/>
    <w:pPr>
      <w:keepNext/>
      <w:keepLines/>
      <w:tabs>
        <w:tab w:val="left" w:pos="1152"/>
      </w:tabs>
      <w:spacing w:before="240" w:after="64" w:line="312" w:lineRule="auto"/>
      <w:ind w:left="1152" w:hanging="1152"/>
      <w:outlineLvl w:val="5"/>
    </w:pPr>
    <w:rPr>
      <w:rFonts w:ascii="Arial" w:hAnsi="Arial" w:eastAsia="黑体" w:cs="Arial"/>
      <w:b/>
      <w:bCs/>
      <w:sz w:val="24"/>
      <w:szCs w:val="24"/>
    </w:rPr>
  </w:style>
  <w:style w:type="paragraph" w:styleId="8">
    <w:name w:val="heading 7"/>
    <w:basedOn w:val="1"/>
    <w:next w:val="1"/>
    <w:link w:val="57"/>
    <w:qFormat/>
    <w:uiPriority w:val="0"/>
    <w:pPr>
      <w:keepNext/>
      <w:keepLines/>
      <w:tabs>
        <w:tab w:val="left" w:pos="1296"/>
      </w:tabs>
      <w:spacing w:before="240" w:after="64" w:line="312" w:lineRule="auto"/>
      <w:ind w:left="1296" w:hanging="1296"/>
      <w:outlineLvl w:val="6"/>
    </w:pPr>
    <w:rPr>
      <w:b/>
      <w:bCs/>
      <w:sz w:val="24"/>
      <w:szCs w:val="24"/>
    </w:rPr>
  </w:style>
  <w:style w:type="paragraph" w:styleId="9">
    <w:name w:val="heading 8"/>
    <w:basedOn w:val="1"/>
    <w:next w:val="1"/>
    <w:link w:val="58"/>
    <w:qFormat/>
    <w:uiPriority w:val="0"/>
    <w:pPr>
      <w:keepNext/>
      <w:keepLines/>
      <w:tabs>
        <w:tab w:val="left" w:pos="1440"/>
      </w:tabs>
      <w:spacing w:before="240" w:after="64" w:line="312" w:lineRule="auto"/>
      <w:ind w:left="1440" w:hanging="1440"/>
      <w:outlineLvl w:val="7"/>
    </w:pPr>
    <w:rPr>
      <w:rFonts w:ascii="Arial" w:hAnsi="Arial" w:eastAsia="黑体" w:cs="Arial"/>
      <w:sz w:val="24"/>
      <w:szCs w:val="24"/>
    </w:rPr>
  </w:style>
  <w:style w:type="paragraph" w:styleId="10">
    <w:name w:val="heading 9"/>
    <w:basedOn w:val="1"/>
    <w:next w:val="1"/>
    <w:link w:val="59"/>
    <w:qFormat/>
    <w:uiPriority w:val="0"/>
    <w:pPr>
      <w:keepNext/>
      <w:keepLines/>
      <w:tabs>
        <w:tab w:val="left" w:pos="1584"/>
      </w:tabs>
      <w:spacing w:before="240" w:after="64" w:line="312" w:lineRule="auto"/>
      <w:ind w:left="1584" w:hanging="1584"/>
      <w:outlineLvl w:val="8"/>
    </w:pPr>
    <w:rPr>
      <w:rFonts w:ascii="Arial" w:hAnsi="Arial" w:eastAsia="黑体" w:cs="Arial"/>
    </w:rPr>
  </w:style>
  <w:style w:type="character" w:default="1" w:styleId="41">
    <w:name w:val="Default Paragraph Font"/>
    <w:semiHidden/>
    <w:unhideWhenUsed/>
    <w:qFormat/>
    <w:uiPriority w:val="1"/>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8"/>
    <w:qFormat/>
    <w:uiPriority w:val="99"/>
    <w:rPr>
      <w:b/>
      <w:bCs/>
    </w:rPr>
  </w:style>
  <w:style w:type="paragraph" w:styleId="12">
    <w:name w:val="annotation text"/>
    <w:basedOn w:val="1"/>
    <w:link w:val="61"/>
    <w:qFormat/>
    <w:uiPriority w:val="99"/>
    <w:rPr>
      <w:rFonts w:ascii="宋体" w:hAnsi="宋体"/>
    </w:rPr>
  </w:style>
  <w:style w:type="paragraph" w:styleId="13">
    <w:name w:val="Body Text First Indent"/>
    <w:basedOn w:val="14"/>
    <w:link w:val="96"/>
    <w:qFormat/>
    <w:uiPriority w:val="0"/>
    <w:pPr>
      <w:autoSpaceDE w:val="0"/>
      <w:autoSpaceDN w:val="0"/>
      <w:adjustRightInd w:val="0"/>
      <w:spacing w:line="360" w:lineRule="auto"/>
      <w:ind w:firstLine="420"/>
    </w:pPr>
    <w:rPr>
      <w:sz w:val="24"/>
      <w:szCs w:val="24"/>
      <w:lang w:val="zh-CN"/>
    </w:rPr>
  </w:style>
  <w:style w:type="paragraph" w:styleId="14">
    <w:name w:val="Body Text"/>
    <w:basedOn w:val="1"/>
    <w:link w:val="62"/>
    <w:qFormat/>
    <w:uiPriority w:val="0"/>
    <w:pPr>
      <w:spacing w:line="500" w:lineRule="exact"/>
    </w:pPr>
    <w:rPr>
      <w:rFonts w:ascii="宋体" w:hAnsi="宋体" w:cs="宋体"/>
      <w:sz w:val="28"/>
      <w:szCs w:val="28"/>
    </w:rPr>
  </w:style>
  <w:style w:type="paragraph" w:styleId="15">
    <w:name w:val="List Number"/>
    <w:basedOn w:val="1"/>
    <w:qFormat/>
    <w:uiPriority w:val="0"/>
    <w:pPr>
      <w:tabs>
        <w:tab w:val="left" w:pos="420"/>
        <w:tab w:val="left" w:pos="454"/>
        <w:tab w:val="left" w:pos="720"/>
      </w:tabs>
      <w:spacing w:afterLines="50" w:line="360" w:lineRule="auto"/>
      <w:ind w:left="908" w:hanging="284" w:firstLineChars="200"/>
    </w:pPr>
    <w:rPr>
      <w:kern w:val="0"/>
      <w:sz w:val="24"/>
      <w:szCs w:val="20"/>
    </w:rPr>
  </w:style>
  <w:style w:type="paragraph" w:styleId="16">
    <w:name w:val="Normal Indent"/>
    <w:basedOn w:val="1"/>
    <w:link w:val="65"/>
    <w:qFormat/>
    <w:uiPriority w:val="0"/>
    <w:pPr>
      <w:spacing w:before="100" w:beforeAutospacing="1" w:after="100" w:afterAutospacing="1"/>
    </w:pPr>
    <w:rPr>
      <w:rFonts w:ascii="宋体" w:hAnsi="宋体" w:cs="宋体"/>
      <w:kern w:val="0"/>
      <w:sz w:val="24"/>
      <w:szCs w:val="24"/>
    </w:rPr>
  </w:style>
  <w:style w:type="paragraph" w:styleId="17">
    <w:name w:val="caption"/>
    <w:basedOn w:val="1"/>
    <w:next w:val="1"/>
    <w:qFormat/>
    <w:uiPriority w:val="0"/>
    <w:pPr>
      <w:spacing w:before="152" w:after="160" w:line="360" w:lineRule="auto"/>
      <w:ind w:firstLine="420" w:firstLineChars="200"/>
    </w:pPr>
    <w:rPr>
      <w:rFonts w:ascii="Arial" w:hAnsi="Arial" w:eastAsia="黑体" w:cs="Arial"/>
      <w:sz w:val="20"/>
      <w:szCs w:val="20"/>
    </w:rPr>
  </w:style>
  <w:style w:type="paragraph" w:styleId="18">
    <w:name w:val="Document Map"/>
    <w:basedOn w:val="1"/>
    <w:link w:val="85"/>
    <w:qFormat/>
    <w:uiPriority w:val="0"/>
    <w:pPr>
      <w:shd w:val="clear" w:color="auto" w:fill="000080"/>
    </w:pPr>
    <w:rPr>
      <w:rFonts w:ascii="宋体" w:hAnsi="宋体"/>
      <w:b/>
      <w:bCs/>
      <w:sz w:val="32"/>
      <w:szCs w:val="32"/>
    </w:rPr>
  </w:style>
  <w:style w:type="paragraph" w:styleId="19">
    <w:name w:val="Salutation"/>
    <w:basedOn w:val="1"/>
    <w:next w:val="1"/>
    <w:link w:val="127"/>
    <w:qFormat/>
    <w:uiPriority w:val="0"/>
    <w:rPr>
      <w:rFonts w:ascii="宋体" w:hAnsi="宋体"/>
      <w:sz w:val="24"/>
      <w:szCs w:val="24"/>
    </w:rPr>
  </w:style>
  <w:style w:type="paragraph" w:styleId="20">
    <w:name w:val="Body Text 3"/>
    <w:basedOn w:val="1"/>
    <w:link w:val="83"/>
    <w:qFormat/>
    <w:uiPriority w:val="0"/>
    <w:pPr>
      <w:spacing w:after="120"/>
    </w:pPr>
    <w:rPr>
      <w:rFonts w:ascii="宋体" w:hAnsi="宋体"/>
      <w:sz w:val="16"/>
      <w:szCs w:val="16"/>
    </w:rPr>
  </w:style>
  <w:style w:type="paragraph" w:styleId="21">
    <w:name w:val="Body Text Indent"/>
    <w:basedOn w:val="1"/>
    <w:link w:val="84"/>
    <w:qFormat/>
    <w:uiPriority w:val="0"/>
    <w:pPr>
      <w:spacing w:line="480" w:lineRule="auto"/>
      <w:ind w:firstLine="600"/>
    </w:pPr>
    <w:rPr>
      <w:rFonts w:ascii="宋体" w:hAnsi="宋体"/>
      <w:sz w:val="28"/>
      <w:szCs w:val="28"/>
    </w:rPr>
  </w:style>
  <w:style w:type="paragraph" w:styleId="22">
    <w:name w:val="List Number 3"/>
    <w:basedOn w:val="1"/>
    <w:qFormat/>
    <w:uiPriority w:val="0"/>
    <w:pPr>
      <w:tabs>
        <w:tab w:val="left" w:pos="1200"/>
      </w:tabs>
      <w:spacing w:line="360" w:lineRule="auto"/>
      <w:ind w:left="1200" w:hanging="360" w:firstLineChars="200"/>
    </w:pPr>
    <w:rPr>
      <w:sz w:val="24"/>
      <w:szCs w:val="24"/>
    </w:rPr>
  </w:style>
  <w:style w:type="paragraph" w:styleId="23">
    <w:name w:val="toc 3"/>
    <w:basedOn w:val="1"/>
    <w:next w:val="1"/>
    <w:qFormat/>
    <w:uiPriority w:val="0"/>
    <w:pPr>
      <w:ind w:left="840" w:leftChars="400"/>
    </w:pPr>
  </w:style>
  <w:style w:type="paragraph" w:styleId="24">
    <w:name w:val="Plain Text"/>
    <w:basedOn w:val="1"/>
    <w:link w:val="94"/>
    <w:qFormat/>
    <w:uiPriority w:val="0"/>
    <w:rPr>
      <w:rFonts w:ascii="宋体" w:hAnsi="Courier New" w:cs="宋体"/>
    </w:rPr>
  </w:style>
  <w:style w:type="paragraph" w:styleId="25">
    <w:name w:val="Date"/>
    <w:basedOn w:val="1"/>
    <w:next w:val="1"/>
    <w:link w:val="60"/>
    <w:qFormat/>
    <w:uiPriority w:val="0"/>
    <w:pPr>
      <w:ind w:left="2500" w:leftChars="2500"/>
    </w:pPr>
    <w:rPr>
      <w:rFonts w:ascii="黑体" w:eastAsia="黑体" w:cs="黑体"/>
      <w:spacing w:val="4"/>
      <w:sz w:val="24"/>
      <w:szCs w:val="24"/>
    </w:rPr>
  </w:style>
  <w:style w:type="paragraph" w:styleId="26">
    <w:name w:val="Body Text Indent 2"/>
    <w:basedOn w:val="1"/>
    <w:link w:val="115"/>
    <w:qFormat/>
    <w:uiPriority w:val="0"/>
    <w:pPr>
      <w:spacing w:line="360" w:lineRule="atLeast"/>
      <w:ind w:firstLine="540"/>
    </w:pPr>
    <w:rPr>
      <w:rFonts w:ascii="宋体" w:hAnsi="宋体" w:cs="宋体"/>
    </w:rPr>
  </w:style>
  <w:style w:type="paragraph" w:styleId="27">
    <w:name w:val="endnote text"/>
    <w:basedOn w:val="1"/>
    <w:link w:val="70"/>
    <w:qFormat/>
    <w:uiPriority w:val="0"/>
    <w:pPr>
      <w:snapToGrid w:val="0"/>
    </w:pPr>
    <w:rPr>
      <w:kern w:val="0"/>
      <w:sz w:val="20"/>
      <w:szCs w:val="24"/>
    </w:rPr>
  </w:style>
  <w:style w:type="paragraph" w:styleId="28">
    <w:name w:val="Balloon Text"/>
    <w:basedOn w:val="1"/>
    <w:link w:val="93"/>
    <w:qFormat/>
    <w:uiPriority w:val="99"/>
    <w:rPr>
      <w:sz w:val="18"/>
      <w:szCs w:val="18"/>
    </w:rPr>
  </w:style>
  <w:style w:type="paragraph" w:styleId="29">
    <w:name w:val="footer"/>
    <w:basedOn w:val="1"/>
    <w:link w:val="99"/>
    <w:qFormat/>
    <w:uiPriority w:val="99"/>
    <w:pPr>
      <w:tabs>
        <w:tab w:val="center" w:pos="4153"/>
        <w:tab w:val="right" w:pos="8306"/>
      </w:tabs>
      <w:snapToGrid w:val="0"/>
    </w:pPr>
    <w:rPr>
      <w:rFonts w:ascii="宋体" w:hAnsi="宋体"/>
      <w:sz w:val="18"/>
      <w:szCs w:val="18"/>
    </w:rPr>
  </w:style>
  <w:style w:type="paragraph" w:styleId="30">
    <w:name w:val="header"/>
    <w:basedOn w:val="1"/>
    <w:link w:val="82"/>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1">
    <w:name w:val="toc 1"/>
    <w:basedOn w:val="1"/>
    <w:next w:val="1"/>
    <w:qFormat/>
    <w:uiPriority w:val="0"/>
    <w:pPr>
      <w:spacing w:line="400" w:lineRule="atLeast"/>
    </w:pPr>
    <w:rPr>
      <w:rFonts w:eastAsia="仿宋_GB2312"/>
      <w:sz w:val="24"/>
      <w:szCs w:val="24"/>
    </w:rPr>
  </w:style>
  <w:style w:type="paragraph" w:styleId="32">
    <w:name w:val="toc 4"/>
    <w:basedOn w:val="1"/>
    <w:next w:val="1"/>
    <w:qFormat/>
    <w:uiPriority w:val="0"/>
    <w:pPr>
      <w:spacing w:line="360" w:lineRule="auto"/>
      <w:ind w:left="720"/>
    </w:pPr>
    <w:rPr>
      <w:sz w:val="24"/>
      <w:szCs w:val="24"/>
    </w:rPr>
  </w:style>
  <w:style w:type="paragraph" w:styleId="33">
    <w:name w:val="footnote text"/>
    <w:basedOn w:val="1"/>
    <w:link w:val="111"/>
    <w:qFormat/>
    <w:uiPriority w:val="0"/>
    <w:pPr>
      <w:snapToGrid w:val="0"/>
    </w:pPr>
    <w:rPr>
      <w:kern w:val="0"/>
      <w:sz w:val="18"/>
      <w:szCs w:val="18"/>
    </w:rPr>
  </w:style>
  <w:style w:type="paragraph" w:styleId="34">
    <w:name w:val="Body Text Indent 3"/>
    <w:basedOn w:val="1"/>
    <w:link w:val="72"/>
    <w:qFormat/>
    <w:uiPriority w:val="0"/>
    <w:pPr>
      <w:spacing w:after="120"/>
      <w:ind w:left="200" w:leftChars="200"/>
    </w:pPr>
    <w:rPr>
      <w:rFonts w:ascii="宋体" w:hAnsi="宋体"/>
      <w:sz w:val="16"/>
      <w:szCs w:val="16"/>
    </w:rPr>
  </w:style>
  <w:style w:type="paragraph" w:styleId="35">
    <w:name w:val="toc 2"/>
    <w:basedOn w:val="1"/>
    <w:next w:val="1"/>
    <w:qFormat/>
    <w:uiPriority w:val="0"/>
    <w:pPr>
      <w:tabs>
        <w:tab w:val="right" w:leader="dot" w:pos="8390"/>
      </w:tabs>
      <w:spacing w:line="360" w:lineRule="auto"/>
      <w:ind w:left="420" w:leftChars="200"/>
    </w:pPr>
  </w:style>
  <w:style w:type="paragraph" w:styleId="36">
    <w:name w:val="Body Text 2"/>
    <w:basedOn w:val="1"/>
    <w:link w:val="114"/>
    <w:qFormat/>
    <w:uiPriority w:val="0"/>
    <w:pPr>
      <w:overflowPunct w:val="0"/>
      <w:autoSpaceDE w:val="0"/>
      <w:autoSpaceDN w:val="0"/>
      <w:adjustRightInd w:val="0"/>
      <w:ind w:left="720" w:hanging="720"/>
    </w:pPr>
    <w:rPr>
      <w:rFonts w:ascii="宋体" w:hAnsi="宋体"/>
      <w:kern w:val="0"/>
      <w:sz w:val="24"/>
      <w:szCs w:val="24"/>
      <w:lang w:val="en-GB"/>
    </w:rPr>
  </w:style>
  <w:style w:type="paragraph" w:styleId="37">
    <w:name w:val="List 4"/>
    <w:basedOn w:val="1"/>
    <w:qFormat/>
    <w:uiPriority w:val="0"/>
    <w:pPr>
      <w:ind w:left="600" w:leftChars="600" w:hanging="200" w:hangingChars="200"/>
    </w:pPr>
    <w:rPr>
      <w:sz w:val="28"/>
      <w:szCs w:val="28"/>
    </w:rPr>
  </w:style>
  <w:style w:type="paragraph" w:styleId="38">
    <w:name w:val="HTML Preformatted"/>
    <w:basedOn w:val="1"/>
    <w:link w:val="11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18"/>
      <w:szCs w:val="18"/>
    </w:rPr>
  </w:style>
  <w:style w:type="paragraph" w:styleId="39">
    <w:name w:val="Normal (Web)"/>
    <w:basedOn w:val="1"/>
    <w:qFormat/>
    <w:uiPriority w:val="99"/>
    <w:pPr>
      <w:spacing w:before="100" w:beforeAutospacing="1" w:after="100" w:afterAutospacing="1"/>
    </w:pPr>
    <w:rPr>
      <w:rFonts w:ascii="宋体" w:hAnsi="宋体" w:cs="宋体"/>
      <w:kern w:val="0"/>
      <w:sz w:val="24"/>
      <w:szCs w:val="24"/>
    </w:rPr>
  </w:style>
  <w:style w:type="paragraph" w:styleId="40">
    <w:name w:val="Title"/>
    <w:basedOn w:val="1"/>
    <w:link w:val="92"/>
    <w:qFormat/>
    <w:uiPriority w:val="0"/>
    <w:pPr>
      <w:overflowPunct w:val="0"/>
      <w:autoSpaceDE w:val="0"/>
      <w:autoSpaceDN w:val="0"/>
      <w:adjustRightInd w:val="0"/>
      <w:jc w:val="center"/>
    </w:pPr>
    <w:rPr>
      <w:rFonts w:ascii="宋体" w:hAnsi="宋体"/>
      <w:b/>
      <w:bCs/>
      <w:kern w:val="0"/>
      <w:sz w:val="24"/>
      <w:szCs w:val="24"/>
      <w:lang w:val="en-GB"/>
    </w:rPr>
  </w:style>
  <w:style w:type="character" w:styleId="42">
    <w:name w:val="Strong"/>
    <w:qFormat/>
    <w:uiPriority w:val="22"/>
    <w:rPr>
      <w:rFonts w:hint="default" w:ascii="Times New Roman" w:hAnsi="Times New Roman" w:cs="Times New Roman"/>
      <w:b/>
      <w:bCs/>
    </w:rPr>
  </w:style>
  <w:style w:type="character" w:styleId="43">
    <w:name w:val="endnote reference"/>
    <w:qFormat/>
    <w:uiPriority w:val="0"/>
    <w:rPr>
      <w:vertAlign w:val="superscript"/>
    </w:rPr>
  </w:style>
  <w:style w:type="character" w:styleId="44">
    <w:name w:val="page number"/>
    <w:qFormat/>
    <w:uiPriority w:val="0"/>
    <w:rPr>
      <w:rFonts w:hint="default" w:ascii="Times New Roman" w:hAnsi="Times New Roman" w:cs="Times New Roman"/>
    </w:rPr>
  </w:style>
  <w:style w:type="character" w:styleId="45">
    <w:name w:val="line number"/>
    <w:qFormat/>
    <w:uiPriority w:val="0"/>
    <w:rPr>
      <w:rFonts w:hint="default" w:ascii="Times New Roman" w:hAnsi="Times New Roman" w:cs="Times New Roman"/>
    </w:rPr>
  </w:style>
  <w:style w:type="character" w:styleId="46">
    <w:name w:val="Hyperlink"/>
    <w:qFormat/>
    <w:uiPriority w:val="0"/>
    <w:rPr>
      <w:rFonts w:hint="default" w:ascii="Times New Roman" w:hAnsi="Times New Roman" w:cs="Times New Roman"/>
      <w:color w:val="0000FF"/>
      <w:u w:val="single"/>
    </w:rPr>
  </w:style>
  <w:style w:type="character" w:styleId="47">
    <w:name w:val="annotation reference"/>
    <w:qFormat/>
    <w:uiPriority w:val="99"/>
    <w:rPr>
      <w:sz w:val="21"/>
      <w:szCs w:val="21"/>
    </w:rPr>
  </w:style>
  <w:style w:type="character" w:styleId="48">
    <w:name w:val="footnote reference"/>
    <w:qFormat/>
    <w:uiPriority w:val="0"/>
    <w:rPr>
      <w:vertAlign w:val="superscript"/>
    </w:rPr>
  </w:style>
  <w:style w:type="table" w:styleId="50">
    <w:name w:val="Table Grid"/>
    <w:basedOn w:val="4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1">
    <w:name w:val="标题 1 Char"/>
    <w:link w:val="2"/>
    <w:qFormat/>
    <w:uiPriority w:val="9"/>
    <w:rPr>
      <w:rFonts w:ascii="宋体" w:hAnsi="宋体" w:eastAsia="宋体" w:cs="宋体"/>
      <w:b/>
      <w:bCs/>
      <w:kern w:val="2"/>
      <w:sz w:val="24"/>
      <w:szCs w:val="24"/>
      <w:lang w:val="en-US" w:eastAsia="zh-CN" w:bidi="ar-SA"/>
    </w:rPr>
  </w:style>
  <w:style w:type="character" w:customStyle="1" w:styleId="52">
    <w:name w:val="标题 2 Char"/>
    <w:link w:val="3"/>
    <w:qFormat/>
    <w:uiPriority w:val="0"/>
    <w:rPr>
      <w:rFonts w:ascii="Arial" w:hAnsi="Arial" w:eastAsia="黑体" w:cs="Arial"/>
      <w:b/>
      <w:bCs/>
      <w:kern w:val="2"/>
      <w:sz w:val="32"/>
      <w:szCs w:val="32"/>
      <w:lang w:val="en-US" w:eastAsia="zh-CN" w:bidi="ar-SA"/>
    </w:rPr>
  </w:style>
  <w:style w:type="character" w:customStyle="1" w:styleId="53">
    <w:name w:val="标题 3 Char"/>
    <w:link w:val="4"/>
    <w:qFormat/>
    <w:uiPriority w:val="9"/>
    <w:rPr>
      <w:rFonts w:eastAsia="宋体"/>
      <w:b/>
      <w:bCs/>
      <w:kern w:val="2"/>
      <w:sz w:val="32"/>
      <w:szCs w:val="32"/>
      <w:lang w:val="en-US" w:eastAsia="zh-CN" w:bidi="ar-SA"/>
    </w:rPr>
  </w:style>
  <w:style w:type="character" w:customStyle="1" w:styleId="54">
    <w:name w:val="标题 4 Char"/>
    <w:link w:val="5"/>
    <w:qFormat/>
    <w:uiPriority w:val="0"/>
    <w:rPr>
      <w:rFonts w:ascii="Arial" w:hAnsi="Arial" w:eastAsia="黑体" w:cs="Arial"/>
      <w:b/>
      <w:bCs/>
      <w:kern w:val="2"/>
      <w:sz w:val="28"/>
      <w:szCs w:val="28"/>
      <w:lang w:val="zh-CN" w:eastAsia="zh-CN" w:bidi="ar-SA"/>
    </w:rPr>
  </w:style>
  <w:style w:type="character" w:customStyle="1" w:styleId="55">
    <w:name w:val="标题 5 Char"/>
    <w:link w:val="6"/>
    <w:qFormat/>
    <w:uiPriority w:val="0"/>
    <w:rPr>
      <w:rFonts w:eastAsia="宋体"/>
      <w:b/>
      <w:bCs/>
      <w:kern w:val="2"/>
      <w:sz w:val="28"/>
      <w:szCs w:val="28"/>
      <w:lang w:val="en-US" w:eastAsia="zh-CN" w:bidi="ar-SA"/>
    </w:rPr>
  </w:style>
  <w:style w:type="character" w:customStyle="1" w:styleId="56">
    <w:name w:val="标题 6 Char"/>
    <w:link w:val="7"/>
    <w:qFormat/>
    <w:uiPriority w:val="0"/>
    <w:rPr>
      <w:rFonts w:ascii="Arial" w:hAnsi="Arial" w:eastAsia="黑体" w:cs="Arial"/>
      <w:b/>
      <w:bCs/>
      <w:kern w:val="2"/>
      <w:sz w:val="24"/>
      <w:szCs w:val="24"/>
      <w:lang w:val="en-US" w:eastAsia="zh-CN" w:bidi="ar-SA"/>
    </w:rPr>
  </w:style>
  <w:style w:type="character" w:customStyle="1" w:styleId="57">
    <w:name w:val="标题 7 Char"/>
    <w:link w:val="8"/>
    <w:qFormat/>
    <w:uiPriority w:val="0"/>
    <w:rPr>
      <w:rFonts w:eastAsia="宋体"/>
      <w:b/>
      <w:bCs/>
      <w:kern w:val="2"/>
      <w:sz w:val="24"/>
      <w:szCs w:val="24"/>
      <w:lang w:val="en-US" w:eastAsia="zh-CN" w:bidi="ar-SA"/>
    </w:rPr>
  </w:style>
  <w:style w:type="character" w:customStyle="1" w:styleId="58">
    <w:name w:val="标题 8 Char"/>
    <w:link w:val="9"/>
    <w:qFormat/>
    <w:uiPriority w:val="0"/>
    <w:rPr>
      <w:rFonts w:ascii="Arial" w:hAnsi="Arial" w:eastAsia="黑体" w:cs="Arial"/>
      <w:kern w:val="2"/>
      <w:sz w:val="24"/>
      <w:szCs w:val="24"/>
      <w:lang w:val="en-US" w:eastAsia="zh-CN" w:bidi="ar-SA"/>
    </w:rPr>
  </w:style>
  <w:style w:type="character" w:customStyle="1" w:styleId="59">
    <w:name w:val="标题 9 Char"/>
    <w:link w:val="10"/>
    <w:qFormat/>
    <w:uiPriority w:val="0"/>
    <w:rPr>
      <w:rFonts w:ascii="Arial" w:hAnsi="Arial" w:eastAsia="黑体" w:cs="Arial"/>
      <w:kern w:val="2"/>
      <w:sz w:val="21"/>
      <w:szCs w:val="21"/>
      <w:lang w:val="en-US" w:eastAsia="zh-CN" w:bidi="ar-SA"/>
    </w:rPr>
  </w:style>
  <w:style w:type="character" w:customStyle="1" w:styleId="60">
    <w:name w:val="日期 Char"/>
    <w:link w:val="25"/>
    <w:qFormat/>
    <w:uiPriority w:val="0"/>
    <w:rPr>
      <w:rFonts w:ascii="黑体" w:eastAsia="黑体" w:cs="黑体"/>
      <w:spacing w:val="4"/>
      <w:kern w:val="2"/>
      <w:sz w:val="24"/>
      <w:szCs w:val="24"/>
      <w:lang w:val="en-US" w:eastAsia="zh-CN" w:bidi="ar-SA"/>
    </w:rPr>
  </w:style>
  <w:style w:type="character" w:customStyle="1" w:styleId="61">
    <w:name w:val="批注文字 Char"/>
    <w:link w:val="12"/>
    <w:qFormat/>
    <w:uiPriority w:val="99"/>
    <w:rPr>
      <w:rFonts w:ascii="宋体" w:hAnsi="宋体" w:eastAsia="宋体"/>
      <w:kern w:val="2"/>
      <w:sz w:val="21"/>
      <w:szCs w:val="21"/>
      <w:lang w:val="en-US" w:eastAsia="zh-CN" w:bidi="ar-SA"/>
    </w:rPr>
  </w:style>
  <w:style w:type="character" w:customStyle="1" w:styleId="62">
    <w:name w:val="正文文本 Char"/>
    <w:link w:val="14"/>
    <w:qFormat/>
    <w:uiPriority w:val="0"/>
    <w:rPr>
      <w:rFonts w:ascii="宋体" w:hAnsi="宋体" w:eastAsia="宋体" w:cs="宋体"/>
      <w:kern w:val="2"/>
      <w:sz w:val="28"/>
      <w:szCs w:val="28"/>
      <w:lang w:val="en-US" w:eastAsia="zh-CN" w:bidi="ar-SA"/>
    </w:rPr>
  </w:style>
  <w:style w:type="character" w:customStyle="1" w:styleId="63">
    <w:name w:val="样式 正文缩进 + 首行缩进:  2 字符 Char Char"/>
    <w:link w:val="64"/>
    <w:qFormat/>
    <w:uiPriority w:val="0"/>
    <w:rPr>
      <w:rFonts w:ascii="宋体" w:hAnsi="宋体"/>
      <w:sz w:val="24"/>
    </w:rPr>
  </w:style>
  <w:style w:type="paragraph" w:customStyle="1" w:styleId="64">
    <w:name w:val="样式 正文缩进 + 首行缩进:  2 字符"/>
    <w:basedOn w:val="16"/>
    <w:link w:val="63"/>
    <w:qFormat/>
    <w:uiPriority w:val="0"/>
    <w:pPr>
      <w:widowControl w:val="0"/>
      <w:spacing w:before="0" w:beforeAutospacing="0" w:after="80" w:afterAutospacing="0" w:line="360" w:lineRule="auto"/>
      <w:ind w:firstLine="480" w:firstLineChars="200"/>
      <w:jc w:val="both"/>
    </w:pPr>
    <w:rPr>
      <w:rFonts w:cs="Times New Roman"/>
      <w:szCs w:val="20"/>
    </w:rPr>
  </w:style>
  <w:style w:type="character" w:customStyle="1" w:styleId="65">
    <w:name w:val="正文缩进 Char"/>
    <w:link w:val="16"/>
    <w:qFormat/>
    <w:uiPriority w:val="0"/>
    <w:rPr>
      <w:rFonts w:ascii="宋体" w:hAnsi="宋体" w:eastAsia="宋体" w:cs="宋体"/>
      <w:sz w:val="24"/>
      <w:szCs w:val="24"/>
      <w:lang w:val="en-US" w:eastAsia="zh-CN" w:bidi="ar-SA"/>
    </w:rPr>
  </w:style>
  <w:style w:type="character" w:customStyle="1" w:styleId="66">
    <w:name w:val="showtitlebodycontent1"/>
    <w:qFormat/>
    <w:uiPriority w:val="0"/>
    <w:rPr>
      <w:sz w:val="21"/>
    </w:rPr>
  </w:style>
  <w:style w:type="character" w:customStyle="1" w:styleId="67">
    <w:name w:val="unnamed11"/>
    <w:qFormat/>
    <w:uiPriority w:val="0"/>
    <w:rPr>
      <w:rFonts w:hint="default" w:ascii="Times New Roman" w:hAnsi="Times New Roman" w:cs="Times New Roman"/>
      <w:sz w:val="20"/>
      <w:szCs w:val="20"/>
    </w:rPr>
  </w:style>
  <w:style w:type="character" w:customStyle="1" w:styleId="68">
    <w:name w:val="FA正文 Char Char"/>
    <w:link w:val="69"/>
    <w:qFormat/>
    <w:uiPriority w:val="0"/>
    <w:rPr>
      <w:rFonts w:ascii="宋体" w:hAnsi="宋体" w:eastAsia="宋体"/>
      <w:kern w:val="2"/>
      <w:sz w:val="24"/>
      <w:szCs w:val="24"/>
      <w:lang w:bidi="ar-SA"/>
    </w:rPr>
  </w:style>
  <w:style w:type="paragraph" w:customStyle="1" w:styleId="69">
    <w:name w:val="FA正文"/>
    <w:basedOn w:val="1"/>
    <w:link w:val="68"/>
    <w:qFormat/>
    <w:uiPriority w:val="0"/>
    <w:pPr>
      <w:spacing w:line="360" w:lineRule="auto"/>
      <w:ind w:firstLine="480" w:firstLineChars="200"/>
    </w:pPr>
    <w:rPr>
      <w:rFonts w:ascii="宋体" w:hAnsi="宋体"/>
      <w:sz w:val="24"/>
      <w:szCs w:val="24"/>
    </w:rPr>
  </w:style>
  <w:style w:type="character" w:customStyle="1" w:styleId="70">
    <w:name w:val="尾注文本 Char"/>
    <w:link w:val="27"/>
    <w:qFormat/>
    <w:uiPriority w:val="0"/>
    <w:rPr>
      <w:szCs w:val="24"/>
    </w:rPr>
  </w:style>
  <w:style w:type="character" w:customStyle="1" w:styleId="71">
    <w:name w:val="正文文本 Char1"/>
    <w:qFormat/>
    <w:uiPriority w:val="99"/>
    <w:rPr>
      <w:kern w:val="2"/>
      <w:sz w:val="21"/>
      <w:szCs w:val="22"/>
    </w:rPr>
  </w:style>
  <w:style w:type="character" w:customStyle="1" w:styleId="72">
    <w:name w:val="正文文本缩进 3 Char"/>
    <w:link w:val="34"/>
    <w:qFormat/>
    <w:uiPriority w:val="0"/>
    <w:rPr>
      <w:rFonts w:ascii="宋体" w:hAnsi="宋体" w:eastAsia="宋体"/>
      <w:kern w:val="2"/>
      <w:sz w:val="16"/>
      <w:szCs w:val="16"/>
      <w:lang w:val="en-US" w:eastAsia="zh-CN" w:bidi="ar-SA"/>
    </w:rPr>
  </w:style>
  <w:style w:type="character" w:customStyle="1" w:styleId="73">
    <w:name w:val="脚注文本 Char1"/>
    <w:qFormat/>
    <w:uiPriority w:val="99"/>
    <w:rPr>
      <w:kern w:val="2"/>
      <w:sz w:val="18"/>
      <w:szCs w:val="18"/>
    </w:rPr>
  </w:style>
  <w:style w:type="character" w:customStyle="1" w:styleId="74">
    <w:name w:val="普通文字 Char2"/>
    <w:qFormat/>
    <w:uiPriority w:val="0"/>
    <w:rPr>
      <w:rFonts w:ascii="宋体" w:hAnsi="Courier New" w:cs="宋体"/>
      <w:kern w:val="2"/>
      <w:sz w:val="21"/>
      <w:szCs w:val="21"/>
    </w:rPr>
  </w:style>
  <w:style w:type="character" w:customStyle="1" w:styleId="75">
    <w:name w:val="shadow11"/>
    <w:qFormat/>
    <w:uiPriority w:val="0"/>
    <w:rPr>
      <w:rFonts w:hint="default" w:ascii="Times New Roman" w:hAnsi="Times New Roman" w:cs="Times New Roman"/>
      <w:color w:val="000000"/>
      <w:sz w:val="21"/>
      <w:szCs w:val="21"/>
    </w:rPr>
  </w:style>
  <w:style w:type="character" w:customStyle="1" w:styleId="76">
    <w:name w:val="访问过的超链接1"/>
    <w:qFormat/>
    <w:uiPriority w:val="0"/>
    <w:rPr>
      <w:rFonts w:hint="default" w:ascii="Times New Roman" w:hAnsi="Times New Roman" w:cs="Times New Roman"/>
      <w:color w:val="800080"/>
      <w:u w:val="single"/>
    </w:rPr>
  </w:style>
  <w:style w:type="character" w:customStyle="1" w:styleId="77">
    <w:name w:val="脚注文本 Char2"/>
    <w:qFormat/>
    <w:uiPriority w:val="0"/>
    <w:rPr>
      <w:kern w:val="2"/>
      <w:sz w:val="18"/>
      <w:szCs w:val="18"/>
    </w:rPr>
  </w:style>
  <w:style w:type="character" w:customStyle="1" w:styleId="78">
    <w:name w:val="批注主题 Char"/>
    <w:link w:val="11"/>
    <w:qFormat/>
    <w:uiPriority w:val="99"/>
    <w:rPr>
      <w:rFonts w:ascii="宋体" w:hAnsi="宋体" w:eastAsia="宋体"/>
      <w:b/>
      <w:bCs/>
      <w:kern w:val="2"/>
      <w:sz w:val="21"/>
      <w:szCs w:val="21"/>
      <w:lang w:val="en-US" w:eastAsia="zh-CN" w:bidi="ar-SA"/>
    </w:rPr>
  </w:style>
  <w:style w:type="character" w:customStyle="1" w:styleId="79">
    <w:name w:val="文档结构图 Char1"/>
    <w:qFormat/>
    <w:uiPriority w:val="99"/>
    <w:rPr>
      <w:rFonts w:ascii="宋体"/>
      <w:kern w:val="2"/>
      <w:sz w:val="18"/>
      <w:szCs w:val="18"/>
    </w:rPr>
  </w:style>
  <w:style w:type="character" w:customStyle="1" w:styleId="80">
    <w:name w:val="标题 Char1"/>
    <w:qFormat/>
    <w:uiPriority w:val="10"/>
    <w:rPr>
      <w:rFonts w:ascii="Cambria" w:hAnsi="Cambria" w:cs="Times New Roman"/>
      <w:b/>
      <w:bCs/>
      <w:kern w:val="2"/>
      <w:sz w:val="32"/>
      <w:szCs w:val="32"/>
    </w:rPr>
  </w:style>
  <w:style w:type="character" w:customStyle="1" w:styleId="81">
    <w:name w:val="尾注文本 Char1"/>
    <w:qFormat/>
    <w:uiPriority w:val="99"/>
    <w:rPr>
      <w:kern w:val="2"/>
      <w:sz w:val="21"/>
      <w:szCs w:val="21"/>
    </w:rPr>
  </w:style>
  <w:style w:type="character" w:customStyle="1" w:styleId="82">
    <w:name w:val="页眉 Char"/>
    <w:link w:val="30"/>
    <w:qFormat/>
    <w:uiPriority w:val="99"/>
    <w:rPr>
      <w:rFonts w:ascii="宋体" w:hAnsi="宋体" w:eastAsia="宋体"/>
      <w:kern w:val="2"/>
      <w:sz w:val="18"/>
      <w:szCs w:val="18"/>
      <w:lang w:val="en-US" w:eastAsia="zh-CN" w:bidi="ar-SA"/>
    </w:rPr>
  </w:style>
  <w:style w:type="character" w:customStyle="1" w:styleId="83">
    <w:name w:val="正文文本 3 Char"/>
    <w:link w:val="20"/>
    <w:qFormat/>
    <w:uiPriority w:val="0"/>
    <w:rPr>
      <w:rFonts w:ascii="宋体" w:hAnsi="宋体" w:eastAsia="宋体"/>
      <w:kern w:val="2"/>
      <w:sz w:val="16"/>
      <w:szCs w:val="16"/>
      <w:lang w:val="en-US" w:eastAsia="zh-CN" w:bidi="ar-SA"/>
    </w:rPr>
  </w:style>
  <w:style w:type="character" w:customStyle="1" w:styleId="84">
    <w:name w:val="正文文本缩进 Char"/>
    <w:link w:val="21"/>
    <w:qFormat/>
    <w:uiPriority w:val="0"/>
    <w:rPr>
      <w:rFonts w:ascii="宋体" w:hAnsi="宋体" w:eastAsia="宋体"/>
      <w:kern w:val="2"/>
      <w:sz w:val="28"/>
      <w:szCs w:val="28"/>
      <w:lang w:val="en-US" w:eastAsia="zh-CN" w:bidi="ar-SA"/>
    </w:rPr>
  </w:style>
  <w:style w:type="character" w:customStyle="1" w:styleId="85">
    <w:name w:val="文档结构图 Char"/>
    <w:link w:val="18"/>
    <w:qFormat/>
    <w:uiPriority w:val="0"/>
    <w:rPr>
      <w:rFonts w:ascii="宋体" w:hAnsi="宋体" w:eastAsia="宋体"/>
      <w:b/>
      <w:bCs/>
      <w:kern w:val="2"/>
      <w:sz w:val="32"/>
      <w:szCs w:val="32"/>
      <w:lang w:val="en-US" w:eastAsia="zh-CN" w:bidi="ar-SA"/>
    </w:rPr>
  </w:style>
  <w:style w:type="character" w:customStyle="1" w:styleId="86">
    <w:name w:val="正文说明 Char Char"/>
    <w:link w:val="87"/>
    <w:qFormat/>
    <w:uiPriority w:val="0"/>
    <w:rPr>
      <w:rFonts w:ascii="宋体" w:hAnsi="宋体"/>
      <w:kern w:val="2"/>
      <w:sz w:val="24"/>
      <w:szCs w:val="24"/>
    </w:rPr>
  </w:style>
  <w:style w:type="paragraph" w:customStyle="1" w:styleId="87">
    <w:name w:val="正文说明"/>
    <w:basedOn w:val="1"/>
    <w:link w:val="86"/>
    <w:qFormat/>
    <w:uiPriority w:val="0"/>
    <w:pPr>
      <w:spacing w:line="360" w:lineRule="auto"/>
    </w:pPr>
    <w:rPr>
      <w:rFonts w:ascii="宋体" w:hAnsi="宋体"/>
      <w:sz w:val="24"/>
      <w:szCs w:val="24"/>
    </w:rPr>
  </w:style>
  <w:style w:type="character" w:customStyle="1" w:styleId="88">
    <w:name w:val="标题 1 Char Char"/>
    <w:qFormat/>
    <w:uiPriority w:val="0"/>
    <w:rPr>
      <w:rFonts w:hint="eastAsia" w:ascii="宋体" w:hAnsi="宋体" w:eastAsia="宋体"/>
      <w:b/>
      <w:spacing w:val="-2"/>
      <w:sz w:val="24"/>
      <w:lang w:val="en-US" w:eastAsia="zh-CN"/>
    </w:rPr>
  </w:style>
  <w:style w:type="character" w:customStyle="1" w:styleId="89">
    <w:name w:val="纯文本 Char Char Char Char"/>
    <w:qFormat/>
    <w:uiPriority w:val="0"/>
    <w:rPr>
      <w:rFonts w:ascii="宋体" w:hAnsi="Courier New" w:eastAsia="宋体" w:cs="Courier New"/>
      <w:kern w:val="2"/>
      <w:sz w:val="21"/>
      <w:szCs w:val="21"/>
      <w:lang w:val="en-US" w:eastAsia="zh-CN" w:bidi="ar-SA"/>
    </w:rPr>
  </w:style>
  <w:style w:type="character" w:customStyle="1" w:styleId="90">
    <w:name w:val="彩色列表 - 强调文字颜色 1 Char Char Char"/>
    <w:link w:val="91"/>
    <w:qFormat/>
    <w:uiPriority w:val="34"/>
    <w:rPr>
      <w:kern w:val="2"/>
      <w:sz w:val="21"/>
      <w:szCs w:val="21"/>
    </w:rPr>
  </w:style>
  <w:style w:type="paragraph" w:customStyle="1" w:styleId="91">
    <w:name w:val="彩色列表 - 强调文字颜色 11"/>
    <w:basedOn w:val="1"/>
    <w:link w:val="90"/>
    <w:qFormat/>
    <w:uiPriority w:val="34"/>
    <w:pPr>
      <w:ind w:firstLine="420" w:firstLineChars="200"/>
    </w:pPr>
  </w:style>
  <w:style w:type="character" w:customStyle="1" w:styleId="92">
    <w:name w:val="标题 Char"/>
    <w:link w:val="40"/>
    <w:qFormat/>
    <w:uiPriority w:val="0"/>
    <w:rPr>
      <w:rFonts w:ascii="宋体" w:hAnsi="宋体" w:eastAsia="宋体"/>
      <w:b/>
      <w:bCs/>
      <w:sz w:val="24"/>
      <w:szCs w:val="24"/>
      <w:lang w:val="en-GB" w:eastAsia="zh-CN" w:bidi="ar-SA"/>
    </w:rPr>
  </w:style>
  <w:style w:type="character" w:customStyle="1" w:styleId="93">
    <w:name w:val="批注框文本 Char"/>
    <w:link w:val="28"/>
    <w:qFormat/>
    <w:uiPriority w:val="99"/>
    <w:rPr>
      <w:kern w:val="2"/>
      <w:sz w:val="18"/>
      <w:szCs w:val="18"/>
    </w:rPr>
  </w:style>
  <w:style w:type="character" w:customStyle="1" w:styleId="94">
    <w:name w:val="纯文本 Char"/>
    <w:link w:val="24"/>
    <w:qFormat/>
    <w:uiPriority w:val="0"/>
    <w:rPr>
      <w:rFonts w:ascii="宋体" w:hAnsi="Courier New" w:eastAsia="宋体" w:cs="宋体"/>
      <w:kern w:val="2"/>
      <w:sz w:val="21"/>
      <w:szCs w:val="21"/>
      <w:lang w:val="en-US" w:eastAsia="zh-CN" w:bidi="ar-SA"/>
    </w:rPr>
  </w:style>
  <w:style w:type="character" w:customStyle="1" w:styleId="95">
    <w:name w:val="正文文本缩进 2 Char1"/>
    <w:qFormat/>
    <w:uiPriority w:val="99"/>
    <w:rPr>
      <w:kern w:val="2"/>
      <w:sz w:val="21"/>
      <w:szCs w:val="22"/>
    </w:rPr>
  </w:style>
  <w:style w:type="character" w:customStyle="1" w:styleId="96">
    <w:name w:val="正文首行缩进 Char"/>
    <w:link w:val="13"/>
    <w:qFormat/>
    <w:uiPriority w:val="0"/>
    <w:rPr>
      <w:rFonts w:ascii="宋体" w:hAnsi="宋体" w:eastAsia="宋体" w:cs="宋体"/>
      <w:kern w:val="2"/>
      <w:sz w:val="24"/>
      <w:szCs w:val="24"/>
      <w:lang w:val="zh-CN" w:eastAsia="zh-CN" w:bidi="ar-SA"/>
    </w:rPr>
  </w:style>
  <w:style w:type="character" w:customStyle="1" w:styleId="97">
    <w:name w:val="unnamed51"/>
    <w:qFormat/>
    <w:uiPriority w:val="0"/>
    <w:rPr>
      <w:sz w:val="22"/>
      <w:szCs w:val="22"/>
    </w:rPr>
  </w:style>
  <w:style w:type="character" w:customStyle="1" w:styleId="98">
    <w:name w:val="HTML 预设格式 Char1"/>
    <w:qFormat/>
    <w:uiPriority w:val="99"/>
    <w:rPr>
      <w:rFonts w:ascii="Courier New" w:hAnsi="Courier New" w:cs="Courier New"/>
      <w:kern w:val="2"/>
    </w:rPr>
  </w:style>
  <w:style w:type="character" w:customStyle="1" w:styleId="99">
    <w:name w:val="页脚 Char"/>
    <w:link w:val="29"/>
    <w:qFormat/>
    <w:uiPriority w:val="99"/>
    <w:rPr>
      <w:rFonts w:ascii="宋体" w:hAnsi="宋体" w:eastAsia="宋体"/>
      <w:kern w:val="2"/>
      <w:sz w:val="18"/>
      <w:szCs w:val="18"/>
      <w:lang w:val="en-US" w:eastAsia="zh-CN" w:bidi="ar-SA"/>
    </w:rPr>
  </w:style>
  <w:style w:type="character" w:customStyle="1" w:styleId="100">
    <w:name w:val="正文文本缩进 3 Char1"/>
    <w:qFormat/>
    <w:uiPriority w:val="99"/>
    <w:rPr>
      <w:kern w:val="2"/>
      <w:sz w:val="16"/>
      <w:szCs w:val="16"/>
    </w:rPr>
  </w:style>
  <w:style w:type="character" w:customStyle="1" w:styleId="101">
    <w:name w:val="表格名称[858D7CFB-ED40-4347-BF05-701D383B685F]"/>
    <w:link w:val="102"/>
    <w:qFormat/>
    <w:uiPriority w:val="0"/>
    <w:rPr>
      <w:rFonts w:ascii="宋体" w:hAnsi="宋体"/>
      <w:sz w:val="32"/>
    </w:rPr>
  </w:style>
  <w:style w:type="paragraph" w:customStyle="1" w:styleId="102">
    <w:name w:val="表格名称"/>
    <w:basedOn w:val="3"/>
    <w:link w:val="101"/>
    <w:qFormat/>
    <w:uiPriority w:val="0"/>
    <w:pPr>
      <w:snapToGrid w:val="0"/>
      <w:spacing w:before="240" w:after="240" w:line="240" w:lineRule="auto"/>
      <w:jc w:val="center"/>
    </w:pPr>
    <w:rPr>
      <w:rFonts w:ascii="宋体" w:hAnsi="宋体" w:eastAsia="宋体" w:cs="Times New Roman"/>
      <w:b w:val="0"/>
      <w:bCs w:val="0"/>
      <w:kern w:val="0"/>
      <w:szCs w:val="20"/>
    </w:rPr>
  </w:style>
  <w:style w:type="character" w:customStyle="1" w:styleId="103">
    <w:name w:val="称呼 Char1"/>
    <w:qFormat/>
    <w:uiPriority w:val="99"/>
    <w:rPr>
      <w:kern w:val="2"/>
      <w:sz w:val="21"/>
      <w:szCs w:val="22"/>
    </w:rPr>
  </w:style>
  <w:style w:type="character" w:customStyle="1" w:styleId="104">
    <w:name w:val="DN-正文 Char Char"/>
    <w:link w:val="105"/>
    <w:qFormat/>
    <w:uiPriority w:val="0"/>
  </w:style>
  <w:style w:type="paragraph" w:customStyle="1" w:styleId="105">
    <w:name w:val="DN-正文"/>
    <w:basedOn w:val="16"/>
    <w:link w:val="104"/>
    <w:qFormat/>
    <w:uiPriority w:val="0"/>
    <w:pPr>
      <w:widowControl w:val="0"/>
      <w:spacing w:before="0" w:beforeAutospacing="0" w:after="0" w:afterAutospacing="0" w:line="400" w:lineRule="exact"/>
      <w:ind w:firstLine="200" w:firstLineChars="200"/>
      <w:jc w:val="both"/>
    </w:pPr>
    <w:rPr>
      <w:rFonts w:ascii="Times New Roman" w:hAnsi="Times New Roman" w:cs="Times New Roman"/>
      <w:sz w:val="20"/>
      <w:szCs w:val="20"/>
    </w:rPr>
  </w:style>
  <w:style w:type="character" w:customStyle="1" w:styleId="106">
    <w:name w:val="正文文本缩进 Char1"/>
    <w:qFormat/>
    <w:uiPriority w:val="99"/>
    <w:rPr>
      <w:kern w:val="2"/>
      <w:sz w:val="21"/>
      <w:szCs w:val="22"/>
    </w:rPr>
  </w:style>
  <w:style w:type="character" w:customStyle="1" w:styleId="107">
    <w:name w:val="md"/>
    <w:qFormat/>
    <w:uiPriority w:val="0"/>
    <w:rPr>
      <w:rFonts w:hint="default" w:ascii="Times New Roman" w:hAnsi="Times New Roman" w:cs="Times New Roman"/>
    </w:rPr>
  </w:style>
  <w:style w:type="character" w:customStyle="1" w:styleId="108">
    <w:name w:val="f141"/>
    <w:qFormat/>
    <w:uiPriority w:val="0"/>
    <w:rPr>
      <w:sz w:val="21"/>
      <w:szCs w:val="21"/>
    </w:rPr>
  </w:style>
  <w:style w:type="character" w:customStyle="1" w:styleId="109">
    <w:name w:val="页脚 Char1"/>
    <w:qFormat/>
    <w:uiPriority w:val="99"/>
    <w:rPr>
      <w:kern w:val="2"/>
      <w:sz w:val="18"/>
      <w:szCs w:val="18"/>
    </w:rPr>
  </w:style>
  <w:style w:type="character" w:customStyle="1" w:styleId="110">
    <w:name w:val="dectext1"/>
    <w:qFormat/>
    <w:uiPriority w:val="0"/>
    <w:rPr>
      <w:rFonts w:hint="eastAsia" w:ascii="宋体" w:hAnsi="宋体" w:eastAsia="宋体" w:cs="宋体"/>
      <w:color w:val="auto"/>
      <w:sz w:val="21"/>
      <w:szCs w:val="21"/>
      <w:u w:val="none"/>
    </w:rPr>
  </w:style>
  <w:style w:type="character" w:customStyle="1" w:styleId="111">
    <w:name w:val="脚注文本 Char"/>
    <w:link w:val="33"/>
    <w:qFormat/>
    <w:uiPriority w:val="0"/>
    <w:rPr>
      <w:sz w:val="18"/>
      <w:szCs w:val="18"/>
    </w:rPr>
  </w:style>
  <w:style w:type="character" w:customStyle="1" w:styleId="112">
    <w:name w:val="gf正文1 Char Char"/>
    <w:link w:val="113"/>
    <w:qFormat/>
    <w:uiPriority w:val="0"/>
    <w:rPr>
      <w:rFonts w:ascii="宋体" w:hAnsi="宋体" w:eastAsia="宋体"/>
      <w:kern w:val="2"/>
      <w:sz w:val="24"/>
      <w:szCs w:val="24"/>
      <w:lang w:val="en-US" w:eastAsia="zh-CN" w:bidi="ar-SA"/>
    </w:rPr>
  </w:style>
  <w:style w:type="paragraph" w:customStyle="1" w:styleId="113">
    <w:name w:val="gf正文1"/>
    <w:basedOn w:val="1"/>
    <w:link w:val="112"/>
    <w:qFormat/>
    <w:uiPriority w:val="0"/>
    <w:pPr>
      <w:adjustRightInd w:val="0"/>
      <w:snapToGrid w:val="0"/>
      <w:spacing w:beforeLines="50" w:line="360" w:lineRule="auto"/>
      <w:ind w:firstLine="480" w:firstLineChars="200"/>
    </w:pPr>
    <w:rPr>
      <w:rFonts w:ascii="宋体" w:hAnsi="宋体"/>
      <w:sz w:val="24"/>
      <w:szCs w:val="24"/>
    </w:rPr>
  </w:style>
  <w:style w:type="character" w:customStyle="1" w:styleId="114">
    <w:name w:val="正文文本 2 Char"/>
    <w:link w:val="36"/>
    <w:qFormat/>
    <w:uiPriority w:val="0"/>
    <w:rPr>
      <w:rFonts w:ascii="宋体" w:hAnsi="宋体" w:eastAsia="宋体"/>
      <w:sz w:val="24"/>
      <w:szCs w:val="24"/>
      <w:lang w:val="en-GB" w:eastAsia="zh-CN" w:bidi="ar-SA"/>
    </w:rPr>
  </w:style>
  <w:style w:type="character" w:customStyle="1" w:styleId="115">
    <w:name w:val="正文文本缩进 2 Char"/>
    <w:link w:val="26"/>
    <w:qFormat/>
    <w:uiPriority w:val="0"/>
    <w:rPr>
      <w:rFonts w:ascii="宋体" w:hAnsi="宋体" w:eastAsia="宋体" w:cs="宋体"/>
      <w:kern w:val="2"/>
      <w:sz w:val="21"/>
      <w:szCs w:val="21"/>
      <w:lang w:val="en-US" w:eastAsia="zh-CN" w:bidi="ar-SA"/>
    </w:rPr>
  </w:style>
  <w:style w:type="character" w:customStyle="1" w:styleId="116">
    <w:name w:val="正文文本 2 Char1"/>
    <w:qFormat/>
    <w:uiPriority w:val="99"/>
    <w:rPr>
      <w:kern w:val="2"/>
      <w:sz w:val="21"/>
      <w:szCs w:val="22"/>
    </w:rPr>
  </w:style>
  <w:style w:type="character" w:customStyle="1" w:styleId="117">
    <w:name w:val="HTML 预设格式 Char"/>
    <w:link w:val="38"/>
    <w:qFormat/>
    <w:uiPriority w:val="99"/>
    <w:rPr>
      <w:kern w:val="2"/>
      <w:sz w:val="18"/>
      <w:szCs w:val="18"/>
      <w:lang w:bidi="ar-SA"/>
    </w:rPr>
  </w:style>
  <w:style w:type="character" w:customStyle="1" w:styleId="118">
    <w:name w:val="正文2 Char Char Char"/>
    <w:qFormat/>
    <w:uiPriority w:val="0"/>
    <w:rPr>
      <w:kern w:val="2"/>
      <w:sz w:val="24"/>
      <w:szCs w:val="24"/>
    </w:rPr>
  </w:style>
  <w:style w:type="character" w:customStyle="1" w:styleId="119">
    <w:name w:val="样式1 Char Char"/>
    <w:link w:val="120"/>
    <w:qFormat/>
    <w:uiPriority w:val="0"/>
    <w:rPr>
      <w:rFonts w:ascii="宋体" w:hAnsi="宋体" w:cs="宋体"/>
      <w:sz w:val="24"/>
      <w:szCs w:val="24"/>
    </w:rPr>
  </w:style>
  <w:style w:type="paragraph" w:customStyle="1" w:styleId="120">
    <w:name w:val="样式1"/>
    <w:basedOn w:val="1"/>
    <w:link w:val="119"/>
    <w:qFormat/>
    <w:uiPriority w:val="0"/>
    <w:pPr>
      <w:tabs>
        <w:tab w:val="left" w:pos="1212"/>
        <w:tab w:val="left" w:pos="3888"/>
      </w:tabs>
      <w:snapToGrid w:val="0"/>
      <w:spacing w:line="336" w:lineRule="auto"/>
      <w:ind w:firstLine="432"/>
    </w:pPr>
    <w:rPr>
      <w:rFonts w:ascii="宋体" w:hAnsi="宋体"/>
      <w:kern w:val="0"/>
      <w:sz w:val="24"/>
      <w:szCs w:val="24"/>
    </w:rPr>
  </w:style>
  <w:style w:type="character" w:customStyle="1" w:styleId="121">
    <w:name w:val="普通文字 Char Char1"/>
    <w:qFormat/>
    <w:uiPriority w:val="99"/>
    <w:rPr>
      <w:rFonts w:ascii="宋体" w:hAnsi="Courier New"/>
      <w:kern w:val="2"/>
      <w:sz w:val="21"/>
    </w:rPr>
  </w:style>
  <w:style w:type="character" w:customStyle="1" w:styleId="122">
    <w:name w:val="结算规范正文 Char Char"/>
    <w:link w:val="123"/>
    <w:qFormat/>
    <w:uiPriority w:val="0"/>
    <w:rPr>
      <w:rFonts w:ascii="宋体" w:hAnsi="宋体" w:cs="宋体"/>
      <w:sz w:val="24"/>
    </w:rPr>
  </w:style>
  <w:style w:type="paragraph" w:customStyle="1" w:styleId="123">
    <w:name w:val="结算规范正文"/>
    <w:basedOn w:val="1"/>
    <w:link w:val="122"/>
    <w:qFormat/>
    <w:uiPriority w:val="0"/>
    <w:pPr>
      <w:adjustRightInd w:val="0"/>
      <w:spacing w:beforeLines="50" w:line="360" w:lineRule="auto"/>
      <w:ind w:firstLine="480" w:firstLineChars="200"/>
    </w:pPr>
    <w:rPr>
      <w:rFonts w:ascii="宋体" w:hAnsi="宋体"/>
      <w:kern w:val="0"/>
      <w:sz w:val="24"/>
      <w:szCs w:val="20"/>
    </w:rPr>
  </w:style>
  <w:style w:type="character" w:customStyle="1" w:styleId="124">
    <w:name w:val="content"/>
    <w:qFormat/>
    <w:uiPriority w:val="0"/>
    <w:rPr>
      <w:rFonts w:hint="default" w:ascii="Times New Roman" w:hAnsi="Times New Roman" w:cs="Times New Roman"/>
    </w:rPr>
  </w:style>
  <w:style w:type="character" w:customStyle="1" w:styleId="125">
    <w:name w:val="页眉 Char1"/>
    <w:qFormat/>
    <w:uiPriority w:val="99"/>
    <w:rPr>
      <w:kern w:val="2"/>
      <w:sz w:val="18"/>
      <w:szCs w:val="18"/>
    </w:rPr>
  </w:style>
  <w:style w:type="character" w:customStyle="1" w:styleId="126">
    <w:name w:val="批注主题 Char1"/>
    <w:qFormat/>
    <w:uiPriority w:val="99"/>
    <w:rPr>
      <w:rFonts w:ascii="宋体" w:hAnsi="宋体" w:eastAsia="宋体"/>
      <w:b/>
      <w:bCs/>
      <w:kern w:val="2"/>
      <w:sz w:val="21"/>
      <w:szCs w:val="21"/>
      <w:lang w:val="en-US" w:eastAsia="zh-CN" w:bidi="ar-SA"/>
    </w:rPr>
  </w:style>
  <w:style w:type="character" w:customStyle="1" w:styleId="127">
    <w:name w:val="称呼 Char"/>
    <w:link w:val="19"/>
    <w:qFormat/>
    <w:uiPriority w:val="0"/>
    <w:rPr>
      <w:rFonts w:ascii="宋体" w:hAnsi="宋体" w:eastAsia="宋体"/>
      <w:kern w:val="2"/>
      <w:sz w:val="24"/>
      <w:szCs w:val="24"/>
      <w:lang w:val="en-US" w:eastAsia="zh-CN" w:bidi="ar-SA"/>
    </w:rPr>
  </w:style>
  <w:style w:type="character" w:customStyle="1" w:styleId="128">
    <w:name w:val="正文2 Char Char"/>
    <w:link w:val="129"/>
    <w:qFormat/>
    <w:uiPriority w:val="0"/>
    <w:rPr>
      <w:kern w:val="2"/>
      <w:sz w:val="24"/>
      <w:szCs w:val="24"/>
    </w:rPr>
  </w:style>
  <w:style w:type="paragraph" w:customStyle="1" w:styleId="129">
    <w:name w:val="正文2"/>
    <w:basedOn w:val="1"/>
    <w:link w:val="128"/>
    <w:qFormat/>
    <w:uiPriority w:val="0"/>
    <w:pPr>
      <w:spacing w:before="156" w:line="360" w:lineRule="auto"/>
      <w:ind w:firstLine="510" w:firstLineChars="200"/>
    </w:pPr>
    <w:rPr>
      <w:sz w:val="24"/>
      <w:szCs w:val="24"/>
    </w:rPr>
  </w:style>
  <w:style w:type="character" w:customStyle="1" w:styleId="130">
    <w:name w:val="正文文本 3 Char1"/>
    <w:qFormat/>
    <w:uiPriority w:val="99"/>
    <w:rPr>
      <w:kern w:val="2"/>
      <w:sz w:val="16"/>
      <w:szCs w:val="16"/>
    </w:rPr>
  </w:style>
  <w:style w:type="character" w:customStyle="1" w:styleId="131">
    <w:name w:val="Char Char6"/>
    <w:link w:val="132"/>
    <w:qFormat/>
    <w:uiPriority w:val="0"/>
    <w:rPr>
      <w:rFonts w:ascii="宋体" w:hAnsi="Courier New" w:eastAsia="宋体"/>
      <w:kern w:val="2"/>
      <w:sz w:val="21"/>
      <w:szCs w:val="21"/>
      <w:lang w:val="en-US" w:eastAsia="zh-CN" w:bidi="ar-SA"/>
    </w:rPr>
  </w:style>
  <w:style w:type="paragraph" w:customStyle="1" w:styleId="132">
    <w:name w:val="Char3"/>
    <w:basedOn w:val="1"/>
    <w:link w:val="131"/>
    <w:qFormat/>
    <w:uiPriority w:val="0"/>
    <w:rPr>
      <w:rFonts w:ascii="宋体" w:hAnsi="Courier New"/>
    </w:rPr>
  </w:style>
  <w:style w:type="character" w:customStyle="1" w:styleId="133">
    <w:name w:val="text1"/>
    <w:basedOn w:val="41"/>
    <w:qFormat/>
    <w:uiPriority w:val="0"/>
  </w:style>
  <w:style w:type="character" w:customStyle="1" w:styleId="134">
    <w:name w:val="批注文字 Char1"/>
    <w:qFormat/>
    <w:uiPriority w:val="99"/>
    <w:rPr>
      <w:kern w:val="2"/>
      <w:sz w:val="21"/>
      <w:szCs w:val="22"/>
    </w:rPr>
  </w:style>
  <w:style w:type="character" w:customStyle="1" w:styleId="135">
    <w:name w:val="表正文 Char"/>
    <w:qFormat/>
    <w:uiPriority w:val="0"/>
    <w:rPr>
      <w:rFonts w:ascii="宋体"/>
      <w:snapToGrid/>
      <w:color w:val="000000"/>
      <w:kern w:val="28"/>
      <w:sz w:val="28"/>
    </w:rPr>
  </w:style>
  <w:style w:type="character" w:customStyle="1" w:styleId="136">
    <w:name w:val="style81"/>
    <w:qFormat/>
    <w:uiPriority w:val="0"/>
    <w:rPr>
      <w:sz w:val="20"/>
      <w:szCs w:val="20"/>
    </w:rPr>
  </w:style>
  <w:style w:type="character" w:customStyle="1" w:styleId="137">
    <w:name w:val="日期 Char1"/>
    <w:qFormat/>
    <w:uiPriority w:val="99"/>
    <w:rPr>
      <w:kern w:val="2"/>
      <w:sz w:val="21"/>
      <w:szCs w:val="22"/>
    </w:rPr>
  </w:style>
  <w:style w:type="character" w:customStyle="1" w:styleId="138">
    <w:name w:val="尾注文本 Char2"/>
    <w:qFormat/>
    <w:uiPriority w:val="0"/>
    <w:rPr>
      <w:kern w:val="2"/>
      <w:sz w:val="21"/>
      <w:szCs w:val="21"/>
    </w:rPr>
  </w:style>
  <w:style w:type="paragraph" w:customStyle="1" w:styleId="139">
    <w:name w:val="_Style 80"/>
    <w:basedOn w:val="1"/>
    <w:next w:val="1"/>
    <w:qFormat/>
    <w:uiPriority w:val="0"/>
    <w:rPr>
      <w:szCs w:val="24"/>
    </w:rPr>
  </w:style>
  <w:style w:type="paragraph" w:customStyle="1" w:styleId="140">
    <w:name w:val="正文文字表格居中"/>
    <w:basedOn w:val="1"/>
    <w:next w:val="36"/>
    <w:qFormat/>
    <w:uiPriority w:val="0"/>
    <w:pPr>
      <w:snapToGrid w:val="0"/>
      <w:spacing w:line="360" w:lineRule="auto"/>
    </w:pPr>
    <w:rPr>
      <w:rFonts w:ascii="宋体" w:cs="宋体"/>
      <w:b/>
      <w:bCs/>
      <w:sz w:val="24"/>
      <w:szCs w:val="24"/>
    </w:rPr>
  </w:style>
  <w:style w:type="paragraph" w:customStyle="1" w:styleId="141">
    <w:name w:val="Char Char Char Char Char Char Char Char Char Char"/>
    <w:basedOn w:val="1"/>
    <w:qFormat/>
    <w:uiPriority w:val="0"/>
    <w:rPr>
      <w:rFonts w:ascii="仿宋_GB2312" w:eastAsia="仿宋_GB2312" w:cs="仿宋_GB2312"/>
      <w:b/>
      <w:bCs/>
      <w:sz w:val="32"/>
      <w:szCs w:val="32"/>
    </w:rPr>
  </w:style>
  <w:style w:type="paragraph" w:customStyle="1" w:styleId="142">
    <w:name w:val="Char Char1"/>
    <w:basedOn w:val="1"/>
    <w:qFormat/>
    <w:uiPriority w:val="0"/>
    <w:pPr>
      <w:spacing w:after="160" w:line="240" w:lineRule="exact"/>
    </w:pPr>
    <w:rPr>
      <w:rFonts w:eastAsia="仿宋_GB2312"/>
      <w:sz w:val="28"/>
      <w:szCs w:val="24"/>
    </w:rPr>
  </w:style>
  <w:style w:type="paragraph" w:customStyle="1" w:styleId="143">
    <w:name w:val="font6"/>
    <w:basedOn w:val="1"/>
    <w:qFormat/>
    <w:uiPriority w:val="0"/>
    <w:pPr>
      <w:spacing w:before="100" w:beforeAutospacing="1" w:after="100" w:afterAutospacing="1"/>
    </w:pPr>
    <w:rPr>
      <w:rFonts w:ascii="宋体" w:hAnsi="宋体" w:cs="宋体"/>
      <w:kern w:val="0"/>
      <w:sz w:val="18"/>
      <w:szCs w:val="18"/>
    </w:rPr>
  </w:style>
  <w:style w:type="paragraph" w:customStyle="1" w:styleId="144">
    <w:name w:val="Char"/>
    <w:basedOn w:val="1"/>
    <w:qFormat/>
    <w:uiPriority w:val="0"/>
    <w:rPr>
      <w:szCs w:val="24"/>
    </w:rPr>
  </w:style>
  <w:style w:type="paragraph" w:customStyle="1" w:styleId="145">
    <w:name w:val="样式 标题 3标题 3 Char第二层条h33Bold Headbh章标题1小标题level_3PIM 3..."/>
    <w:basedOn w:val="4"/>
    <w:qFormat/>
    <w:uiPriority w:val="0"/>
    <w:pPr>
      <w:tabs>
        <w:tab w:val="left" w:pos="720"/>
      </w:tabs>
      <w:adjustRightInd w:val="0"/>
      <w:snapToGrid w:val="0"/>
      <w:spacing w:before="0" w:after="0" w:line="360" w:lineRule="auto"/>
    </w:pPr>
    <w:rPr>
      <w:rFonts w:ascii="黑体" w:hAnsi="宋体" w:eastAsia="黑体" w:cs="黑体"/>
      <w:b w:val="0"/>
      <w:bCs w:val="0"/>
      <w:color w:val="000000"/>
      <w:kern w:val="0"/>
      <w:sz w:val="28"/>
      <w:szCs w:val="28"/>
    </w:rPr>
  </w:style>
  <w:style w:type="paragraph" w:customStyle="1" w:styleId="146">
    <w:name w:val="xl25"/>
    <w:basedOn w:val="1"/>
    <w:qFormat/>
    <w:uiPriority w:val="0"/>
    <w:pPr>
      <w:spacing w:before="100" w:beforeAutospacing="1" w:after="100" w:afterAutospacing="1"/>
      <w:jc w:val="center"/>
    </w:pPr>
    <w:rPr>
      <w:rFonts w:ascii="楷体_GB2312" w:hAnsi="宋体" w:eastAsia="楷体_GB2312" w:cs="楷体_GB2312"/>
      <w:kern w:val="0"/>
      <w:sz w:val="24"/>
      <w:szCs w:val="24"/>
    </w:rPr>
  </w:style>
  <w:style w:type="paragraph" w:customStyle="1" w:styleId="147">
    <w:name w:val="默认段落字体 Para Char"/>
    <w:basedOn w:val="1"/>
    <w:qFormat/>
    <w:uiPriority w:val="0"/>
    <w:rPr>
      <w:rFonts w:ascii="Tahoma" w:hAnsi="Tahoma" w:cs="Tahoma"/>
      <w:sz w:val="24"/>
      <w:szCs w:val="24"/>
    </w:rPr>
  </w:style>
  <w:style w:type="paragraph" w:customStyle="1" w:styleId="148">
    <w:name w:val="Char Char1 Char Char Char"/>
    <w:basedOn w:val="1"/>
    <w:qFormat/>
    <w:uiPriority w:val="0"/>
    <w:rPr>
      <w:rFonts w:ascii="仿宋_GB2312" w:eastAsia="仿宋_GB2312" w:cs="仿宋_GB2312"/>
      <w:b/>
      <w:bCs/>
      <w:sz w:val="32"/>
      <w:szCs w:val="32"/>
    </w:rPr>
  </w:style>
  <w:style w:type="paragraph" w:customStyle="1" w:styleId="149">
    <w:name w:val="Default"/>
    <w:qFormat/>
    <w:uiPriority w:val="0"/>
    <w:pPr>
      <w:widowControl w:val="0"/>
      <w:autoSpaceDE w:val="0"/>
      <w:autoSpaceDN w:val="0"/>
      <w:adjustRightInd w:val="0"/>
      <w:spacing w:line="280" w:lineRule="exact"/>
    </w:pPr>
    <w:rPr>
      <w:rFonts w:ascii="宋体" w:hAnsi="Times New Roman" w:eastAsia="宋体" w:cs="宋体"/>
      <w:color w:val="000000"/>
      <w:sz w:val="24"/>
      <w:szCs w:val="24"/>
      <w:lang w:val="en-US" w:eastAsia="zh-CN" w:bidi="ar-SA"/>
    </w:rPr>
  </w:style>
  <w:style w:type="paragraph" w:customStyle="1" w:styleId="150">
    <w:name w:val="正文缩进1"/>
    <w:basedOn w:val="1"/>
    <w:next w:val="21"/>
    <w:qFormat/>
    <w:uiPriority w:val="0"/>
    <w:pPr>
      <w:autoSpaceDE w:val="0"/>
      <w:autoSpaceDN w:val="0"/>
      <w:adjustRightInd w:val="0"/>
      <w:snapToGrid w:val="0"/>
      <w:spacing w:after="120" w:line="360" w:lineRule="auto"/>
      <w:ind w:left="200" w:leftChars="200" w:firstLine="480" w:firstLineChars="200"/>
    </w:pPr>
    <w:rPr>
      <w:sz w:val="24"/>
      <w:szCs w:val="24"/>
    </w:rPr>
  </w:style>
  <w:style w:type="paragraph" w:customStyle="1" w:styleId="151">
    <w:name w:val="button"/>
    <w:basedOn w:val="1"/>
    <w:qFormat/>
    <w:uiPriority w:val="0"/>
    <w:pPr>
      <w:spacing w:before="100" w:beforeAutospacing="1" w:after="100" w:afterAutospacing="1"/>
    </w:pPr>
    <w:rPr>
      <w:rFonts w:ascii="Arial Unicode MS" w:hAnsi="Arial Unicode MS" w:cs="Arial Unicode MS"/>
      <w:color w:val="000000"/>
      <w:kern w:val="0"/>
      <w:sz w:val="24"/>
      <w:szCs w:val="24"/>
    </w:rPr>
  </w:style>
  <w:style w:type="paragraph" w:customStyle="1" w:styleId="152">
    <w:name w:val="Char Char Char Char Char Char Char Char Char Char1"/>
    <w:basedOn w:val="1"/>
    <w:qFormat/>
    <w:uiPriority w:val="0"/>
    <w:rPr>
      <w:rFonts w:ascii="仿宋_GB2312" w:eastAsia="仿宋_GB2312" w:cs="仿宋_GB2312"/>
      <w:b/>
      <w:bCs/>
      <w:sz w:val="32"/>
      <w:szCs w:val="32"/>
    </w:rPr>
  </w:style>
  <w:style w:type="paragraph" w:customStyle="1" w:styleId="153">
    <w:name w:val="表正文"/>
    <w:qFormat/>
    <w:uiPriority w:val="0"/>
    <w:pPr>
      <w:snapToGrid w:val="0"/>
      <w:spacing w:line="600" w:lineRule="atLeast"/>
      <w:ind w:firstLine="641"/>
      <w:jc w:val="both"/>
    </w:pPr>
    <w:rPr>
      <w:rFonts w:ascii="Times New Roman" w:hAnsi="Times New Roman" w:eastAsia="仿宋_GB2312" w:cs="Times New Roman"/>
      <w:sz w:val="32"/>
      <w:szCs w:val="32"/>
      <w:lang w:val="en-US" w:eastAsia="zh-CN" w:bidi="ar-SA"/>
    </w:rPr>
  </w:style>
  <w:style w:type="paragraph" w:customStyle="1" w:styleId="154">
    <w:name w:val="4"/>
    <w:basedOn w:val="1"/>
    <w:next w:val="26"/>
    <w:qFormat/>
    <w:uiPriority w:val="0"/>
    <w:pPr>
      <w:spacing w:after="120" w:line="480" w:lineRule="auto"/>
      <w:ind w:left="200" w:leftChars="200"/>
    </w:pPr>
    <w:rPr>
      <w:sz w:val="24"/>
      <w:szCs w:val="24"/>
    </w:rPr>
  </w:style>
  <w:style w:type="paragraph" w:customStyle="1" w:styleId="155">
    <w:name w:val="Char2"/>
    <w:basedOn w:val="1"/>
    <w:qFormat/>
    <w:uiPriority w:val="0"/>
    <w:rPr>
      <w:rFonts w:ascii="仿宋_GB2312" w:eastAsia="仿宋_GB2312" w:cs="仿宋_GB2312"/>
      <w:b/>
      <w:bCs/>
      <w:sz w:val="32"/>
      <w:szCs w:val="32"/>
    </w:rPr>
  </w:style>
  <w:style w:type="paragraph" w:customStyle="1" w:styleId="156">
    <w:name w:val="xl6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7">
    <w:name w:val="中等深浅网格 21"/>
    <w:qFormat/>
    <w:uiPriority w:val="0"/>
    <w:pPr>
      <w:widowControl w:val="0"/>
      <w:spacing w:line="280" w:lineRule="exact"/>
      <w:jc w:val="both"/>
    </w:pPr>
    <w:rPr>
      <w:rFonts w:ascii="Calibri" w:hAnsi="Calibri" w:eastAsia="宋体" w:cs="Times New Roman"/>
      <w:kern w:val="2"/>
      <w:sz w:val="21"/>
      <w:szCs w:val="22"/>
      <w:lang w:val="en-US" w:eastAsia="zh-CN" w:bidi="ar-SA"/>
    </w:rPr>
  </w:style>
  <w:style w:type="paragraph" w:customStyle="1" w:styleId="158">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159">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0">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62">
    <w:name w:val="Char2 Char Char Char"/>
    <w:basedOn w:val="1"/>
    <w:qFormat/>
    <w:uiPriority w:val="0"/>
    <w:rPr>
      <w:rFonts w:ascii="仿宋_GB2312" w:eastAsia="仿宋_GB2312" w:cs="仿宋_GB2312"/>
      <w:b/>
      <w:bCs/>
      <w:sz w:val="32"/>
      <w:szCs w:val="32"/>
    </w:rPr>
  </w:style>
  <w:style w:type="paragraph" w:customStyle="1" w:styleId="163">
    <w:name w:val="Char Char Char Char2"/>
    <w:basedOn w:val="1"/>
    <w:qFormat/>
    <w:uiPriority w:val="0"/>
    <w:rPr>
      <w:rFonts w:ascii="Tahoma" w:hAnsi="Tahoma" w:cs="Tahoma"/>
      <w:sz w:val="24"/>
      <w:szCs w:val="24"/>
    </w:rPr>
  </w:style>
  <w:style w:type="paragraph" w:customStyle="1" w:styleId="164">
    <w:name w:val="Char4"/>
    <w:basedOn w:val="1"/>
    <w:qFormat/>
    <w:uiPriority w:val="0"/>
  </w:style>
  <w:style w:type="paragraph" w:customStyle="1" w:styleId="165">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6">
    <w:name w:val="xl7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7">
    <w:name w:val="xl73"/>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8">
    <w:name w:val="样式 首行缩进:  2 字符"/>
    <w:basedOn w:val="1"/>
    <w:qFormat/>
    <w:uiPriority w:val="0"/>
    <w:pPr>
      <w:snapToGrid w:val="0"/>
      <w:spacing w:line="360" w:lineRule="auto"/>
    </w:pPr>
    <w:rPr>
      <w:rFonts w:ascii="仿宋_GB2312" w:hAnsi="宋体" w:eastAsia="仿宋_GB2312" w:cs="仿宋_GB2312"/>
      <w:color w:val="000000"/>
      <w:kern w:val="0"/>
      <w:sz w:val="28"/>
      <w:szCs w:val="28"/>
    </w:rPr>
  </w:style>
  <w:style w:type="paragraph" w:styleId="169">
    <w:name w:val="List Paragraph"/>
    <w:basedOn w:val="1"/>
    <w:qFormat/>
    <w:uiPriority w:val="0"/>
    <w:pPr>
      <w:ind w:firstLine="420" w:firstLineChars="200"/>
    </w:pPr>
    <w:rPr>
      <w:rFonts w:ascii="Calibri" w:hAnsi="Calibri"/>
      <w:szCs w:val="22"/>
    </w:rPr>
  </w:style>
  <w:style w:type="paragraph" w:customStyle="1" w:styleId="170">
    <w:name w:val="font5"/>
    <w:basedOn w:val="1"/>
    <w:qFormat/>
    <w:uiPriority w:val="0"/>
    <w:pPr>
      <w:spacing w:before="100" w:beforeAutospacing="1" w:after="100" w:afterAutospacing="1"/>
    </w:pPr>
    <w:rPr>
      <w:rFonts w:ascii="宋体" w:hAnsi="宋体" w:cs="宋体"/>
      <w:kern w:val="0"/>
      <w:sz w:val="18"/>
      <w:szCs w:val="18"/>
    </w:rPr>
  </w:style>
  <w:style w:type="paragraph" w:customStyle="1" w:styleId="171">
    <w:name w:val="p0"/>
    <w:basedOn w:val="1"/>
    <w:qFormat/>
    <w:uiPriority w:val="99"/>
    <w:rPr>
      <w:kern w:val="0"/>
    </w:rPr>
  </w:style>
  <w:style w:type="paragraph" w:customStyle="1" w:styleId="172">
    <w:name w:val="默认段落字体 Para Char Char Char Char Char Char Char"/>
    <w:basedOn w:val="1"/>
    <w:qFormat/>
    <w:uiPriority w:val="0"/>
    <w:rPr>
      <w:rFonts w:eastAsia="仿宋_GB2312"/>
      <w:sz w:val="28"/>
      <w:szCs w:val="28"/>
    </w:rPr>
  </w:style>
  <w:style w:type="paragraph" w:customStyle="1" w:styleId="173">
    <w:name w:val="text"/>
    <w:basedOn w:val="1"/>
    <w:qFormat/>
    <w:uiPriority w:val="0"/>
    <w:pPr>
      <w:spacing w:before="100" w:beforeAutospacing="1" w:after="100" w:afterAutospacing="1"/>
    </w:pPr>
    <w:rPr>
      <w:rFonts w:ascii="宋体" w:hAnsi="宋体" w:cs="宋体"/>
      <w:kern w:val="0"/>
      <w:sz w:val="24"/>
      <w:szCs w:val="24"/>
    </w:rPr>
  </w:style>
  <w:style w:type="paragraph" w:customStyle="1" w:styleId="174">
    <w:name w:val="Char Char1 Char Char Char1"/>
    <w:basedOn w:val="1"/>
    <w:qFormat/>
    <w:uiPriority w:val="0"/>
    <w:rPr>
      <w:rFonts w:ascii="仿宋_GB2312" w:eastAsia="仿宋_GB2312" w:cs="仿宋_GB2312"/>
      <w:b/>
      <w:bCs/>
      <w:sz w:val="32"/>
      <w:szCs w:val="32"/>
    </w:rPr>
  </w:style>
  <w:style w:type="paragraph" w:customStyle="1" w:styleId="175">
    <w:name w:val="Char Char1 Char Char Char Char Char Char"/>
    <w:basedOn w:val="1"/>
    <w:qFormat/>
    <w:uiPriority w:val="0"/>
    <w:rPr>
      <w:rFonts w:ascii="仿宋_GB2312" w:eastAsia="仿宋_GB2312" w:cs="仿宋_GB2312"/>
      <w:b/>
      <w:bCs/>
      <w:sz w:val="32"/>
      <w:szCs w:val="32"/>
    </w:rPr>
  </w:style>
  <w:style w:type="paragraph" w:customStyle="1" w:styleId="176">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kern w:val="0"/>
      <w:sz w:val="16"/>
      <w:szCs w:val="16"/>
    </w:rPr>
  </w:style>
  <w:style w:type="paragraph" w:customStyle="1" w:styleId="177">
    <w:name w:val="Char Char110"/>
    <w:basedOn w:val="1"/>
    <w:qFormat/>
    <w:uiPriority w:val="0"/>
    <w:pPr>
      <w:spacing w:after="160" w:line="240" w:lineRule="exact"/>
    </w:pPr>
    <w:rPr>
      <w:rFonts w:eastAsia="仿宋_GB2312"/>
      <w:sz w:val="28"/>
      <w:szCs w:val="28"/>
    </w:rPr>
  </w:style>
  <w:style w:type="paragraph" w:customStyle="1" w:styleId="178">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color w:val="FF0000"/>
      <w:kern w:val="0"/>
      <w:sz w:val="16"/>
      <w:szCs w:val="16"/>
    </w:rPr>
  </w:style>
  <w:style w:type="paragraph" w:customStyle="1" w:styleId="179">
    <w:name w:val="fonttit2"/>
    <w:basedOn w:val="1"/>
    <w:qFormat/>
    <w:uiPriority w:val="0"/>
    <w:pPr>
      <w:spacing w:before="100" w:beforeAutospacing="1" w:after="100" w:afterAutospacing="1" w:line="480" w:lineRule="atLeast"/>
    </w:pPr>
    <w:rPr>
      <w:rFonts w:ascii="宋体" w:hAnsi="宋体" w:cs="宋体"/>
      <w:color w:val="737373"/>
      <w:kern w:val="0"/>
      <w:sz w:val="24"/>
      <w:szCs w:val="24"/>
    </w:rPr>
  </w:style>
  <w:style w:type="paragraph" w:customStyle="1" w:styleId="180">
    <w:name w:val="列出段落1"/>
    <w:basedOn w:val="1"/>
    <w:qFormat/>
    <w:uiPriority w:val="34"/>
    <w:pPr>
      <w:ind w:firstLine="420" w:firstLineChars="200"/>
    </w:pPr>
    <w:rPr>
      <w:szCs w:val="24"/>
    </w:rPr>
  </w:style>
  <w:style w:type="paragraph" w:customStyle="1" w:styleId="181">
    <w:name w:val="Char Char Char Char Char Char Char Char Char Char Char Char Char Char Char Char Char Char Char Char Char Char Char Char Char"/>
    <w:basedOn w:val="1"/>
    <w:qFormat/>
    <w:uiPriority w:val="0"/>
  </w:style>
  <w:style w:type="paragraph" w:customStyle="1" w:styleId="182">
    <w:name w:val="Test2"/>
    <w:basedOn w:val="3"/>
    <w:qFormat/>
    <w:uiPriority w:val="0"/>
    <w:pPr>
      <w:adjustRightInd w:val="0"/>
      <w:snapToGrid w:val="0"/>
      <w:spacing w:before="360" w:after="360" w:line="240" w:lineRule="atLeast"/>
    </w:pPr>
    <w:rPr>
      <w:rFonts w:ascii="宋体" w:eastAsia="宋体" w:cs="宋体"/>
      <w:kern w:val="0"/>
      <w:sz w:val="28"/>
      <w:szCs w:val="28"/>
    </w:rPr>
  </w:style>
  <w:style w:type="paragraph" w:customStyle="1" w:styleId="183">
    <w:name w:val="规范正文"/>
    <w:basedOn w:val="1"/>
    <w:qFormat/>
    <w:uiPriority w:val="0"/>
    <w:pPr>
      <w:tabs>
        <w:tab w:val="left" w:pos="360"/>
        <w:tab w:val="left" w:pos="900"/>
      </w:tabs>
      <w:adjustRightInd w:val="0"/>
      <w:spacing w:beforeLines="50" w:line="360" w:lineRule="auto"/>
      <w:ind w:left="360" w:hanging="360"/>
    </w:pPr>
  </w:style>
  <w:style w:type="paragraph" w:customStyle="1" w:styleId="184">
    <w:name w:val="xl77"/>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5">
    <w:name w:val="xl35"/>
    <w:basedOn w:val="1"/>
    <w:qFormat/>
    <w:uiPriority w:val="0"/>
    <w:pPr>
      <w:pBdr>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kern w:val="0"/>
      <w:sz w:val="24"/>
      <w:szCs w:val="24"/>
    </w:rPr>
  </w:style>
  <w:style w:type="paragraph" w:customStyle="1" w:styleId="186">
    <w:name w:val="部分1"/>
    <w:basedOn w:val="1"/>
    <w:qFormat/>
    <w:uiPriority w:val="0"/>
    <w:pPr>
      <w:keepNext/>
      <w:pageBreakBefore/>
      <w:tabs>
        <w:tab w:val="left" w:pos="720"/>
      </w:tabs>
      <w:spacing w:line="360" w:lineRule="auto"/>
      <w:jc w:val="center"/>
      <w:outlineLvl w:val="0"/>
    </w:pPr>
    <w:rPr>
      <w:rFonts w:eastAsia="黑体"/>
      <w:b/>
      <w:bCs/>
      <w:kern w:val="44"/>
      <w:sz w:val="36"/>
      <w:szCs w:val="36"/>
    </w:rPr>
  </w:style>
  <w:style w:type="paragraph" w:customStyle="1" w:styleId="187">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88">
    <w:name w:val="Char Char Char Char"/>
    <w:basedOn w:val="1"/>
    <w:qFormat/>
    <w:uiPriority w:val="0"/>
    <w:pPr>
      <w:spacing w:after="160" w:line="240" w:lineRule="exact"/>
    </w:pPr>
    <w:rPr>
      <w:rFonts w:ascii="Arial" w:hAnsi="Arial" w:eastAsia="Times New Roman" w:cs="Verdana"/>
      <w:b/>
      <w:kern w:val="0"/>
      <w:sz w:val="24"/>
      <w:szCs w:val="20"/>
      <w:lang w:eastAsia="en-US"/>
    </w:rPr>
  </w:style>
  <w:style w:type="paragraph" w:customStyle="1" w:styleId="189">
    <w:name w:val="Char1 Char Char Char"/>
    <w:basedOn w:val="1"/>
    <w:qFormat/>
    <w:uiPriority w:val="0"/>
    <w:rPr>
      <w:rFonts w:ascii="仿宋_GB2312" w:eastAsia="仿宋_GB2312" w:cs="仿宋_GB2312"/>
      <w:b/>
      <w:bCs/>
      <w:sz w:val="32"/>
      <w:szCs w:val="32"/>
    </w:rPr>
  </w:style>
  <w:style w:type="paragraph" w:customStyle="1" w:styleId="190">
    <w:name w:val="_Style 52"/>
    <w:basedOn w:val="1"/>
    <w:qFormat/>
    <w:uiPriority w:val="0"/>
    <w:pPr>
      <w:spacing w:after="160" w:line="240" w:lineRule="exact"/>
    </w:pPr>
  </w:style>
  <w:style w:type="paragraph" w:customStyle="1" w:styleId="191">
    <w:name w:val="a1"/>
    <w:basedOn w:val="1"/>
    <w:qFormat/>
    <w:uiPriority w:val="0"/>
    <w:pPr>
      <w:spacing w:line="300" w:lineRule="atLeast"/>
    </w:pPr>
    <w:rPr>
      <w:rFonts w:ascii="宋体" w:hAnsi="宋体" w:cs="宋体"/>
      <w:kern w:val="0"/>
      <w:sz w:val="18"/>
      <w:szCs w:val="18"/>
    </w:rPr>
  </w:style>
  <w:style w:type="paragraph" w:customStyle="1" w:styleId="192">
    <w:name w:val="Char Char Char Char3"/>
    <w:basedOn w:val="1"/>
    <w:qFormat/>
    <w:uiPriority w:val="0"/>
    <w:pPr>
      <w:spacing w:after="160" w:line="240" w:lineRule="exact"/>
    </w:pPr>
    <w:rPr>
      <w:rFonts w:ascii="Arial" w:hAnsi="Arial" w:cs="Arial"/>
      <w:b/>
      <w:bCs/>
      <w:kern w:val="0"/>
      <w:sz w:val="24"/>
      <w:szCs w:val="24"/>
      <w:lang w:eastAsia="en-US"/>
    </w:rPr>
  </w:style>
  <w:style w:type="paragraph" w:customStyle="1" w:styleId="193">
    <w:name w:val="p16"/>
    <w:basedOn w:val="1"/>
    <w:qFormat/>
    <w:uiPriority w:val="0"/>
    <w:rPr>
      <w:rFonts w:ascii="宋体" w:hAnsi="宋体" w:cs="宋体"/>
      <w:b/>
      <w:bCs/>
      <w:color w:val="000000"/>
      <w:kern w:val="0"/>
    </w:rPr>
  </w:style>
  <w:style w:type="paragraph" w:customStyle="1" w:styleId="194">
    <w:name w:val="标准段落"/>
    <w:basedOn w:val="1"/>
    <w:qFormat/>
    <w:uiPriority w:val="0"/>
    <w:pPr>
      <w:tabs>
        <w:tab w:val="left" w:pos="709"/>
      </w:tabs>
      <w:topLinePunct/>
      <w:autoSpaceDE w:val="0"/>
      <w:autoSpaceDN w:val="0"/>
      <w:spacing w:beforeLines="50" w:line="360" w:lineRule="auto"/>
      <w:ind w:firstLine="640" w:firstLineChars="200"/>
    </w:pPr>
    <w:rPr>
      <w:rFonts w:ascii="仿宋_GB2312" w:hAnsi="宋体" w:eastAsia="仿宋_GB2312" w:cs="仿宋_GB2312"/>
      <w:sz w:val="32"/>
      <w:szCs w:val="32"/>
    </w:rPr>
  </w:style>
  <w:style w:type="paragraph" w:customStyle="1" w:styleId="19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96">
    <w:name w:val="正文文本 21"/>
    <w:basedOn w:val="1"/>
    <w:qFormat/>
    <w:uiPriority w:val="0"/>
    <w:pPr>
      <w:overflowPunct w:val="0"/>
      <w:autoSpaceDE w:val="0"/>
      <w:autoSpaceDN w:val="0"/>
      <w:adjustRightInd w:val="0"/>
      <w:ind w:left="720" w:hanging="720"/>
      <w:textAlignment w:val="baseline"/>
    </w:pPr>
    <w:rPr>
      <w:kern w:val="0"/>
      <w:sz w:val="24"/>
      <w:szCs w:val="20"/>
      <w:lang w:val="en-GB"/>
    </w:rPr>
  </w:style>
  <w:style w:type="paragraph" w:customStyle="1" w:styleId="197">
    <w:name w:val="Char3 Char Char Char"/>
    <w:basedOn w:val="1"/>
    <w:qFormat/>
    <w:uiPriority w:val="0"/>
    <w:pPr>
      <w:spacing w:after="160" w:line="240" w:lineRule="exact"/>
    </w:pPr>
  </w:style>
  <w:style w:type="paragraph" w:customStyle="1" w:styleId="198">
    <w:name w:val="Char Char Char Char Char Char"/>
    <w:basedOn w:val="1"/>
    <w:qFormat/>
    <w:uiPriority w:val="0"/>
    <w:pPr>
      <w:ind w:firstLine="200" w:firstLineChars="200"/>
    </w:pPr>
    <w:rPr>
      <w:rFonts w:ascii="Tahoma" w:hAnsi="Tahoma" w:cs="Tahoma"/>
      <w:sz w:val="24"/>
      <w:szCs w:val="24"/>
    </w:rPr>
  </w:style>
  <w:style w:type="paragraph" w:customStyle="1" w:styleId="199">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00">
    <w:name w:val="Char Char Char Char1"/>
    <w:basedOn w:val="1"/>
    <w:qFormat/>
    <w:uiPriority w:val="0"/>
    <w:pPr>
      <w:spacing w:after="160" w:line="240" w:lineRule="exact"/>
    </w:pPr>
    <w:rPr>
      <w:rFonts w:ascii="Arial" w:hAnsi="Arial" w:cs="Arial"/>
      <w:b/>
      <w:bCs/>
      <w:kern w:val="0"/>
      <w:sz w:val="24"/>
      <w:szCs w:val="24"/>
      <w:lang w:eastAsia="en-US"/>
    </w:rPr>
  </w:style>
  <w:style w:type="paragraph" w:customStyle="1" w:styleId="201">
    <w:name w:val="Char Char Char"/>
    <w:basedOn w:val="1"/>
    <w:qFormat/>
    <w:uiPriority w:val="0"/>
    <w:rPr>
      <w:rFonts w:ascii="Tahoma" w:hAnsi="Tahoma"/>
      <w:sz w:val="24"/>
      <w:szCs w:val="20"/>
    </w:rPr>
  </w:style>
  <w:style w:type="paragraph" w:customStyle="1" w:styleId="202">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3">
    <w:name w:val="正文段"/>
    <w:basedOn w:val="1"/>
    <w:qFormat/>
    <w:uiPriority w:val="0"/>
    <w:pPr>
      <w:snapToGrid w:val="0"/>
      <w:spacing w:afterLines="50"/>
      <w:ind w:firstLine="200" w:firstLineChars="200"/>
    </w:pPr>
    <w:rPr>
      <w:kern w:val="0"/>
      <w:sz w:val="24"/>
      <w:szCs w:val="20"/>
    </w:rPr>
  </w:style>
  <w:style w:type="paragraph" w:customStyle="1" w:styleId="204">
    <w:name w:val="Char1"/>
    <w:basedOn w:val="1"/>
    <w:qFormat/>
    <w:uiPriority w:val="0"/>
    <w:rPr>
      <w:rFonts w:ascii="仿宋_GB2312" w:eastAsia="仿宋_GB2312" w:cs="仿宋_GB2312"/>
      <w:b/>
      <w:bCs/>
      <w:sz w:val="32"/>
      <w:szCs w:val="32"/>
    </w:rPr>
  </w:style>
  <w:style w:type="paragraph" w:customStyle="1" w:styleId="205">
    <w:name w:val="Char Char Char Char Char Char Char Char Char Char Char Char Char"/>
    <w:basedOn w:val="1"/>
    <w:qFormat/>
    <w:uiPriority w:val="0"/>
    <w:rPr>
      <w:szCs w:val="24"/>
    </w:rPr>
  </w:style>
  <w:style w:type="paragraph" w:customStyle="1" w:styleId="206">
    <w:name w:val="xl7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7">
    <w:name w:val="0"/>
    <w:basedOn w:val="1"/>
    <w:qFormat/>
    <w:uiPriority w:val="0"/>
    <w:rPr>
      <w:kern w:val="0"/>
      <w:sz w:val="24"/>
      <w:szCs w:val="24"/>
    </w:rPr>
  </w:style>
  <w:style w:type="paragraph" w:customStyle="1" w:styleId="208">
    <w:name w:val="aspnumfaautoadjustrightr"/>
    <w:qFormat/>
    <w:uiPriority w:val="0"/>
    <w:pPr>
      <w:widowControl w:val="0"/>
      <w:autoSpaceDE w:val="0"/>
      <w:autoSpaceDN w:val="0"/>
      <w:adjustRightInd w:val="0"/>
      <w:spacing w:line="280" w:lineRule="exact"/>
      <w:ind w:firstLine="720"/>
      <w:jc w:val="both"/>
    </w:pPr>
    <w:rPr>
      <w:rFonts w:ascii="Times New Roman" w:hAnsi="Times New Roman" w:eastAsia="宋体" w:cs="Times New Roman"/>
      <w:lang w:val="en-US" w:eastAsia="zh-CN" w:bidi="ar-SA"/>
    </w:rPr>
  </w:style>
  <w:style w:type="paragraph" w:customStyle="1" w:styleId="209">
    <w:name w:val="Char Char Char Char Char Char Char Char"/>
    <w:basedOn w:val="1"/>
    <w:qFormat/>
    <w:uiPriority w:val="0"/>
    <w:pPr>
      <w:tabs>
        <w:tab w:val="left" w:pos="360"/>
      </w:tabs>
    </w:pPr>
    <w:rPr>
      <w:sz w:val="24"/>
      <w:szCs w:val="24"/>
    </w:rPr>
  </w:style>
  <w:style w:type="paragraph" w:customStyle="1" w:styleId="210">
    <w:name w:val="列出段落2"/>
    <w:basedOn w:val="1"/>
    <w:qFormat/>
    <w:uiPriority w:val="0"/>
    <w:pPr>
      <w:ind w:firstLine="420" w:firstLineChars="200"/>
    </w:pPr>
    <w:rPr>
      <w:rFonts w:ascii="Calibri" w:hAnsi="Calibri"/>
      <w:szCs w:val="22"/>
    </w:rPr>
  </w:style>
  <w:style w:type="paragraph" w:customStyle="1" w:styleId="211">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12">
    <w:name w:val="_Style 35"/>
    <w:basedOn w:val="1"/>
    <w:qFormat/>
    <w:uiPriority w:val="0"/>
    <w:pPr>
      <w:spacing w:after="160" w:line="240" w:lineRule="exact"/>
    </w:pPr>
  </w:style>
  <w:style w:type="character" w:customStyle="1" w:styleId="213">
    <w:name w:val="正文缩进 Char2"/>
    <w:qFormat/>
    <w:uiPriority w:val="0"/>
    <w:rPr>
      <w:rFonts w:ascii="宋体" w:eastAsia="宋体"/>
      <w:snapToGrid w:val="0"/>
      <w:color w:val="000000"/>
      <w:kern w:val="28"/>
      <w:sz w:val="28"/>
      <w:lang w:val="en-US" w:eastAsia="zh-CN" w:bidi="ar-SA"/>
    </w:rPr>
  </w:style>
  <w:style w:type="paragraph" w:customStyle="1" w:styleId="214">
    <w:name w:val="Char Char11"/>
    <w:basedOn w:val="1"/>
    <w:qFormat/>
    <w:uiPriority w:val="0"/>
    <w:pPr>
      <w:spacing w:after="160" w:line="240" w:lineRule="exact"/>
    </w:pPr>
    <w:rPr>
      <w:rFonts w:ascii="Arial" w:hAnsi="Arial" w:eastAsia="Times New Roman" w:cs="Verdana"/>
      <w:b/>
      <w:kern w:val="0"/>
      <w:sz w:val="24"/>
      <w:szCs w:val="20"/>
      <w:lang w:eastAsia="en-US"/>
    </w:rPr>
  </w:style>
  <w:style w:type="paragraph" w:customStyle="1" w:styleId="215">
    <w:name w:val="Char Char12"/>
    <w:basedOn w:val="1"/>
    <w:qFormat/>
    <w:uiPriority w:val="0"/>
    <w:pPr>
      <w:spacing w:after="160" w:line="240" w:lineRule="exact"/>
    </w:pPr>
    <w:rPr>
      <w:rFonts w:ascii="Arial" w:hAnsi="Arial" w:eastAsia="Times New Roman" w:cs="Verdana"/>
      <w:b/>
      <w:kern w:val="0"/>
      <w:sz w:val="24"/>
      <w:szCs w:val="20"/>
      <w:lang w:eastAsia="en-US"/>
    </w:rPr>
  </w:style>
  <w:style w:type="paragraph" w:customStyle="1" w:styleId="216">
    <w:name w:val="修订1"/>
    <w:qFormat/>
    <w:uiPriority w:val="99"/>
    <w:rPr>
      <w:rFonts w:ascii="Times New Roman" w:hAnsi="Times New Roman" w:eastAsia="宋体" w:cs="Times New Roman"/>
      <w:kern w:val="2"/>
      <w:sz w:val="21"/>
      <w:szCs w:val="21"/>
      <w:lang w:val="en-US" w:eastAsia="zh-CN" w:bidi="ar-SA"/>
    </w:rPr>
  </w:style>
  <w:style w:type="paragraph" w:customStyle="1" w:styleId="217">
    <w:name w:val="p1"/>
    <w:basedOn w:val="1"/>
    <w:qFormat/>
    <w:uiPriority w:val="0"/>
    <w:pPr>
      <w:widowControl w:val="0"/>
      <w:spacing w:line="380" w:lineRule="atLeast"/>
    </w:pPr>
    <w:rPr>
      <w:rFonts w:ascii="Helvetica Neue" w:hAnsi="Helvetica Neue" w:eastAsia="Helvetica Neue"/>
      <w:color w:val="000000"/>
      <w:kern w:val="0"/>
      <w:sz w:val="26"/>
      <w:szCs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6BDBB5-BE72-4C8A-B627-61B3AC5E991F}">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82</Pages>
  <Words>7524</Words>
  <Characters>42888</Characters>
  <Lines>357</Lines>
  <Paragraphs>100</Paragraphs>
  <TotalTime>9</TotalTime>
  <ScaleCrop>false</ScaleCrop>
  <LinksUpToDate>false</LinksUpToDate>
  <CharactersWithSpaces>50312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2019-06-28T09:14:00Z</dcterms:created>
  <dc:creator>Administrator</dc:creator>
  <cp:lastModifiedBy>yyp</cp:lastModifiedBy>
  <cp:lastPrinted>2019-05-24T03:37:00Z</cp:lastPrinted>
  <dcterms:modified xsi:type="dcterms:W3CDTF">2019-07-11T03:27:32Z</dcterms:modified>
  <dc:title>杭州市江干区城市管理局</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