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ADC0B">
      <w:pPr>
        <w:adjustRightInd/>
        <w:spacing w:line="360" w:lineRule="auto"/>
        <w:jc w:val="center"/>
        <w:rPr>
          <w:rFonts w:hint="eastAsia" w:ascii="宋体" w:hAnsi="宋体" w:cs="宋体"/>
          <w:color w:val="auto"/>
          <w:sz w:val="44"/>
          <w:szCs w:val="44"/>
          <w:highlight w:val="none"/>
          <w:lang w:eastAsia="zh-CN"/>
        </w:rPr>
      </w:pPr>
      <w:r>
        <w:rPr>
          <w:rFonts w:hint="eastAsia" w:ascii="宋体" w:hAnsi="宋体" w:cs="宋体"/>
          <w:color w:val="auto"/>
          <w:sz w:val="44"/>
          <w:szCs w:val="44"/>
          <w:highlight w:val="none"/>
          <w:lang w:eastAsia="zh-CN"/>
        </w:rPr>
        <w:t>新开河（四季青段）入河排污口治理工程施工项目</w:t>
      </w:r>
    </w:p>
    <w:p w14:paraId="1D21959A">
      <w:pPr>
        <w:adjustRightInd/>
        <w:spacing w:line="360" w:lineRule="auto"/>
        <w:jc w:val="center"/>
        <w:rPr>
          <w:rFonts w:ascii="宋体" w:hAnsi="宋体" w:cs="宋体"/>
          <w:color w:val="auto"/>
          <w:sz w:val="44"/>
          <w:szCs w:val="44"/>
          <w:highlight w:val="none"/>
        </w:rPr>
      </w:pPr>
      <w:r>
        <w:rPr>
          <w:rFonts w:hint="eastAsia" w:ascii="宋体" w:hAnsi="宋体" w:cs="宋体"/>
          <w:color w:val="auto"/>
          <w:sz w:val="44"/>
          <w:szCs w:val="44"/>
          <w:highlight w:val="none"/>
        </w:rPr>
        <w:t>竞争性磋商文件</w:t>
      </w:r>
    </w:p>
    <w:p w14:paraId="1FB8484A">
      <w:pPr>
        <w:adjustRightInd/>
        <w:spacing w:line="36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（电子交易）</w:t>
      </w:r>
    </w:p>
    <w:p w14:paraId="0096E48F">
      <w:pPr>
        <w:adjustRightInd/>
        <w:spacing w:line="360" w:lineRule="auto"/>
        <w:jc w:val="center"/>
        <w:rPr>
          <w:rFonts w:hint="eastAsia" w:ascii="宋体" w:hAnsi="宋体" w:cs="宋体"/>
          <w:color w:val="auto"/>
          <w:sz w:val="30"/>
          <w:szCs w:val="30"/>
          <w:highlight w:val="none"/>
        </w:rPr>
      </w:pPr>
    </w:p>
    <w:p w14:paraId="3C5E08A9">
      <w:pPr>
        <w:adjustRightInd/>
        <w:spacing w:line="360" w:lineRule="auto"/>
        <w:jc w:val="center"/>
        <w:rPr>
          <w:rFonts w:hint="eastAsia" w:ascii="宋体" w:hAnsi="宋体" w:eastAsia="宋体" w:cs="宋体"/>
          <w:color w:val="auto"/>
          <w:sz w:val="48"/>
          <w:szCs w:val="48"/>
          <w:highlight w:val="none"/>
          <w:lang w:eastAsia="zh-CN"/>
        </w:rPr>
      </w:pPr>
      <w:r>
        <w:rPr>
          <w:rFonts w:hint="eastAsia" w:ascii="宋体" w:hAnsi="宋体" w:cs="宋体"/>
          <w:color w:val="auto"/>
          <w:sz w:val="30"/>
          <w:szCs w:val="30"/>
          <w:highlight w:val="none"/>
        </w:rPr>
        <w:t>编号:</w:t>
      </w:r>
      <w:r>
        <w:rPr>
          <w:rFonts w:hint="eastAsia" w:ascii="宋体" w:hAnsi="宋体" w:cs="宋体"/>
          <w:color w:val="auto"/>
          <w:sz w:val="30"/>
          <w:szCs w:val="30"/>
          <w:highlight w:val="none"/>
          <w:lang w:eastAsia="zh-CN"/>
        </w:rPr>
        <w:t>ZJGL-SJQJD20250403</w:t>
      </w:r>
    </w:p>
    <w:p w14:paraId="29EEB6B1">
      <w:pPr>
        <w:snapToGrid w:val="0"/>
        <w:spacing w:line="360" w:lineRule="auto"/>
        <w:jc w:val="center"/>
        <w:rPr>
          <w:rFonts w:ascii="宋体" w:hAnsi="宋体" w:cs="宋体"/>
          <w:color w:val="auto"/>
          <w:sz w:val="30"/>
          <w:szCs w:val="30"/>
          <w:highlight w:val="none"/>
        </w:rPr>
      </w:pPr>
    </w:p>
    <w:p w14:paraId="6CD140FA">
      <w:pPr>
        <w:adjustRightInd/>
        <w:spacing w:line="360" w:lineRule="auto"/>
        <w:rPr>
          <w:rFonts w:ascii="宋体" w:hAnsi="宋体" w:cs="宋体"/>
          <w:color w:val="auto"/>
          <w:sz w:val="28"/>
          <w:szCs w:val="20"/>
          <w:highlight w:val="none"/>
        </w:rPr>
      </w:pPr>
    </w:p>
    <w:p w14:paraId="3AF02E8B">
      <w:pPr>
        <w:spacing w:line="36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 xml:space="preserve"> </w:t>
      </w:r>
    </w:p>
    <w:p w14:paraId="456079C0">
      <w:pPr>
        <w:spacing w:line="360" w:lineRule="auto"/>
        <w:jc w:val="center"/>
        <w:rPr>
          <w:rFonts w:ascii="宋体" w:hAnsi="宋体" w:cs="宋体"/>
          <w:b/>
          <w:color w:val="auto"/>
          <w:sz w:val="44"/>
          <w:szCs w:val="44"/>
          <w:highlight w:val="none"/>
        </w:rPr>
      </w:pPr>
    </w:p>
    <w:p w14:paraId="3D3F7FB4">
      <w:pPr>
        <w:spacing w:line="360" w:lineRule="auto"/>
        <w:jc w:val="center"/>
        <w:rPr>
          <w:rFonts w:ascii="宋体" w:hAnsi="宋体" w:cs="宋体"/>
          <w:color w:val="auto"/>
          <w:sz w:val="24"/>
          <w:highlight w:val="none"/>
        </w:rPr>
      </w:pPr>
    </w:p>
    <w:p w14:paraId="73A602EB">
      <w:pPr>
        <w:pStyle w:val="5"/>
        <w:rPr>
          <w:rFonts w:ascii="宋体" w:hAnsi="宋体" w:cs="宋体"/>
          <w:color w:val="auto"/>
          <w:sz w:val="24"/>
          <w:highlight w:val="none"/>
        </w:rPr>
      </w:pPr>
    </w:p>
    <w:p w14:paraId="26683947">
      <w:pPr>
        <w:pStyle w:val="5"/>
        <w:rPr>
          <w:rFonts w:ascii="宋体" w:hAnsi="宋体" w:cs="宋体"/>
          <w:color w:val="auto"/>
          <w:sz w:val="24"/>
          <w:highlight w:val="none"/>
        </w:rPr>
      </w:pPr>
    </w:p>
    <w:p w14:paraId="11F2C00A">
      <w:pPr>
        <w:spacing w:line="360" w:lineRule="auto"/>
        <w:jc w:val="center"/>
        <w:rPr>
          <w:rFonts w:ascii="宋体" w:hAnsi="宋体" w:cs="宋体"/>
          <w:color w:val="auto"/>
          <w:sz w:val="24"/>
          <w:highlight w:val="none"/>
        </w:rPr>
      </w:pPr>
    </w:p>
    <w:p w14:paraId="2D255F1C">
      <w:pPr>
        <w:spacing w:line="360" w:lineRule="auto"/>
        <w:rPr>
          <w:rFonts w:ascii="宋体" w:hAnsi="宋体" w:cs="宋体"/>
          <w:color w:val="auto"/>
          <w:sz w:val="32"/>
          <w:szCs w:val="32"/>
          <w:highlight w:val="none"/>
        </w:rPr>
      </w:pPr>
    </w:p>
    <w:p w14:paraId="4C2901A0">
      <w:pPr>
        <w:spacing w:line="360" w:lineRule="auto"/>
        <w:rPr>
          <w:rFonts w:ascii="宋体" w:hAnsi="宋体" w:cs="宋体"/>
          <w:color w:val="auto"/>
          <w:sz w:val="32"/>
          <w:szCs w:val="32"/>
          <w:highlight w:val="none"/>
        </w:rPr>
      </w:pPr>
    </w:p>
    <w:p w14:paraId="09835A47">
      <w:pPr>
        <w:spacing w:line="360" w:lineRule="auto"/>
        <w:rPr>
          <w:rFonts w:ascii="宋体" w:hAnsi="宋体" w:cs="宋体"/>
          <w:color w:val="auto"/>
          <w:sz w:val="32"/>
          <w:szCs w:val="32"/>
          <w:highlight w:val="none"/>
        </w:rPr>
      </w:pPr>
    </w:p>
    <w:p w14:paraId="7B7AF82A">
      <w:pPr>
        <w:spacing w:line="360" w:lineRule="auto"/>
        <w:jc w:val="center"/>
        <w:rPr>
          <w:rFonts w:hint="eastAsia" w:ascii="宋体" w:hAnsi="宋体" w:cs="宋体"/>
          <w:color w:val="auto"/>
          <w:sz w:val="32"/>
          <w:szCs w:val="32"/>
          <w:highlight w:val="none"/>
        </w:rPr>
      </w:pPr>
      <w:r>
        <w:rPr>
          <w:rFonts w:hint="eastAsia" w:ascii="宋体" w:hAnsi="宋体" w:cs="宋体"/>
          <w:color w:val="auto"/>
          <w:sz w:val="32"/>
          <w:szCs w:val="32"/>
          <w:highlight w:val="none"/>
        </w:rPr>
        <w:t>杭州市上城区人民政府四季青街道办事处</w:t>
      </w:r>
    </w:p>
    <w:p w14:paraId="0D8E3D19">
      <w:pPr>
        <w:spacing w:line="360" w:lineRule="auto"/>
        <w:jc w:val="center"/>
        <w:rPr>
          <w:rFonts w:hint="eastAsia" w:ascii="宋体" w:hAnsi="宋体" w:eastAsia="宋体" w:cs="宋体"/>
          <w:bCs/>
          <w:color w:val="auto"/>
          <w:sz w:val="32"/>
          <w:szCs w:val="32"/>
          <w:highlight w:val="none"/>
          <w:lang w:eastAsia="zh-CN"/>
        </w:rPr>
      </w:pPr>
      <w:r>
        <w:rPr>
          <w:rFonts w:hint="eastAsia" w:ascii="宋体" w:hAnsi="宋体" w:cs="宋体"/>
          <w:bCs/>
          <w:color w:val="auto"/>
          <w:sz w:val="32"/>
          <w:szCs w:val="32"/>
          <w:highlight w:val="none"/>
          <w:lang w:eastAsia="zh-CN"/>
        </w:rPr>
        <w:t>浙江广利工程咨询有限公司</w:t>
      </w:r>
    </w:p>
    <w:p w14:paraId="194FDB61">
      <w:pPr>
        <w:snapToGrid w:val="0"/>
        <w:spacing w:line="360" w:lineRule="auto"/>
        <w:jc w:val="center"/>
        <w:rPr>
          <w:rFonts w:ascii="宋体" w:hAnsi="宋体" w:cs="宋体"/>
          <w:bCs/>
          <w:color w:val="auto"/>
          <w:sz w:val="32"/>
          <w:szCs w:val="32"/>
          <w:highlight w:val="none"/>
        </w:rPr>
      </w:pPr>
      <w:r>
        <w:rPr>
          <w:rFonts w:hint="eastAsia" w:ascii="宋体" w:hAnsi="宋体" w:cs="宋体"/>
          <w:bCs/>
          <w:color w:val="auto"/>
          <w:sz w:val="32"/>
          <w:szCs w:val="32"/>
          <w:highlight w:val="none"/>
        </w:rPr>
        <w:t>二〇</w:t>
      </w:r>
      <w:r>
        <w:rPr>
          <w:rFonts w:hint="eastAsia" w:ascii="宋体" w:hAnsi="宋体" w:cs="宋体"/>
          <w:bCs/>
          <w:color w:val="auto"/>
          <w:sz w:val="32"/>
          <w:szCs w:val="32"/>
          <w:highlight w:val="none"/>
          <w:lang w:eastAsia="zh-CN"/>
        </w:rPr>
        <w:t>二</w:t>
      </w:r>
      <w:r>
        <w:rPr>
          <w:rFonts w:hint="eastAsia" w:ascii="宋体" w:hAnsi="宋体" w:cs="宋体"/>
          <w:bCs/>
          <w:color w:val="auto"/>
          <w:sz w:val="32"/>
          <w:szCs w:val="32"/>
          <w:highlight w:val="none"/>
          <w:lang w:val="en-US" w:eastAsia="zh-CN"/>
        </w:rPr>
        <w:t>五</w:t>
      </w:r>
      <w:r>
        <w:rPr>
          <w:rFonts w:hint="eastAsia" w:ascii="宋体" w:hAnsi="宋体" w:cs="宋体"/>
          <w:bCs/>
          <w:color w:val="auto"/>
          <w:sz w:val="32"/>
          <w:szCs w:val="32"/>
          <w:highlight w:val="none"/>
        </w:rPr>
        <w:t>年</w:t>
      </w:r>
      <w:r>
        <w:rPr>
          <w:rFonts w:hint="eastAsia" w:ascii="宋体" w:hAnsi="宋体" w:cs="宋体"/>
          <w:bCs/>
          <w:color w:val="auto"/>
          <w:sz w:val="32"/>
          <w:szCs w:val="32"/>
          <w:highlight w:val="none"/>
          <w:lang w:val="en-US" w:eastAsia="zh-CN"/>
        </w:rPr>
        <w:t>六</w:t>
      </w:r>
      <w:r>
        <w:rPr>
          <w:rFonts w:hint="eastAsia" w:ascii="宋体" w:hAnsi="宋体" w:cs="宋体"/>
          <w:bCs/>
          <w:color w:val="auto"/>
          <w:sz w:val="32"/>
          <w:szCs w:val="32"/>
          <w:highlight w:val="none"/>
        </w:rPr>
        <w:t>月</w:t>
      </w:r>
    </w:p>
    <w:p w14:paraId="06409D98">
      <w:pPr>
        <w:spacing w:line="360" w:lineRule="auto"/>
        <w:jc w:val="center"/>
        <w:rPr>
          <w:rFonts w:ascii="宋体" w:hAnsi="宋体" w:cs="宋体"/>
          <w:color w:val="auto"/>
          <w:sz w:val="24"/>
          <w:highlight w:val="none"/>
        </w:rPr>
      </w:pPr>
      <w:r>
        <w:rPr>
          <w:rFonts w:hint="eastAsia" w:ascii="宋体" w:hAnsi="宋体" w:cs="宋体"/>
          <w:color w:val="auto"/>
          <w:sz w:val="24"/>
          <w:highlight w:val="none"/>
        </w:rPr>
        <w:br w:type="page"/>
      </w:r>
      <w:bookmarkStart w:id="0" w:name="_Hlt67893495"/>
      <w:bookmarkEnd w:id="0"/>
    </w:p>
    <w:p w14:paraId="151A945A">
      <w:pPr>
        <w:spacing w:line="360" w:lineRule="auto"/>
        <w:jc w:val="center"/>
        <w:rPr>
          <w:rFonts w:ascii="宋体" w:hAnsi="宋体" w:cs="宋体"/>
          <w:b/>
          <w:color w:val="auto"/>
          <w:sz w:val="48"/>
          <w:szCs w:val="48"/>
          <w:highlight w:val="none"/>
        </w:rPr>
      </w:pPr>
      <w:r>
        <w:rPr>
          <w:rFonts w:hint="eastAsia" w:ascii="宋体" w:hAnsi="宋体" w:cs="宋体"/>
          <w:b/>
          <w:color w:val="auto"/>
          <w:sz w:val="48"/>
          <w:szCs w:val="48"/>
          <w:highlight w:val="none"/>
        </w:rPr>
        <w:t>目  录</w:t>
      </w:r>
    </w:p>
    <w:p w14:paraId="172AD723">
      <w:pPr>
        <w:spacing w:line="360" w:lineRule="auto"/>
        <w:rPr>
          <w:rFonts w:ascii="宋体" w:hAnsi="宋体" w:cs="宋体"/>
          <w:color w:val="auto"/>
          <w:sz w:val="32"/>
          <w:szCs w:val="32"/>
          <w:highlight w:val="none"/>
        </w:rPr>
      </w:pPr>
    </w:p>
    <w:p w14:paraId="1EC1215E">
      <w:pPr>
        <w:spacing w:line="360" w:lineRule="auto"/>
        <w:rPr>
          <w:rFonts w:ascii="宋体" w:hAnsi="宋体" w:cs="宋体"/>
          <w:color w:val="auto"/>
          <w:sz w:val="32"/>
          <w:szCs w:val="32"/>
          <w:highlight w:val="none"/>
        </w:rPr>
      </w:pPr>
    </w:p>
    <w:p w14:paraId="52284C18">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第一部分      竞争性磋商公告</w:t>
      </w:r>
    </w:p>
    <w:p w14:paraId="3E3913AF">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第二部分      供应商须知</w:t>
      </w:r>
    </w:p>
    <w:p w14:paraId="4C7386DD">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第三部分      采购需求</w:t>
      </w:r>
    </w:p>
    <w:p w14:paraId="368860E7">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第四部分      评审办法</w:t>
      </w:r>
    </w:p>
    <w:p w14:paraId="409F516C">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第五部分      拟签订的合同文本</w:t>
      </w:r>
    </w:p>
    <w:p w14:paraId="0AB08C5C">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第六部分      应提交的有关格式范例</w:t>
      </w:r>
    </w:p>
    <w:p w14:paraId="1F7FA4F5">
      <w:pPr>
        <w:spacing w:line="360" w:lineRule="auto"/>
        <w:ind w:firstLine="1280" w:firstLineChars="400"/>
        <w:rPr>
          <w:rFonts w:ascii="宋体" w:hAnsi="宋体" w:cs="宋体"/>
          <w:color w:val="auto"/>
          <w:sz w:val="32"/>
          <w:szCs w:val="32"/>
          <w:highlight w:val="none"/>
        </w:rPr>
      </w:pPr>
    </w:p>
    <w:p w14:paraId="6F75189E">
      <w:pPr>
        <w:spacing w:line="360" w:lineRule="auto"/>
        <w:ind w:firstLine="549" w:firstLineChars="229"/>
        <w:rPr>
          <w:rFonts w:ascii="宋体" w:hAnsi="宋体" w:cs="宋体"/>
          <w:color w:val="auto"/>
          <w:sz w:val="24"/>
          <w:highlight w:val="none"/>
        </w:rPr>
      </w:pPr>
      <w:bookmarkStart w:id="1" w:name="_Hlt91233176"/>
      <w:bookmarkEnd w:id="1"/>
      <w:bookmarkStart w:id="2" w:name="_Toc91899869"/>
    </w:p>
    <w:p w14:paraId="7A5B0631">
      <w:pPr>
        <w:spacing w:line="360" w:lineRule="auto"/>
        <w:ind w:firstLine="549" w:firstLineChars="229"/>
        <w:rPr>
          <w:rFonts w:ascii="宋体" w:hAnsi="宋体" w:cs="宋体"/>
          <w:color w:val="auto"/>
          <w:sz w:val="24"/>
          <w:highlight w:val="none"/>
        </w:rPr>
      </w:pPr>
    </w:p>
    <w:p w14:paraId="692B4B89">
      <w:pPr>
        <w:spacing w:line="360" w:lineRule="auto"/>
        <w:ind w:firstLine="549" w:firstLineChars="229"/>
        <w:rPr>
          <w:rFonts w:ascii="宋体" w:hAnsi="宋体" w:cs="宋体"/>
          <w:color w:val="auto"/>
          <w:sz w:val="24"/>
          <w:highlight w:val="none"/>
        </w:rPr>
      </w:pPr>
    </w:p>
    <w:p w14:paraId="17ABCF07">
      <w:pPr>
        <w:spacing w:line="360" w:lineRule="auto"/>
        <w:ind w:firstLine="549" w:firstLineChars="229"/>
        <w:rPr>
          <w:rFonts w:ascii="宋体" w:hAnsi="宋体" w:cs="宋体"/>
          <w:color w:val="auto"/>
          <w:sz w:val="24"/>
          <w:highlight w:val="none"/>
        </w:rPr>
      </w:pPr>
    </w:p>
    <w:p w14:paraId="68B8FD06">
      <w:pPr>
        <w:spacing w:line="360" w:lineRule="auto"/>
        <w:ind w:firstLine="549" w:firstLineChars="229"/>
        <w:rPr>
          <w:rFonts w:ascii="宋体" w:hAnsi="宋体" w:cs="宋体"/>
          <w:color w:val="auto"/>
          <w:sz w:val="24"/>
          <w:highlight w:val="none"/>
        </w:rPr>
      </w:pPr>
    </w:p>
    <w:p w14:paraId="5058A181">
      <w:pPr>
        <w:spacing w:line="360" w:lineRule="auto"/>
        <w:ind w:firstLine="549" w:firstLineChars="229"/>
        <w:rPr>
          <w:rFonts w:ascii="宋体" w:hAnsi="宋体" w:cs="宋体"/>
          <w:color w:val="auto"/>
          <w:sz w:val="24"/>
          <w:highlight w:val="none"/>
        </w:rPr>
      </w:pPr>
    </w:p>
    <w:p w14:paraId="3713BD65">
      <w:pPr>
        <w:spacing w:line="360" w:lineRule="auto"/>
        <w:ind w:firstLine="549" w:firstLineChars="229"/>
        <w:rPr>
          <w:rFonts w:ascii="宋体" w:hAnsi="宋体" w:cs="宋体"/>
          <w:color w:val="auto"/>
          <w:sz w:val="24"/>
          <w:highlight w:val="none"/>
        </w:rPr>
      </w:pPr>
    </w:p>
    <w:p w14:paraId="18FECBC1">
      <w:pPr>
        <w:spacing w:line="360" w:lineRule="auto"/>
        <w:ind w:firstLine="549" w:firstLineChars="229"/>
        <w:rPr>
          <w:rFonts w:ascii="宋体" w:hAnsi="宋体" w:cs="宋体"/>
          <w:color w:val="auto"/>
          <w:sz w:val="24"/>
          <w:highlight w:val="none"/>
        </w:rPr>
      </w:pPr>
    </w:p>
    <w:p w14:paraId="61B725A4">
      <w:pPr>
        <w:spacing w:line="360" w:lineRule="auto"/>
        <w:ind w:firstLine="549" w:firstLineChars="229"/>
        <w:rPr>
          <w:rFonts w:ascii="宋体" w:hAnsi="宋体" w:cs="宋体"/>
          <w:color w:val="auto"/>
          <w:sz w:val="24"/>
          <w:highlight w:val="none"/>
        </w:rPr>
      </w:pPr>
    </w:p>
    <w:p w14:paraId="5C2C91B1">
      <w:pPr>
        <w:spacing w:line="360" w:lineRule="auto"/>
        <w:ind w:firstLine="549" w:firstLineChars="229"/>
        <w:rPr>
          <w:rFonts w:ascii="宋体" w:hAnsi="宋体" w:cs="宋体"/>
          <w:color w:val="auto"/>
          <w:sz w:val="24"/>
          <w:highlight w:val="none"/>
        </w:rPr>
      </w:pPr>
    </w:p>
    <w:p w14:paraId="2B1D335B">
      <w:pPr>
        <w:spacing w:line="360" w:lineRule="auto"/>
        <w:ind w:firstLine="549" w:firstLineChars="229"/>
        <w:rPr>
          <w:rFonts w:ascii="宋体" w:hAnsi="宋体" w:cs="宋体"/>
          <w:color w:val="auto"/>
          <w:sz w:val="24"/>
          <w:highlight w:val="none"/>
        </w:rPr>
      </w:pPr>
    </w:p>
    <w:p w14:paraId="5ED8842F">
      <w:pPr>
        <w:spacing w:line="360" w:lineRule="auto"/>
        <w:ind w:firstLine="549" w:firstLineChars="229"/>
        <w:rPr>
          <w:rFonts w:ascii="宋体" w:hAnsi="宋体" w:cs="宋体"/>
          <w:color w:val="auto"/>
          <w:sz w:val="24"/>
          <w:highlight w:val="none"/>
        </w:rPr>
      </w:pPr>
    </w:p>
    <w:p w14:paraId="3AC8729E">
      <w:pPr>
        <w:spacing w:line="360" w:lineRule="auto"/>
        <w:ind w:firstLine="549" w:firstLineChars="229"/>
        <w:rPr>
          <w:rFonts w:ascii="宋体" w:hAnsi="宋体" w:cs="宋体"/>
          <w:color w:val="auto"/>
          <w:sz w:val="24"/>
          <w:highlight w:val="none"/>
        </w:rPr>
      </w:pPr>
    </w:p>
    <w:p w14:paraId="7D64A634">
      <w:pPr>
        <w:spacing w:line="360" w:lineRule="auto"/>
        <w:rPr>
          <w:rFonts w:ascii="宋体" w:hAnsi="宋体" w:cs="宋体"/>
          <w:color w:val="auto"/>
          <w:sz w:val="24"/>
          <w:highlight w:val="none"/>
        </w:rPr>
      </w:pPr>
    </w:p>
    <w:p w14:paraId="70B3DC22">
      <w:pPr>
        <w:adjustRightInd/>
        <w:spacing w:line="360" w:lineRule="auto"/>
        <w:jc w:val="center"/>
        <w:outlineLvl w:val="0"/>
        <w:rPr>
          <w:rFonts w:ascii="宋体" w:hAnsi="宋体" w:cs="宋体"/>
          <w:b/>
          <w:color w:val="auto"/>
          <w:sz w:val="36"/>
          <w:szCs w:val="20"/>
          <w:highlight w:val="none"/>
        </w:rPr>
      </w:pPr>
      <w:bookmarkStart w:id="3" w:name="第一部分"/>
      <w:r>
        <w:rPr>
          <w:rFonts w:hint="eastAsia" w:ascii="宋体" w:hAnsi="宋体" w:cs="宋体"/>
          <w:b/>
          <w:color w:val="auto"/>
          <w:sz w:val="36"/>
          <w:szCs w:val="36"/>
          <w:highlight w:val="none"/>
        </w:rPr>
        <w:br w:type="page"/>
      </w:r>
      <w:bookmarkEnd w:id="2"/>
      <w:bookmarkEnd w:id="3"/>
      <w:bookmarkStart w:id="4" w:name="_Hlt74707423"/>
      <w:bookmarkEnd w:id="4"/>
      <w:bookmarkStart w:id="5" w:name="_Hlt74649545"/>
      <w:bookmarkEnd w:id="5"/>
      <w:bookmarkStart w:id="6" w:name="_Hlt74728647"/>
      <w:bookmarkEnd w:id="6"/>
      <w:bookmarkStart w:id="7" w:name="_Hlt74729822"/>
      <w:bookmarkEnd w:id="7"/>
      <w:bookmarkStart w:id="8" w:name="第二部分"/>
      <w:bookmarkStart w:id="9" w:name="_Toc91899870"/>
      <w:bookmarkStart w:id="10" w:name="_Toc91899871"/>
      <w:r>
        <w:rPr>
          <w:rFonts w:hint="eastAsia" w:ascii="宋体" w:hAnsi="宋体" w:cs="宋体"/>
          <w:b/>
          <w:color w:val="auto"/>
          <w:sz w:val="36"/>
          <w:szCs w:val="20"/>
          <w:highlight w:val="none"/>
        </w:rPr>
        <w:t>第一部分 竞争性磋商公告</w:t>
      </w:r>
    </w:p>
    <w:p w14:paraId="0902003E">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项目概况</w:t>
      </w:r>
    </w:p>
    <w:p w14:paraId="1CBB2DC5">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u w:val="single"/>
          <w:lang w:eastAsia="zh-CN"/>
        </w:rPr>
        <w:t>新开河（四季青段）入河排污口治理工程施工项目</w:t>
      </w:r>
      <w:r>
        <w:rPr>
          <w:rFonts w:hint="eastAsia" w:ascii="宋体" w:hAnsi="宋体" w:cs="宋体"/>
          <w:color w:val="auto"/>
          <w:sz w:val="24"/>
          <w:highlight w:val="none"/>
        </w:rPr>
        <w:t>采购项目的潜在供应商应在政采云平台（</w:t>
      </w:r>
      <w:r>
        <w:rPr>
          <w:color w:val="auto"/>
          <w:highlight w:val="none"/>
        </w:rPr>
        <w:fldChar w:fldCharType="begin"/>
      </w:r>
      <w:r>
        <w:rPr>
          <w:color w:val="auto"/>
          <w:highlight w:val="none"/>
        </w:rPr>
        <w:instrText xml:space="preserve"> HYPERLINK "https://www.zcygov.cn/）获取（下载）招标文件，并于2021年" </w:instrText>
      </w:r>
      <w:r>
        <w:rPr>
          <w:color w:val="auto"/>
          <w:highlight w:val="none"/>
        </w:rPr>
        <w:fldChar w:fldCharType="separate"/>
      </w:r>
      <w:r>
        <w:rPr>
          <w:rStyle w:val="77"/>
          <w:rFonts w:hint="eastAsia" w:ascii="宋体" w:hAnsi="宋体" w:eastAsia="宋体" w:cs="宋体"/>
          <w:snapToGrid/>
          <w:color w:val="auto"/>
          <w:kern w:val="2"/>
          <w:sz w:val="24"/>
          <w:szCs w:val="24"/>
          <w:highlight w:val="none"/>
        </w:rPr>
        <w:t>https://www.zcygov.cn/）获取（下载）采购文件，并于</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07</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07</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09</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cs="宋体"/>
          <w:color w:val="auto"/>
          <w:sz w:val="24"/>
          <w:highlight w:val="none"/>
          <w:u w:val="single"/>
        </w:rPr>
        <w:t>分</w:t>
      </w:r>
      <w:r>
        <w:rPr>
          <w:rFonts w:hint="eastAsia" w:ascii="宋体" w:hAnsi="宋体" w:cs="宋体"/>
          <w:bCs/>
          <w:color w:val="auto"/>
          <w:sz w:val="24"/>
          <w:highlight w:val="none"/>
          <w:u w:val="single"/>
        </w:rPr>
        <w:t>00秒</w:t>
      </w:r>
      <w:r>
        <w:rPr>
          <w:rFonts w:hint="eastAsia" w:ascii="宋体" w:hAnsi="宋体" w:cs="宋体"/>
          <w:bCs/>
          <w:color w:val="auto"/>
          <w:sz w:val="24"/>
          <w:highlight w:val="none"/>
          <w:u w:val="single"/>
        </w:rPr>
        <w:fldChar w:fldCharType="end"/>
      </w:r>
      <w:r>
        <w:rPr>
          <w:rFonts w:hint="eastAsia" w:ascii="宋体" w:hAnsi="宋体" w:cs="宋体"/>
          <w:bCs/>
          <w:color w:val="auto"/>
          <w:sz w:val="24"/>
          <w:highlight w:val="none"/>
        </w:rPr>
        <w:t>（北京时间）前</w:t>
      </w:r>
      <w:r>
        <w:rPr>
          <w:rFonts w:hint="eastAsia" w:ascii="宋体" w:hAnsi="宋体" w:cs="宋体"/>
          <w:color w:val="auto"/>
          <w:sz w:val="24"/>
          <w:highlight w:val="none"/>
        </w:rPr>
        <w:t>提交（上传）响应文件。</w:t>
      </w:r>
    </w:p>
    <w:p w14:paraId="14956B32">
      <w:pPr>
        <w:spacing w:line="360" w:lineRule="auto"/>
        <w:rPr>
          <w:rFonts w:ascii="宋体" w:hAnsi="宋体" w:cs="宋体"/>
          <w:b/>
          <w:color w:val="auto"/>
          <w:sz w:val="24"/>
          <w:highlight w:val="none"/>
        </w:rPr>
      </w:pPr>
      <w:r>
        <w:rPr>
          <w:rFonts w:hint="eastAsia" w:ascii="宋体" w:hAnsi="宋体" w:cs="宋体"/>
          <w:b/>
          <w:color w:val="auto"/>
          <w:sz w:val="24"/>
          <w:highlight w:val="none"/>
        </w:rPr>
        <w:t xml:space="preserve">一、项目基本情况                                            </w:t>
      </w:r>
    </w:p>
    <w:p w14:paraId="1E5A1DDA">
      <w:pPr>
        <w:snapToGrid w:val="0"/>
        <w:spacing w:line="360" w:lineRule="auto"/>
        <w:ind w:firstLine="482" w:firstLineChars="200"/>
        <w:rPr>
          <w:rFonts w:hint="eastAsia" w:ascii="宋体" w:hAnsi="宋体" w:eastAsia="宋体" w:cs="宋体"/>
          <w:color w:val="auto"/>
          <w:sz w:val="24"/>
          <w:highlight w:val="none"/>
          <w:lang w:eastAsia="zh-CN"/>
        </w:rPr>
      </w:pPr>
      <w:r>
        <w:rPr>
          <w:rFonts w:hint="eastAsia" w:ascii="宋体" w:hAnsi="宋体" w:cs="宋体"/>
          <w:b/>
          <w:color w:val="auto"/>
          <w:sz w:val="24"/>
          <w:highlight w:val="none"/>
        </w:rPr>
        <w:t>项目编号：</w:t>
      </w:r>
      <w:r>
        <w:rPr>
          <w:rFonts w:hint="eastAsia" w:ascii="宋体" w:hAnsi="宋体" w:cs="宋体"/>
          <w:b/>
          <w:color w:val="auto"/>
          <w:sz w:val="24"/>
          <w:highlight w:val="none"/>
          <w:lang w:eastAsia="zh-CN"/>
        </w:rPr>
        <w:t>ZJGL-SJQJD20250403</w:t>
      </w:r>
    </w:p>
    <w:p w14:paraId="4AE6EEBA">
      <w:pPr>
        <w:snapToGrid w:val="0"/>
        <w:spacing w:line="360" w:lineRule="auto"/>
        <w:ind w:firstLine="482" w:firstLineChars="200"/>
        <w:rPr>
          <w:rFonts w:hint="eastAsia" w:ascii="宋体" w:hAnsi="宋体" w:eastAsia="宋体" w:cs="宋体"/>
          <w:color w:val="auto"/>
          <w:sz w:val="24"/>
          <w:highlight w:val="none"/>
          <w:lang w:eastAsia="zh-CN"/>
        </w:rPr>
      </w:pPr>
      <w:r>
        <w:rPr>
          <w:rFonts w:hint="eastAsia" w:ascii="宋体" w:hAnsi="宋体" w:cs="宋体"/>
          <w:b/>
          <w:color w:val="auto"/>
          <w:sz w:val="24"/>
          <w:highlight w:val="none"/>
        </w:rPr>
        <w:t>项目名称：</w:t>
      </w:r>
      <w:r>
        <w:rPr>
          <w:rFonts w:hint="eastAsia" w:ascii="宋体" w:hAnsi="宋体" w:cs="宋体"/>
          <w:color w:val="auto"/>
          <w:sz w:val="24"/>
          <w:highlight w:val="none"/>
          <w:lang w:eastAsia="zh-CN"/>
        </w:rPr>
        <w:t>新开河（四季青段）入河排污口治理工程施工项目</w:t>
      </w:r>
    </w:p>
    <w:p w14:paraId="7F3446BD">
      <w:pPr>
        <w:snapToGrid w:val="0"/>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预算金额（元）：2431742</w:t>
      </w:r>
    </w:p>
    <w:p w14:paraId="11BD2011">
      <w:pPr>
        <w:snapToGrid w:val="0"/>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最高限价（元）：2431742</w:t>
      </w:r>
      <w:r>
        <w:rPr>
          <w:rFonts w:hint="eastAsia" w:ascii="宋体" w:hAnsi="宋体" w:cs="宋体"/>
          <w:color w:val="auto"/>
          <w:sz w:val="24"/>
          <w:highlight w:val="none"/>
        </w:rPr>
        <w:t xml:space="preserve">  </w:t>
      </w:r>
    </w:p>
    <w:p w14:paraId="1245F0D7">
      <w:pPr>
        <w:pStyle w:val="5"/>
        <w:spacing w:line="360" w:lineRule="auto"/>
        <w:ind w:firstLine="482" w:firstLineChars="200"/>
        <w:rPr>
          <w:rFonts w:hAnsi="宋体" w:cs="宋体"/>
          <w:bCs/>
          <w:snapToGrid/>
          <w:color w:val="auto"/>
          <w:kern w:val="2"/>
          <w:sz w:val="24"/>
          <w:szCs w:val="24"/>
          <w:highlight w:val="none"/>
        </w:rPr>
      </w:pPr>
      <w:r>
        <w:rPr>
          <w:rFonts w:hint="eastAsia" w:hAnsi="宋体" w:cs="宋体"/>
          <w:b/>
          <w:color w:val="auto"/>
          <w:sz w:val="24"/>
          <w:highlight w:val="none"/>
        </w:rPr>
        <w:t>采购需求：</w:t>
      </w:r>
      <w:r>
        <w:rPr>
          <w:rFonts w:hint="eastAsia" w:hAnsi="宋体" w:cs="宋体"/>
          <w:bCs/>
          <w:snapToGrid/>
          <w:color w:val="auto"/>
          <w:kern w:val="2"/>
          <w:sz w:val="24"/>
          <w:szCs w:val="24"/>
          <w:highlight w:val="none"/>
          <w:lang w:eastAsia="zh-CN"/>
        </w:rPr>
        <w:t>新开河（四季青段）入河排污口治理工程施工项目</w:t>
      </w:r>
      <w:r>
        <w:rPr>
          <w:rFonts w:hint="eastAsia" w:hAnsi="宋体" w:cs="宋体"/>
          <w:bCs/>
          <w:snapToGrid/>
          <w:color w:val="auto"/>
          <w:kern w:val="2"/>
          <w:sz w:val="24"/>
          <w:szCs w:val="24"/>
          <w:highlight w:val="none"/>
        </w:rPr>
        <w:t>主要内容详见采购文件第三部分采购需求</w:t>
      </w:r>
      <w:r>
        <w:rPr>
          <w:rFonts w:hint="eastAsia" w:hAnsi="宋体" w:cs="宋体"/>
          <w:bCs/>
          <w:snapToGrid/>
          <w:color w:val="auto"/>
          <w:kern w:val="2"/>
          <w:sz w:val="24"/>
          <w:szCs w:val="24"/>
          <w:highlight w:val="none"/>
          <w:lang w:val="en-US" w:eastAsia="zh-CN"/>
        </w:rPr>
        <w:t>及项目施工图纸，工程量清单</w:t>
      </w:r>
      <w:r>
        <w:rPr>
          <w:rFonts w:hint="eastAsia" w:hAnsi="宋体" w:cs="宋体"/>
          <w:bCs/>
          <w:snapToGrid/>
          <w:color w:val="auto"/>
          <w:kern w:val="2"/>
          <w:sz w:val="24"/>
          <w:szCs w:val="24"/>
          <w:highlight w:val="none"/>
        </w:rPr>
        <w:t>。</w:t>
      </w:r>
    </w:p>
    <w:p w14:paraId="5C21B679">
      <w:pPr>
        <w:pStyle w:val="132"/>
        <w:snapToGrid w:val="0"/>
        <w:spacing w:before="0"/>
        <w:ind w:firstLine="482"/>
        <w:outlineLvl w:val="2"/>
        <w:rPr>
          <w:rFonts w:hint="default" w:ascii="宋体" w:hAnsi="宋体" w:eastAsia="宋体" w:cs="宋体"/>
          <w:color w:val="auto"/>
          <w:highlight w:val="none"/>
          <w:lang w:val="en-US" w:eastAsia="zh-CN"/>
        </w:rPr>
      </w:pPr>
      <w:r>
        <w:rPr>
          <w:rFonts w:hint="eastAsia" w:ascii="宋体" w:hAnsi="宋体" w:cs="宋体"/>
          <w:b/>
          <w:color w:val="auto"/>
          <w:highlight w:val="none"/>
        </w:rPr>
        <w:t>合同履约期限：</w:t>
      </w:r>
      <w:r>
        <w:rPr>
          <w:rFonts w:hint="eastAsia" w:ascii="宋体" w:hAnsi="宋体" w:cs="宋体"/>
          <w:b/>
          <w:color w:val="auto"/>
          <w:highlight w:val="none"/>
          <w:lang w:val="en-US" w:eastAsia="zh-CN"/>
        </w:rPr>
        <w:t>90日历天</w:t>
      </w:r>
    </w:p>
    <w:p w14:paraId="63CA81C4">
      <w:pPr>
        <w:pStyle w:val="5"/>
        <w:spacing w:line="360" w:lineRule="auto"/>
        <w:ind w:firstLine="482" w:firstLineChars="200"/>
        <w:rPr>
          <w:rFonts w:hAnsi="宋体" w:cs="宋体"/>
          <w:b/>
          <w:color w:val="auto"/>
          <w:sz w:val="24"/>
          <w:highlight w:val="none"/>
        </w:rPr>
      </w:pPr>
      <w:r>
        <w:rPr>
          <w:rFonts w:hint="eastAsia" w:hAnsi="宋体" w:cs="宋体"/>
          <w:b/>
          <w:color w:val="auto"/>
          <w:sz w:val="24"/>
          <w:highlight w:val="none"/>
        </w:rPr>
        <w:t>本项目接受联合体：</w:t>
      </w:r>
    </w:p>
    <w:p w14:paraId="7B5B5977">
      <w:pPr>
        <w:pStyle w:val="5"/>
        <w:spacing w:line="360" w:lineRule="auto"/>
        <w:ind w:firstLine="480" w:firstLineChars="200"/>
        <w:rPr>
          <w:rFonts w:hAnsi="宋体" w:cs="宋体"/>
          <w:color w:val="auto"/>
          <w:sz w:val="24"/>
          <w:highlight w:val="none"/>
        </w:rPr>
      </w:pPr>
      <w:sdt>
        <w:sdtPr>
          <w:rPr>
            <w:rFonts w:hint="eastAsia" w:hAnsi="宋体" w:cs="宋体"/>
            <w:color w:val="auto"/>
            <w:kern w:val="0"/>
            <w:sz w:val="24"/>
            <w:highlight w:val="none"/>
          </w:rPr>
          <w:id w:val="2035453831"/>
          <w14:checkbox>
            <w14:checked w14:val="1"/>
            <w14:checkedState w14:val="00FE" w14:font="Wingdings"/>
            <w14:uncheckedState w14:val="2610" w14:font="MS Gothic"/>
          </w14:checkbox>
        </w:sdtPr>
        <w:sdtEndPr>
          <w:rPr>
            <w:rFonts w:hint="eastAsia" w:hAnsi="宋体" w:cs="宋体"/>
            <w:color w:val="auto"/>
            <w:kern w:val="0"/>
            <w:sz w:val="24"/>
            <w:highlight w:val="none"/>
          </w:rPr>
        </w:sdtEndPr>
        <w:sdtContent>
          <w:r>
            <w:rPr>
              <w:rFonts w:ascii="Wingdings" w:hAnsi="Wingdings" w:eastAsia="宋体" w:cs="宋体"/>
              <w:snapToGrid w:val="0"/>
              <w:color w:val="auto"/>
              <w:kern w:val="0"/>
              <w:sz w:val="24"/>
              <w:szCs w:val="20"/>
              <w:highlight w:val="none"/>
              <w:lang w:val="en-US" w:eastAsia="zh-CN" w:bidi="ar-SA"/>
            </w:rPr>
            <w:t>þ</w:t>
          </w:r>
        </w:sdtContent>
      </w:sdt>
      <w:r>
        <w:rPr>
          <w:rFonts w:hint="eastAsia" w:hAnsi="宋体" w:cs="宋体"/>
          <w:color w:val="auto"/>
          <w:sz w:val="24"/>
          <w:highlight w:val="none"/>
        </w:rPr>
        <w:t>是；</w:t>
      </w:r>
    </w:p>
    <w:p w14:paraId="62569A6B">
      <w:pPr>
        <w:pStyle w:val="5"/>
        <w:spacing w:line="360" w:lineRule="auto"/>
        <w:ind w:firstLine="480" w:firstLineChars="200"/>
        <w:rPr>
          <w:rFonts w:hAnsi="宋体" w:cs="宋体"/>
          <w:color w:val="auto"/>
          <w:kern w:val="0"/>
          <w:sz w:val="24"/>
          <w:highlight w:val="none"/>
        </w:rPr>
      </w:pPr>
      <w:sdt>
        <w:sdtPr>
          <w:rPr>
            <w:rFonts w:hint="eastAsia" w:hAnsi="宋体" w:cs="宋体"/>
            <w:color w:val="auto"/>
            <w:kern w:val="0"/>
            <w:sz w:val="24"/>
            <w:highlight w:val="none"/>
          </w:rPr>
          <w:id w:val="-1765526721"/>
          <w14:checkbox>
            <w14:checked w14:val="0"/>
            <w14:checkedState w14:val="00FE" w14:font="Wingdings"/>
            <w14:uncheckedState w14:val="2610" w14:font="MS Gothic"/>
          </w14:checkbox>
        </w:sdtPr>
        <w:sdtEndPr>
          <w:rPr>
            <w:rFonts w:hint="eastAsia" w:hAnsi="宋体" w:cs="宋体"/>
            <w:color w:val="auto"/>
            <w:kern w:val="0"/>
            <w:sz w:val="24"/>
            <w:highlight w:val="none"/>
          </w:rPr>
        </w:sdtEndPr>
        <w:sdtContent>
          <w:r>
            <w:rPr>
              <w:rFonts w:ascii="MS Gothic" w:hAnsi="MS Gothic" w:eastAsia="宋体" w:cs="宋体"/>
              <w:snapToGrid w:val="0"/>
              <w:color w:val="auto"/>
              <w:kern w:val="0"/>
              <w:sz w:val="24"/>
              <w:szCs w:val="20"/>
              <w:highlight w:val="none"/>
              <w:lang w:val="en-US" w:eastAsia="zh-CN" w:bidi="ar-SA"/>
            </w:rPr>
            <w:t>☐</w:t>
          </w:r>
        </w:sdtContent>
      </w:sdt>
      <w:r>
        <w:rPr>
          <w:rFonts w:hint="eastAsia" w:hAnsi="宋体" w:cs="宋体"/>
          <w:color w:val="auto"/>
          <w:sz w:val="24"/>
          <w:highlight w:val="none"/>
        </w:rPr>
        <w:t>否</w:t>
      </w:r>
      <w:r>
        <w:rPr>
          <w:rFonts w:hint="eastAsia" w:hAnsi="宋体" w:cs="宋体"/>
          <w:color w:val="auto"/>
          <w:kern w:val="0"/>
          <w:sz w:val="24"/>
          <w:highlight w:val="none"/>
        </w:rPr>
        <w:t>，不接受联合体理由：</w:t>
      </w:r>
      <w:r>
        <w:rPr>
          <w:rFonts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w:t>
      </w:r>
      <w:r>
        <w:rPr>
          <w:rFonts w:hAnsi="宋体" w:cs="宋体"/>
          <w:color w:val="auto"/>
          <w:kern w:val="0"/>
          <w:sz w:val="24"/>
          <w:highlight w:val="none"/>
          <w:u w:val="single"/>
        </w:rPr>
        <w:t xml:space="preserve">      </w:t>
      </w:r>
      <w:r>
        <w:rPr>
          <w:rFonts w:hint="eastAsia" w:hAnsi="宋体" w:cs="宋体"/>
          <w:color w:val="auto"/>
          <w:kern w:val="0"/>
          <w:sz w:val="24"/>
          <w:highlight w:val="none"/>
        </w:rPr>
        <w:t>。</w:t>
      </w:r>
    </w:p>
    <w:p w14:paraId="6367D55A">
      <w:pPr>
        <w:pStyle w:val="132"/>
        <w:snapToGrid w:val="0"/>
        <w:spacing w:before="0"/>
        <w:ind w:firstLine="482"/>
        <w:outlineLvl w:val="2"/>
        <w:rPr>
          <w:rFonts w:ascii="宋体" w:hAnsi="宋体" w:cs="宋体"/>
          <w:b/>
          <w:color w:val="auto"/>
          <w:highlight w:val="none"/>
        </w:rPr>
      </w:pPr>
      <w:r>
        <w:rPr>
          <w:rFonts w:hint="eastAsia" w:ascii="宋体" w:hAnsi="宋体" w:cs="宋体"/>
          <w:b/>
          <w:color w:val="auto"/>
          <w:highlight w:val="none"/>
        </w:rPr>
        <w:t>注：不得限制大中型企业与小微企业组成联合体参与。</w:t>
      </w:r>
    </w:p>
    <w:p w14:paraId="65366D5E">
      <w:pPr>
        <w:spacing w:line="360" w:lineRule="auto"/>
        <w:rPr>
          <w:rFonts w:ascii="宋体" w:hAnsi="宋体" w:cs="宋体"/>
          <w:b/>
          <w:color w:val="auto"/>
          <w:sz w:val="24"/>
          <w:highlight w:val="none"/>
        </w:rPr>
      </w:pPr>
      <w:r>
        <w:rPr>
          <w:rFonts w:hint="eastAsia" w:ascii="宋体" w:hAnsi="宋体" w:cs="宋体"/>
          <w:b/>
          <w:color w:val="auto"/>
          <w:sz w:val="24"/>
          <w:highlight w:val="none"/>
        </w:rPr>
        <w:t>二、</w:t>
      </w:r>
      <w:bookmarkStart w:id="11" w:name="_Hlk101132948"/>
      <w:r>
        <w:rPr>
          <w:rFonts w:hint="eastAsia" w:ascii="宋体" w:hAnsi="宋体" w:cs="宋体"/>
          <w:b/>
          <w:color w:val="auto"/>
          <w:sz w:val="24"/>
          <w:highlight w:val="none"/>
        </w:rPr>
        <w:t>申请人的资格要求</w:t>
      </w:r>
      <w:bookmarkEnd w:id="11"/>
      <w:r>
        <w:rPr>
          <w:rFonts w:hint="eastAsia" w:ascii="宋体" w:hAnsi="宋体" w:cs="宋体"/>
          <w:b/>
          <w:color w:val="auto"/>
          <w:sz w:val="24"/>
          <w:highlight w:val="none"/>
        </w:rPr>
        <w:t>：</w:t>
      </w:r>
    </w:p>
    <w:p w14:paraId="7AC4C7F2">
      <w:pPr>
        <w:spacing w:line="360" w:lineRule="auto"/>
        <w:ind w:firstLine="480"/>
        <w:rPr>
          <w:rFonts w:ascii="宋体" w:hAnsi="宋体" w:cs="宋体"/>
          <w:snapToGrid w:val="0"/>
          <w:color w:val="auto"/>
          <w:kern w:val="28"/>
          <w:sz w:val="24"/>
          <w:szCs w:val="20"/>
          <w:highlight w:val="none"/>
        </w:rPr>
      </w:pPr>
      <w:r>
        <w:rPr>
          <w:rFonts w:hint="eastAsia" w:ascii="宋体" w:hAnsi="宋体" w:cs="宋体"/>
          <w:snapToGrid w:val="0"/>
          <w:color w:val="auto"/>
          <w:kern w:val="28"/>
          <w:sz w:val="24"/>
          <w:szCs w:val="20"/>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0176FAF5">
      <w:pPr>
        <w:spacing w:line="360" w:lineRule="auto"/>
        <w:rPr>
          <w:rFonts w:ascii="宋体" w:hAnsi="宋体" w:cs="宋体"/>
          <w:snapToGrid w:val="0"/>
          <w:color w:val="auto"/>
          <w:kern w:val="28"/>
          <w:sz w:val="24"/>
          <w:szCs w:val="20"/>
          <w:highlight w:val="none"/>
        </w:rPr>
      </w:pPr>
      <w:r>
        <w:rPr>
          <w:rFonts w:hint="eastAsia" w:ascii="宋体" w:hAnsi="宋体" w:cs="宋体"/>
          <w:snapToGrid w:val="0"/>
          <w:color w:val="auto"/>
          <w:kern w:val="28"/>
          <w:sz w:val="24"/>
          <w:szCs w:val="20"/>
          <w:highlight w:val="none"/>
        </w:rPr>
        <w:t xml:space="preserve">    </w:t>
      </w:r>
      <w:r>
        <w:rPr>
          <w:rFonts w:ascii="宋体" w:hAnsi="宋体" w:cs="宋体"/>
          <w:snapToGrid w:val="0"/>
          <w:color w:val="auto"/>
          <w:kern w:val="28"/>
          <w:sz w:val="24"/>
          <w:szCs w:val="20"/>
          <w:highlight w:val="none"/>
        </w:rPr>
        <w:t>2</w:t>
      </w:r>
      <w:r>
        <w:rPr>
          <w:rFonts w:hint="eastAsia" w:ascii="宋体" w:hAnsi="宋体" w:cs="宋体"/>
          <w:snapToGrid w:val="0"/>
          <w:color w:val="auto"/>
          <w:kern w:val="28"/>
          <w:sz w:val="24"/>
          <w:szCs w:val="20"/>
          <w:highlight w:val="none"/>
        </w:rPr>
        <w:t>.</w:t>
      </w:r>
      <w:r>
        <w:rPr>
          <w:rFonts w:hint="eastAsia"/>
          <w:color w:val="auto"/>
          <w:highlight w:val="none"/>
        </w:rPr>
        <w:t xml:space="preserve"> </w:t>
      </w:r>
      <w:r>
        <w:rPr>
          <w:rFonts w:hint="eastAsia" w:ascii="宋体" w:hAnsi="宋体" w:cs="宋体"/>
          <w:snapToGrid w:val="0"/>
          <w:color w:val="auto"/>
          <w:kern w:val="28"/>
          <w:sz w:val="24"/>
          <w:szCs w:val="20"/>
          <w:highlight w:val="none"/>
        </w:rPr>
        <w:t>以联合体形式参与的，提供联合协议(本项目不接受联合体或者供应商不以联合体形式参与的，则不需要提供) ；</w:t>
      </w:r>
    </w:p>
    <w:p w14:paraId="2559477E">
      <w:pPr>
        <w:spacing w:line="360" w:lineRule="auto"/>
        <w:ind w:firstLine="480" w:firstLineChars="200"/>
        <w:rPr>
          <w:rFonts w:ascii="宋体" w:hAnsi="宋体" w:cs="宋体"/>
          <w:snapToGrid w:val="0"/>
          <w:color w:val="auto"/>
          <w:kern w:val="28"/>
          <w:sz w:val="24"/>
          <w:szCs w:val="20"/>
          <w:highlight w:val="none"/>
        </w:rPr>
      </w:pPr>
      <w:r>
        <w:rPr>
          <w:rFonts w:ascii="宋体" w:hAnsi="宋体" w:cs="宋体"/>
          <w:snapToGrid w:val="0"/>
          <w:color w:val="auto"/>
          <w:kern w:val="28"/>
          <w:sz w:val="24"/>
          <w:szCs w:val="20"/>
          <w:highlight w:val="none"/>
        </w:rPr>
        <w:t>3</w:t>
      </w:r>
      <w:r>
        <w:rPr>
          <w:rFonts w:hint="eastAsia" w:ascii="宋体" w:hAnsi="宋体" w:cs="宋体"/>
          <w:snapToGrid w:val="0"/>
          <w:color w:val="auto"/>
          <w:kern w:val="28"/>
          <w:sz w:val="24"/>
          <w:szCs w:val="20"/>
          <w:highlight w:val="none"/>
        </w:rPr>
        <w:t>.落实政府采购政策需满足的资格要求：</w:t>
      </w:r>
    </w:p>
    <w:p w14:paraId="5998FEC0">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1928616923"/>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无；</w:t>
      </w:r>
    </w:p>
    <w:p w14:paraId="31F4B663">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1024704304"/>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sym w:font="Wingdings" w:char="F0FE"/>
          </w:r>
        </w:sdtContent>
      </w:sdt>
      <w:r>
        <w:rPr>
          <w:rFonts w:hint="eastAsia" w:ascii="宋体" w:hAnsi="宋体" w:cs="宋体"/>
          <w:color w:val="auto"/>
          <w:kern w:val="0"/>
          <w:sz w:val="24"/>
          <w:highlight w:val="none"/>
        </w:rPr>
        <w:t>专</w:t>
      </w:r>
      <w:r>
        <w:rPr>
          <w:rFonts w:hint="eastAsia" w:ascii="宋体" w:hAnsi="宋体" w:cs="宋体"/>
          <w:color w:val="auto"/>
          <w:sz w:val="24"/>
          <w:highlight w:val="none"/>
        </w:rPr>
        <w:t>门面向中小企业</w:t>
      </w:r>
    </w:p>
    <w:p w14:paraId="78E475DA">
      <w:pPr>
        <w:spacing w:line="360" w:lineRule="auto"/>
        <w:ind w:firstLine="897" w:firstLineChars="374"/>
        <w:rPr>
          <w:rFonts w:ascii="宋体" w:hAnsi="宋体" w:cs="宋体"/>
          <w:color w:val="auto"/>
          <w:sz w:val="24"/>
          <w:highlight w:val="none"/>
          <w:u w:val="single"/>
        </w:rPr>
      </w:pPr>
      <w:sdt>
        <w:sdtPr>
          <w:rPr>
            <w:rFonts w:hint="eastAsia" w:ascii="宋体" w:hAnsi="宋体" w:cs="宋体"/>
            <w:color w:val="auto"/>
            <w:kern w:val="0"/>
            <w:sz w:val="24"/>
            <w:highlight w:val="none"/>
          </w:rPr>
          <w:id w:val="-924730588"/>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cs="宋体"/>
          <w:color w:val="auto"/>
          <w:sz w:val="24"/>
          <w:highlight w:val="none"/>
        </w:rPr>
        <w:t>工程全部由符合政策要求的中小企业承建，提供中小企业声明函；</w:t>
      </w:r>
    </w:p>
    <w:p w14:paraId="28CC98B1">
      <w:pPr>
        <w:spacing w:line="360" w:lineRule="auto"/>
        <w:ind w:firstLine="897" w:firstLineChars="374"/>
        <w:rPr>
          <w:rFonts w:ascii="宋体" w:hAnsi="宋体" w:cs="宋体"/>
          <w:color w:val="auto"/>
          <w:sz w:val="24"/>
          <w:highlight w:val="none"/>
        </w:rPr>
      </w:pPr>
      <w:sdt>
        <w:sdtPr>
          <w:rPr>
            <w:rFonts w:hint="eastAsia" w:ascii="宋体" w:hAnsi="宋体" w:cs="宋体"/>
            <w:color w:val="auto"/>
            <w:kern w:val="0"/>
            <w:sz w:val="24"/>
            <w:highlight w:val="none"/>
          </w:rPr>
          <w:id w:val="-1152604937"/>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eastAsia="宋体" w:cs="宋体"/>
              <w:color w:val="auto"/>
              <w:kern w:val="0"/>
              <w:sz w:val="24"/>
              <w:szCs w:val="24"/>
              <w:highlight w:val="none"/>
              <w:lang w:val="en-US" w:eastAsia="zh-CN" w:bidi="ar-SA"/>
            </w:rPr>
            <w:t>☐</w:t>
          </w:r>
        </w:sdtContent>
      </w:sdt>
      <w:r>
        <w:rPr>
          <w:rFonts w:hint="eastAsia" w:ascii="宋体" w:hAnsi="宋体" w:cs="宋体"/>
          <w:color w:val="auto"/>
          <w:sz w:val="24"/>
          <w:highlight w:val="none"/>
        </w:rPr>
        <w:t>工程全部由符合政策要求的小微企业承建，提供中小企业声明函；</w:t>
      </w:r>
    </w:p>
    <w:p w14:paraId="6779A0F5">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1985607795"/>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bookmarkStart w:id="12" w:name="_Hlk101132524"/>
        </w:sdtContent>
      </w:sdt>
      <w:r>
        <w:rPr>
          <w:rFonts w:hint="eastAsia" w:ascii="宋体" w:hAnsi="宋体" w:cs="宋体"/>
          <w:color w:val="auto"/>
          <w:sz w:val="24"/>
          <w:highlight w:val="none"/>
        </w:rPr>
        <w:t>要求以联合体形式参加，提供联合协议和中小企业声明函，联合协议中中小企业合同金额应当达到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%，小微企业合同金额应当达到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 </w:t>
      </w:r>
      <w:r>
        <w:rPr>
          <w:rFonts w:hint="eastAsia" w:ascii="宋体" w:hAnsi="宋体" w:cs="宋体"/>
          <w:color w:val="auto"/>
          <w:sz w:val="24"/>
          <w:highlight w:val="none"/>
        </w:rPr>
        <w:t>%;</w:t>
      </w:r>
      <w:r>
        <w:rPr>
          <w:rFonts w:hint="eastAsia" w:ascii="宋体" w:hAnsi="宋体" w:cs="宋体"/>
          <w:color w:val="auto"/>
          <w:spacing w:val="8"/>
          <w:kern w:val="0"/>
          <w:sz w:val="24"/>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cs="宋体"/>
          <w:color w:val="auto"/>
          <w:sz w:val="24"/>
          <w:highlight w:val="none"/>
        </w:rPr>
        <w:t>；</w:t>
      </w:r>
    </w:p>
    <w:bookmarkEnd w:id="12"/>
    <w:p w14:paraId="037CF4B5">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34630645"/>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要求合同分包，提供分包意向协议和中小企业声明函，分包意向协议中中小企业合同金额应当达到达到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，小微企业合同金额应当达到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 ;</w:t>
      </w:r>
      <w:r>
        <w:rPr>
          <w:rFonts w:hint="eastAsia" w:ascii="宋体" w:hAnsi="宋体" w:cs="宋体"/>
          <w:color w:val="auto"/>
          <w:spacing w:val="8"/>
          <w:kern w:val="0"/>
          <w:sz w:val="24"/>
          <w:highlight w:val="none"/>
        </w:rPr>
        <w:t>如果供应商本身提供所有标的均由中小企业承建，并相应达到了前述比例要求，视同符合了资格条件，无需再向中小企业分包，无需提供分包意向协议</w:t>
      </w:r>
      <w:r>
        <w:rPr>
          <w:rFonts w:hint="eastAsia" w:ascii="宋体" w:hAnsi="宋体" w:cs="宋体"/>
          <w:color w:val="auto"/>
          <w:sz w:val="24"/>
          <w:highlight w:val="none"/>
        </w:rPr>
        <w:t>；</w:t>
      </w:r>
    </w:p>
    <w:p w14:paraId="056E4C34">
      <w:pPr>
        <w:widowControl/>
        <w:numPr>
          <w:ilvl w:val="0"/>
          <w:numId w:val="0"/>
        </w:num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.本项目的特定资格要求：</w:t>
      </w:r>
    </w:p>
    <w:p w14:paraId="7997DCB1">
      <w:pPr>
        <w:widowControl/>
        <w:numPr>
          <w:ilvl w:val="0"/>
          <w:numId w:val="0"/>
        </w:numPr>
        <w:spacing w:line="360" w:lineRule="auto"/>
        <w:ind w:firstLine="480" w:firstLineChars="200"/>
        <w:jc w:val="left"/>
        <w:rPr>
          <w:rFonts w:hint="eastAsia"/>
          <w:color w:val="auto"/>
          <w:sz w:val="24"/>
          <w:szCs w:val="24"/>
          <w:highlight w:val="none"/>
          <w:lang w:eastAsia="zh-CN"/>
        </w:rPr>
      </w:pPr>
      <w:r>
        <w:rPr>
          <w:rFonts w:hint="eastAsia"/>
          <w:color w:val="auto"/>
          <w:sz w:val="24"/>
          <w:szCs w:val="24"/>
          <w:highlight w:val="none"/>
          <w:lang w:eastAsia="zh-CN"/>
        </w:rPr>
        <w:t>（</w:t>
      </w:r>
      <w:r>
        <w:rPr>
          <w:rFonts w:hint="eastAsia"/>
          <w:color w:val="auto"/>
          <w:sz w:val="24"/>
          <w:szCs w:val="24"/>
          <w:highlight w:val="none"/>
          <w:lang w:val="en-US" w:eastAsia="zh-CN"/>
        </w:rPr>
        <w:t>1</w:t>
      </w:r>
      <w:r>
        <w:rPr>
          <w:rFonts w:hint="eastAsia"/>
          <w:color w:val="auto"/>
          <w:sz w:val="24"/>
          <w:szCs w:val="24"/>
          <w:highlight w:val="none"/>
          <w:lang w:eastAsia="zh-CN"/>
        </w:rPr>
        <w:t>）具</w:t>
      </w:r>
      <w:r>
        <w:rPr>
          <w:rFonts w:hint="eastAsia"/>
          <w:color w:val="auto"/>
          <w:sz w:val="24"/>
          <w:szCs w:val="24"/>
          <w:highlight w:val="none"/>
          <w:lang w:val="en-US" w:eastAsia="zh-CN"/>
        </w:rPr>
        <w:t>备</w:t>
      </w:r>
      <w:r>
        <w:rPr>
          <w:rFonts w:hint="eastAsia"/>
          <w:color w:val="auto"/>
          <w:sz w:val="24"/>
          <w:szCs w:val="24"/>
          <w:highlight w:val="none"/>
          <w:lang w:eastAsia="zh-CN"/>
        </w:rPr>
        <w:t>市政公用工程施工总承包三级</w:t>
      </w:r>
      <w:r>
        <w:rPr>
          <w:rFonts w:hint="eastAsia"/>
          <w:color w:val="auto"/>
          <w:sz w:val="24"/>
          <w:szCs w:val="24"/>
          <w:highlight w:val="none"/>
          <w:lang w:val="en-US" w:eastAsia="zh-CN"/>
        </w:rPr>
        <w:t>及以上，</w:t>
      </w:r>
      <w:r>
        <w:rPr>
          <w:rFonts w:hint="eastAsia"/>
          <w:color w:val="auto"/>
          <w:sz w:val="24"/>
          <w:szCs w:val="24"/>
          <w:highlight w:val="none"/>
        </w:rPr>
        <w:t>具有安全生产许可证并在有效期内</w:t>
      </w:r>
      <w:r>
        <w:rPr>
          <w:rFonts w:hint="eastAsia"/>
          <w:color w:val="auto"/>
          <w:sz w:val="24"/>
          <w:szCs w:val="24"/>
          <w:highlight w:val="none"/>
          <w:lang w:eastAsia="zh-CN"/>
        </w:rPr>
        <w:t>；</w:t>
      </w:r>
    </w:p>
    <w:p w14:paraId="678A14A6">
      <w:pPr>
        <w:snapToGrid w:val="0"/>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54ED52BF">
      <w:pPr>
        <w:spacing w:line="360" w:lineRule="auto"/>
        <w:rPr>
          <w:rFonts w:ascii="宋体" w:hAnsi="宋体" w:cs="宋体"/>
          <w:b/>
          <w:color w:val="auto"/>
          <w:sz w:val="24"/>
          <w:highlight w:val="none"/>
        </w:rPr>
      </w:pPr>
      <w:r>
        <w:rPr>
          <w:rFonts w:hint="eastAsia" w:ascii="宋体" w:hAnsi="宋体" w:cs="宋体"/>
          <w:b/>
          <w:color w:val="auto"/>
          <w:sz w:val="24"/>
          <w:highlight w:val="none"/>
        </w:rPr>
        <w:t xml:space="preserve">三、获取采购文件 </w:t>
      </w:r>
    </w:p>
    <w:p w14:paraId="5D77F4CF">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时间：</w:t>
      </w:r>
      <w:r>
        <w:rPr>
          <w:rFonts w:hint="eastAsia" w:ascii="宋体" w:hAnsi="宋体" w:cs="宋体"/>
          <w:b/>
          <w:color w:val="auto"/>
          <w:sz w:val="24"/>
          <w:highlight w:val="none"/>
          <w:lang w:val="en-US" w:eastAsia="zh-CN"/>
        </w:rPr>
        <w:t>/</w:t>
      </w:r>
      <w:r>
        <w:rPr>
          <w:rFonts w:hint="eastAsia" w:ascii="宋体" w:hAnsi="宋体" w:cs="宋体"/>
          <w:color w:val="auto"/>
          <w:sz w:val="24"/>
          <w:highlight w:val="none"/>
        </w:rPr>
        <w:t>至</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07</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07</w:t>
      </w:r>
      <w:r>
        <w:rPr>
          <w:rFonts w:hint="eastAsia" w:ascii="宋体" w:hAnsi="宋体" w:cs="宋体"/>
          <w:color w:val="auto"/>
          <w:sz w:val="24"/>
          <w:highlight w:val="none"/>
          <w:u w:val="single"/>
        </w:rPr>
        <w:t>日</w:t>
      </w:r>
      <w:r>
        <w:rPr>
          <w:rFonts w:hint="eastAsia" w:ascii="宋体" w:hAnsi="宋体" w:cs="宋体"/>
          <w:color w:val="auto"/>
          <w:sz w:val="24"/>
          <w:highlight w:val="none"/>
        </w:rPr>
        <w:t>，每天上午00:00至12:00 ，下午12:00至23:59（北京时间，线上获取法定节假日均可，线下获取文件法定节假日除外）</w:t>
      </w:r>
    </w:p>
    <w:p w14:paraId="1C4B15AF">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地点（网址）：</w:t>
      </w:r>
      <w:r>
        <w:rPr>
          <w:rFonts w:hint="eastAsia" w:ascii="宋体" w:hAnsi="宋体" w:cs="宋体"/>
          <w:color w:val="auto"/>
          <w:sz w:val="24"/>
          <w:highlight w:val="none"/>
        </w:rPr>
        <w:t xml:space="preserve">政采云平台（https://www.zcygov.cn/） </w:t>
      </w:r>
    </w:p>
    <w:p w14:paraId="383C697C">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方式：</w:t>
      </w:r>
      <w:r>
        <w:rPr>
          <w:rFonts w:hint="eastAsia" w:ascii="宋体" w:hAnsi="宋体" w:cs="宋体"/>
          <w:color w:val="auto"/>
          <w:sz w:val="24"/>
          <w:highlight w:val="none"/>
        </w:rPr>
        <w:t xml:space="preserve">供应商登录政采云平台https://www.zcygov.cn/在线申请获取采购文件（进入“项目采购”应用，在获取采购文件菜单中选择项目，申请获取采购文件）。 </w:t>
      </w:r>
    </w:p>
    <w:p w14:paraId="5D6A848D">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售价（元）：</w:t>
      </w:r>
      <w:r>
        <w:rPr>
          <w:rFonts w:hint="eastAsia" w:ascii="宋体" w:hAnsi="宋体" w:cs="宋体"/>
          <w:color w:val="auto"/>
          <w:sz w:val="24"/>
          <w:highlight w:val="none"/>
        </w:rPr>
        <w:t xml:space="preserve">0 </w:t>
      </w:r>
      <w:r>
        <w:rPr>
          <w:rFonts w:hint="eastAsia" w:ascii="宋体" w:hAnsi="宋体" w:cs="宋体"/>
          <w:color w:val="auto"/>
          <w:sz w:val="24"/>
          <w:highlight w:val="none"/>
        </w:rPr>
        <w:tab/>
      </w:r>
    </w:p>
    <w:p w14:paraId="780A6B78">
      <w:pPr>
        <w:spacing w:line="360" w:lineRule="auto"/>
        <w:rPr>
          <w:rFonts w:ascii="宋体" w:hAnsi="宋体" w:cs="宋体"/>
          <w:b/>
          <w:color w:val="auto"/>
          <w:sz w:val="24"/>
          <w:highlight w:val="none"/>
        </w:rPr>
      </w:pPr>
      <w:r>
        <w:rPr>
          <w:rFonts w:hint="eastAsia" w:ascii="宋体" w:hAnsi="宋体" w:cs="宋体"/>
          <w:b/>
          <w:color w:val="auto"/>
          <w:sz w:val="24"/>
          <w:highlight w:val="none"/>
        </w:rPr>
        <w:t>四、响应文件提交（上传）</w:t>
      </w:r>
    </w:p>
    <w:p w14:paraId="1DED402A">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截止时间：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07</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07</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09</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cs="宋体"/>
          <w:color w:val="auto"/>
          <w:sz w:val="24"/>
          <w:highlight w:val="none"/>
          <w:u w:val="single"/>
        </w:rPr>
        <w:t>分</w:t>
      </w:r>
      <w:r>
        <w:rPr>
          <w:rFonts w:hint="eastAsia" w:ascii="宋体" w:hAnsi="宋体" w:cs="宋体"/>
          <w:color w:val="auto"/>
          <w:sz w:val="24"/>
          <w:highlight w:val="none"/>
        </w:rPr>
        <w:t>（北京时间）</w:t>
      </w:r>
    </w:p>
    <w:p w14:paraId="387D2D29">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地点（网址）：</w:t>
      </w:r>
      <w:r>
        <w:rPr>
          <w:rFonts w:hint="eastAsia" w:ascii="宋体" w:hAnsi="宋体" w:cs="宋体"/>
          <w:color w:val="auto"/>
          <w:sz w:val="24"/>
          <w:highlight w:val="none"/>
        </w:rPr>
        <w:t xml:space="preserve">政采云平台（https://www.zcygov.cn/） </w:t>
      </w:r>
    </w:p>
    <w:p w14:paraId="3C5856F4">
      <w:pPr>
        <w:spacing w:line="360" w:lineRule="auto"/>
        <w:rPr>
          <w:rFonts w:ascii="宋体" w:hAnsi="宋体" w:cs="宋体"/>
          <w:color w:val="auto"/>
          <w:sz w:val="24"/>
          <w:highlight w:val="none"/>
        </w:rPr>
      </w:pPr>
      <w:r>
        <w:rPr>
          <w:rFonts w:hint="eastAsia" w:ascii="宋体" w:hAnsi="宋体" w:cs="宋体"/>
          <w:b/>
          <w:color w:val="auto"/>
          <w:sz w:val="24"/>
          <w:highlight w:val="none"/>
        </w:rPr>
        <w:t xml:space="preserve">五、响应文件开启 </w:t>
      </w:r>
    </w:p>
    <w:p w14:paraId="74D34198">
      <w:pPr>
        <w:spacing w:line="360" w:lineRule="auto"/>
        <w:ind w:firstLine="482" w:firstLineChars="200"/>
        <w:rPr>
          <w:rFonts w:ascii="宋体" w:hAnsi="宋体" w:cs="宋体"/>
          <w:bCs/>
          <w:color w:val="auto"/>
          <w:sz w:val="24"/>
          <w:highlight w:val="none"/>
          <w:u w:val="single"/>
        </w:rPr>
      </w:pPr>
      <w:r>
        <w:rPr>
          <w:rFonts w:hint="eastAsia" w:ascii="宋体" w:hAnsi="宋体" w:cs="宋体"/>
          <w:b/>
          <w:color w:val="auto"/>
          <w:sz w:val="24"/>
          <w:highlight w:val="none"/>
        </w:rPr>
        <w:t>开启时间：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07</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07</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09</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cs="宋体"/>
          <w:color w:val="auto"/>
          <w:sz w:val="24"/>
          <w:highlight w:val="none"/>
          <w:u w:val="single"/>
        </w:rPr>
        <w:t>分</w:t>
      </w:r>
      <w:r>
        <w:rPr>
          <w:rFonts w:hint="eastAsia" w:ascii="宋体" w:hAnsi="宋体" w:cs="宋体"/>
          <w:bCs/>
          <w:color w:val="auto"/>
          <w:sz w:val="24"/>
          <w:highlight w:val="none"/>
          <w:u w:val="single"/>
        </w:rPr>
        <w:t xml:space="preserve"> </w:t>
      </w:r>
    </w:p>
    <w:p w14:paraId="0C67AA01">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地点（网址）：</w:t>
      </w:r>
      <w:r>
        <w:rPr>
          <w:rFonts w:hint="eastAsia" w:ascii="宋体" w:hAnsi="宋体" w:cs="宋体"/>
          <w:color w:val="auto"/>
          <w:sz w:val="24"/>
          <w:highlight w:val="none"/>
        </w:rPr>
        <w:t>政采云平台（https://www.zcygov.cn/）</w:t>
      </w:r>
    </w:p>
    <w:p w14:paraId="742EE9E4">
      <w:pPr>
        <w:spacing w:line="360" w:lineRule="auto"/>
        <w:rPr>
          <w:rFonts w:ascii="宋体" w:hAnsi="宋体" w:cs="宋体"/>
          <w:color w:val="auto"/>
          <w:sz w:val="24"/>
          <w:highlight w:val="none"/>
        </w:rPr>
      </w:pPr>
      <w:r>
        <w:rPr>
          <w:rFonts w:hint="eastAsia" w:ascii="宋体" w:hAnsi="宋体" w:cs="宋体"/>
          <w:b/>
          <w:color w:val="auto"/>
          <w:sz w:val="24"/>
          <w:highlight w:val="none"/>
        </w:rPr>
        <w:t xml:space="preserve">六、公告期限 </w:t>
      </w:r>
    </w:p>
    <w:p w14:paraId="5888ABE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自本公告发布之日起3个工作日。</w:t>
      </w:r>
    </w:p>
    <w:p w14:paraId="46D84C0F">
      <w:pPr>
        <w:spacing w:line="360" w:lineRule="auto"/>
        <w:rPr>
          <w:rFonts w:ascii="宋体" w:hAnsi="宋体" w:cs="宋体"/>
          <w:b/>
          <w:color w:val="auto"/>
          <w:sz w:val="24"/>
          <w:highlight w:val="none"/>
        </w:rPr>
      </w:pPr>
      <w:r>
        <w:rPr>
          <w:rFonts w:hint="eastAsia" w:ascii="宋体" w:hAnsi="宋体" w:cs="宋体"/>
          <w:b/>
          <w:color w:val="auto"/>
          <w:sz w:val="24"/>
          <w:highlight w:val="none"/>
        </w:rPr>
        <w:t>七、其他补充事宜</w:t>
      </w:r>
    </w:p>
    <w:p w14:paraId="4B87EF0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1.《浙江省财政厅关于进一步发挥政府采购政策功能全力推动经济稳进提质的通知》 （浙财采监（2022）3号）、《浙江省财政厅关于进一步促进政府采购公平竞争打造最优营商环境的通知》（浙财采监（2021）22号）、《</w:t>
      </w:r>
      <w:r>
        <w:rPr>
          <w:rFonts w:ascii="华文中宋" w:hAnsi="华文中宋" w:eastAsia="华文中宋" w:cs="华文中宋"/>
          <w:color w:val="auto"/>
          <w:sz w:val="24"/>
          <w:highlight w:val="none"/>
          <w:shd w:val="clear" w:color="auto" w:fill="FFFFFF"/>
        </w:rPr>
        <w:t>浙江省财政厅关于进一步加大政府采购 支持中小企业力度 助力扎实稳住经济 的通知</w:t>
      </w:r>
      <w:r>
        <w:rPr>
          <w:rFonts w:hint="eastAsia" w:ascii="华文中宋" w:hAnsi="华文中宋" w:eastAsia="华文中宋" w:cs="华文中宋"/>
          <w:color w:val="auto"/>
          <w:sz w:val="24"/>
          <w:highlight w:val="none"/>
          <w:shd w:val="clear" w:color="auto" w:fill="FFFFFF"/>
        </w:rPr>
        <w:t>》（浙财采监〔2022〕8号）</w:t>
      </w:r>
      <w:r>
        <w:rPr>
          <w:rFonts w:hint="eastAsia" w:ascii="宋体" w:hAnsi="宋体" w:cs="宋体"/>
          <w:color w:val="auto"/>
          <w:sz w:val="24"/>
          <w:highlight w:val="none"/>
        </w:rPr>
        <w:t>已分别于2022年1月29日、2022年2月1日和2022年7月1日开始实施，此前有关规定与上述文件内容不一致的，按上述文件要求执行。</w:t>
      </w:r>
    </w:p>
    <w:p w14:paraId="57D20AA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1689D9BD">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90C3B6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123AFFAB">
      <w:pPr>
        <w:spacing w:line="360" w:lineRule="auto"/>
        <w:rPr>
          <w:rFonts w:ascii="宋体" w:hAnsi="宋体" w:cs="宋体"/>
          <w:b/>
          <w:color w:val="auto"/>
          <w:sz w:val="24"/>
          <w:highlight w:val="none"/>
        </w:rPr>
      </w:pPr>
      <w:r>
        <w:rPr>
          <w:rFonts w:hint="eastAsia" w:ascii="宋体" w:hAnsi="宋体" w:cs="宋体"/>
          <w:b/>
          <w:color w:val="auto"/>
          <w:sz w:val="24"/>
          <w:highlight w:val="none"/>
        </w:rPr>
        <w:t>八、对本次采购提出询问、质疑、投诉，请按以下方式联系</w:t>
      </w:r>
    </w:p>
    <w:p w14:paraId="11A9CA1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1.采购人信息</w:t>
      </w:r>
    </w:p>
    <w:p w14:paraId="29E5EF2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名    称：杭州市上城区人民政府四季青街道办事处</w:t>
      </w:r>
    </w:p>
    <w:p w14:paraId="3527B25A">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地    址： </w:t>
      </w:r>
      <w:r>
        <w:rPr>
          <w:rFonts w:hint="eastAsia" w:ascii="宋体" w:hAnsi="宋体" w:cs="宋体"/>
          <w:color w:val="auto"/>
          <w:sz w:val="24"/>
          <w:highlight w:val="none"/>
          <w:lang w:val="en-US" w:eastAsia="zh-CN"/>
        </w:rPr>
        <w:t>杭州市上城区</w:t>
      </w:r>
      <w:r>
        <w:rPr>
          <w:rFonts w:hint="eastAsia" w:ascii="宋体" w:hAnsi="宋体" w:cs="宋体"/>
          <w:color w:val="auto"/>
          <w:sz w:val="24"/>
          <w:highlight w:val="none"/>
        </w:rPr>
        <w:t xml:space="preserve">杭海路219号      </w:t>
      </w:r>
    </w:p>
    <w:p w14:paraId="238D0DEA">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传    真： /</w:t>
      </w:r>
    </w:p>
    <w:p w14:paraId="6222626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项目联系人（询问）：</w:t>
      </w:r>
      <w:r>
        <w:rPr>
          <w:rFonts w:hint="eastAsia" w:ascii="宋体" w:hAnsi="宋体" w:cs="宋体"/>
          <w:color w:val="auto"/>
          <w:sz w:val="24"/>
          <w:highlight w:val="none"/>
          <w:lang w:val="en-US" w:eastAsia="zh-CN"/>
        </w:rPr>
        <w:t>蒋工</w:t>
      </w:r>
      <w:r>
        <w:rPr>
          <w:rFonts w:hint="eastAsia" w:ascii="宋体" w:hAnsi="宋体" w:cs="宋体"/>
          <w:color w:val="auto"/>
          <w:sz w:val="24"/>
          <w:highlight w:val="none"/>
        </w:rPr>
        <w:t xml:space="preserve">  </w:t>
      </w:r>
    </w:p>
    <w:p w14:paraId="3504C16D">
      <w:pPr>
        <w:snapToGrid w:val="0"/>
        <w:spacing w:line="360" w:lineRule="auto"/>
        <w:ind w:firstLine="480" w:firstLineChars="200"/>
        <w:rPr>
          <w:rFonts w:hint="eastAsia" w:ascii="宋体" w:hAnsi="宋体" w:eastAsia="宋体" w:cs="宋体"/>
          <w:color w:val="auto"/>
          <w:szCs w:val="24"/>
          <w:highlight w:val="none"/>
          <w:lang w:val="en-US" w:eastAsia="zh-CN"/>
        </w:rPr>
      </w:pPr>
      <w:r>
        <w:rPr>
          <w:rFonts w:hint="eastAsia" w:ascii="宋体" w:hAnsi="宋体" w:cs="宋体"/>
          <w:color w:val="auto"/>
          <w:sz w:val="24"/>
          <w:highlight w:val="none"/>
        </w:rPr>
        <w:t>项目联系方式（询问）：0571-89503553 </w:t>
      </w:r>
    </w:p>
    <w:p w14:paraId="0F0F4F4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质疑联系人：</w:t>
      </w:r>
      <w:r>
        <w:rPr>
          <w:rFonts w:hint="eastAsia" w:ascii="宋体" w:hAnsi="宋体" w:cs="宋体"/>
          <w:color w:val="auto"/>
          <w:sz w:val="24"/>
          <w:highlight w:val="none"/>
          <w:lang w:val="en-US" w:eastAsia="zh-CN"/>
        </w:rPr>
        <w:t>王工</w:t>
      </w:r>
    </w:p>
    <w:p w14:paraId="10A4A3DC">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质疑联系方式：</w:t>
      </w:r>
      <w:r>
        <w:rPr>
          <w:rFonts w:hint="eastAsia" w:ascii="宋体" w:hAnsi="宋体" w:cs="宋体"/>
          <w:color w:val="auto"/>
          <w:sz w:val="24"/>
          <w:highlight w:val="none"/>
          <w:lang w:val="en-US" w:eastAsia="zh-CN"/>
        </w:rPr>
        <w:t>0571-</w:t>
      </w:r>
      <w:r>
        <w:rPr>
          <w:rFonts w:hint="eastAsia" w:ascii="宋体" w:hAnsi="宋体" w:cs="宋体"/>
          <w:color w:val="auto"/>
          <w:sz w:val="24"/>
          <w:highlight w:val="none"/>
        </w:rPr>
        <w:t>89503550</w:t>
      </w:r>
    </w:p>
    <w:p w14:paraId="2BB2D4F5">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2.采购代理机构信息            </w:t>
      </w:r>
    </w:p>
    <w:p w14:paraId="56F06F5B">
      <w:pPr>
        <w:snapToGrid w:val="0"/>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采购代理机构名称：</w:t>
      </w:r>
      <w:r>
        <w:rPr>
          <w:rFonts w:hint="eastAsia" w:ascii="宋体" w:hAnsi="宋体" w:cs="宋体"/>
          <w:color w:val="auto"/>
          <w:sz w:val="24"/>
          <w:szCs w:val="24"/>
          <w:highlight w:val="none"/>
          <w:lang w:eastAsia="zh-CN"/>
        </w:rPr>
        <w:t>浙江广利工程咨询有限公司</w:t>
      </w:r>
    </w:p>
    <w:p w14:paraId="335D757D">
      <w:pPr>
        <w:snapToGrid w:val="0"/>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地点：</w:t>
      </w:r>
      <w:r>
        <w:rPr>
          <w:rFonts w:hint="eastAsia" w:ascii="宋体" w:hAnsi="宋体" w:cs="宋体"/>
          <w:color w:val="auto"/>
          <w:sz w:val="24"/>
          <w:szCs w:val="24"/>
          <w:highlight w:val="none"/>
          <w:lang w:eastAsia="zh-CN"/>
        </w:rPr>
        <w:t>杭州市上城区凤起东路888号畅聚新达大厦1122室</w:t>
      </w:r>
    </w:p>
    <w:p w14:paraId="11479A05">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项目联系人（询问）：韦波维</w:t>
      </w:r>
    </w:p>
    <w:p w14:paraId="3A7BDD54">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项目联系方式（询问）：13588320278</w:t>
      </w:r>
    </w:p>
    <w:p w14:paraId="4A91F05B">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质疑联系人：施米家</w:t>
      </w:r>
    </w:p>
    <w:p w14:paraId="61DEDD2A">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质疑联系方式：13515815256</w:t>
      </w:r>
    </w:p>
    <w:p w14:paraId="6F849225">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szCs w:val="24"/>
          <w:highlight w:val="none"/>
        </w:rPr>
        <w:t xml:space="preserve">3.同级政府采购监督管理部门  </w:t>
      </w:r>
      <w:r>
        <w:rPr>
          <w:rFonts w:hint="eastAsia" w:ascii="宋体" w:hAnsi="宋体" w:cs="宋体"/>
          <w:color w:val="auto"/>
          <w:sz w:val="24"/>
          <w:highlight w:val="none"/>
        </w:rPr>
        <w:t xml:space="preserve">          </w:t>
      </w:r>
    </w:p>
    <w:p w14:paraId="5DC5820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名    称：杭州市上城区财政局/浙江省政府采购行政裁决服务中心（杭州）</w:t>
      </w:r>
    </w:p>
    <w:p w14:paraId="7BA1B804">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地    址：杭州市上城区四季青街道新业路市民之家G03办公室 </w:t>
      </w:r>
    </w:p>
    <w:p w14:paraId="3F9155E5">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传    真： /</w:t>
      </w:r>
    </w:p>
    <w:p w14:paraId="3C8834FB">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联系人 ：朱女士、王女士</w:t>
      </w:r>
    </w:p>
    <w:p w14:paraId="487669B9">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监督投诉电话：电话：0571-85252453    </w:t>
      </w:r>
    </w:p>
    <w:p w14:paraId="19CEDF92">
      <w:pPr>
        <w:snapToGrid w:val="0"/>
        <w:spacing w:line="360" w:lineRule="auto"/>
        <w:ind w:firstLine="0" w:firstLineChars="0"/>
        <w:rPr>
          <w:rFonts w:ascii="宋体" w:hAnsi="宋体" w:cs="宋体"/>
          <w:color w:val="auto"/>
          <w:sz w:val="24"/>
          <w:highlight w:val="none"/>
        </w:rPr>
      </w:pPr>
      <w:r>
        <w:rPr>
          <w:rFonts w:hint="eastAsia" w:ascii="宋体" w:hAnsi="宋体" w:cs="宋体"/>
          <w:color w:val="auto"/>
          <w:sz w:val="24"/>
          <w:highlight w:val="none"/>
        </w:rPr>
        <w:t xml:space="preserve">     若对项目采购电子交易系统操作有疑问，可登录政采云（https://www.zcygov.cn/），点击右侧咨询小采，获取采小蜜智能服务管家帮助，或拨打政采云服务热线400-881-7190获取热线服务帮助。</w:t>
      </w:r>
    </w:p>
    <w:p w14:paraId="7C6552DA">
      <w:pPr>
        <w:snapToGrid w:val="0"/>
        <w:spacing w:line="360" w:lineRule="auto"/>
        <w:ind w:firstLine="480" w:firstLineChars="200"/>
        <w:rPr>
          <w:rFonts w:ascii="宋体" w:hAnsi="宋体" w:cs="宋体"/>
          <w:color w:val="auto"/>
          <w:sz w:val="24"/>
          <w:highlight w:val="none"/>
        </w:rPr>
        <w:sectPr>
          <w:headerReference r:id="rId4" w:type="first"/>
          <w:footerReference r:id="rId7" w:type="first"/>
          <w:headerReference r:id="rId3" w:type="default"/>
          <w:footerReference r:id="rId5" w:type="default"/>
          <w:footerReference r:id="rId6" w:type="even"/>
          <w:pgSz w:w="11906" w:h="16838"/>
          <w:pgMar w:top="1440" w:right="1080" w:bottom="1440" w:left="1080" w:header="851" w:footer="992" w:gutter="0"/>
          <w:cols w:space="720" w:num="1"/>
          <w:titlePg/>
          <w:docGrid w:linePitch="312" w:charSpace="0"/>
        </w:sectPr>
      </w:pPr>
      <w:r>
        <w:rPr>
          <w:rFonts w:hint="eastAsia" w:ascii="宋体" w:hAnsi="宋体" w:cs="宋体"/>
          <w:color w:val="auto"/>
          <w:sz w:val="24"/>
          <w:highlight w:val="none"/>
        </w:rPr>
        <w:t>CA问题联系电话（人工）：汇信CA 400-888-4636；天谷CA 400-087-8198。</w:t>
      </w:r>
    </w:p>
    <w:p w14:paraId="74AC94E5">
      <w:pPr>
        <w:pStyle w:val="33"/>
        <w:spacing w:line="360" w:lineRule="auto"/>
        <w:jc w:val="center"/>
        <w:rPr>
          <w:rFonts w:hAnsi="宋体" w:cs="宋体"/>
          <w:b/>
          <w:snapToGrid/>
          <w:color w:val="auto"/>
          <w:sz w:val="36"/>
          <w:szCs w:val="20"/>
          <w:highlight w:val="none"/>
        </w:rPr>
      </w:pPr>
      <w:r>
        <w:rPr>
          <w:rFonts w:hint="eastAsia" w:hAnsi="宋体" w:cs="宋体"/>
          <w:b/>
          <w:snapToGrid/>
          <w:color w:val="auto"/>
          <w:sz w:val="36"/>
          <w:szCs w:val="20"/>
          <w:highlight w:val="none"/>
        </w:rPr>
        <w:t>第二部分</w:t>
      </w:r>
      <w:bookmarkEnd w:id="8"/>
      <w:r>
        <w:rPr>
          <w:rFonts w:hint="eastAsia" w:hAnsi="宋体" w:cs="宋体"/>
          <w:b/>
          <w:snapToGrid/>
          <w:color w:val="auto"/>
          <w:sz w:val="36"/>
          <w:szCs w:val="20"/>
          <w:highlight w:val="none"/>
        </w:rPr>
        <w:t xml:space="preserve"> 供应商须知</w:t>
      </w:r>
      <w:bookmarkEnd w:id="9"/>
    </w:p>
    <w:p w14:paraId="58F82A1B">
      <w:pPr>
        <w:snapToGrid w:val="0"/>
        <w:spacing w:line="360" w:lineRule="auto"/>
        <w:jc w:val="center"/>
        <w:rPr>
          <w:rFonts w:ascii="宋体" w:hAnsi="宋体" w:cs="宋体"/>
          <w:b/>
          <w:color w:val="auto"/>
          <w:sz w:val="32"/>
          <w:szCs w:val="20"/>
          <w:highlight w:val="none"/>
        </w:rPr>
      </w:pPr>
      <w:r>
        <w:rPr>
          <w:rFonts w:hint="eastAsia" w:ascii="宋体" w:hAnsi="宋体" w:cs="宋体"/>
          <w:b/>
          <w:color w:val="auto"/>
          <w:sz w:val="32"/>
          <w:szCs w:val="20"/>
          <w:highlight w:val="none"/>
        </w:rPr>
        <w:t>前附表</w:t>
      </w:r>
    </w:p>
    <w:tbl>
      <w:tblPr>
        <w:tblStyle w:val="63"/>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0560D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25BC206D">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2093" w:type="dxa"/>
            <w:vAlign w:val="center"/>
          </w:tcPr>
          <w:p w14:paraId="62464822">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事项</w:t>
            </w:r>
          </w:p>
        </w:tc>
        <w:tc>
          <w:tcPr>
            <w:tcW w:w="6927" w:type="dxa"/>
            <w:vAlign w:val="center"/>
          </w:tcPr>
          <w:p w14:paraId="4B6011C4">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本项目的特别规定</w:t>
            </w:r>
          </w:p>
        </w:tc>
      </w:tr>
      <w:tr w14:paraId="51321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34DC7D4">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2093" w:type="dxa"/>
            <w:vAlign w:val="center"/>
          </w:tcPr>
          <w:p w14:paraId="29D7CB0E">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项目属性</w:t>
            </w:r>
          </w:p>
        </w:tc>
        <w:tc>
          <w:tcPr>
            <w:tcW w:w="6927" w:type="dxa"/>
            <w:vAlign w:val="center"/>
          </w:tcPr>
          <w:p w14:paraId="033D01A2">
            <w:pPr>
              <w:spacing w:line="360" w:lineRule="auto"/>
              <w:rPr>
                <w:rFonts w:ascii="宋体" w:hAnsi="宋体" w:cs="宋体"/>
                <w:color w:val="auto"/>
                <w:sz w:val="24"/>
                <w:highlight w:val="none"/>
              </w:rPr>
            </w:pPr>
            <w:r>
              <w:rPr>
                <w:rFonts w:hint="eastAsia" w:ascii="宋体" w:hAnsi="宋体" w:cs="宋体"/>
                <w:color w:val="auto"/>
                <w:kern w:val="0"/>
                <w:sz w:val="24"/>
                <w:highlight w:val="none"/>
              </w:rPr>
              <w:t>工程</w:t>
            </w:r>
            <w:r>
              <w:rPr>
                <w:rFonts w:hint="eastAsia" w:ascii="宋体" w:hAnsi="宋体" w:cs="宋体"/>
                <w:color w:val="auto"/>
                <w:sz w:val="24"/>
                <w:highlight w:val="none"/>
              </w:rPr>
              <w:t>类</w:t>
            </w:r>
          </w:p>
        </w:tc>
      </w:tr>
      <w:tr w14:paraId="5ADAA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A4D6FE4">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2093" w:type="dxa"/>
            <w:vAlign w:val="center"/>
          </w:tcPr>
          <w:p w14:paraId="4959EADC">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采购标的及其对应的中小企业划分标准所属行业</w:t>
            </w:r>
          </w:p>
        </w:tc>
        <w:tc>
          <w:tcPr>
            <w:tcW w:w="6927" w:type="dxa"/>
            <w:vAlign w:val="center"/>
          </w:tcPr>
          <w:p w14:paraId="63CBBCFC">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（1）标的：</w:t>
            </w:r>
            <w:r>
              <w:rPr>
                <w:rFonts w:hint="eastAsia" w:ascii="宋体" w:hAnsi="宋体" w:cs="宋体"/>
                <w:color w:val="auto"/>
                <w:kern w:val="0"/>
                <w:sz w:val="24"/>
                <w:highlight w:val="none"/>
                <w:lang w:eastAsia="zh-CN"/>
              </w:rPr>
              <w:t>新开河（四季青段）入河排污口治理工程施工项目</w:t>
            </w:r>
            <w:r>
              <w:rPr>
                <w:rFonts w:hint="eastAsia" w:ascii="宋体" w:hAnsi="宋体" w:cs="宋体"/>
                <w:color w:val="auto"/>
                <w:kern w:val="0"/>
                <w:sz w:val="24"/>
                <w:highlight w:val="none"/>
              </w:rPr>
              <w:t>，属于</w:t>
            </w:r>
            <w:r>
              <w:rPr>
                <w:rFonts w:hint="eastAsia" w:ascii="宋体" w:hAnsi="宋体" w:cs="宋体"/>
                <w:color w:val="auto"/>
                <w:kern w:val="0"/>
                <w:sz w:val="24"/>
                <w:highlight w:val="none"/>
                <w:u w:val="single"/>
              </w:rPr>
              <w:t>建筑业</w:t>
            </w:r>
            <w:r>
              <w:rPr>
                <w:rFonts w:hint="eastAsia" w:ascii="宋体" w:hAnsi="宋体" w:cs="宋体"/>
                <w:color w:val="auto"/>
                <w:kern w:val="0"/>
                <w:sz w:val="24"/>
                <w:highlight w:val="none"/>
              </w:rPr>
              <w:t>行业；</w:t>
            </w:r>
          </w:p>
          <w:p w14:paraId="1ED8D08F">
            <w:pPr>
              <w:rPr>
                <w:rFonts w:hint="default" w:ascii="宋体" w:hAnsi="宋体" w:eastAsia="宋体" w:cs="宋体"/>
                <w:color w:val="auto"/>
                <w:highlight w:val="none"/>
                <w:lang w:val="en-US" w:eastAsia="zh-CN"/>
              </w:rPr>
            </w:pPr>
            <w:r>
              <w:rPr>
                <w:rFonts w:hint="eastAsia" w:ascii="宋体" w:hAnsi="宋体" w:eastAsia="宋体" w:cs="宋体"/>
                <w:b/>
                <w:bCs w:val="0"/>
                <w:color w:val="auto"/>
                <w:kern w:val="2"/>
                <w:sz w:val="24"/>
                <w:szCs w:val="24"/>
                <w:highlight w:val="none"/>
                <w:lang w:val="en-US" w:eastAsia="zh-CN" w:bidi="ar-SA"/>
              </w:rPr>
              <w:t>（2）划分标准：</w:t>
            </w:r>
            <w:r>
              <w:rPr>
                <w:rFonts w:hint="eastAsia" w:ascii="宋体" w:hAnsi="宋体" w:eastAsia="宋体" w:cs="宋体"/>
                <w:color w:val="auto"/>
                <w:sz w:val="24"/>
                <w:szCs w:val="24"/>
                <w:highlight w:val="none"/>
                <w:u w:val="single"/>
                <w:lang w:val="en-US" w:eastAsia="zh-CN"/>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宋体" w:hAnsi="宋体" w:eastAsia="宋体" w:cs="宋体"/>
                <w:b w:val="0"/>
                <w:bCs w:val="0"/>
                <w:color w:val="auto"/>
                <w:kern w:val="0"/>
                <w:sz w:val="24"/>
                <w:szCs w:val="24"/>
                <w:highlight w:val="none"/>
                <w:lang w:val="en-US" w:eastAsia="zh-CN" w:bidi="ar-SA"/>
              </w:rPr>
              <w:t>。</w:t>
            </w:r>
            <w:bookmarkStart w:id="933" w:name="_GoBack"/>
            <w:bookmarkEnd w:id="933"/>
          </w:p>
        </w:tc>
      </w:tr>
      <w:tr w14:paraId="0DE92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47AD79F">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3</w:t>
            </w:r>
          </w:p>
        </w:tc>
        <w:tc>
          <w:tcPr>
            <w:tcW w:w="2093" w:type="dxa"/>
            <w:vAlign w:val="center"/>
          </w:tcPr>
          <w:p w14:paraId="0732236C">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是否允许采购进口产品</w:t>
            </w:r>
          </w:p>
        </w:tc>
        <w:tc>
          <w:tcPr>
            <w:tcW w:w="6927" w:type="dxa"/>
            <w:vAlign w:val="center"/>
          </w:tcPr>
          <w:p w14:paraId="08EF495F">
            <w:pPr>
              <w:spacing w:line="360" w:lineRule="auto"/>
              <w:rPr>
                <w:rFonts w:ascii="宋体" w:hAnsi="宋体" w:cs="宋体"/>
                <w:color w:val="auto"/>
                <w:kern w:val="0"/>
                <w:sz w:val="24"/>
                <w:highlight w:val="none"/>
              </w:rPr>
            </w:pPr>
            <w:sdt>
              <w:sdtPr>
                <w:rPr>
                  <w:rFonts w:hint="eastAsia" w:ascii="宋体" w:hAnsi="宋体" w:cs="宋体"/>
                  <w:color w:val="auto"/>
                  <w:kern w:val="0"/>
                  <w:sz w:val="24"/>
                  <w:highlight w:val="none"/>
                </w:rPr>
                <w:id w:val="-1828425707"/>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sym w:font="Wingdings" w:char="F0FE"/>
                </w:r>
              </w:sdtContent>
            </w:sdt>
            <w:r>
              <w:rPr>
                <w:rFonts w:hint="eastAsia" w:ascii="宋体" w:hAnsi="宋体" w:cs="宋体"/>
                <w:color w:val="auto"/>
                <w:kern w:val="0"/>
                <w:sz w:val="24"/>
                <w:highlight w:val="none"/>
              </w:rPr>
              <w:t>本项目不允许采购进口产品。</w:t>
            </w:r>
          </w:p>
          <w:p w14:paraId="22C4EFC1">
            <w:pPr>
              <w:spacing w:line="360" w:lineRule="auto"/>
              <w:rPr>
                <w:rFonts w:ascii="宋体" w:hAnsi="宋体" w:cs="宋体"/>
                <w:color w:val="auto"/>
                <w:highlight w:val="none"/>
              </w:rPr>
            </w:pPr>
            <w:sdt>
              <w:sdtPr>
                <w:rPr>
                  <w:rFonts w:hint="eastAsia" w:ascii="宋体" w:hAnsi="宋体" w:cs="宋体"/>
                  <w:color w:val="auto"/>
                  <w:kern w:val="0"/>
                  <w:sz w:val="24"/>
                  <w:highlight w:val="none"/>
                </w:rPr>
                <w:id w:val="-52852824"/>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可以就</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采购进口产品。</w:t>
            </w:r>
          </w:p>
        </w:tc>
      </w:tr>
      <w:tr w14:paraId="3657C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8AEDB54">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4</w:t>
            </w:r>
          </w:p>
        </w:tc>
        <w:tc>
          <w:tcPr>
            <w:tcW w:w="2093" w:type="dxa"/>
            <w:vAlign w:val="center"/>
          </w:tcPr>
          <w:p w14:paraId="64FFC70F">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分包</w:t>
            </w:r>
          </w:p>
        </w:tc>
        <w:tc>
          <w:tcPr>
            <w:tcW w:w="6927" w:type="dxa"/>
            <w:vAlign w:val="center"/>
          </w:tcPr>
          <w:p w14:paraId="1F67E3F6">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1477286927"/>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kern w:val="0"/>
                <w:sz w:val="24"/>
                <w:highlight w:val="none"/>
              </w:rPr>
              <w:t xml:space="preserve"> A</w:t>
            </w:r>
            <w:r>
              <w:rPr>
                <w:rFonts w:hint="eastAsia" w:ascii="宋体" w:hAnsi="宋体" w:cs="宋体"/>
                <w:color w:val="auto"/>
                <w:sz w:val="24"/>
                <w:highlight w:val="none"/>
              </w:rPr>
              <w:t>同意将非主体、非关键性的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工作分包。</w:t>
            </w:r>
          </w:p>
          <w:p w14:paraId="32F91CED">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1276331357"/>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cs="宋体"/>
                    <w:color w:val="auto"/>
                    <w:kern w:val="0"/>
                    <w:sz w:val="24"/>
                    <w:highlight w:val="none"/>
                  </w:rPr>
                  <w:t>☐</w:t>
                </w:r>
              </w:sdtContent>
            </w:sdt>
            <w:r>
              <w:rPr>
                <w:rFonts w:hint="eastAsia" w:ascii="宋体" w:hAnsi="宋体" w:cs="宋体"/>
                <w:color w:val="auto"/>
                <w:kern w:val="0"/>
                <w:sz w:val="24"/>
                <w:highlight w:val="none"/>
              </w:rPr>
              <w:t xml:space="preserve"> B</w:t>
            </w:r>
            <w:r>
              <w:rPr>
                <w:rFonts w:hint="eastAsia" w:ascii="宋体" w:hAnsi="宋体" w:cs="宋体"/>
                <w:color w:val="auto"/>
                <w:sz w:val="24"/>
                <w:highlight w:val="none"/>
              </w:rPr>
              <w:t>不同意分包，具体理由：</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5193EA5">
            <w:pPr>
              <w:spacing w:line="360" w:lineRule="auto"/>
              <w:rPr>
                <w:rFonts w:ascii="宋体" w:hAnsi="宋体" w:cs="宋体"/>
                <w:color w:val="auto"/>
                <w:sz w:val="24"/>
                <w:highlight w:val="none"/>
              </w:rPr>
            </w:pPr>
            <w:r>
              <w:rPr>
                <w:rFonts w:hint="eastAsia" w:ascii="宋体" w:hAnsi="宋体" w:cs="宋体"/>
                <w:color w:val="auto"/>
                <w:sz w:val="24"/>
                <w:highlight w:val="none"/>
              </w:rPr>
              <w:t>注：不得限制大中型企业向小微企业合理分包。</w:t>
            </w:r>
          </w:p>
        </w:tc>
      </w:tr>
      <w:tr w14:paraId="5BFB6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93BA908">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5</w:t>
            </w:r>
          </w:p>
        </w:tc>
        <w:tc>
          <w:tcPr>
            <w:tcW w:w="2093" w:type="dxa"/>
            <w:vAlign w:val="center"/>
          </w:tcPr>
          <w:p w14:paraId="67A82707">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磋商前答疑会或现场考察</w:t>
            </w:r>
          </w:p>
        </w:tc>
        <w:tc>
          <w:tcPr>
            <w:tcW w:w="6927" w:type="dxa"/>
            <w:vAlign w:val="center"/>
          </w:tcPr>
          <w:p w14:paraId="5B989E40">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212966419"/>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sym w:font="Wingdings" w:char="F0FE"/>
                </w:r>
              </w:sdtContent>
            </w:sdt>
            <w:r>
              <w:rPr>
                <w:rFonts w:hint="eastAsia" w:ascii="宋体" w:hAnsi="宋体" w:cs="宋体"/>
                <w:color w:val="auto"/>
                <w:kern w:val="0"/>
                <w:sz w:val="24"/>
                <w:highlight w:val="none"/>
              </w:rPr>
              <w:t>A</w:t>
            </w:r>
            <w:r>
              <w:rPr>
                <w:rFonts w:hint="eastAsia" w:ascii="宋体" w:hAnsi="宋体" w:cs="宋体"/>
                <w:color w:val="auto"/>
                <w:sz w:val="24"/>
                <w:highlight w:val="none"/>
              </w:rPr>
              <w:t>不组织。</w:t>
            </w:r>
          </w:p>
          <w:p w14:paraId="57C4F6E6">
            <w:pPr>
              <w:spacing w:line="360" w:lineRule="auto"/>
              <w:rPr>
                <w:rFonts w:ascii="宋体" w:hAnsi="宋体" w:cs="宋体"/>
                <w:color w:val="auto"/>
                <w:sz w:val="24"/>
                <w:szCs w:val="20"/>
                <w:highlight w:val="none"/>
              </w:rPr>
            </w:pPr>
            <w:sdt>
              <w:sdtPr>
                <w:rPr>
                  <w:rFonts w:hint="eastAsia" w:ascii="宋体" w:hAnsi="宋体" w:cs="宋体"/>
                  <w:color w:val="auto"/>
                  <w:kern w:val="0"/>
                  <w:sz w:val="24"/>
                  <w:highlight w:val="none"/>
                </w:rPr>
                <w:id w:val="-999802974"/>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B组织，</w:t>
            </w:r>
            <w:r>
              <w:rPr>
                <w:rFonts w:hint="eastAsia" w:ascii="宋体" w:hAnsi="宋体" w:cs="宋体"/>
                <w:color w:val="auto"/>
                <w:sz w:val="24"/>
                <w:highlight w:val="none"/>
              </w:rPr>
              <w:t>时间：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,地点：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，联系人：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，联系方式：</w:t>
            </w:r>
            <w:r>
              <w:rPr>
                <w:rFonts w:hint="eastAsia" w:ascii="宋体" w:hAnsi="宋体" w:cs="宋体"/>
                <w:color w:val="auto"/>
                <w:sz w:val="24"/>
                <w:highlight w:val="none"/>
                <w:u w:val="single"/>
              </w:rPr>
              <w:t xml:space="preserve">      </w:t>
            </w:r>
            <w:r>
              <w:rPr>
                <w:rFonts w:hint="eastAsia" w:ascii="宋体" w:hAnsi="宋体" w:cs="宋体"/>
                <w:color w:val="auto"/>
                <w:sz w:val="24"/>
                <w:szCs w:val="20"/>
                <w:highlight w:val="none"/>
              </w:rPr>
              <w:t>。</w:t>
            </w:r>
          </w:p>
        </w:tc>
      </w:tr>
      <w:tr w14:paraId="406BC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6F647E5">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6</w:t>
            </w:r>
          </w:p>
        </w:tc>
        <w:tc>
          <w:tcPr>
            <w:tcW w:w="2093" w:type="dxa"/>
            <w:vAlign w:val="center"/>
          </w:tcPr>
          <w:p w14:paraId="56C5ABA7">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样品提供</w:t>
            </w:r>
          </w:p>
        </w:tc>
        <w:tc>
          <w:tcPr>
            <w:tcW w:w="6927" w:type="dxa"/>
            <w:vAlign w:val="center"/>
          </w:tcPr>
          <w:p w14:paraId="0DDB08AE">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1639946486"/>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kern w:val="0"/>
                <w:sz w:val="24"/>
                <w:highlight w:val="none"/>
              </w:rPr>
              <w:t>A</w:t>
            </w:r>
            <w:r>
              <w:rPr>
                <w:rFonts w:hint="eastAsia" w:ascii="宋体" w:hAnsi="宋体" w:cs="宋体"/>
                <w:color w:val="auto"/>
                <w:sz w:val="24"/>
                <w:highlight w:val="none"/>
              </w:rPr>
              <w:t>不要求提供。</w:t>
            </w:r>
          </w:p>
          <w:p w14:paraId="26AB1AF5">
            <w:pPr>
              <w:spacing w:line="360" w:lineRule="auto"/>
              <w:rPr>
                <w:rFonts w:ascii="宋体" w:hAnsi="宋体" w:cs="宋体"/>
                <w:color w:val="auto"/>
                <w:kern w:val="0"/>
                <w:sz w:val="24"/>
                <w:highlight w:val="none"/>
              </w:rPr>
            </w:pPr>
            <w:sdt>
              <w:sdtPr>
                <w:rPr>
                  <w:rFonts w:hint="eastAsia" w:ascii="宋体" w:hAnsi="宋体" w:cs="宋体"/>
                  <w:color w:val="auto"/>
                  <w:kern w:val="0"/>
                  <w:sz w:val="24"/>
                  <w:highlight w:val="none"/>
                </w:rPr>
                <w:id w:val="1026831988"/>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cs="宋体"/>
                    <w:color w:val="auto"/>
                    <w:kern w:val="0"/>
                    <w:sz w:val="24"/>
                    <w:highlight w:val="none"/>
                  </w:rPr>
                  <w:t>☐</w:t>
                </w:r>
              </w:sdtContent>
            </w:sdt>
            <w:r>
              <w:rPr>
                <w:rFonts w:hint="eastAsia" w:ascii="宋体" w:hAnsi="宋体" w:cs="宋体"/>
                <w:color w:val="auto"/>
                <w:kern w:val="0"/>
                <w:sz w:val="24"/>
                <w:highlight w:val="none"/>
              </w:rPr>
              <w:t>B要求提供，</w:t>
            </w:r>
          </w:p>
          <w:p w14:paraId="24CAFC7A">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snapToGrid w:val="0"/>
                <w:color w:val="auto"/>
                <w:kern w:val="28"/>
                <w:sz w:val="24"/>
                <w:highlight w:val="none"/>
              </w:rPr>
              <w:t>样品：</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72365922">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snapToGrid w:val="0"/>
                <w:color w:val="auto"/>
                <w:kern w:val="28"/>
                <w:sz w:val="24"/>
                <w:highlight w:val="none"/>
              </w:rPr>
              <w:t>样品制作的标准和要求：</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54E49578">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（3）样品的评审方法以及评审标准</w:t>
            </w:r>
            <w:r>
              <w:rPr>
                <w:rFonts w:hint="eastAsia" w:ascii="宋体" w:hAnsi="宋体" w:cs="宋体"/>
                <w:snapToGrid w:val="0"/>
                <w:color w:val="auto"/>
                <w:kern w:val="28"/>
                <w:sz w:val="24"/>
                <w:highlight w:val="none"/>
              </w:rPr>
              <w:t>：详见</w:t>
            </w:r>
            <w:r>
              <w:rPr>
                <w:rFonts w:hint="eastAsia" w:ascii="宋体" w:hAnsi="宋体" w:cs="宋体"/>
                <w:color w:val="auto"/>
                <w:sz w:val="24"/>
                <w:highlight w:val="none"/>
                <w:u w:val="single"/>
              </w:rPr>
              <w:t>评审办法</w:t>
            </w:r>
            <w:r>
              <w:rPr>
                <w:rFonts w:hint="eastAsia" w:ascii="宋体" w:hAnsi="宋体" w:cs="宋体"/>
                <w:color w:val="auto"/>
                <w:kern w:val="0"/>
                <w:sz w:val="24"/>
                <w:highlight w:val="none"/>
              </w:rPr>
              <w:t>；</w:t>
            </w:r>
          </w:p>
          <w:p w14:paraId="50A82E3D">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（4）是否需要随样品提交检测报告：</w:t>
            </w:r>
            <w:sdt>
              <w:sdtPr>
                <w:rPr>
                  <w:rFonts w:hint="eastAsia" w:ascii="宋体" w:hAnsi="宋体" w:cs="宋体"/>
                  <w:color w:val="auto"/>
                  <w:kern w:val="0"/>
                  <w:sz w:val="24"/>
                  <w:highlight w:val="none"/>
                </w:rPr>
                <w:id w:val="1303421454"/>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cs="宋体"/>
                    <w:color w:val="auto"/>
                    <w:kern w:val="0"/>
                    <w:sz w:val="24"/>
                    <w:highlight w:val="none"/>
                  </w:rPr>
                  <w:t>☐</w:t>
                </w:r>
              </w:sdtContent>
            </w:sdt>
            <w:r>
              <w:rPr>
                <w:rFonts w:hint="eastAsia" w:ascii="宋体" w:hAnsi="宋体" w:cs="宋体"/>
                <w:color w:val="auto"/>
                <w:kern w:val="0"/>
                <w:sz w:val="24"/>
                <w:highlight w:val="none"/>
              </w:rPr>
              <w:t>否；</w:t>
            </w:r>
            <w:sdt>
              <w:sdtPr>
                <w:rPr>
                  <w:rFonts w:hint="eastAsia" w:ascii="宋体" w:hAnsi="宋体" w:cs="宋体"/>
                  <w:color w:val="auto"/>
                  <w:kern w:val="0"/>
                  <w:sz w:val="24"/>
                  <w:highlight w:val="none"/>
                </w:rPr>
                <w:id w:val="1621728433"/>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是，检测机构的要求</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；检测内容</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6521D60A">
            <w:pPr>
              <w:spacing w:line="360" w:lineRule="auto"/>
              <w:rPr>
                <w:rFonts w:ascii="宋体" w:hAnsi="宋体" w:cs="宋体"/>
                <w:color w:val="auto"/>
                <w:sz w:val="24"/>
                <w:highlight w:val="none"/>
              </w:rPr>
            </w:pPr>
            <w:r>
              <w:rPr>
                <w:rFonts w:hint="eastAsia" w:ascii="宋体" w:hAnsi="宋体" w:cs="宋体"/>
                <w:color w:val="auto"/>
                <w:sz w:val="24"/>
                <w:highlight w:val="none"/>
              </w:rPr>
              <w:t>（5）提供样品的时间：</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；地点：</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；联系人</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28"/>
                <w:sz w:val="24"/>
                <w:highlight w:val="none"/>
              </w:rPr>
              <w:t>联系电话：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。请供应商在上述时间内提供样品并按规定位置安装完毕。超过截止时间的，采购人或采购代理机构将不予接收，并将清场并封闭样品现场。</w:t>
            </w:r>
          </w:p>
          <w:p w14:paraId="651769D9">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(6)采购活动结束后，对于未成交供应商提供的样品，采购人、采购机构将通知未成交供应商在规定的时间内取回，逾期未取回的，采购人、采购机构不负保管义务；对于成交供应商提供的样品，采购人将进行保管、封存，并作为履约验收的参考。</w:t>
            </w:r>
          </w:p>
          <w:p w14:paraId="73B30815">
            <w:pPr>
              <w:spacing w:line="360" w:lineRule="auto"/>
              <w:rPr>
                <w:rFonts w:ascii="宋体" w:hAnsi="宋体" w:cs="宋体"/>
                <w:b/>
                <w:color w:val="auto"/>
                <w:sz w:val="24"/>
                <w:highlight w:val="none"/>
              </w:rPr>
            </w:pPr>
            <w:r>
              <w:rPr>
                <w:rFonts w:hint="eastAsia" w:ascii="宋体" w:hAnsi="宋体" w:cs="宋体"/>
                <w:color w:val="auto"/>
                <w:sz w:val="24"/>
                <w:highlight w:val="none"/>
              </w:rPr>
              <w:t>（7）制作、运输、安装和保管样品所发生的一切费用由供应商自理。</w:t>
            </w:r>
          </w:p>
        </w:tc>
      </w:tr>
      <w:tr w14:paraId="7746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D32396D">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7</w:t>
            </w:r>
          </w:p>
        </w:tc>
        <w:tc>
          <w:tcPr>
            <w:tcW w:w="2093" w:type="dxa"/>
            <w:vAlign w:val="center"/>
          </w:tcPr>
          <w:p w14:paraId="44F44268">
            <w:pPr>
              <w:snapToGrid w:val="0"/>
              <w:spacing w:line="360" w:lineRule="auto"/>
              <w:jc w:val="center"/>
              <w:rPr>
                <w:rFonts w:ascii="宋体" w:hAnsi="宋体" w:cs="宋体"/>
                <w:bCs/>
                <w:color w:val="auto"/>
                <w:sz w:val="24"/>
                <w:highlight w:val="none"/>
              </w:rPr>
            </w:pPr>
            <w:r>
              <w:rPr>
                <w:rFonts w:hint="eastAsia" w:ascii="宋体" w:hAnsi="宋体" w:cs="宋体"/>
                <w:b/>
                <w:color w:val="auto"/>
                <w:sz w:val="24"/>
                <w:highlight w:val="none"/>
              </w:rPr>
              <w:t>方案讲解演示</w:t>
            </w:r>
          </w:p>
        </w:tc>
        <w:tc>
          <w:tcPr>
            <w:tcW w:w="6927" w:type="dxa"/>
            <w:vAlign w:val="center"/>
          </w:tcPr>
          <w:p w14:paraId="2725B260">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1859348549"/>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kern w:val="0"/>
                <w:sz w:val="24"/>
                <w:highlight w:val="none"/>
              </w:rPr>
              <w:t>A</w:t>
            </w:r>
            <w:r>
              <w:rPr>
                <w:rFonts w:hint="eastAsia" w:ascii="宋体" w:hAnsi="宋体" w:cs="宋体"/>
                <w:color w:val="auto"/>
                <w:sz w:val="24"/>
                <w:highlight w:val="none"/>
              </w:rPr>
              <w:t>不组织。</w:t>
            </w:r>
          </w:p>
          <w:p w14:paraId="750E7B5C">
            <w:pPr>
              <w:spacing w:line="360" w:lineRule="auto"/>
              <w:rPr>
                <w:rFonts w:ascii="宋体" w:hAnsi="宋体" w:cs="宋体"/>
                <w:color w:val="auto"/>
                <w:kern w:val="0"/>
                <w:sz w:val="24"/>
                <w:highlight w:val="none"/>
              </w:rPr>
            </w:pPr>
            <w:sdt>
              <w:sdtPr>
                <w:rPr>
                  <w:rFonts w:hint="eastAsia" w:ascii="宋体" w:hAnsi="宋体" w:cs="宋体"/>
                  <w:color w:val="auto"/>
                  <w:kern w:val="0"/>
                  <w:sz w:val="24"/>
                  <w:highlight w:val="none"/>
                </w:rPr>
                <w:id w:val="1174071719"/>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B组织。</w:t>
            </w:r>
          </w:p>
          <w:p w14:paraId="0C8FAECD">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（1）在评审时安排每个供应商进行方案讲解演示。每个供应商时间不超过20分钟，讲解次序以响应文件解密时间先后次序为准，讲解演示人员不超过3人。讲解演示结束后按要求解答磋商小组提问。</w:t>
            </w:r>
          </w:p>
          <w:p w14:paraId="3978065D">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（2）方案讲解演示可选择以下其中一种方式：</w:t>
            </w:r>
          </w:p>
          <w:p w14:paraId="789B02A4">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方式一：政采云平台在线讲解演示。政采云平台在线讲解需供应商根据政采云平台操作要求做好准备工作，提前完善软硬件配置环境。</w:t>
            </w:r>
          </w:p>
          <w:p w14:paraId="1B493631">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方式二：现场讲解演示。现场讲解地点为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，讲解演示所用电脑等设备由供应商自备。现场讲解演示人员进场时提供讲解人员名单（加盖公章或授权代表签名）及身份证明，否则不得讲解演示。</w:t>
            </w:r>
          </w:p>
          <w:p w14:paraId="2D590EDD">
            <w:pPr>
              <w:snapToGrid w:val="0"/>
              <w:spacing w:line="360" w:lineRule="auto"/>
              <w:rPr>
                <w:rFonts w:ascii="宋体" w:hAnsi="宋体" w:cs="宋体"/>
                <w:b/>
                <w:color w:val="auto"/>
                <w:kern w:val="0"/>
                <w:sz w:val="24"/>
                <w:highlight w:val="none"/>
                <w:lang w:val="zh-CN"/>
              </w:rPr>
            </w:pPr>
            <w:r>
              <w:rPr>
                <w:rFonts w:hint="eastAsia" w:ascii="宋体" w:hAnsi="宋体" w:cs="宋体"/>
                <w:color w:val="auto"/>
                <w:kern w:val="0"/>
                <w:sz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14:paraId="382D9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74D303E2">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8</w:t>
            </w:r>
          </w:p>
        </w:tc>
        <w:tc>
          <w:tcPr>
            <w:tcW w:w="2093" w:type="dxa"/>
            <w:vMerge w:val="restart"/>
            <w:vAlign w:val="center"/>
          </w:tcPr>
          <w:p w14:paraId="4B09251B">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供应商应当提供的资格、资信证明文件</w:t>
            </w:r>
          </w:p>
        </w:tc>
        <w:tc>
          <w:tcPr>
            <w:tcW w:w="6927" w:type="dxa"/>
            <w:vAlign w:val="center"/>
          </w:tcPr>
          <w:p w14:paraId="7F007B0F">
            <w:pPr>
              <w:spacing w:line="360" w:lineRule="auto"/>
              <w:rPr>
                <w:rFonts w:ascii="宋体" w:hAnsi="宋体" w:cs="宋体"/>
                <w:color w:val="auto"/>
                <w:sz w:val="24"/>
                <w:highlight w:val="none"/>
              </w:rPr>
            </w:pPr>
            <w:r>
              <w:rPr>
                <w:rFonts w:hint="eastAsia" w:ascii="宋体" w:hAnsi="宋体" w:cs="宋体"/>
                <w:color w:val="auto"/>
                <w:sz w:val="24"/>
                <w:highlight w:val="none"/>
              </w:rPr>
              <w:t>（1）资格证明文件：见采购文件第二部分11.1。</w:t>
            </w:r>
          </w:p>
          <w:p w14:paraId="32382B28">
            <w:pPr>
              <w:spacing w:line="360" w:lineRule="auto"/>
              <w:rPr>
                <w:rFonts w:ascii="宋体" w:hAnsi="宋体" w:cs="宋体"/>
                <w:snapToGrid w:val="0"/>
                <w:color w:val="auto"/>
                <w:kern w:val="0"/>
                <w:szCs w:val="21"/>
                <w:highlight w:val="none"/>
              </w:rPr>
            </w:pPr>
            <w:r>
              <w:rPr>
                <w:rFonts w:hint="eastAsia" w:ascii="宋体" w:hAnsi="宋体" w:cs="宋体"/>
                <w:color w:val="auto"/>
                <w:kern w:val="0"/>
                <w:sz w:val="24"/>
                <w:highlight w:val="none"/>
                <w:lang w:val="zh-CN"/>
              </w:rPr>
              <w:t>供应商未提供有效的资格证明文件的，视为供应商不具备采购文件中规定的资格要求，响应文件无效。</w:t>
            </w:r>
          </w:p>
        </w:tc>
      </w:tr>
      <w:tr w14:paraId="506D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1ABF8A90">
            <w:pPr>
              <w:snapToGrid w:val="0"/>
              <w:spacing w:line="360" w:lineRule="auto"/>
              <w:jc w:val="center"/>
              <w:rPr>
                <w:rFonts w:ascii="宋体" w:hAnsi="宋体" w:cs="宋体"/>
                <w:color w:val="auto"/>
                <w:sz w:val="24"/>
                <w:highlight w:val="none"/>
              </w:rPr>
            </w:pPr>
          </w:p>
        </w:tc>
        <w:tc>
          <w:tcPr>
            <w:tcW w:w="2093" w:type="dxa"/>
            <w:vMerge w:val="continue"/>
            <w:vAlign w:val="center"/>
          </w:tcPr>
          <w:p w14:paraId="4FA5E509">
            <w:pPr>
              <w:snapToGrid w:val="0"/>
              <w:spacing w:line="360" w:lineRule="auto"/>
              <w:jc w:val="center"/>
              <w:rPr>
                <w:rFonts w:ascii="宋体" w:hAnsi="宋体" w:cs="宋体"/>
                <w:b/>
                <w:color w:val="auto"/>
                <w:sz w:val="24"/>
                <w:highlight w:val="none"/>
              </w:rPr>
            </w:pPr>
          </w:p>
        </w:tc>
        <w:tc>
          <w:tcPr>
            <w:tcW w:w="6927" w:type="dxa"/>
            <w:vAlign w:val="center"/>
          </w:tcPr>
          <w:p w14:paraId="3859E3D9">
            <w:pPr>
              <w:spacing w:line="360" w:lineRule="auto"/>
              <w:rPr>
                <w:rFonts w:ascii="宋体" w:hAnsi="宋体" w:cs="宋体"/>
                <w:color w:val="auto"/>
                <w:sz w:val="24"/>
                <w:highlight w:val="none"/>
              </w:rPr>
            </w:pPr>
            <w:r>
              <w:rPr>
                <w:rFonts w:hint="eastAsia" w:ascii="宋体" w:hAnsi="宋体" w:cs="宋体"/>
                <w:color w:val="auto"/>
                <w:sz w:val="24"/>
                <w:highlight w:val="none"/>
              </w:rPr>
              <w:t>（2）资信证明文件：根据采购文件第四部分评审标准提供。</w:t>
            </w:r>
          </w:p>
        </w:tc>
      </w:tr>
      <w:tr w14:paraId="64AC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A66BE56">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9</w:t>
            </w:r>
          </w:p>
        </w:tc>
        <w:tc>
          <w:tcPr>
            <w:tcW w:w="2093" w:type="dxa"/>
            <w:vAlign w:val="center"/>
          </w:tcPr>
          <w:p w14:paraId="327AAE8A">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节能产品、环境标志产品</w:t>
            </w:r>
          </w:p>
        </w:tc>
        <w:tc>
          <w:tcPr>
            <w:tcW w:w="6927" w:type="dxa"/>
            <w:vAlign w:val="center"/>
          </w:tcPr>
          <w:p w14:paraId="6DED72AC">
            <w:pPr>
              <w:snapToGrid w:val="0"/>
              <w:spacing w:line="360" w:lineRule="auto"/>
              <w:rPr>
                <w:rFonts w:ascii="宋体" w:hAnsi="宋体" w:cs="宋体"/>
                <w:color w:val="auto"/>
                <w:highlight w:val="none"/>
              </w:rPr>
            </w:pPr>
            <w:r>
              <w:rPr>
                <w:rFonts w:hint="eastAsia" w:ascii="宋体" w:hAnsi="宋体" w:cs="宋体"/>
                <w:color w:val="auto"/>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28DEF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F655409">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10</w:t>
            </w:r>
          </w:p>
        </w:tc>
        <w:tc>
          <w:tcPr>
            <w:tcW w:w="2093" w:type="dxa"/>
            <w:vAlign w:val="center"/>
          </w:tcPr>
          <w:p w14:paraId="40B70FC7">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报价要求</w:t>
            </w:r>
          </w:p>
        </w:tc>
        <w:tc>
          <w:tcPr>
            <w:tcW w:w="6927" w:type="dxa"/>
            <w:vAlign w:val="center"/>
          </w:tcPr>
          <w:p w14:paraId="2EA6D9AD">
            <w:pPr>
              <w:snapToGrid w:val="0"/>
              <w:spacing w:line="360" w:lineRule="auto"/>
              <w:jc w:val="left"/>
              <w:rPr>
                <w:rFonts w:ascii="宋体" w:hAnsi="宋体" w:cs="宋体"/>
                <w:b/>
                <w:color w:val="auto"/>
                <w:kern w:val="0"/>
                <w:sz w:val="24"/>
                <w:highlight w:val="none"/>
                <w:lang w:val="zh-CN"/>
              </w:rPr>
            </w:pPr>
            <w:r>
              <w:rPr>
                <w:rFonts w:hint="eastAsia" w:ascii="宋体" w:hAnsi="宋体" w:cs="宋体"/>
                <w:color w:val="auto"/>
                <w:kern w:val="0"/>
                <w:sz w:val="24"/>
                <w:highlight w:val="none"/>
                <w:lang w:val="zh-CN"/>
              </w:rPr>
              <w:t>有关本项目实施所需的所有费用（含税费）均计入报价。</w:t>
            </w:r>
            <w:r>
              <w:rPr>
                <w:rFonts w:hint="eastAsia" w:ascii="宋体" w:hAnsi="宋体" w:cs="宋体"/>
                <w:color w:val="auto"/>
                <w:sz w:val="24"/>
                <w:highlight w:val="none"/>
              </w:rPr>
              <w:t>报价单是报价的唯一载体</w:t>
            </w:r>
            <w:r>
              <w:rPr>
                <w:rFonts w:hint="eastAsia" w:ascii="宋体" w:hAnsi="宋体" w:cs="宋体"/>
                <w:color w:val="auto"/>
                <w:kern w:val="0"/>
                <w:sz w:val="24"/>
                <w:highlight w:val="none"/>
                <w:lang w:val="zh-CN"/>
              </w:rPr>
              <w:t>。响应文件中价格全部采用人民币报价。采购文件未列明，而供应商认为必需的费用也需列入报价。</w:t>
            </w:r>
            <w:r>
              <w:rPr>
                <w:rFonts w:hint="eastAsia" w:ascii="宋体" w:hAnsi="宋体" w:cs="宋体"/>
                <w:b/>
                <w:color w:val="auto"/>
                <w:kern w:val="0"/>
                <w:sz w:val="24"/>
                <w:highlight w:val="none"/>
                <w:lang w:val="zh-CN"/>
              </w:rPr>
              <w:t>提醒：验收时检测费用由采购人承担，不包含在总价中。</w:t>
            </w:r>
          </w:p>
          <w:p w14:paraId="7DCE701D">
            <w:pPr>
              <w:snapToGrid w:val="0"/>
              <w:spacing w:line="360" w:lineRule="auto"/>
              <w:jc w:val="left"/>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最后报价出现下列情形的，响应文件无效：</w:t>
            </w:r>
          </w:p>
          <w:p w14:paraId="60B80E93">
            <w:pPr>
              <w:snapToGrid w:val="0"/>
              <w:spacing w:line="360" w:lineRule="auto"/>
              <w:ind w:firstLine="241" w:firstLineChars="100"/>
              <w:jc w:val="left"/>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响应文件出现不是唯一的、有选择性最后报价的；</w:t>
            </w:r>
          </w:p>
          <w:p w14:paraId="361DAE6F">
            <w:pPr>
              <w:snapToGrid w:val="0"/>
              <w:spacing w:line="360" w:lineRule="auto"/>
              <w:ind w:firstLine="241" w:firstLineChars="100"/>
              <w:jc w:val="left"/>
              <w:rPr>
                <w:color w:val="auto"/>
                <w:highlight w:val="none"/>
              </w:rPr>
            </w:pPr>
            <w:r>
              <w:rPr>
                <w:rFonts w:hint="eastAsia" w:ascii="宋体" w:hAnsi="宋体" w:cs="宋体"/>
                <w:b/>
                <w:color w:val="auto"/>
                <w:kern w:val="0"/>
                <w:sz w:val="24"/>
                <w:highlight w:val="none"/>
                <w:lang w:val="zh-CN"/>
              </w:rPr>
              <w:t>最后报价超过采购文件中规定的预算金额或者最高限价的;</w:t>
            </w:r>
          </w:p>
          <w:p w14:paraId="2A8A6C6A">
            <w:pPr>
              <w:spacing w:line="360" w:lineRule="auto"/>
              <w:ind w:firstLine="241" w:firstLineChars="100"/>
              <w:rPr>
                <w:rFonts w:ascii="宋体" w:hAnsi="宋体" w:cs="宋体"/>
                <w:b/>
                <w:color w:val="auto"/>
                <w:sz w:val="24"/>
                <w:highlight w:val="none"/>
              </w:rPr>
            </w:pPr>
            <w:r>
              <w:rPr>
                <w:rFonts w:hint="eastAsia" w:ascii="宋体" w:hAnsi="宋体" w:cs="宋体"/>
                <w:b/>
                <w:color w:val="auto"/>
                <w:kern w:val="0"/>
                <w:sz w:val="24"/>
                <w:highlight w:val="none"/>
              </w:rPr>
              <w:t>报价明显低于其他通过符合性审查供应商的报价，有可能影响产品质量或者不能诚信履约的，未能按要求提供书面说明或者提交相关证明材料证明其报价合理性的</w:t>
            </w:r>
            <w:r>
              <w:rPr>
                <w:rFonts w:hint="eastAsia" w:ascii="宋体" w:hAnsi="宋体" w:cs="宋体"/>
                <w:b/>
                <w:color w:val="auto"/>
                <w:sz w:val="24"/>
                <w:szCs w:val="21"/>
                <w:highlight w:val="none"/>
              </w:rPr>
              <w:t>;</w:t>
            </w:r>
          </w:p>
          <w:p w14:paraId="56FED6F2">
            <w:pPr>
              <w:spacing w:line="360" w:lineRule="auto"/>
              <w:ind w:firstLine="241" w:firstLineChars="100"/>
              <w:rPr>
                <w:rFonts w:ascii="宋体" w:hAnsi="宋体" w:cs="宋体"/>
                <w:color w:val="auto"/>
                <w:sz w:val="24"/>
                <w:highlight w:val="none"/>
              </w:rPr>
            </w:pPr>
            <w:r>
              <w:rPr>
                <w:rFonts w:hint="eastAsia" w:ascii="宋体" w:hAnsi="宋体" w:cs="宋体"/>
                <w:b/>
                <w:color w:val="auto"/>
                <w:kern w:val="0"/>
                <w:sz w:val="24"/>
                <w:highlight w:val="none"/>
              </w:rPr>
              <w:t>供应商对根据修正原则修正后的报价不确认的</w:t>
            </w:r>
            <w:r>
              <w:rPr>
                <w:rFonts w:hint="eastAsia" w:ascii="宋体" w:hAnsi="宋体" w:cs="宋体"/>
                <w:b/>
                <w:color w:val="auto"/>
                <w:sz w:val="24"/>
                <w:highlight w:val="none"/>
              </w:rPr>
              <w:t>。</w:t>
            </w:r>
          </w:p>
        </w:tc>
      </w:tr>
      <w:tr w14:paraId="32B23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44" w:hRule="atLeast"/>
        </w:trPr>
        <w:tc>
          <w:tcPr>
            <w:tcW w:w="714" w:type="dxa"/>
            <w:vAlign w:val="center"/>
          </w:tcPr>
          <w:p w14:paraId="757289B0">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11</w:t>
            </w:r>
          </w:p>
        </w:tc>
        <w:tc>
          <w:tcPr>
            <w:tcW w:w="2093" w:type="dxa"/>
            <w:vAlign w:val="center"/>
          </w:tcPr>
          <w:p w14:paraId="45C2E37A">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中小企业信用融资</w:t>
            </w:r>
          </w:p>
        </w:tc>
        <w:tc>
          <w:tcPr>
            <w:tcW w:w="6927" w:type="dxa"/>
            <w:vAlign w:val="center"/>
          </w:tcPr>
          <w:p w14:paraId="3E3997CD">
            <w:pPr>
              <w:spacing w:line="360" w:lineRule="auto"/>
              <w:ind w:firstLine="480" w:firstLineChars="200"/>
              <w:rPr>
                <w:rFonts w:ascii="宋体" w:hAnsi="宋体" w:cs="宋体"/>
                <w:color w:val="auto"/>
                <w:sz w:val="24"/>
                <w:highlight w:val="none"/>
              </w:rPr>
            </w:pPr>
            <w:r>
              <w:rPr>
                <w:rFonts w:hint="eastAsia" w:ascii="宋体" w:hAnsi="宋体" w:cs="宋体"/>
                <w:snapToGrid w:val="0"/>
                <w:color w:val="auto"/>
                <w:kern w:val="28"/>
                <w:sz w:val="24"/>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77D5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17BBBB3">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12</w:t>
            </w:r>
          </w:p>
        </w:tc>
        <w:tc>
          <w:tcPr>
            <w:tcW w:w="2093" w:type="dxa"/>
            <w:vAlign w:val="center"/>
          </w:tcPr>
          <w:p w14:paraId="27E0C00B">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备份响应文件送达地点和签收人员</w:t>
            </w:r>
          </w:p>
        </w:tc>
        <w:tc>
          <w:tcPr>
            <w:tcW w:w="6927" w:type="dxa"/>
            <w:vAlign w:val="center"/>
          </w:tcPr>
          <w:p w14:paraId="5ED84A36">
            <w:pPr>
              <w:pStyle w:val="33"/>
              <w:spacing w:line="360" w:lineRule="auto"/>
              <w:rPr>
                <w:rFonts w:hAnsi="宋体" w:cs="宋体"/>
                <w:color w:val="auto"/>
                <w:kern w:val="28"/>
                <w:sz w:val="24"/>
                <w:szCs w:val="24"/>
                <w:highlight w:val="none"/>
              </w:rPr>
            </w:pPr>
            <w:r>
              <w:rPr>
                <w:rFonts w:hint="eastAsia" w:hAnsi="宋体" w:cs="宋体"/>
                <w:color w:val="auto"/>
                <w:kern w:val="28"/>
                <w:sz w:val="24"/>
                <w:szCs w:val="24"/>
                <w:highlight w:val="none"/>
              </w:rPr>
              <w:t>备份响应文件送达地点：</w:t>
            </w:r>
            <w:r>
              <w:rPr>
                <w:rFonts w:hint="eastAsia" w:hAnsi="宋体" w:cs="宋体"/>
                <w:color w:val="auto"/>
                <w:kern w:val="28"/>
                <w:sz w:val="24"/>
                <w:szCs w:val="24"/>
                <w:highlight w:val="none"/>
                <w:u w:val="single"/>
                <w:lang w:eastAsia="zh-CN"/>
              </w:rPr>
              <w:t>杭州市上城区凤起东路888号畅聚新达大厦1122室</w:t>
            </w:r>
            <w:r>
              <w:rPr>
                <w:rFonts w:hint="eastAsia" w:hAnsi="宋体" w:cs="宋体"/>
                <w:color w:val="auto"/>
                <w:kern w:val="28"/>
                <w:sz w:val="24"/>
                <w:szCs w:val="24"/>
                <w:highlight w:val="none"/>
              </w:rPr>
              <w:t>；</w:t>
            </w:r>
          </w:p>
          <w:p w14:paraId="1F2172DC">
            <w:pPr>
              <w:pStyle w:val="33"/>
              <w:spacing w:line="360" w:lineRule="auto"/>
              <w:rPr>
                <w:rFonts w:hAnsi="宋体" w:cs="宋体"/>
                <w:color w:val="auto"/>
                <w:sz w:val="24"/>
                <w:szCs w:val="24"/>
                <w:highlight w:val="none"/>
              </w:rPr>
            </w:pPr>
            <w:r>
              <w:rPr>
                <w:rFonts w:hint="eastAsia" w:hAnsi="宋体" w:cs="宋体"/>
                <w:color w:val="auto"/>
                <w:kern w:val="28"/>
                <w:sz w:val="24"/>
                <w:szCs w:val="24"/>
                <w:highlight w:val="none"/>
              </w:rPr>
              <w:t>备份响应文件签收人员联系电话：</w:t>
            </w:r>
            <w:r>
              <w:rPr>
                <w:rFonts w:hint="eastAsia" w:hAnsi="宋体" w:cs="宋体"/>
                <w:color w:val="auto"/>
                <w:kern w:val="28"/>
                <w:sz w:val="24"/>
                <w:szCs w:val="24"/>
                <w:highlight w:val="none"/>
                <w:u w:val="single"/>
              </w:rPr>
              <w:t>13588320278</w:t>
            </w:r>
            <w:r>
              <w:rPr>
                <w:rFonts w:hint="eastAsia" w:hAnsi="宋体" w:cs="宋体"/>
                <w:color w:val="auto"/>
                <w:sz w:val="24"/>
                <w:szCs w:val="24"/>
                <w:highlight w:val="none"/>
              </w:rPr>
              <w:t>。</w:t>
            </w:r>
          </w:p>
          <w:p w14:paraId="2A7DEDB3">
            <w:pPr>
              <w:pStyle w:val="33"/>
              <w:spacing w:line="360" w:lineRule="auto"/>
              <w:rPr>
                <w:rFonts w:hAnsi="宋体" w:cs="宋体"/>
                <w:color w:val="auto"/>
                <w:kern w:val="28"/>
                <w:sz w:val="24"/>
                <w:highlight w:val="none"/>
              </w:rPr>
            </w:pPr>
            <w:r>
              <w:rPr>
                <w:rFonts w:hint="eastAsia" w:hAnsi="宋体" w:cs="宋体"/>
                <w:b/>
                <w:color w:val="auto"/>
                <w:sz w:val="24"/>
                <w:szCs w:val="24"/>
                <w:highlight w:val="none"/>
              </w:rPr>
              <w:t>采购人、采购机构不强制或变相强制供应商提交备份响应文件。</w:t>
            </w:r>
          </w:p>
        </w:tc>
      </w:tr>
      <w:tr w14:paraId="6208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F47A5B4">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13</w:t>
            </w:r>
          </w:p>
        </w:tc>
        <w:tc>
          <w:tcPr>
            <w:tcW w:w="2093" w:type="dxa"/>
            <w:vAlign w:val="center"/>
          </w:tcPr>
          <w:p w14:paraId="5B69369F">
            <w:pPr>
              <w:snapToGrid w:val="0"/>
              <w:spacing w:line="360" w:lineRule="auto"/>
              <w:jc w:val="center"/>
              <w:rPr>
                <w:rFonts w:hint="default" w:ascii="宋体" w:hAnsi="宋体" w:eastAsia="宋体" w:cs="宋体"/>
                <w:b/>
                <w:color w:val="auto"/>
                <w:sz w:val="24"/>
                <w:highlight w:val="none"/>
                <w:lang w:val="en-US" w:eastAsia="zh-CN"/>
              </w:rPr>
            </w:pPr>
            <w:r>
              <w:rPr>
                <w:rFonts w:hint="eastAsia" w:ascii="宋体" w:hAnsi="宋体" w:cs="宋体"/>
                <w:b/>
                <w:color w:val="auto"/>
                <w:sz w:val="24"/>
                <w:highlight w:val="none"/>
                <w:lang w:val="en-US" w:eastAsia="zh-CN"/>
              </w:rPr>
              <w:t>关于联合体</w:t>
            </w:r>
          </w:p>
        </w:tc>
        <w:tc>
          <w:tcPr>
            <w:tcW w:w="6927" w:type="dxa"/>
            <w:vAlign w:val="center"/>
          </w:tcPr>
          <w:p w14:paraId="05BD858B">
            <w:pPr>
              <w:spacing w:line="360" w:lineRule="auto"/>
              <w:rPr>
                <w:rFonts w:ascii="宋体" w:hAnsi="宋体" w:cs="宋体"/>
                <w:snapToGrid w:val="0"/>
                <w:color w:val="auto"/>
                <w:kern w:val="28"/>
                <w:sz w:val="24"/>
                <w:highlight w:val="none"/>
              </w:rPr>
            </w:pPr>
            <w:sdt>
              <w:sdtPr>
                <w:rPr>
                  <w:rFonts w:hint="eastAsia" w:ascii="仿宋" w:hAnsi="仿宋" w:eastAsia="仿宋" w:cs="仿宋"/>
                  <w:color w:val="auto"/>
                  <w:kern w:val="0"/>
                  <w:sz w:val="24"/>
                  <w:highlight w:val="none"/>
                </w:rPr>
                <w:id w:val="-369766551"/>
              </w:sdtPr>
              <w:sdtEndPr>
                <w:rPr>
                  <w:rFonts w:hint="eastAsia" w:ascii="仿宋" w:hAnsi="仿宋" w:eastAsia="仿宋" w:cs="仿宋"/>
                  <w:color w:val="auto"/>
                  <w:kern w:val="0"/>
                  <w:sz w:val="24"/>
                  <w:highlight w:val="none"/>
                </w:rPr>
              </w:sdtEndPr>
              <w:sdtContent>
                <w:sdt>
                  <w:sdtPr>
                    <w:rPr>
                      <w:rFonts w:hint="eastAsia" w:ascii="仿宋" w:hAnsi="仿宋" w:eastAsia="仿宋" w:cs="仿宋"/>
                      <w:color w:val="auto"/>
                      <w:kern w:val="0"/>
                      <w:sz w:val="24"/>
                      <w:highlight w:val="none"/>
                    </w:rPr>
                    <w:id w:val="147478062"/>
                  </w:sdtPr>
                  <w:sdtEndPr>
                    <w:rPr>
                      <w:rFonts w:hint="eastAsia" w:ascii="仿宋" w:hAnsi="仿宋" w:eastAsia="仿宋" w:cs="仿宋"/>
                      <w:color w:val="auto"/>
                      <w:kern w:val="0"/>
                      <w:sz w:val="24"/>
                      <w:highlight w:val="none"/>
                    </w:rPr>
                  </w:sdtEndPr>
                  <w:sdtContent>
                    <w:r>
                      <w:rPr>
                        <w:rFonts w:hint="eastAsia" w:ascii="宋体" w:hAnsi="宋体" w:eastAsia="宋体" w:cs="宋体"/>
                        <w:color w:val="auto"/>
                        <w:kern w:val="0"/>
                        <w:sz w:val="24"/>
                        <w:highlight w:val="none"/>
                      </w:rPr>
                      <w:t>两个以上法人或者其他组织可以组成一个联合体，以一个投标人的身份共同投标。联合体各方均应当具备承担招标项目的相应能力；国家有关规定或者招标文件对投标人资格条件有规定的，联合体各方均应当具备规定的相应资格条件。由同一专业的单位组成的联合体，按照资质等级较低的单位确定资质等级。联合体各方应当签订共同投标协议，明确约定各方拟承担的工作和责任，并将共同投标协议连同投标文件一并提交招标人。联合体中标的，联合体各方应当共同与招标人签订合同，就中标项目向招标人承担连带责任</w:t>
                    </w:r>
                    <w:r>
                      <w:rPr>
                        <w:rFonts w:hint="eastAsia" w:ascii="仿宋" w:hAnsi="仿宋" w:eastAsia="仿宋" w:cs="仿宋"/>
                        <w:color w:val="auto"/>
                        <w:kern w:val="0"/>
                        <w:sz w:val="24"/>
                        <w:highlight w:val="none"/>
                      </w:rPr>
                      <w:t>。</w:t>
                    </w:r>
                  </w:sdtContent>
                </w:sdt>
              </w:sdtContent>
            </w:sdt>
          </w:p>
        </w:tc>
      </w:tr>
      <w:tr w14:paraId="3F47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E7DD54A">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14</w:t>
            </w:r>
          </w:p>
        </w:tc>
        <w:tc>
          <w:tcPr>
            <w:tcW w:w="2093" w:type="dxa"/>
            <w:vAlign w:val="center"/>
          </w:tcPr>
          <w:p w14:paraId="129ABFBB">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采购代理服务费</w:t>
            </w:r>
          </w:p>
        </w:tc>
        <w:tc>
          <w:tcPr>
            <w:tcW w:w="6927" w:type="dxa"/>
            <w:vAlign w:val="center"/>
          </w:tcPr>
          <w:p w14:paraId="3B20C2A2">
            <w:pPr>
              <w:spacing w:line="360" w:lineRule="auto"/>
              <w:rPr>
                <w:rFonts w:hint="eastAsia" w:ascii="宋体" w:hAnsi="宋体" w:eastAsia="宋体" w:cs="宋体"/>
                <w:snapToGrid w:val="0"/>
                <w:color w:val="auto"/>
                <w:kern w:val="28"/>
                <w:sz w:val="24"/>
                <w:highlight w:val="none"/>
                <w:lang w:eastAsia="zh-CN"/>
              </w:rPr>
            </w:pPr>
            <w:r>
              <w:rPr>
                <w:rFonts w:hint="eastAsia" w:ascii="宋体" w:hAnsi="宋体" w:eastAsia="宋体" w:cs="宋体"/>
                <w:b/>
                <w:bCs/>
                <w:color w:val="auto"/>
                <w:kern w:val="0"/>
                <w:sz w:val="24"/>
                <w:highlight w:val="none"/>
              </w:rPr>
              <w:t>招标服务费：由中标人支付，</w:t>
            </w:r>
            <w:r>
              <w:rPr>
                <w:rFonts w:hint="eastAsia" w:ascii="宋体" w:hAnsi="宋体" w:eastAsia="宋体" w:cs="宋体"/>
                <w:b/>
                <w:bCs/>
                <w:color w:val="auto"/>
                <w:kern w:val="0"/>
                <w:sz w:val="24"/>
                <w:highlight w:val="none"/>
                <w:lang w:val="en-US" w:eastAsia="zh-CN"/>
              </w:rPr>
              <w:t>参照</w:t>
            </w:r>
            <w:r>
              <w:rPr>
                <w:rFonts w:hint="eastAsia" w:ascii="宋体" w:hAnsi="宋体" w:eastAsia="宋体" w:cs="宋体"/>
                <w:b/>
                <w:bCs/>
                <w:color w:val="auto"/>
                <w:kern w:val="0"/>
                <w:sz w:val="24"/>
                <w:highlight w:val="none"/>
              </w:rPr>
              <w:t>《招标代理服务收费管理暂行办法》（计价格[2002]1980号）</w:t>
            </w:r>
            <w:r>
              <w:rPr>
                <w:rFonts w:hint="eastAsia" w:ascii="宋体" w:hAnsi="宋体" w:eastAsia="宋体" w:cs="宋体"/>
                <w:b/>
                <w:bCs/>
                <w:color w:val="auto"/>
                <w:kern w:val="0"/>
                <w:sz w:val="24"/>
                <w:highlight w:val="none"/>
                <w:lang w:val="en-US" w:eastAsia="zh-CN"/>
              </w:rPr>
              <w:t>工程类</w:t>
            </w:r>
            <w:r>
              <w:rPr>
                <w:rFonts w:hint="eastAsia" w:ascii="宋体" w:hAnsi="宋体" w:eastAsia="宋体" w:cs="宋体"/>
                <w:b/>
                <w:bCs/>
                <w:color w:val="auto"/>
                <w:kern w:val="0"/>
                <w:sz w:val="24"/>
                <w:highlight w:val="none"/>
              </w:rPr>
              <w:t>计取，由中标人在领取中标通知书时一次性支付。</w:t>
            </w:r>
          </w:p>
        </w:tc>
      </w:tr>
      <w:tr w14:paraId="11A0D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5070988">
            <w:pPr>
              <w:snapToGrid w:val="0"/>
              <w:spacing w:line="360" w:lineRule="auto"/>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w:t>
            </w:r>
          </w:p>
        </w:tc>
        <w:tc>
          <w:tcPr>
            <w:tcW w:w="2093" w:type="dxa"/>
            <w:vAlign w:val="center"/>
          </w:tcPr>
          <w:p w14:paraId="25884DA3">
            <w:pPr>
              <w:snapToGrid w:val="0"/>
              <w:spacing w:line="360" w:lineRule="auto"/>
              <w:jc w:val="center"/>
              <w:rPr>
                <w:rFonts w:hint="default" w:ascii="宋体" w:hAnsi="宋体" w:eastAsia="宋体" w:cs="宋体"/>
                <w:b/>
                <w:color w:val="auto"/>
                <w:sz w:val="24"/>
                <w:highlight w:val="none"/>
                <w:lang w:val="en-US" w:eastAsia="zh-CN"/>
              </w:rPr>
            </w:pPr>
            <w:r>
              <w:rPr>
                <w:rFonts w:hint="eastAsia" w:ascii="宋体" w:hAnsi="宋体" w:cs="宋体"/>
                <w:b/>
                <w:color w:val="auto"/>
                <w:sz w:val="24"/>
                <w:highlight w:val="none"/>
                <w:lang w:val="en-US" w:eastAsia="zh-CN"/>
              </w:rPr>
              <w:t>其他说明</w:t>
            </w:r>
          </w:p>
        </w:tc>
        <w:tc>
          <w:tcPr>
            <w:tcW w:w="6927" w:type="dxa"/>
            <w:vAlign w:val="center"/>
          </w:tcPr>
          <w:p w14:paraId="5D9D0CC1">
            <w:pPr>
              <w:spacing w:line="360" w:lineRule="auto"/>
              <w:rPr>
                <w:rFonts w:hint="eastAsia" w:ascii="宋体" w:hAnsi="宋体" w:eastAsia="宋体" w:cs="宋体"/>
                <w:b/>
                <w:bCs/>
                <w:color w:val="auto"/>
                <w:kern w:val="0"/>
                <w:sz w:val="24"/>
                <w:highlight w:val="none"/>
              </w:rPr>
            </w:pPr>
            <w:r>
              <w:rPr>
                <w:rFonts w:hint="eastAsia" w:ascii="宋体" w:hAnsi="宋体" w:eastAsia="宋体" w:cs="宋体"/>
                <w:b/>
                <w:color w:val="auto"/>
                <w:sz w:val="24"/>
                <w:highlight w:val="none"/>
              </w:rPr>
              <w:t>中标单位需在领取中标通知书时，提供本项目纸质投标文件（资格文件”、“报价文件”和“商务技术文件”）</w:t>
            </w:r>
            <w:r>
              <w:rPr>
                <w:rFonts w:hint="eastAsia" w:ascii="宋体" w:hAnsi="宋体" w:eastAsia="宋体" w:cs="宋体"/>
                <w:b/>
                <w:color w:val="auto"/>
                <w:sz w:val="24"/>
                <w:highlight w:val="none"/>
                <w:lang w:val="en-US" w:eastAsia="zh-CN"/>
              </w:rPr>
              <w:t>三</w:t>
            </w:r>
            <w:r>
              <w:rPr>
                <w:rFonts w:hint="eastAsia" w:ascii="宋体" w:hAnsi="宋体" w:eastAsia="宋体" w:cs="宋体"/>
                <w:b/>
                <w:color w:val="auto"/>
                <w:sz w:val="24"/>
                <w:highlight w:val="none"/>
              </w:rPr>
              <w:t>份（正本一份，副本</w:t>
            </w:r>
            <w:r>
              <w:rPr>
                <w:rFonts w:hint="eastAsia" w:ascii="宋体" w:hAnsi="宋体" w:eastAsia="宋体" w:cs="宋体"/>
                <w:b/>
                <w:color w:val="auto"/>
                <w:sz w:val="24"/>
                <w:highlight w:val="none"/>
                <w:lang w:val="en-US" w:eastAsia="zh-CN"/>
              </w:rPr>
              <w:t>二</w:t>
            </w:r>
            <w:r>
              <w:rPr>
                <w:rFonts w:hint="eastAsia" w:ascii="宋体" w:hAnsi="宋体" w:eastAsia="宋体" w:cs="宋体"/>
                <w:b/>
                <w:color w:val="auto"/>
                <w:sz w:val="24"/>
                <w:highlight w:val="none"/>
              </w:rPr>
              <w:t>份）</w:t>
            </w:r>
          </w:p>
        </w:tc>
      </w:tr>
    </w:tbl>
    <w:p w14:paraId="329F51C2">
      <w:pPr>
        <w:snapToGrid w:val="0"/>
        <w:spacing w:line="360" w:lineRule="auto"/>
        <w:jc w:val="center"/>
        <w:rPr>
          <w:rFonts w:ascii="宋体" w:hAnsi="宋体" w:cs="宋体"/>
          <w:b/>
          <w:color w:val="auto"/>
          <w:sz w:val="32"/>
          <w:szCs w:val="20"/>
          <w:highlight w:val="none"/>
        </w:rPr>
      </w:pPr>
    </w:p>
    <w:bookmarkEnd w:id="10"/>
    <w:p w14:paraId="09D13409">
      <w:pPr>
        <w:widowControl/>
        <w:adjustRightInd/>
        <w:jc w:val="left"/>
        <w:rPr>
          <w:rFonts w:ascii="宋体" w:hAnsi="宋体" w:cs="宋体"/>
          <w:b/>
          <w:color w:val="auto"/>
          <w:sz w:val="32"/>
          <w:szCs w:val="20"/>
          <w:highlight w:val="none"/>
        </w:rPr>
      </w:pPr>
      <w:bookmarkStart w:id="13" w:name="_Toc164416483"/>
      <w:bookmarkStart w:id="14" w:name="第三部分"/>
      <w:r>
        <w:rPr>
          <w:rFonts w:hint="eastAsia" w:ascii="宋体" w:hAnsi="宋体" w:cs="宋体"/>
          <w:b/>
          <w:color w:val="auto"/>
          <w:sz w:val="32"/>
          <w:szCs w:val="20"/>
          <w:highlight w:val="none"/>
        </w:rPr>
        <w:br w:type="page"/>
      </w:r>
    </w:p>
    <w:p w14:paraId="5A242388">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一、总则</w:t>
      </w:r>
    </w:p>
    <w:p w14:paraId="17065831">
      <w:pPr>
        <w:snapToGrid w:val="0"/>
        <w:spacing w:line="360" w:lineRule="auto"/>
        <w:jc w:val="left"/>
        <w:outlineLvl w:val="1"/>
        <w:rPr>
          <w:rFonts w:ascii="宋体" w:hAnsi="宋体" w:cs="宋体"/>
          <w:b/>
          <w:color w:val="auto"/>
          <w:sz w:val="24"/>
          <w:highlight w:val="none"/>
        </w:rPr>
      </w:pPr>
      <w:r>
        <w:rPr>
          <w:rFonts w:hint="eastAsia" w:ascii="宋体" w:hAnsi="宋体" w:cs="宋体"/>
          <w:b/>
          <w:color w:val="auto"/>
          <w:sz w:val="24"/>
          <w:highlight w:val="none"/>
        </w:rPr>
        <w:t>1. 适用范围</w:t>
      </w:r>
    </w:p>
    <w:p w14:paraId="152D98AB">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本采购文件适用于该项目的采购邀请、响应文件提交、响应文件开启、资格审查及信用信息查询、磋商、评审、成交供应商确定、合同、验收等行为（法律、法规另有规定的，从其规定）。</w:t>
      </w:r>
    </w:p>
    <w:p w14:paraId="14A4CF7F">
      <w:pPr>
        <w:snapToGrid w:val="0"/>
        <w:spacing w:line="360" w:lineRule="auto"/>
        <w:outlineLvl w:val="0"/>
        <w:rPr>
          <w:rFonts w:ascii="宋体" w:hAnsi="宋体" w:cs="宋体"/>
          <w:b/>
          <w:color w:val="auto"/>
          <w:sz w:val="24"/>
          <w:highlight w:val="none"/>
        </w:rPr>
      </w:pPr>
      <w:r>
        <w:rPr>
          <w:rFonts w:hint="eastAsia" w:ascii="宋体" w:hAnsi="宋体" w:cs="宋体"/>
          <w:b/>
          <w:color w:val="auto"/>
          <w:sz w:val="24"/>
          <w:highlight w:val="none"/>
        </w:rPr>
        <w:t>2.定义</w:t>
      </w:r>
    </w:p>
    <w:p w14:paraId="7A9F79E5">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 “采购人”系指竞争性磋商公告中载明的本项目的采购人。</w:t>
      </w:r>
    </w:p>
    <w:p w14:paraId="5055131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2.2 “采购机构”系指竞争性磋商公告中载明的本项目的采购机构。</w:t>
      </w:r>
    </w:p>
    <w:p w14:paraId="0CA8CB25">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2.3 “供应商”系指是指提交响应文件和报价、参与竞争性磋商采购活动的法人、其他组织或者自然人。</w:t>
      </w:r>
    </w:p>
    <w:p w14:paraId="62002CC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 “负责人”系指法人企业的法定负责人，或其他组织为法律、行政法规规定代表单位行使职权的主要负责人，或自然人本人。</w:t>
      </w:r>
    </w:p>
    <w:p w14:paraId="551C9F4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6FD31F1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2.6“电子交易平台”是指本项目政府采购活动所依托的政府采购云平台（https://www.zcygov.cn/）。</w:t>
      </w:r>
    </w:p>
    <w:p w14:paraId="7BE9B8D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2.7 “▲” 系指实质性要求条款，“</w:t>
      </w:r>
      <w:sdt>
        <w:sdtPr>
          <w:rPr>
            <w:rFonts w:hint="eastAsia" w:ascii="宋体" w:hAnsi="宋体" w:cs="宋体"/>
            <w:color w:val="auto"/>
            <w:kern w:val="0"/>
            <w:sz w:val="24"/>
            <w:highlight w:val="none"/>
          </w:rPr>
          <w:id w:val="512970236"/>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sz w:val="24"/>
          <w:highlight w:val="none"/>
        </w:rPr>
        <w:t>” 系指适用本项目的要求，“</w:t>
      </w:r>
      <w:sdt>
        <w:sdtPr>
          <w:rPr>
            <w:rFonts w:hint="eastAsia" w:ascii="宋体" w:hAnsi="宋体" w:cs="宋体"/>
            <w:color w:val="auto"/>
            <w:kern w:val="0"/>
            <w:sz w:val="24"/>
            <w:highlight w:val="none"/>
          </w:rPr>
          <w:id w:val="404888855"/>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 系指不适用本项目的要求，“※”系指磋商过程中可能实质性变动的内容。</w:t>
      </w:r>
    </w:p>
    <w:p w14:paraId="537581AF">
      <w:pPr>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3.</w:t>
      </w:r>
      <w:r>
        <w:rPr>
          <w:rFonts w:hint="eastAsia" w:ascii="宋体" w:hAnsi="宋体" w:cs="宋体"/>
          <w:color w:val="auto"/>
          <w:highlight w:val="none"/>
        </w:rPr>
        <w:t xml:space="preserve"> </w:t>
      </w:r>
      <w:r>
        <w:rPr>
          <w:rFonts w:hint="eastAsia" w:ascii="宋体" w:hAnsi="宋体" w:cs="宋体"/>
          <w:b/>
          <w:color w:val="auto"/>
          <w:sz w:val="24"/>
          <w:highlight w:val="none"/>
        </w:rPr>
        <w:t>采购项目需要落实的政府采购政策</w:t>
      </w:r>
    </w:p>
    <w:p w14:paraId="4B62895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机构不会对其加以限制，仍将按照公平竞争原则实施采购）；</w:t>
      </w:r>
      <w:r>
        <w:rPr>
          <w:rFonts w:hint="eastAsia" w:ascii="宋体" w:hAnsi="宋体" w:cs="宋体"/>
          <w:color w:val="auto"/>
          <w:kern w:val="0"/>
          <w:sz w:val="24"/>
          <w:highlight w:val="none"/>
        </w:rPr>
        <w:t>优先采购向我国企业转让技术、与我国企业签订消化吸收再创新方案的供应商的进口产品</w:t>
      </w:r>
      <w:r>
        <w:rPr>
          <w:rFonts w:hint="eastAsia" w:ascii="宋体" w:hAnsi="宋体" w:cs="宋体"/>
          <w:color w:val="auto"/>
          <w:sz w:val="24"/>
          <w:highlight w:val="none"/>
        </w:rPr>
        <w:t>。</w:t>
      </w:r>
    </w:p>
    <w:p w14:paraId="080FE43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 支持绿色发展</w:t>
      </w:r>
    </w:p>
    <w:p w14:paraId="73F87241">
      <w:pPr>
        <w:snapToGrid w:val="0"/>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宋体" w:hAnsi="宋体" w:cs="宋体"/>
          <w:b/>
          <w:color w:val="auto"/>
          <w:sz w:val="24"/>
          <w:highlight w:val="none"/>
        </w:rPr>
        <w:t>采购人拟采购的产品属于政府强制采购的节能产品品目清单范围的，供应商未按采购文件要求提供国家确定的认证机构出具的、处于有效期之内的节能产品认证证书的，响应文件无效。</w:t>
      </w:r>
    </w:p>
    <w:p w14:paraId="7DE21E1B">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3.2.2纳入政府采购管理的修缮、装修类项目采购建材的，鼓励采购单位将绿色建材性能、指标等作为实质性条件纳入采购文件和合同，具体性能指标要求参考相关绿色建材政府采购需求标准。</w:t>
      </w:r>
    </w:p>
    <w:p w14:paraId="35E2131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p>
    <w:p w14:paraId="59415C5D">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3.3支持中小企业发展</w:t>
      </w:r>
    </w:p>
    <w:p w14:paraId="1527276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70D88F2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符合中小企业划分标准的个体工商户，在政府采购活动中视同中小企业。</w:t>
      </w:r>
    </w:p>
    <w:p w14:paraId="6DC7F2C0">
      <w:pPr>
        <w:widowControl/>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bCs/>
          <w:color w:val="auto"/>
          <w:sz w:val="24"/>
          <w:highlight w:val="none"/>
        </w:rPr>
        <w:t>3.3.2</w:t>
      </w:r>
      <w:r>
        <w:rPr>
          <w:rFonts w:hint="eastAsia" w:ascii="宋体" w:hAnsi="宋体" w:cs="宋体"/>
          <w:color w:val="auto"/>
          <w:kern w:val="0"/>
          <w:sz w:val="24"/>
          <w:highlight w:val="none"/>
        </w:rPr>
        <w:t>在政府采购活动中，供应商提供的工程符合下列情形的，享受中小企业扶持政策：</w:t>
      </w:r>
      <w:r>
        <w:rPr>
          <w:rFonts w:ascii="宋体" w:hAnsi="宋体" w:cs="宋体"/>
          <w:color w:val="auto"/>
          <w:sz w:val="24"/>
          <w:highlight w:val="none"/>
        </w:rPr>
        <w:t>在工程采购项目中，工程由中小企业承建，即工程施工单位为中小企业</w:t>
      </w:r>
      <w:r>
        <w:rPr>
          <w:rFonts w:hint="eastAsia" w:ascii="宋体" w:hAnsi="宋体" w:cs="宋体"/>
          <w:color w:val="auto"/>
          <w:kern w:val="0"/>
          <w:sz w:val="24"/>
          <w:highlight w:val="none"/>
        </w:rPr>
        <w:t>。</w:t>
      </w:r>
    </w:p>
    <w:p w14:paraId="0EF36F07">
      <w:pPr>
        <w:widowControl/>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以联合体形式参加政府采购活动，联合体各方均为中小企业的，联合体视同中小企业。其中，联合体各方均为小微企业的，联合体视同小微企业。</w:t>
      </w:r>
    </w:p>
    <w:p w14:paraId="237616E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5" w:name="_Hlk101132181"/>
      <w:r>
        <w:rPr>
          <w:rFonts w:hint="eastAsia" w:ascii="宋体" w:hAnsi="宋体" w:cs="宋体"/>
          <w:color w:val="auto"/>
          <w:sz w:val="24"/>
          <w:highlight w:val="none"/>
        </w:rPr>
        <w:t>联合协议或者分包意向协议约定小微企业的合同份额占到合同总金额30%以上的</w:t>
      </w:r>
      <w:bookmarkEnd w:id="15"/>
      <w:r>
        <w:rPr>
          <w:rFonts w:hint="eastAsia" w:ascii="宋体" w:hAnsi="宋体" w:cs="宋体"/>
          <w:color w:val="auto"/>
          <w:sz w:val="24"/>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14:paraId="4F0BC548">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3.3.4符合《关于促进残疾人就业政府采购政策的通知》（财库〔2017〕141号）规定的条件并提供《残疾人福利性单位声明函》（附件1）的残疾人福利性单位视同小型、微型企业；</w:t>
      </w:r>
    </w:p>
    <w:p w14:paraId="3544D7B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66E2C51D">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3.3.6可享受中小企业扶持政策的供应商应按照采购文件格式要求提供《中小企业声明函》，供应商提供的《中小企业声明函》与实际情况不符的，不享受中小企业扶持政策。声明内容不实的，属于提供虚假材料谋取中标、成交的，依法承担法律责任。</w:t>
      </w:r>
    </w:p>
    <w:p w14:paraId="59BF603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3.3.7中小企业享受扶持政策获得政府采购合同的，小微企业不得将合同分包给大中型企业，中型企业不得将合同分包给大型企业。</w:t>
      </w:r>
    </w:p>
    <w:p w14:paraId="3753A025">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3.4</w:t>
      </w:r>
      <w:r>
        <w:rPr>
          <w:rFonts w:hint="eastAsia" w:ascii="宋体" w:hAnsi="宋体" w:cs="宋体"/>
          <w:bCs/>
          <w:color w:val="auto"/>
          <w:sz w:val="24"/>
          <w:highlight w:val="none"/>
        </w:rPr>
        <w:t>支持创新发展</w:t>
      </w:r>
    </w:p>
    <w:p w14:paraId="08EC7BF5">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3.4.1 采购人优先采购被认定为首台套产品和“制造精品”的自主创新产品。</w:t>
      </w:r>
    </w:p>
    <w:p w14:paraId="649C584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14:paraId="37D82D9A">
      <w:pPr>
        <w:snapToGrid w:val="0"/>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3.5平等对待内外资企业和符合条件的破产重整企业：</w:t>
      </w:r>
    </w:p>
    <w:p w14:paraId="64F56BA5">
      <w:pPr>
        <w:snapToGrid w:val="0"/>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平等对待内外资企业和符合条件的破产重整企业，切实保障企业公平竞争，平等维护企业的合法利益。</w:t>
      </w:r>
      <w:r>
        <w:rPr>
          <w:rFonts w:hint="eastAsia" w:ascii="宋体" w:hAnsi="宋体" w:cs="宋体"/>
          <w:color w:val="auto"/>
          <w:sz w:val="24"/>
          <w:highlight w:val="none"/>
        </w:rPr>
        <w:cr/>
      </w:r>
      <w:r>
        <w:rPr>
          <w:rFonts w:hint="eastAsia" w:ascii="宋体" w:hAnsi="宋体" w:cs="宋体"/>
          <w:b/>
          <w:color w:val="auto"/>
          <w:sz w:val="24"/>
          <w:highlight w:val="none"/>
        </w:rPr>
        <w:t>4. 询问、质疑、投诉</w:t>
      </w:r>
    </w:p>
    <w:p w14:paraId="4BD54B31">
      <w:pPr>
        <w:pStyle w:val="889"/>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4.1在线询问、质疑、投诉</w:t>
      </w:r>
    </w:p>
    <w:p w14:paraId="5DEC79FF">
      <w:pPr>
        <w:pStyle w:val="889"/>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18BD59E4">
      <w:pPr>
        <w:autoSpaceDE w:val="0"/>
        <w:autoSpaceDN w:val="0"/>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4.2供应商询问</w:t>
      </w:r>
    </w:p>
    <w:p w14:paraId="15AD8286">
      <w:pPr>
        <w:autoSpaceDE w:val="0"/>
        <w:autoSpaceDN w:val="0"/>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3BBD6535">
      <w:pPr>
        <w:autoSpaceDE w:val="0"/>
        <w:autoSpaceDN w:val="0"/>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4.3供应商质疑</w:t>
      </w:r>
    </w:p>
    <w:p w14:paraId="4939CB6B">
      <w:pPr>
        <w:pStyle w:val="33"/>
        <w:snapToGrid w:val="0"/>
        <w:spacing w:line="360" w:lineRule="auto"/>
        <w:ind w:firstLine="480" w:firstLineChars="200"/>
        <w:rPr>
          <w:rFonts w:hAnsi="宋体" w:cs="宋体"/>
          <w:color w:val="auto"/>
          <w:sz w:val="24"/>
          <w:highlight w:val="none"/>
        </w:rPr>
      </w:pPr>
      <w:r>
        <w:rPr>
          <w:rFonts w:hint="eastAsia" w:hAnsi="宋体" w:cs="宋体"/>
          <w:color w:val="auto"/>
          <w:kern w:val="0"/>
          <w:sz w:val="24"/>
          <w:highlight w:val="none"/>
          <w:lang w:val="zh-CN"/>
        </w:rPr>
        <w:t>4.3</w:t>
      </w:r>
      <w:r>
        <w:rPr>
          <w:rFonts w:hint="eastAsia" w:hAnsi="宋体" w:cs="宋体"/>
          <w:color w:val="auto"/>
          <w:sz w:val="24"/>
          <w:highlight w:val="none"/>
        </w:rPr>
        <w:t>.1提出质疑的供应商应当是参与所质疑项目采购活动的供应商。潜在供应商已依法获取其可质疑的采购文件的，可以对该文件提出质疑。</w:t>
      </w:r>
    </w:p>
    <w:p w14:paraId="551D448C">
      <w:pPr>
        <w:pStyle w:val="33"/>
        <w:snapToGrid w:val="0"/>
        <w:spacing w:line="360" w:lineRule="auto"/>
        <w:ind w:firstLine="480" w:firstLineChars="200"/>
        <w:rPr>
          <w:rFonts w:hAnsi="宋体" w:cs="宋体"/>
          <w:color w:val="auto"/>
          <w:sz w:val="24"/>
          <w:highlight w:val="none"/>
        </w:rPr>
      </w:pPr>
      <w:r>
        <w:rPr>
          <w:rFonts w:hint="eastAsia" w:hAnsi="宋体" w:cs="宋体"/>
          <w:color w:val="auto"/>
          <w:kern w:val="0"/>
          <w:sz w:val="24"/>
          <w:highlight w:val="none"/>
          <w:lang w:val="zh-CN"/>
        </w:rPr>
        <w:t>4.3</w:t>
      </w:r>
      <w:r>
        <w:rPr>
          <w:rFonts w:hint="eastAsia" w:hAnsi="宋体" w:cs="宋体"/>
          <w:color w:val="auto"/>
          <w:sz w:val="24"/>
          <w:highlight w:val="none"/>
        </w:rPr>
        <w:t>.2供应商认为采购文件、采购过程和成交结果使自己的权益受到损害的，可以在知道或者应知其权益受到损害之日起七个工作日内，以书面形式向采购人或者采购机构提出质疑，否则，采购人或者采购机构不予受理：</w:t>
      </w:r>
    </w:p>
    <w:p w14:paraId="3FF2713B">
      <w:pPr>
        <w:pStyle w:val="5"/>
        <w:spacing w:line="360" w:lineRule="auto"/>
        <w:ind w:firstLine="480" w:firstLineChars="200"/>
        <w:rPr>
          <w:rFonts w:hAnsi="宋体" w:cs="宋体"/>
          <w:snapToGrid/>
          <w:color w:val="auto"/>
          <w:kern w:val="2"/>
          <w:sz w:val="24"/>
          <w:highlight w:val="none"/>
        </w:rPr>
      </w:pPr>
      <w:r>
        <w:rPr>
          <w:rFonts w:hint="eastAsia" w:hAnsi="宋体" w:cs="宋体"/>
          <w:snapToGrid/>
          <w:color w:val="auto"/>
          <w:kern w:val="2"/>
          <w:sz w:val="24"/>
          <w:highlight w:val="none"/>
        </w:rPr>
        <w:t>4.3.2.1对采购文件提出质疑的，质疑期限为供应商获得采购文件之日或者采购文件公告期限届满之日起计算。</w:t>
      </w:r>
    </w:p>
    <w:p w14:paraId="0A7D4FF1">
      <w:pPr>
        <w:pStyle w:val="33"/>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4.3.2.2对采购过程提出质疑的，质疑期限为各采购程序环节结束之日起计算。</w:t>
      </w:r>
    </w:p>
    <w:p w14:paraId="666C4434">
      <w:pPr>
        <w:pStyle w:val="33"/>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4.3.2.3对采购结果提出质疑的，质疑期限自采购结果公告期限届满之日起计算。</w:t>
      </w:r>
    </w:p>
    <w:p w14:paraId="1E028622">
      <w:pPr>
        <w:pStyle w:val="33"/>
        <w:snapToGrid w:val="0"/>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4.3.3</w:t>
      </w:r>
      <w:r>
        <w:rPr>
          <w:rFonts w:hint="eastAsia" w:hAnsi="宋体" w:cs="宋体"/>
          <w:color w:val="auto"/>
          <w:sz w:val="24"/>
          <w:highlight w:val="none"/>
        </w:rPr>
        <w:t>供应商提出质疑应当提交质疑函和必要的证明材料。质疑函应当包括下列内容：</w:t>
      </w:r>
    </w:p>
    <w:p w14:paraId="25E194D7">
      <w:pPr>
        <w:pStyle w:val="33"/>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4.3.3.1供应商的姓名或者名称、地址、邮编、联系人及联系电话；</w:t>
      </w:r>
    </w:p>
    <w:p w14:paraId="38A5B7ED">
      <w:pPr>
        <w:pStyle w:val="33"/>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4.3.3.2质疑项目的名称、编号；</w:t>
      </w:r>
    </w:p>
    <w:p w14:paraId="3A4B95E3">
      <w:pPr>
        <w:pStyle w:val="33"/>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4.3.3.3具体、明确的质疑事项和与质疑事项相关的请求；</w:t>
      </w:r>
    </w:p>
    <w:p w14:paraId="24DD59E8">
      <w:pPr>
        <w:pStyle w:val="33"/>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4.3.3.4事实依据；</w:t>
      </w:r>
    </w:p>
    <w:p w14:paraId="49199CD9">
      <w:pPr>
        <w:pStyle w:val="33"/>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4.3.3.5必要的法律依据；</w:t>
      </w:r>
    </w:p>
    <w:p w14:paraId="731AB0BC">
      <w:pPr>
        <w:pStyle w:val="33"/>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4.3.3.6提出质疑的日期。</w:t>
      </w:r>
    </w:p>
    <w:p w14:paraId="1913FF03">
      <w:pPr>
        <w:pStyle w:val="889"/>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供应商提交的质疑函需一式三份。供应商为自然人的，应当由本人签字；供应商为法人或者其他组织的，应当由法定代表人、主要负责人，或者其授权代表签字或者盖章，并加盖公章。</w:t>
      </w:r>
    </w:p>
    <w:p w14:paraId="4793EF29">
      <w:pPr>
        <w:pStyle w:val="889"/>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质疑函范本及制作说明详见附件2。</w:t>
      </w:r>
    </w:p>
    <w:p w14:paraId="260ED6CE">
      <w:pPr>
        <w:pStyle w:val="889"/>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4.3.4对同一采购程序环节的质疑，供应商须在法定质疑期内一次性提出。</w:t>
      </w:r>
    </w:p>
    <w:p w14:paraId="760B08F6">
      <w:pPr>
        <w:pStyle w:val="889"/>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lang w:val="zh-CN"/>
        </w:rPr>
        <w:t>4.3</w:t>
      </w:r>
      <w:r>
        <w:rPr>
          <w:rFonts w:hint="eastAsia"/>
          <w:color w:val="auto"/>
          <w:highlight w:val="none"/>
        </w:rPr>
        <w:t>.5采购人或者采购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机构在质疑回复后5个工作日内，在浙江政府采购网的“其他公告”栏目公开质疑答复，答复内容应当完整。质疑函作为附件上传。</w:t>
      </w:r>
    </w:p>
    <w:p w14:paraId="406342EF">
      <w:pPr>
        <w:pStyle w:val="889"/>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lang w:val="zh-CN"/>
        </w:rPr>
        <w:t>4.3</w:t>
      </w:r>
      <w:r>
        <w:rPr>
          <w:rFonts w:hint="eastAsia"/>
          <w:color w:val="auto"/>
          <w:highlight w:val="none"/>
        </w:rPr>
        <w:t>.6询问或者质疑事项可能影响采购结果的，采购人应当暂停签订合同，已经签订合同的，应当中止履行合同。</w:t>
      </w:r>
    </w:p>
    <w:p w14:paraId="386F3F39">
      <w:pPr>
        <w:pStyle w:val="889"/>
        <w:shd w:val="clear" w:color="auto" w:fill="FFFFFF"/>
        <w:adjustRightInd w:val="0"/>
        <w:snapToGrid w:val="0"/>
        <w:spacing w:before="0" w:beforeAutospacing="0" w:after="0" w:afterAutospacing="0" w:line="360" w:lineRule="auto"/>
        <w:ind w:firstLine="480" w:firstLineChars="200"/>
        <w:contextualSpacing/>
        <w:rPr>
          <w:color w:val="auto"/>
          <w:highlight w:val="none"/>
          <w:lang w:val="zh-CN"/>
        </w:rPr>
      </w:pPr>
      <w:r>
        <w:rPr>
          <w:rFonts w:hint="eastAsia"/>
          <w:color w:val="auto"/>
          <w:highlight w:val="none"/>
          <w:lang w:val="zh-CN"/>
        </w:rPr>
        <w:t>4.4供应商投诉</w:t>
      </w:r>
    </w:p>
    <w:p w14:paraId="0D970833">
      <w:pPr>
        <w:pStyle w:val="889"/>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4.4.1质疑供应商对采购人、采购机构的答复不满意或者采购人、采购机构未在规定的时间内作出答复的，可以在答复期满后十五个工作日内向同级政府采购监督管理部门提出投诉。</w:t>
      </w:r>
    </w:p>
    <w:p w14:paraId="74D5159E">
      <w:pPr>
        <w:pStyle w:val="889"/>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w:t>
      </w:r>
      <w:r>
        <w:rPr>
          <w:rFonts w:hint="eastAsia"/>
          <w:color w:val="auto"/>
          <w:highlight w:val="none"/>
          <w:lang w:val="zh-CN"/>
        </w:rPr>
        <w:t>2</w:t>
      </w:r>
      <w:r>
        <w:rPr>
          <w:rFonts w:hint="eastAsia"/>
          <w:color w:val="auto"/>
          <w:highlight w:val="none"/>
        </w:rPr>
        <w:t>供应商投诉的事项不得超出已质疑事项的范围，基于质疑答复内容提出的投诉事项除外。</w:t>
      </w:r>
    </w:p>
    <w:p w14:paraId="1EFDE36F">
      <w:pPr>
        <w:pStyle w:val="889"/>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4.4.3供应商投诉应当有明确的请求和必要的证明材料。</w:t>
      </w:r>
    </w:p>
    <w:p w14:paraId="0E8F0046">
      <w:pPr>
        <w:pStyle w:val="889"/>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4.4.4以联合体形式参加政府采购活动的，其投诉应当由组成联合体的所有供应商共同提出。</w:t>
      </w:r>
    </w:p>
    <w:p w14:paraId="4EED42E8">
      <w:pPr>
        <w:pStyle w:val="889"/>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asciiTheme="minorEastAsia" w:hAnsiTheme="minorEastAsia" w:eastAsiaTheme="minorEastAsia"/>
          <w:color w:val="auto"/>
          <w:highlight w:val="none"/>
        </w:rPr>
        <w:t>4.5.5浙江省本级、杭州市本级、拱墅区、富阳区政府采购项目投诉材料可寄送浙江省政府采购行政裁决服务中心（杭州），地址：杭州市上城区四季青街道新业路市民之家G03办公室，收件人：朱女士，电话：15121014815</w:t>
      </w:r>
    </w:p>
    <w:p w14:paraId="3E9CB730">
      <w:pPr>
        <w:pStyle w:val="889"/>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投诉书范本及制作说明详见附件3。</w:t>
      </w:r>
    </w:p>
    <w:p w14:paraId="264F04A1">
      <w:pPr>
        <w:pStyle w:val="132"/>
        <w:snapToGrid w:val="0"/>
        <w:spacing w:before="0"/>
        <w:ind w:firstLine="360"/>
        <w:rPr>
          <w:rFonts w:ascii="宋体" w:hAnsi="宋体" w:cs="宋体"/>
          <w:color w:val="auto"/>
          <w:sz w:val="18"/>
          <w:szCs w:val="18"/>
          <w:highlight w:val="none"/>
        </w:rPr>
      </w:pPr>
    </w:p>
    <w:p w14:paraId="3841D183">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二、采购文件的构成、澄清、修改</w:t>
      </w:r>
    </w:p>
    <w:p w14:paraId="3ED854BD">
      <w:pPr>
        <w:pStyle w:val="33"/>
        <w:spacing w:line="360" w:lineRule="auto"/>
        <w:rPr>
          <w:rFonts w:hAnsi="宋体" w:cs="宋体"/>
          <w:b/>
          <w:color w:val="auto"/>
          <w:sz w:val="24"/>
          <w:szCs w:val="24"/>
          <w:highlight w:val="none"/>
        </w:rPr>
      </w:pPr>
      <w:r>
        <w:rPr>
          <w:rFonts w:hint="eastAsia" w:hAnsi="宋体" w:cs="宋体"/>
          <w:b/>
          <w:color w:val="auto"/>
          <w:sz w:val="24"/>
          <w:szCs w:val="24"/>
          <w:highlight w:val="none"/>
        </w:rPr>
        <w:t>5．采购文件的构成</w:t>
      </w:r>
    </w:p>
    <w:p w14:paraId="7EA4FFC6">
      <w:pPr>
        <w:pStyle w:val="33"/>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5.1 采购文件包括下列文件及附件：</w:t>
      </w:r>
    </w:p>
    <w:p w14:paraId="057B680B">
      <w:pPr>
        <w:pStyle w:val="33"/>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5.1.1竞争性磋商公告；</w:t>
      </w:r>
    </w:p>
    <w:p w14:paraId="335041E2">
      <w:pPr>
        <w:pStyle w:val="33"/>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5.1.2供应商须知；</w:t>
      </w:r>
    </w:p>
    <w:p w14:paraId="41091CC4">
      <w:pPr>
        <w:pStyle w:val="33"/>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5.1.3采购需求；</w:t>
      </w:r>
    </w:p>
    <w:p w14:paraId="04DF5328">
      <w:pPr>
        <w:pStyle w:val="33"/>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5.1.4评审办法；</w:t>
      </w:r>
    </w:p>
    <w:p w14:paraId="4E4B6396">
      <w:pPr>
        <w:pStyle w:val="33"/>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5.1.5拟签订的合同文本；</w:t>
      </w:r>
    </w:p>
    <w:p w14:paraId="2EC34358">
      <w:pPr>
        <w:pStyle w:val="33"/>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highlight w:val="none"/>
        </w:rPr>
        <w:t>5.1.6</w:t>
      </w:r>
      <w:r>
        <w:rPr>
          <w:rFonts w:hint="eastAsia" w:hAnsi="宋体" w:cs="宋体"/>
          <w:color w:val="auto"/>
          <w:sz w:val="24"/>
          <w:szCs w:val="24"/>
          <w:highlight w:val="none"/>
        </w:rPr>
        <w:t>应提交的有关格式范例。</w:t>
      </w:r>
    </w:p>
    <w:p w14:paraId="68CF413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5.2与本项目有关的</w:t>
      </w:r>
      <w:r>
        <w:rPr>
          <w:rFonts w:hint="eastAsia" w:ascii="宋体" w:hAnsi="宋体" w:cs="宋体"/>
          <w:bCs/>
          <w:color w:val="auto"/>
          <w:sz w:val="24"/>
          <w:highlight w:val="none"/>
        </w:rPr>
        <w:t>澄清或者修改的内容为采购文件的组成部分</w:t>
      </w:r>
      <w:r>
        <w:rPr>
          <w:rFonts w:hint="eastAsia" w:ascii="宋体" w:hAnsi="宋体" w:cs="宋体"/>
          <w:color w:val="auto"/>
          <w:sz w:val="24"/>
          <w:highlight w:val="none"/>
        </w:rPr>
        <w:t>。</w:t>
      </w:r>
    </w:p>
    <w:p w14:paraId="32C6DF6C">
      <w:pPr>
        <w:pStyle w:val="33"/>
        <w:spacing w:line="360" w:lineRule="auto"/>
        <w:rPr>
          <w:rFonts w:hAnsi="宋体" w:cs="宋体"/>
          <w:b/>
          <w:color w:val="auto"/>
          <w:sz w:val="24"/>
          <w:szCs w:val="24"/>
          <w:highlight w:val="none"/>
        </w:rPr>
      </w:pPr>
      <w:r>
        <w:rPr>
          <w:rFonts w:hint="eastAsia" w:hAnsi="宋体" w:cs="宋体"/>
          <w:b/>
          <w:color w:val="auto"/>
          <w:sz w:val="24"/>
          <w:szCs w:val="24"/>
          <w:highlight w:val="none"/>
        </w:rPr>
        <w:t>6. 采购文件的澄清、修改</w:t>
      </w:r>
    </w:p>
    <w:p w14:paraId="22A5918C">
      <w:pPr>
        <w:pStyle w:val="132"/>
        <w:snapToGrid w:val="0"/>
        <w:spacing w:before="0"/>
        <w:ind w:firstLine="480"/>
        <w:rPr>
          <w:rFonts w:ascii="宋体" w:hAnsi="宋体" w:cs="宋体"/>
          <w:color w:val="auto"/>
          <w:highlight w:val="none"/>
        </w:rPr>
      </w:pPr>
      <w:r>
        <w:rPr>
          <w:rFonts w:hint="eastAsia" w:ascii="宋体" w:hAnsi="宋体" w:cs="宋体"/>
          <w:color w:val="auto"/>
          <w:highlight w:val="none"/>
        </w:rPr>
        <w:t>6.1已获取采购文件的潜在供应商，若有问题需要澄清，应于响应文件提交（上传）截止时间前，以书面形式向采购机构提出。</w:t>
      </w:r>
    </w:p>
    <w:p w14:paraId="5B95F507">
      <w:pPr>
        <w:pStyle w:val="132"/>
        <w:snapToGrid w:val="0"/>
        <w:spacing w:before="0"/>
        <w:ind w:firstLine="480"/>
        <w:rPr>
          <w:rFonts w:ascii="宋体" w:hAnsi="宋体" w:cs="宋体"/>
          <w:color w:val="auto"/>
          <w:highlight w:val="none"/>
        </w:rPr>
      </w:pPr>
      <w:r>
        <w:rPr>
          <w:rFonts w:hint="eastAsia" w:ascii="宋体" w:hAnsi="宋体" w:cs="宋体"/>
          <w:color w:val="auto"/>
          <w:highlight w:val="none"/>
        </w:rPr>
        <w:t>6.2 采购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586BB562">
      <w:pPr>
        <w:pStyle w:val="23"/>
        <w:rPr>
          <w:rFonts w:hAnsi="宋体" w:cs="宋体"/>
          <w:color w:val="auto"/>
          <w:sz w:val="18"/>
          <w:szCs w:val="18"/>
          <w:highlight w:val="none"/>
          <w:lang w:val="en-US"/>
        </w:rPr>
      </w:pPr>
    </w:p>
    <w:p w14:paraId="3EFC5E3D">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三、提交响应文件</w:t>
      </w:r>
    </w:p>
    <w:p w14:paraId="4B83CC34">
      <w:pPr>
        <w:pStyle w:val="33"/>
        <w:spacing w:line="360" w:lineRule="auto"/>
        <w:rPr>
          <w:rFonts w:hAnsi="宋体" w:cs="宋体"/>
          <w:b/>
          <w:color w:val="auto"/>
          <w:sz w:val="24"/>
          <w:szCs w:val="24"/>
          <w:highlight w:val="none"/>
        </w:rPr>
      </w:pPr>
      <w:r>
        <w:rPr>
          <w:rFonts w:hint="eastAsia" w:hAnsi="宋体" w:cs="宋体"/>
          <w:b/>
          <w:color w:val="auto"/>
          <w:sz w:val="24"/>
          <w:szCs w:val="24"/>
          <w:highlight w:val="none"/>
        </w:rPr>
        <w:t>7. 采购文件的获取</w:t>
      </w:r>
    </w:p>
    <w:p w14:paraId="7AA8FA6D">
      <w:pPr>
        <w:spacing w:line="360" w:lineRule="auto"/>
        <w:ind w:firstLine="480" w:firstLineChars="200"/>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详见竞争性磋商公告中获取采购文件的时间期限、地点、方式及采购文件售价。</w:t>
      </w:r>
    </w:p>
    <w:p w14:paraId="48FA39F6">
      <w:pPr>
        <w:pStyle w:val="33"/>
        <w:spacing w:line="360" w:lineRule="auto"/>
        <w:rPr>
          <w:rFonts w:hAnsi="宋体" w:cs="宋体"/>
          <w:b/>
          <w:color w:val="auto"/>
          <w:sz w:val="24"/>
          <w:szCs w:val="24"/>
          <w:highlight w:val="none"/>
        </w:rPr>
      </w:pPr>
      <w:r>
        <w:rPr>
          <w:rFonts w:hint="eastAsia" w:hAnsi="宋体" w:cs="宋体"/>
          <w:b/>
          <w:color w:val="auto"/>
          <w:sz w:val="24"/>
          <w:szCs w:val="24"/>
          <w:highlight w:val="none"/>
        </w:rPr>
        <w:t>8.磋商前答疑会或现场考察</w:t>
      </w:r>
    </w:p>
    <w:p w14:paraId="5AC49AC9">
      <w:pPr>
        <w:pStyle w:val="33"/>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采购人组织潜在供应商现场考察或者召开磋商前答疑会的，潜在供应商按第二部分供应商须知前附表的规定参加现场考察或者磋商前答疑会。</w:t>
      </w:r>
    </w:p>
    <w:p w14:paraId="3CC0BDE6">
      <w:pPr>
        <w:pStyle w:val="33"/>
        <w:spacing w:line="360" w:lineRule="auto"/>
        <w:rPr>
          <w:rFonts w:hAnsi="宋体" w:cs="宋体"/>
          <w:b/>
          <w:color w:val="auto"/>
          <w:szCs w:val="24"/>
          <w:highlight w:val="none"/>
        </w:rPr>
      </w:pPr>
      <w:r>
        <w:rPr>
          <w:rFonts w:hint="eastAsia" w:hAnsi="宋体" w:cs="宋体"/>
          <w:b/>
          <w:color w:val="auto"/>
          <w:kern w:val="28"/>
          <w:sz w:val="24"/>
          <w:szCs w:val="24"/>
          <w:highlight w:val="none"/>
        </w:rPr>
        <w:t>9.磋商保证金</w:t>
      </w:r>
    </w:p>
    <w:p w14:paraId="1A8FC0AE">
      <w:pPr>
        <w:pStyle w:val="5"/>
        <w:spacing w:line="360" w:lineRule="auto"/>
        <w:ind w:firstLine="470" w:firstLineChars="196"/>
        <w:rPr>
          <w:rFonts w:hAnsi="宋体" w:cs="宋体"/>
          <w:color w:val="auto"/>
          <w:sz w:val="24"/>
          <w:highlight w:val="none"/>
        </w:rPr>
      </w:pPr>
      <w:r>
        <w:rPr>
          <w:rFonts w:hint="eastAsia" w:hAnsi="宋体" w:cs="宋体"/>
          <w:color w:val="auto"/>
          <w:sz w:val="24"/>
          <w:highlight w:val="none"/>
        </w:rPr>
        <w:t>本项目不需缴纳磋商保证金。</w:t>
      </w:r>
    </w:p>
    <w:p w14:paraId="780B87F2">
      <w:pPr>
        <w:pStyle w:val="33"/>
        <w:spacing w:line="360" w:lineRule="auto"/>
        <w:rPr>
          <w:rFonts w:hAnsi="宋体" w:cs="宋体"/>
          <w:b/>
          <w:color w:val="auto"/>
          <w:sz w:val="24"/>
          <w:szCs w:val="24"/>
          <w:highlight w:val="none"/>
        </w:rPr>
      </w:pPr>
      <w:r>
        <w:rPr>
          <w:rFonts w:hint="eastAsia" w:hAnsi="宋体" w:cs="宋体"/>
          <w:b/>
          <w:color w:val="auto"/>
          <w:sz w:val="24"/>
          <w:szCs w:val="24"/>
          <w:highlight w:val="none"/>
        </w:rPr>
        <w:t>10. 响应文件的语言</w:t>
      </w:r>
    </w:p>
    <w:p w14:paraId="7188DB67">
      <w:pPr>
        <w:autoSpaceDE w:val="0"/>
        <w:autoSpaceDN w:val="0"/>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响应文件及供应商与采购有关的来往通知、函件和文件均应使用中文。</w:t>
      </w:r>
    </w:p>
    <w:p w14:paraId="2673DCFB">
      <w:pPr>
        <w:pStyle w:val="33"/>
        <w:spacing w:line="360" w:lineRule="auto"/>
        <w:rPr>
          <w:rFonts w:hAnsi="宋体" w:cs="宋体"/>
          <w:b/>
          <w:color w:val="auto"/>
          <w:sz w:val="24"/>
          <w:szCs w:val="24"/>
          <w:highlight w:val="none"/>
        </w:rPr>
      </w:pPr>
      <w:r>
        <w:rPr>
          <w:rFonts w:hint="eastAsia" w:hAnsi="宋体" w:cs="宋体"/>
          <w:b/>
          <w:color w:val="auto"/>
          <w:sz w:val="24"/>
          <w:szCs w:val="24"/>
          <w:highlight w:val="none"/>
        </w:rPr>
        <w:t>11. 响应文件的组成</w:t>
      </w:r>
    </w:p>
    <w:p w14:paraId="6572A36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11.1</w:t>
      </w:r>
      <w:r>
        <w:rPr>
          <w:rFonts w:hint="eastAsia" w:ascii="宋体" w:hAnsi="宋体" w:cs="宋体"/>
          <w:b/>
          <w:color w:val="auto"/>
          <w:sz w:val="24"/>
          <w:highlight w:val="none"/>
        </w:rPr>
        <w:t>资格文件</w:t>
      </w:r>
      <w:r>
        <w:rPr>
          <w:rFonts w:hint="eastAsia" w:ascii="宋体" w:hAnsi="宋体" w:cs="宋体"/>
          <w:color w:val="auto"/>
          <w:sz w:val="24"/>
          <w:highlight w:val="none"/>
        </w:rPr>
        <w:t>：</w:t>
      </w:r>
    </w:p>
    <w:p w14:paraId="097FFCED">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11.1.1符合参加政府采购活动应当具备的一般条件的承诺函；</w:t>
      </w:r>
    </w:p>
    <w:p w14:paraId="5FDEE8EB">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1.1.2</w:t>
      </w:r>
      <w:bookmarkStart w:id="16" w:name="_Hlk101259339"/>
      <w:r>
        <w:rPr>
          <w:rFonts w:hint="eastAsia" w:ascii="宋体" w:hAnsi="宋体" w:cs="宋体"/>
          <w:snapToGrid w:val="0"/>
          <w:color w:val="auto"/>
          <w:kern w:val="28"/>
          <w:sz w:val="24"/>
          <w:szCs w:val="20"/>
          <w:highlight w:val="none"/>
        </w:rPr>
        <w:t>联合协议</w:t>
      </w:r>
      <w:bookmarkStart w:id="17" w:name="_Hlk101257010"/>
      <w:r>
        <w:rPr>
          <w:rFonts w:hint="eastAsia" w:ascii="宋体" w:hAnsi="宋体" w:cs="宋体"/>
          <w:snapToGrid w:val="0"/>
          <w:color w:val="auto"/>
          <w:kern w:val="28"/>
          <w:sz w:val="24"/>
          <w:szCs w:val="20"/>
          <w:highlight w:val="none"/>
        </w:rPr>
        <w:t>（如果有)</w:t>
      </w:r>
      <w:bookmarkEnd w:id="16"/>
      <w:bookmarkEnd w:id="17"/>
      <w:r>
        <w:rPr>
          <w:rFonts w:hint="eastAsia" w:ascii="宋体" w:hAnsi="宋体" w:cs="宋体"/>
          <w:snapToGrid w:val="0"/>
          <w:color w:val="auto"/>
          <w:kern w:val="28"/>
          <w:sz w:val="24"/>
          <w:szCs w:val="20"/>
          <w:highlight w:val="none"/>
        </w:rPr>
        <w:t>；</w:t>
      </w:r>
    </w:p>
    <w:p w14:paraId="13D3A9E1">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11.1.</w:t>
      </w:r>
      <w:r>
        <w:rPr>
          <w:rFonts w:ascii="宋体" w:hAnsi="宋体" w:cs="宋体"/>
          <w:color w:val="auto"/>
          <w:sz w:val="24"/>
          <w:highlight w:val="none"/>
        </w:rPr>
        <w:t>3</w:t>
      </w:r>
      <w:r>
        <w:rPr>
          <w:rFonts w:hint="eastAsia" w:ascii="宋体" w:hAnsi="宋体" w:cs="宋体"/>
          <w:color w:val="auto"/>
          <w:sz w:val="24"/>
          <w:highlight w:val="none"/>
        </w:rPr>
        <w:t>落实政府采购政策需满足的资格要求</w:t>
      </w:r>
      <w:r>
        <w:rPr>
          <w:rFonts w:hint="eastAsia" w:ascii="宋体" w:hAnsi="宋体" w:cs="宋体"/>
          <w:snapToGrid w:val="0"/>
          <w:color w:val="auto"/>
          <w:kern w:val="28"/>
          <w:sz w:val="24"/>
          <w:szCs w:val="20"/>
          <w:highlight w:val="none"/>
        </w:rPr>
        <w:t>（</w:t>
      </w:r>
      <w:r>
        <w:rPr>
          <w:rFonts w:hint="eastAsia" w:ascii="宋体" w:hAnsi="宋体" w:cs="宋体"/>
          <w:color w:val="auto"/>
          <w:sz w:val="24"/>
          <w:highlight w:val="none"/>
        </w:rPr>
        <w:t>中小企业声明函</w:t>
      </w:r>
      <w:r>
        <w:rPr>
          <w:rFonts w:hint="eastAsia" w:ascii="宋体" w:hAnsi="宋体" w:cs="宋体"/>
          <w:snapToGrid w:val="0"/>
          <w:color w:val="auto"/>
          <w:kern w:val="28"/>
          <w:sz w:val="24"/>
          <w:szCs w:val="20"/>
          <w:highlight w:val="none"/>
        </w:rPr>
        <w:t>)</w:t>
      </w:r>
      <w:r>
        <w:rPr>
          <w:rFonts w:hint="eastAsia" w:ascii="宋体" w:hAnsi="宋体" w:cs="宋体"/>
          <w:color w:val="auto"/>
          <w:sz w:val="24"/>
          <w:highlight w:val="none"/>
        </w:rPr>
        <w:t>；</w:t>
      </w:r>
    </w:p>
    <w:p w14:paraId="079C36FC">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11.1.</w:t>
      </w:r>
      <w:r>
        <w:rPr>
          <w:rFonts w:ascii="宋体" w:hAnsi="宋体" w:cs="宋体"/>
          <w:color w:val="auto"/>
          <w:sz w:val="24"/>
          <w:highlight w:val="none"/>
        </w:rPr>
        <w:t>4</w:t>
      </w:r>
      <w:r>
        <w:rPr>
          <w:rFonts w:hint="eastAsia" w:ascii="宋体" w:hAnsi="宋体" w:cs="宋体"/>
          <w:color w:val="auto"/>
          <w:sz w:val="24"/>
          <w:highlight w:val="none"/>
        </w:rPr>
        <w:t>本项目的特定资格要求</w:t>
      </w:r>
      <w:r>
        <w:rPr>
          <w:rFonts w:hint="eastAsia" w:ascii="宋体" w:hAnsi="宋体" w:cs="宋体"/>
          <w:snapToGrid w:val="0"/>
          <w:color w:val="auto"/>
          <w:kern w:val="28"/>
          <w:sz w:val="24"/>
          <w:szCs w:val="20"/>
          <w:highlight w:val="none"/>
        </w:rPr>
        <w:t>（如果有)</w:t>
      </w:r>
      <w:r>
        <w:rPr>
          <w:rFonts w:hint="eastAsia" w:ascii="宋体" w:hAnsi="宋体" w:cs="宋体"/>
          <w:color w:val="auto"/>
          <w:sz w:val="24"/>
          <w:highlight w:val="none"/>
        </w:rPr>
        <w:t>。</w:t>
      </w:r>
    </w:p>
    <w:p w14:paraId="571EC581">
      <w:pPr>
        <w:snapToGrid w:val="0"/>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11.</w:t>
      </w:r>
      <w:r>
        <w:rPr>
          <w:rFonts w:hint="eastAsia" w:ascii="宋体" w:hAnsi="宋体" w:cs="宋体"/>
          <w:color w:val="auto"/>
          <w:sz w:val="24"/>
          <w:highlight w:val="none"/>
        </w:rPr>
        <w:t>2</w:t>
      </w:r>
      <w:r>
        <w:rPr>
          <w:rFonts w:hint="eastAsia" w:ascii="宋体" w:hAnsi="宋体" w:cs="宋体"/>
          <w:color w:val="auto"/>
          <w:sz w:val="24"/>
          <w:highlight w:val="none"/>
          <w:lang w:val="zh-CN"/>
        </w:rPr>
        <w:t xml:space="preserve">  </w:t>
      </w:r>
      <w:r>
        <w:rPr>
          <w:rFonts w:hint="eastAsia" w:ascii="宋体" w:hAnsi="宋体" w:cs="宋体"/>
          <w:color w:val="auto"/>
          <w:sz w:val="24"/>
          <w:highlight w:val="none"/>
        </w:rPr>
        <w:t>商务技术</w:t>
      </w:r>
      <w:r>
        <w:rPr>
          <w:rFonts w:hint="eastAsia" w:ascii="宋体" w:hAnsi="宋体" w:cs="宋体"/>
          <w:color w:val="auto"/>
          <w:sz w:val="24"/>
          <w:highlight w:val="none"/>
          <w:lang w:val="zh-CN"/>
        </w:rPr>
        <w:t>文件：</w:t>
      </w:r>
    </w:p>
    <w:p w14:paraId="66FD3B7C">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11.2.1响应函；</w:t>
      </w:r>
      <w:r>
        <w:rPr>
          <w:rFonts w:hint="eastAsia" w:ascii="宋体" w:hAnsi="宋体" w:cs="宋体"/>
          <w:color w:val="auto"/>
          <w:sz w:val="24"/>
          <w:highlight w:val="none"/>
          <w:lang w:val="zh-CN"/>
        </w:rPr>
        <w:t xml:space="preserve"> </w:t>
      </w:r>
    </w:p>
    <w:p w14:paraId="7BA14095">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11.2.2授权委托书或法定代表人（单位负责人、自然人本人）身份证明；</w:t>
      </w:r>
    </w:p>
    <w:p w14:paraId="32A9E642">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11.2.3分包意向协议（如果有)；</w:t>
      </w:r>
    </w:p>
    <w:p w14:paraId="0B8E43D7">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11.2.4符合性审查资料；</w:t>
      </w:r>
    </w:p>
    <w:p w14:paraId="7EB0B3B7">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11.2.5评审标准相应的商务技术资料；</w:t>
      </w:r>
    </w:p>
    <w:p w14:paraId="62EDED15">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11.2.6商务技术偏离表；</w:t>
      </w:r>
    </w:p>
    <w:p w14:paraId="0BA71279">
      <w:pPr>
        <w:snapToGrid w:val="0"/>
        <w:spacing w:line="360" w:lineRule="auto"/>
        <w:ind w:firstLine="960" w:firstLineChars="400"/>
        <w:rPr>
          <w:rFonts w:ascii="宋体" w:hAnsi="宋体" w:cs="宋体"/>
          <w:color w:val="auto"/>
          <w:sz w:val="24"/>
          <w:highlight w:val="none"/>
          <w:lang w:val="zh-CN"/>
        </w:rPr>
      </w:pPr>
      <w:r>
        <w:rPr>
          <w:rFonts w:hint="eastAsia" w:ascii="宋体" w:hAnsi="宋体" w:cs="宋体"/>
          <w:color w:val="auto"/>
          <w:sz w:val="24"/>
          <w:highlight w:val="none"/>
          <w:lang w:val="zh-CN"/>
        </w:rPr>
        <w:t>11.</w:t>
      </w: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7</w:t>
      </w:r>
      <w:r>
        <w:rPr>
          <w:rFonts w:hint="eastAsia" w:ascii="宋体" w:hAnsi="宋体" w:cs="宋体"/>
          <w:color w:val="auto"/>
          <w:sz w:val="24"/>
          <w:highlight w:val="none"/>
          <w:lang w:val="zh-CN"/>
        </w:rPr>
        <w:t>政府采购供应商廉洁自律承诺书；</w:t>
      </w:r>
    </w:p>
    <w:p w14:paraId="4ACC1E48">
      <w:pPr>
        <w:snapToGrid w:val="0"/>
        <w:spacing w:line="360" w:lineRule="auto"/>
        <w:ind w:firstLine="480" w:firstLineChars="200"/>
        <w:rPr>
          <w:rFonts w:ascii="宋体" w:hAnsi="宋体" w:cs="宋体"/>
          <w:color w:val="auto"/>
          <w:sz w:val="24"/>
          <w:highlight w:val="none"/>
          <w:u w:val="single"/>
          <w:lang w:val="zh-CN"/>
        </w:rPr>
      </w:pPr>
      <w:r>
        <w:rPr>
          <w:rFonts w:hint="eastAsia" w:ascii="宋体" w:hAnsi="宋体" w:cs="宋体"/>
          <w:color w:val="auto"/>
          <w:kern w:val="0"/>
          <w:sz w:val="24"/>
          <w:highlight w:val="none"/>
          <w:lang w:val="zh-CN"/>
        </w:rPr>
        <w:t>11.</w:t>
      </w:r>
      <w:r>
        <w:rPr>
          <w:rFonts w:hint="eastAsia" w:ascii="宋体" w:hAnsi="宋体" w:cs="宋体"/>
          <w:color w:val="auto"/>
          <w:kern w:val="0"/>
          <w:sz w:val="24"/>
          <w:highlight w:val="none"/>
        </w:rPr>
        <w:t>3</w:t>
      </w:r>
      <w:r>
        <w:rPr>
          <w:rFonts w:hint="eastAsia" w:ascii="宋体" w:hAnsi="宋体" w:cs="宋体"/>
          <w:b/>
          <w:color w:val="auto"/>
          <w:sz w:val="24"/>
          <w:highlight w:val="none"/>
        </w:rPr>
        <w:t>报价文件：</w:t>
      </w:r>
      <w:r>
        <w:rPr>
          <w:rFonts w:hint="eastAsia" w:ascii="宋体" w:hAnsi="宋体" w:cs="宋体"/>
          <w:color w:val="auto"/>
          <w:sz w:val="24"/>
          <w:highlight w:val="none"/>
        </w:rPr>
        <w:t xml:space="preserve"> </w:t>
      </w:r>
    </w:p>
    <w:p w14:paraId="04C0BF0A">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11.3.1报价单；</w:t>
      </w:r>
    </w:p>
    <w:p w14:paraId="75EBFDC0">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11.3.2已标价工程量清单；</w:t>
      </w:r>
    </w:p>
    <w:p w14:paraId="1BF5DC91">
      <w:pPr>
        <w:spacing w:line="360" w:lineRule="auto"/>
        <w:ind w:firstLine="723" w:firstLineChars="300"/>
        <w:rPr>
          <w:rFonts w:ascii="宋体" w:hAnsi="宋体" w:cs="宋体"/>
          <w:b/>
          <w:color w:val="auto"/>
          <w:sz w:val="24"/>
          <w:highlight w:val="none"/>
        </w:rPr>
      </w:pPr>
      <w:r>
        <w:rPr>
          <w:rFonts w:hint="eastAsia" w:ascii="宋体" w:hAnsi="宋体" w:cs="宋体"/>
          <w:b/>
          <w:color w:val="auto"/>
          <w:sz w:val="24"/>
          <w:highlight w:val="none"/>
        </w:rPr>
        <w:t>响应文件含有采购人不能接受的附加条件的，响应文件无效；</w:t>
      </w:r>
    </w:p>
    <w:p w14:paraId="6EE49B83">
      <w:pPr>
        <w:spacing w:line="360" w:lineRule="auto"/>
        <w:ind w:firstLine="723" w:firstLineChars="300"/>
        <w:rPr>
          <w:rFonts w:ascii="宋体" w:hAnsi="宋体" w:cs="宋体"/>
          <w:b/>
          <w:color w:val="auto"/>
          <w:sz w:val="24"/>
          <w:szCs w:val="21"/>
          <w:highlight w:val="none"/>
        </w:rPr>
      </w:pPr>
      <w:r>
        <w:rPr>
          <w:rFonts w:hint="eastAsia" w:ascii="宋体" w:hAnsi="宋体" w:cs="宋体"/>
          <w:b/>
          <w:color w:val="auto"/>
          <w:sz w:val="24"/>
          <w:highlight w:val="none"/>
        </w:rPr>
        <w:t>供应商提供虚假材料的，响应文件无效。</w:t>
      </w:r>
    </w:p>
    <w:p w14:paraId="6E4BBD48">
      <w:pPr>
        <w:pStyle w:val="132"/>
        <w:snapToGrid w:val="0"/>
        <w:spacing w:before="0"/>
        <w:ind w:firstLine="0" w:firstLineChars="0"/>
        <w:outlineLvl w:val="0"/>
        <w:rPr>
          <w:rFonts w:ascii="宋体" w:hAnsi="宋体" w:cs="宋体"/>
          <w:b/>
          <w:color w:val="auto"/>
          <w:szCs w:val="24"/>
          <w:highlight w:val="none"/>
        </w:rPr>
      </w:pPr>
      <w:r>
        <w:rPr>
          <w:rFonts w:hint="eastAsia" w:ascii="宋体" w:hAnsi="宋体" w:cs="宋体"/>
          <w:b/>
          <w:color w:val="auto"/>
          <w:szCs w:val="24"/>
          <w:highlight w:val="none"/>
        </w:rPr>
        <w:t>12</w:t>
      </w:r>
      <w:r>
        <w:rPr>
          <w:rFonts w:hint="eastAsia" w:ascii="宋体" w:hAnsi="宋体" w:cs="宋体"/>
          <w:b/>
          <w:color w:val="auto"/>
          <w:kern w:val="0"/>
          <w:szCs w:val="24"/>
          <w:highlight w:val="none"/>
          <w:lang w:val="zh-CN"/>
        </w:rPr>
        <w:t xml:space="preserve">. </w:t>
      </w:r>
      <w:r>
        <w:rPr>
          <w:rFonts w:hint="eastAsia" w:ascii="宋体" w:hAnsi="宋体" w:cs="宋体"/>
          <w:b/>
          <w:color w:val="auto"/>
          <w:szCs w:val="24"/>
          <w:highlight w:val="none"/>
        </w:rPr>
        <w:t>响应文件的编制</w:t>
      </w:r>
    </w:p>
    <w:p w14:paraId="11248FC1">
      <w:pPr>
        <w:spacing w:line="360" w:lineRule="auto"/>
        <w:ind w:firstLine="480" w:firstLineChars="200"/>
        <w:rPr>
          <w:rFonts w:ascii="宋体" w:hAnsi="宋体" w:cs="宋体"/>
          <w:b/>
          <w:color w:val="auto"/>
          <w:sz w:val="24"/>
          <w:highlight w:val="none"/>
        </w:rPr>
      </w:pPr>
      <w:r>
        <w:rPr>
          <w:rFonts w:hint="eastAsia" w:ascii="宋体" w:hAnsi="宋体" w:cs="宋体"/>
          <w:color w:val="auto"/>
          <w:kern w:val="0"/>
          <w:sz w:val="24"/>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56A7C37C">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3BE65F3F">
      <w:pPr>
        <w:snapToGrid w:val="0"/>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12.3使用“政采云电子交易客户端”需要提前申领CA数字证书，申领流程请自行前往“浙江政府采购网-下载专区-电子交易客户端-CA驱动和申领流程”进行查阅。</w:t>
      </w:r>
    </w:p>
    <w:p w14:paraId="699671FC">
      <w:pPr>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13.响应文件的签署、盖章</w:t>
      </w:r>
    </w:p>
    <w:p w14:paraId="1BD4BEDC">
      <w:pPr>
        <w:pStyle w:val="132"/>
        <w:snapToGrid w:val="0"/>
        <w:spacing w:before="0"/>
        <w:ind w:firstLine="480"/>
        <w:rPr>
          <w:rFonts w:ascii="宋体" w:hAnsi="宋体" w:cs="宋体"/>
          <w:b/>
          <w:color w:val="auto"/>
          <w:highlight w:val="none"/>
        </w:rPr>
      </w:pPr>
      <w:r>
        <w:rPr>
          <w:rFonts w:hint="eastAsia" w:ascii="宋体" w:hAnsi="宋体" w:cs="宋体"/>
          <w:color w:val="auto"/>
          <w:szCs w:val="24"/>
          <w:highlight w:val="none"/>
        </w:rPr>
        <w:t>13.1响应文件按照采购文件第六部分格式要</w:t>
      </w:r>
      <w:r>
        <w:rPr>
          <w:rFonts w:hint="eastAsia" w:ascii="宋体" w:hAnsi="宋体" w:cs="宋体"/>
          <w:color w:val="auto"/>
          <w:highlight w:val="none"/>
        </w:rPr>
        <w:t>求进行签署、盖章。</w:t>
      </w:r>
      <w:r>
        <w:rPr>
          <w:rFonts w:hint="eastAsia" w:ascii="宋体" w:hAnsi="宋体" w:cs="宋体"/>
          <w:b/>
          <w:color w:val="auto"/>
          <w:highlight w:val="none"/>
        </w:rPr>
        <w:t>▲供应商的响应文件未按照采购文件要求签署、盖章的，其响应文件无效</w:t>
      </w:r>
      <w:r>
        <w:rPr>
          <w:rFonts w:hint="eastAsia" w:ascii="宋体" w:hAnsi="宋体" w:cs="宋体"/>
          <w:color w:val="auto"/>
          <w:szCs w:val="24"/>
          <w:highlight w:val="none"/>
        </w:rPr>
        <w:t>。</w:t>
      </w:r>
    </w:p>
    <w:p w14:paraId="45E5B9FE">
      <w:pPr>
        <w:pStyle w:val="132"/>
        <w:snapToGrid w:val="0"/>
        <w:spacing w:before="0"/>
        <w:ind w:firstLine="480"/>
        <w:rPr>
          <w:rFonts w:ascii="宋体" w:hAnsi="宋体" w:cs="宋体"/>
          <w:color w:val="auto"/>
          <w:highlight w:val="none"/>
        </w:rPr>
      </w:pPr>
      <w:r>
        <w:rPr>
          <w:rFonts w:hint="eastAsia" w:ascii="宋体" w:hAnsi="宋体" w:cs="宋体"/>
          <w:color w:val="auto"/>
          <w:highlight w:val="none"/>
        </w:rPr>
        <w:t>13.2为确保网上操作合法、有效和安全，供应商应当在响应文件提交（上传）截止时间前完成在“政府采购云平台”的身份认证，确保在电子投标过程中能够对相关数据电文进行加密和使用电子签名。</w:t>
      </w:r>
    </w:p>
    <w:p w14:paraId="017EB7E8">
      <w:pPr>
        <w:pStyle w:val="132"/>
        <w:snapToGrid w:val="0"/>
        <w:spacing w:before="0"/>
        <w:ind w:firstLine="480"/>
        <w:rPr>
          <w:rFonts w:ascii="宋体" w:hAnsi="宋体" w:cs="宋体"/>
          <w:color w:val="auto"/>
          <w:szCs w:val="24"/>
          <w:highlight w:val="none"/>
        </w:rPr>
      </w:pPr>
      <w:r>
        <w:rPr>
          <w:rFonts w:hint="eastAsia" w:ascii="宋体" w:hAnsi="宋体" w:cs="宋体"/>
          <w:color w:val="auto"/>
          <w:highlight w:val="none"/>
        </w:rPr>
        <w:t>13.3采购文件对响应文件签署、盖章的要求适用于电子签名。</w:t>
      </w:r>
    </w:p>
    <w:p w14:paraId="4D8BD7A1">
      <w:pPr>
        <w:pStyle w:val="132"/>
        <w:snapToGrid w:val="0"/>
        <w:spacing w:before="0"/>
        <w:ind w:firstLine="0" w:firstLineChars="0"/>
        <w:rPr>
          <w:rFonts w:ascii="宋体" w:hAnsi="宋体" w:cs="宋体"/>
          <w:b/>
          <w:color w:val="auto"/>
          <w:szCs w:val="24"/>
          <w:highlight w:val="none"/>
        </w:rPr>
      </w:pPr>
    </w:p>
    <w:p w14:paraId="44ABAE4E">
      <w:pPr>
        <w:pStyle w:val="132"/>
        <w:snapToGrid w:val="0"/>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14. 响应文件的提交、补充、修改、撤回</w:t>
      </w:r>
    </w:p>
    <w:p w14:paraId="7A6671A0">
      <w:pPr>
        <w:pStyle w:val="132"/>
        <w:snapToGrid w:val="0"/>
        <w:spacing w:before="0"/>
        <w:ind w:firstLine="480"/>
        <w:rPr>
          <w:rFonts w:ascii="宋体" w:hAnsi="宋体" w:cs="宋体"/>
          <w:color w:val="auto"/>
          <w:szCs w:val="24"/>
          <w:highlight w:val="none"/>
        </w:rPr>
      </w:pPr>
      <w:r>
        <w:rPr>
          <w:rFonts w:hint="eastAsia" w:ascii="宋体" w:hAnsi="宋体" w:cs="宋体"/>
          <w:color w:val="auto"/>
          <w:szCs w:val="24"/>
          <w:highlight w:val="none"/>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4E753477">
      <w:pPr>
        <w:pStyle w:val="132"/>
        <w:snapToGrid w:val="0"/>
        <w:spacing w:before="0"/>
        <w:ind w:firstLine="480"/>
        <w:rPr>
          <w:rFonts w:ascii="宋体" w:hAnsi="宋体" w:cs="宋体"/>
          <w:color w:val="auto"/>
          <w:szCs w:val="24"/>
          <w:highlight w:val="none"/>
        </w:rPr>
      </w:pPr>
      <w:r>
        <w:rPr>
          <w:rFonts w:hint="eastAsia" w:ascii="宋体" w:hAnsi="宋体" w:cs="宋体"/>
          <w:color w:val="auto"/>
          <w:szCs w:val="24"/>
          <w:highlight w:val="none"/>
        </w:rPr>
        <w:t>14.2电子交易平台收到响应文件，将妥善保存并即时向供应商发出确认回执通知。在响应文件提交（上传）截止时间前，除供应商补充、修改或者撤回响应文件外，任何单位和个人不得解密或提取响应文件。</w:t>
      </w:r>
    </w:p>
    <w:p w14:paraId="6C815D49">
      <w:pPr>
        <w:pStyle w:val="132"/>
        <w:snapToGrid w:val="0"/>
        <w:spacing w:before="0"/>
        <w:ind w:firstLine="480"/>
        <w:rPr>
          <w:rFonts w:ascii="宋体" w:hAnsi="宋体" w:cs="宋体"/>
          <w:color w:val="auto"/>
          <w:szCs w:val="24"/>
          <w:highlight w:val="none"/>
        </w:rPr>
      </w:pPr>
      <w:r>
        <w:rPr>
          <w:rFonts w:hint="eastAsia" w:ascii="宋体" w:hAnsi="宋体" w:cs="宋体"/>
          <w:color w:val="auto"/>
          <w:szCs w:val="24"/>
          <w:highlight w:val="none"/>
        </w:rPr>
        <w:t>14.3采购人、采购机构可以视情况延长响应文件提交的截止时间。在上述情况下，采购机构与供应商以前在响应文件提交截止时间方面的全部权利、责任和义务，将适用于延长至新的响应文件提交截止时间。</w:t>
      </w:r>
    </w:p>
    <w:p w14:paraId="15DF9FAE">
      <w:pPr>
        <w:pStyle w:val="33"/>
        <w:snapToGrid w:val="0"/>
        <w:spacing w:line="360" w:lineRule="auto"/>
        <w:rPr>
          <w:rFonts w:hAnsi="宋体" w:cs="宋体"/>
          <w:b/>
          <w:color w:val="auto"/>
          <w:sz w:val="24"/>
          <w:szCs w:val="24"/>
          <w:highlight w:val="none"/>
        </w:rPr>
      </w:pPr>
      <w:r>
        <w:rPr>
          <w:rFonts w:hint="eastAsia" w:hAnsi="宋体" w:cs="宋体"/>
          <w:b/>
          <w:color w:val="auto"/>
          <w:sz w:val="24"/>
          <w:szCs w:val="24"/>
          <w:highlight w:val="none"/>
        </w:rPr>
        <w:t>15.备份响应文件</w:t>
      </w:r>
    </w:p>
    <w:p w14:paraId="2EF995BC">
      <w:pPr>
        <w:pStyle w:val="33"/>
        <w:snapToGrid w:val="0"/>
        <w:spacing w:line="360" w:lineRule="auto"/>
        <w:ind w:firstLine="360" w:firstLineChars="150"/>
        <w:rPr>
          <w:rFonts w:hAnsi="宋体" w:cs="宋体"/>
          <w:b/>
          <w:color w:val="auto"/>
          <w:sz w:val="24"/>
          <w:szCs w:val="24"/>
          <w:highlight w:val="none"/>
        </w:rPr>
      </w:pPr>
      <w:r>
        <w:rPr>
          <w:rFonts w:hint="eastAsia" w:hAnsi="宋体" w:cs="宋体"/>
          <w:color w:val="auto"/>
          <w:sz w:val="24"/>
          <w:szCs w:val="24"/>
          <w:highlight w:val="none"/>
        </w:rPr>
        <w:t xml:space="preserve"> 15.1供应商在电子交易平台传输递交响应文件后，还可以在响应文件提交（上传）截止时间前直接提交或者以邮政快递方式递交备份响应文件1份，</w:t>
      </w:r>
      <w:r>
        <w:rPr>
          <w:rFonts w:hint="eastAsia" w:hAnsi="宋体" w:cs="宋体"/>
          <w:b/>
          <w:color w:val="auto"/>
          <w:sz w:val="24"/>
          <w:szCs w:val="24"/>
          <w:highlight w:val="none"/>
        </w:rPr>
        <w:t>但采购人、采购机构不强制或变相强制供应商提交备份响应文件。</w:t>
      </w:r>
    </w:p>
    <w:p w14:paraId="63E120DA">
      <w:pPr>
        <w:pStyle w:val="33"/>
        <w:snapToGrid w:val="0"/>
        <w:spacing w:line="360" w:lineRule="auto"/>
        <w:ind w:firstLine="480" w:firstLineChars="200"/>
        <w:rPr>
          <w:rFonts w:hAnsi="宋体" w:cs="宋体"/>
          <w:b/>
          <w:color w:val="auto"/>
          <w:sz w:val="24"/>
          <w:szCs w:val="24"/>
          <w:highlight w:val="none"/>
        </w:rPr>
      </w:pPr>
      <w:r>
        <w:rPr>
          <w:rFonts w:hint="eastAsia" w:hAnsi="宋体" w:cs="宋体"/>
          <w:color w:val="auto"/>
          <w:sz w:val="24"/>
          <w:szCs w:val="24"/>
          <w:highlight w:val="none"/>
        </w:rPr>
        <w:t>15.2备份响应文件须在“政采云投标客户端”制作生成，并储存在</w:t>
      </w:r>
      <w:r>
        <w:rPr>
          <w:rFonts w:hint="eastAsia" w:hAnsi="宋体" w:cs="宋体"/>
          <w:color w:val="auto"/>
          <w:sz w:val="24"/>
          <w:highlight w:val="none"/>
        </w:rPr>
        <w:t>DVD光盘</w:t>
      </w:r>
      <w:r>
        <w:rPr>
          <w:rFonts w:hint="eastAsia" w:hAnsi="宋体" w:cs="宋体"/>
          <w:color w:val="auto"/>
          <w:sz w:val="24"/>
          <w:szCs w:val="24"/>
          <w:highlight w:val="none"/>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color w:val="auto"/>
          <w:sz w:val="24"/>
          <w:highlight w:val="none"/>
        </w:rPr>
        <w:t>不符合上述制作、</w:t>
      </w:r>
      <w:r>
        <w:rPr>
          <w:rFonts w:hint="eastAsia" w:hAnsi="宋体" w:cs="宋体"/>
          <w:b/>
          <w:color w:val="auto"/>
          <w:sz w:val="24"/>
          <w:szCs w:val="24"/>
          <w:highlight w:val="none"/>
        </w:rPr>
        <w:t>存储、密封规定的备份响应文件将被视为无效或者被拒绝接收。</w:t>
      </w:r>
    </w:p>
    <w:p w14:paraId="74D02AFB">
      <w:pPr>
        <w:pStyle w:val="33"/>
        <w:snapToGrid w:val="0"/>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15.3直接提交备份响应文件的，供应商应于响应文件提交（上传）截止时间前在竞争性磋商公告中载明的响应文件开启地点将备份响应文件提交给采购机构，采购机构将拒绝接受逾期送达的备份响应文件。</w:t>
      </w:r>
    </w:p>
    <w:p w14:paraId="4E36FD65">
      <w:pPr>
        <w:pStyle w:val="33"/>
        <w:snapToGrid w:val="0"/>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color w:val="auto"/>
          <w:sz w:val="24"/>
          <w:szCs w:val="24"/>
          <w:highlight w:val="none"/>
        </w:rPr>
        <w:t>采购文件第二部分供应商须知前附表规定的备份响应文件送达地点；</w:t>
      </w:r>
      <w:r>
        <w:rPr>
          <w:rFonts w:hint="eastAsia" w:hAnsi="宋体" w:cs="宋体"/>
          <w:color w:val="auto"/>
          <w:sz w:val="24"/>
          <w:szCs w:val="24"/>
          <w:highlight w:val="none"/>
        </w:rPr>
        <w:t>送达时间以签收人签收时间为准。采购机构将拒绝接受逾期送达的备份响应文件。邮寄过程中，电子备份响应文件发生泄露、遗失、损坏或延期送达等情况的，由供应商自行负责。</w:t>
      </w:r>
    </w:p>
    <w:p w14:paraId="3E258CDA">
      <w:pPr>
        <w:pStyle w:val="33"/>
        <w:snapToGrid w:val="0"/>
        <w:spacing w:line="360" w:lineRule="auto"/>
        <w:ind w:firstLine="479" w:firstLineChars="199"/>
        <w:rPr>
          <w:rFonts w:hAnsi="宋体" w:cs="宋体"/>
          <w:b/>
          <w:color w:val="auto"/>
          <w:sz w:val="24"/>
          <w:szCs w:val="24"/>
          <w:highlight w:val="none"/>
        </w:rPr>
      </w:pPr>
      <w:r>
        <w:rPr>
          <w:rFonts w:hint="eastAsia" w:hAnsi="宋体" w:cs="宋体"/>
          <w:b/>
          <w:color w:val="auto"/>
          <w:sz w:val="24"/>
          <w:szCs w:val="24"/>
          <w:highlight w:val="none"/>
        </w:rPr>
        <w:t>15.5供应商仅提交备份响应文件，未在电子交易平台传输递交响应文件的，响应文件无效。</w:t>
      </w:r>
    </w:p>
    <w:p w14:paraId="55107A35">
      <w:pPr>
        <w:pStyle w:val="132"/>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16.响应文件的无效处理</w:t>
      </w:r>
    </w:p>
    <w:p w14:paraId="6BCD18D4">
      <w:pPr>
        <w:pStyle w:val="24"/>
        <w:spacing w:line="360" w:lineRule="auto"/>
        <w:ind w:firstLine="360" w:firstLineChars="150"/>
        <w:rPr>
          <w:rFonts w:cs="宋体"/>
          <w:color w:val="auto"/>
          <w:szCs w:val="21"/>
          <w:highlight w:val="none"/>
        </w:rPr>
      </w:pPr>
      <w:r>
        <w:rPr>
          <w:rFonts w:hint="eastAsia" w:cs="宋体"/>
          <w:color w:val="auto"/>
          <w:szCs w:val="21"/>
          <w:highlight w:val="none"/>
        </w:rPr>
        <w:t>有采购文件第四部分</w:t>
      </w:r>
      <w:r>
        <w:rPr>
          <w:rFonts w:hint="eastAsia" w:cs="宋体"/>
          <w:color w:val="auto"/>
          <w:highlight w:val="none"/>
        </w:rPr>
        <w:t>4.2规定</w:t>
      </w:r>
      <w:r>
        <w:rPr>
          <w:rFonts w:hint="eastAsia" w:cs="宋体"/>
          <w:color w:val="auto"/>
          <w:szCs w:val="21"/>
          <w:highlight w:val="none"/>
        </w:rPr>
        <w:t>的情形之一的，响应文件无效：</w:t>
      </w:r>
    </w:p>
    <w:p w14:paraId="682B878F">
      <w:pPr>
        <w:pStyle w:val="132"/>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17.响应文件有效期</w:t>
      </w:r>
    </w:p>
    <w:p w14:paraId="6EE22EB4">
      <w:pPr>
        <w:spacing w:line="360" w:lineRule="auto"/>
        <w:ind w:firstLine="480" w:firstLineChars="200"/>
        <w:rPr>
          <w:rFonts w:ascii="宋体" w:hAnsi="宋体" w:cs="宋体"/>
          <w:b/>
          <w:color w:val="auto"/>
          <w:sz w:val="24"/>
          <w:szCs w:val="21"/>
          <w:highlight w:val="none"/>
        </w:rPr>
      </w:pPr>
      <w:r>
        <w:rPr>
          <w:rFonts w:hint="eastAsia" w:ascii="宋体" w:hAnsi="宋体" w:cs="宋体"/>
          <w:color w:val="auto"/>
          <w:sz w:val="24"/>
          <w:szCs w:val="20"/>
          <w:highlight w:val="none"/>
        </w:rPr>
        <w:t>17.1响应文件有效期为从提交响应文件的截止之日起90天。▲</w:t>
      </w:r>
      <w:r>
        <w:rPr>
          <w:rFonts w:hint="eastAsia" w:ascii="宋体" w:hAnsi="宋体" w:cs="宋体"/>
          <w:b/>
          <w:color w:val="auto"/>
          <w:sz w:val="24"/>
          <w:szCs w:val="20"/>
          <w:highlight w:val="none"/>
        </w:rPr>
        <w:t>供应商的响应文件中承</w:t>
      </w:r>
      <w:r>
        <w:rPr>
          <w:rFonts w:hint="eastAsia" w:ascii="宋体" w:hAnsi="宋体" w:cs="宋体"/>
          <w:b/>
          <w:color w:val="auto"/>
          <w:sz w:val="24"/>
          <w:szCs w:val="21"/>
          <w:highlight w:val="none"/>
        </w:rPr>
        <w:t>诺的响应文件有效期少于采购文件中载明的响应文件有效期的，响应文件无效。</w:t>
      </w:r>
    </w:p>
    <w:p w14:paraId="3091EC2B">
      <w:pPr>
        <w:pStyle w:val="132"/>
        <w:spacing w:before="0"/>
        <w:ind w:firstLine="480"/>
        <w:rPr>
          <w:rFonts w:ascii="宋体" w:hAnsi="宋体" w:cs="宋体"/>
          <w:color w:val="auto"/>
          <w:highlight w:val="none"/>
        </w:rPr>
      </w:pPr>
      <w:r>
        <w:rPr>
          <w:rFonts w:hint="eastAsia" w:ascii="宋体" w:hAnsi="宋体" w:cs="宋体"/>
          <w:color w:val="auto"/>
          <w:highlight w:val="none"/>
        </w:rPr>
        <w:t>17.2响应文件合格投递后，自响应文件提交截止时间起，在响应文件有效期内有效。</w:t>
      </w:r>
    </w:p>
    <w:p w14:paraId="70A378F4">
      <w:pPr>
        <w:pStyle w:val="132"/>
        <w:spacing w:before="0"/>
        <w:ind w:firstLine="480"/>
        <w:rPr>
          <w:rFonts w:ascii="宋体" w:hAnsi="宋体" w:cs="宋体"/>
          <w:color w:val="auto"/>
          <w:highlight w:val="none"/>
        </w:rPr>
      </w:pPr>
      <w:r>
        <w:rPr>
          <w:rFonts w:hint="eastAsia" w:ascii="宋体" w:hAnsi="宋体" w:cs="宋体"/>
          <w:color w:val="auto"/>
          <w:highlight w:val="none"/>
        </w:rPr>
        <w:t>17.3在原定响应文件有效期满之前，如果出现特殊情况，采购机构可以以书面形式通知供应商延长响应文件有效期。供应商同意延长的，不得要求或被允许修改其响应文件，供应商拒绝延长的，其响应文件无效。</w:t>
      </w:r>
    </w:p>
    <w:p w14:paraId="4717A0A2">
      <w:pPr>
        <w:pStyle w:val="132"/>
        <w:spacing w:before="0"/>
        <w:ind w:firstLine="643"/>
        <w:rPr>
          <w:rFonts w:ascii="宋体" w:hAnsi="宋体" w:cs="宋体"/>
          <w:b/>
          <w:color w:val="auto"/>
          <w:sz w:val="32"/>
          <w:highlight w:val="none"/>
        </w:rPr>
      </w:pPr>
    </w:p>
    <w:p w14:paraId="3BD49997">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四、响应文件开启、资格审查与信用信息查询</w:t>
      </w:r>
    </w:p>
    <w:p w14:paraId="6F7FE845">
      <w:pPr>
        <w:pStyle w:val="557"/>
        <w:spacing w:before="0" w:line="360" w:lineRule="auto"/>
        <w:ind w:left="0" w:firstLine="0"/>
        <w:contextualSpacing/>
        <w:rPr>
          <w:rFonts w:ascii="宋体" w:hAnsi="宋体" w:cs="宋体"/>
          <w:color w:val="auto"/>
          <w:sz w:val="24"/>
          <w:highlight w:val="none"/>
        </w:rPr>
      </w:pPr>
      <w:r>
        <w:rPr>
          <w:rFonts w:hint="eastAsia" w:ascii="宋体" w:hAnsi="宋体" w:cs="宋体"/>
          <w:b/>
          <w:color w:val="auto"/>
          <w:sz w:val="24"/>
          <w:szCs w:val="24"/>
          <w:highlight w:val="none"/>
        </w:rPr>
        <w:t>18.响应文件开启</w:t>
      </w:r>
      <w:r>
        <w:rPr>
          <w:rFonts w:hint="eastAsia" w:ascii="宋体" w:hAnsi="宋体" w:cs="宋体"/>
          <w:color w:val="auto"/>
          <w:sz w:val="24"/>
          <w:highlight w:val="none"/>
        </w:rPr>
        <w:t xml:space="preserve"> </w:t>
      </w:r>
    </w:p>
    <w:p w14:paraId="63152EBC">
      <w:pPr>
        <w:pStyle w:val="557"/>
        <w:snapToGrid w:val="0"/>
        <w:spacing w:before="0" w:line="360" w:lineRule="auto"/>
        <w:ind w:left="0"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18.1采购机构按照采购文件规定的时间通过电子交易平台组织响应文件开启，所有供应商均应当准时在线参加。供应商不足3家的，不得开启。</w:t>
      </w:r>
    </w:p>
    <w:p w14:paraId="03917902">
      <w:pPr>
        <w:pStyle w:val="557"/>
        <w:snapToGrid w:val="0"/>
        <w:spacing w:before="0" w:line="360" w:lineRule="auto"/>
        <w:ind w:left="0"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18.2响应文件开启时，电子交易平台按响应文件开启时间自动提取所有响应文件。采购机构依托电子交易平台发起开始解密指令，供应商按照平台提示和采购文件的规定在半小时内完成在线解密。</w:t>
      </w:r>
    </w:p>
    <w:p w14:paraId="4BCCAE2C">
      <w:pPr>
        <w:pStyle w:val="557"/>
        <w:snapToGrid w:val="0"/>
        <w:spacing w:before="0" w:line="360" w:lineRule="auto"/>
        <w:ind w:left="0"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18.3</w:t>
      </w:r>
      <w:r>
        <w:rPr>
          <w:rFonts w:hint="eastAsia" w:ascii="宋体" w:hAnsi="宋体" w:cs="宋体"/>
          <w:b/>
          <w:bCs/>
          <w:color w:val="auto"/>
          <w:sz w:val="24"/>
          <w:highlight w:val="none"/>
        </w:rPr>
        <w:t>响应文件未按时解密，供应商提供了备份响应文件的，以备份响应文件作为依据，否则视为响应文件撤回。响应文件已按时解密的，备份响应文件自动失效。</w:t>
      </w:r>
    </w:p>
    <w:p w14:paraId="78D289AC">
      <w:pPr>
        <w:pStyle w:val="557"/>
        <w:spacing w:before="0" w:line="360" w:lineRule="auto"/>
        <w:ind w:left="0" w:firstLine="0"/>
        <w:contextualSpacing/>
        <w:rPr>
          <w:rFonts w:ascii="宋体" w:hAnsi="宋体" w:cs="宋体"/>
          <w:b/>
          <w:color w:val="auto"/>
          <w:sz w:val="24"/>
          <w:szCs w:val="24"/>
          <w:highlight w:val="none"/>
        </w:rPr>
      </w:pPr>
      <w:r>
        <w:rPr>
          <w:rFonts w:hint="eastAsia" w:ascii="宋体" w:hAnsi="宋体" w:cs="宋体"/>
          <w:b/>
          <w:color w:val="auto"/>
          <w:sz w:val="24"/>
          <w:szCs w:val="24"/>
          <w:highlight w:val="none"/>
        </w:rPr>
        <w:t>19、资格审查</w:t>
      </w:r>
    </w:p>
    <w:p w14:paraId="19DF914B">
      <w:pPr>
        <w:pStyle w:val="132"/>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19.1响应文件开启后，</w:t>
      </w:r>
      <w:r>
        <w:rPr>
          <w:rFonts w:hint="eastAsia" w:ascii="宋体" w:hAnsi="宋体" w:cs="宋体"/>
          <w:color w:val="auto"/>
          <w:highlight w:val="none"/>
        </w:rPr>
        <w:t>采购人、采购机构或磋商小组</w:t>
      </w:r>
      <w:r>
        <w:rPr>
          <w:rFonts w:hint="eastAsia" w:ascii="宋体" w:hAnsi="宋体" w:cs="宋体"/>
          <w:color w:val="auto"/>
          <w:kern w:val="0"/>
          <w:szCs w:val="24"/>
          <w:highlight w:val="none"/>
        </w:rPr>
        <w:t>将依法对供应商的资格进行审查。</w:t>
      </w:r>
    </w:p>
    <w:p w14:paraId="0A5AC18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19.2</w:t>
      </w:r>
      <w:r>
        <w:rPr>
          <w:rFonts w:hint="eastAsia" w:ascii="宋体" w:hAnsi="宋体" w:cs="宋体"/>
          <w:color w:val="auto"/>
          <w:sz w:val="24"/>
          <w:highlight w:val="none"/>
        </w:rPr>
        <w:t>采购人、采购机构或磋商小组依据法律法规和采购文件的规定，对供应商的资格进行审查。</w:t>
      </w:r>
    </w:p>
    <w:p w14:paraId="37E7D6AD">
      <w:pPr>
        <w:pStyle w:val="132"/>
        <w:spacing w:before="0"/>
        <w:ind w:firstLine="480"/>
        <w:rPr>
          <w:rFonts w:ascii="宋体" w:hAnsi="宋体" w:cs="宋体"/>
          <w:color w:val="auto"/>
          <w:highlight w:val="none"/>
        </w:rPr>
      </w:pPr>
      <w:r>
        <w:rPr>
          <w:rFonts w:hint="eastAsia" w:ascii="宋体" w:hAnsi="宋体" w:cs="宋体"/>
          <w:color w:val="auto"/>
          <w:kern w:val="0"/>
          <w:szCs w:val="24"/>
          <w:highlight w:val="none"/>
        </w:rPr>
        <w:t>19.3供应商未按照采购文件要求提供与</w:t>
      </w:r>
      <w:r>
        <w:rPr>
          <w:rFonts w:hint="eastAsia" w:ascii="宋体" w:hAnsi="宋体" w:cs="宋体"/>
          <w:color w:val="auto"/>
          <w:highlight w:val="none"/>
        </w:rPr>
        <w:t>资格条件相应的</w:t>
      </w:r>
      <w:r>
        <w:rPr>
          <w:rFonts w:hint="eastAsia" w:ascii="宋体" w:hAnsi="宋体" w:cs="宋体"/>
          <w:color w:val="auto"/>
          <w:kern w:val="0"/>
          <w:szCs w:val="24"/>
          <w:highlight w:val="none"/>
        </w:rPr>
        <w:t>有效资格证明材料的，视为</w:t>
      </w:r>
      <w:r>
        <w:rPr>
          <w:rFonts w:hint="eastAsia" w:ascii="宋体" w:hAnsi="宋体" w:cs="宋体"/>
          <w:color w:val="auto"/>
          <w:highlight w:val="none"/>
        </w:rPr>
        <w:t>供应商不具备采购文件中规定的资格要求，其响应文件无效。</w:t>
      </w:r>
    </w:p>
    <w:p w14:paraId="4F071D24">
      <w:pPr>
        <w:pStyle w:val="132"/>
        <w:spacing w:before="0"/>
        <w:ind w:firstLine="480"/>
        <w:rPr>
          <w:rFonts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highlight w:val="none"/>
        </w:rPr>
        <w:t>4对未通过资格审查的供应商，采购人或采购机构告知其未通过的原因。</w:t>
      </w:r>
    </w:p>
    <w:p w14:paraId="223702E7">
      <w:pPr>
        <w:pStyle w:val="132"/>
        <w:spacing w:before="0"/>
        <w:ind w:firstLine="480"/>
        <w:rPr>
          <w:rFonts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highlight w:val="none"/>
        </w:rPr>
        <w:t>5合格供应商不足3家的，不再评审。</w:t>
      </w:r>
    </w:p>
    <w:p w14:paraId="6B486EF0">
      <w:pPr>
        <w:pStyle w:val="132"/>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20、信用信息查询</w:t>
      </w:r>
    </w:p>
    <w:p w14:paraId="3B0831F6">
      <w:pPr>
        <w:pStyle w:val="132"/>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20.1信用信息查询渠道及截止时间：采购机构将在资格审查时通过“信用中国”网站(www.creditchina.gov.cn)、中国政府采购网(www.ccgp.gov.cn)渠道查询供应商接受资格审查时的信用记录。</w:t>
      </w:r>
    </w:p>
    <w:p w14:paraId="4F8E153D">
      <w:pPr>
        <w:pStyle w:val="132"/>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20.2信用信息查询记录和证据留存的具体方式：现场查询的供应商的信用记录、查询结果经确认后将与采购文件一起存档。</w:t>
      </w:r>
    </w:p>
    <w:p w14:paraId="5627B77A">
      <w:pPr>
        <w:pStyle w:val="132"/>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20.3信用信息的使用规则：经查询列入失信被执行人名单、重大税收违法案件当事人名单、政府采购严重违法失信行为记录名单的供应商将被拒绝参与政府采购活动。</w:t>
      </w:r>
    </w:p>
    <w:p w14:paraId="38781CFA">
      <w:pPr>
        <w:pStyle w:val="132"/>
        <w:spacing w:before="0"/>
        <w:ind w:firstLine="480"/>
        <w:rPr>
          <w:rFonts w:ascii="宋体" w:hAnsi="宋体" w:cs="宋体"/>
          <w:color w:val="auto"/>
          <w:highlight w:val="none"/>
        </w:rPr>
      </w:pPr>
      <w:r>
        <w:rPr>
          <w:rFonts w:hint="eastAsia" w:ascii="宋体" w:hAnsi="宋体" w:cs="宋体"/>
          <w:color w:val="auto"/>
          <w:kern w:val="0"/>
          <w:szCs w:val="24"/>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auto"/>
          <w:highlight w:val="none"/>
        </w:rPr>
        <w:t>。</w:t>
      </w:r>
    </w:p>
    <w:p w14:paraId="2E64C65D">
      <w:pPr>
        <w:pStyle w:val="132"/>
        <w:spacing w:before="0"/>
        <w:ind w:firstLine="0" w:firstLineChars="0"/>
        <w:rPr>
          <w:rFonts w:ascii="宋体" w:hAnsi="宋体" w:cs="宋体"/>
          <w:color w:val="auto"/>
          <w:kern w:val="0"/>
          <w:szCs w:val="24"/>
          <w:highlight w:val="none"/>
        </w:rPr>
      </w:pPr>
    </w:p>
    <w:p w14:paraId="150434AD">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五、评审</w:t>
      </w:r>
    </w:p>
    <w:p w14:paraId="10A44F74">
      <w:pPr>
        <w:spacing w:line="360" w:lineRule="auto"/>
        <w:rPr>
          <w:rFonts w:ascii="宋体" w:hAnsi="宋体" w:cs="宋体"/>
          <w:b/>
          <w:color w:val="auto"/>
          <w:sz w:val="24"/>
          <w:highlight w:val="none"/>
        </w:rPr>
      </w:pPr>
      <w:bookmarkStart w:id="18" w:name="_Toc91899903"/>
      <w:r>
        <w:rPr>
          <w:rFonts w:hint="eastAsia" w:ascii="宋体" w:hAnsi="宋体" w:cs="宋体"/>
          <w:b/>
          <w:color w:val="auto"/>
          <w:sz w:val="24"/>
          <w:highlight w:val="none"/>
        </w:rPr>
        <w:t>21.</w:t>
      </w:r>
      <w:r>
        <w:rPr>
          <w:rFonts w:hint="eastAsia" w:ascii="宋体" w:hAnsi="宋体" w:cs="宋体"/>
          <w:color w:val="auto"/>
          <w:highlight w:val="none"/>
        </w:rPr>
        <w:t xml:space="preserve"> </w:t>
      </w:r>
      <w:r>
        <w:rPr>
          <w:rFonts w:hint="eastAsia" w:ascii="宋体" w:hAnsi="宋体" w:cs="宋体"/>
          <w:color w:val="auto"/>
          <w:sz w:val="24"/>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color w:val="auto"/>
          <w:sz w:val="24"/>
          <w:highlight w:val="none"/>
        </w:rPr>
        <w:t>详见采购文件第四部分评审办法。</w:t>
      </w:r>
    </w:p>
    <w:p w14:paraId="5B7E12A1">
      <w:pPr>
        <w:spacing w:line="360" w:lineRule="auto"/>
        <w:rPr>
          <w:rFonts w:ascii="宋体" w:hAnsi="宋体" w:cs="宋体"/>
          <w:b/>
          <w:color w:val="auto"/>
          <w:sz w:val="24"/>
          <w:highlight w:val="none"/>
        </w:rPr>
      </w:pPr>
    </w:p>
    <w:p w14:paraId="31833768">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六、成交供应商确定</w:t>
      </w:r>
    </w:p>
    <w:p w14:paraId="543AAA7A">
      <w:pPr>
        <w:pStyle w:val="24"/>
        <w:spacing w:line="360" w:lineRule="auto"/>
        <w:ind w:left="479" w:hanging="479" w:hangingChars="199"/>
        <w:rPr>
          <w:rFonts w:cs="宋体"/>
          <w:b/>
          <w:color w:val="auto"/>
          <w:highlight w:val="none"/>
        </w:rPr>
      </w:pPr>
      <w:r>
        <w:rPr>
          <w:rFonts w:hint="eastAsia" w:cs="宋体"/>
          <w:b/>
          <w:color w:val="auto"/>
          <w:highlight w:val="none"/>
        </w:rPr>
        <w:t>22. 确定成交供应商</w:t>
      </w:r>
    </w:p>
    <w:p w14:paraId="511764F8">
      <w:pPr>
        <w:pStyle w:val="132"/>
        <w:snapToGrid w:val="0"/>
        <w:spacing w:before="0"/>
        <w:ind w:firstLine="480"/>
        <w:rPr>
          <w:rFonts w:ascii="宋体" w:hAnsi="宋体" w:cs="宋体"/>
          <w:b/>
          <w:color w:val="auto"/>
          <w:szCs w:val="24"/>
          <w:highlight w:val="none"/>
        </w:rPr>
      </w:pPr>
      <w:r>
        <w:rPr>
          <w:rFonts w:hint="eastAsia" w:ascii="宋体" w:hAnsi="宋体" w:cs="宋体"/>
          <w:color w:val="auto"/>
          <w:szCs w:val="24"/>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14:paraId="2DA0FA5C">
      <w:pPr>
        <w:pStyle w:val="132"/>
        <w:snapToGrid w:val="0"/>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23. 成交通知与成交结果公告</w:t>
      </w:r>
    </w:p>
    <w:p w14:paraId="30DFEDB3">
      <w:pPr>
        <w:widowControl/>
        <w:shd w:val="clear" w:color="auto" w:fill="FFFFFF"/>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23.1自成交供应商确定之日起1个工作日内，采购机构通过电子交易平台向成交供应商发出成交通知书，同时编制发布采购结果公告。采购机构也可以以纸质形式进行成交通知。</w:t>
      </w:r>
    </w:p>
    <w:p w14:paraId="3BA84D79">
      <w:pPr>
        <w:widowControl/>
        <w:shd w:val="clear" w:color="auto" w:fill="FFFFFF"/>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23.2成交结果公告内容包括采购人及其委托的采购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00154434">
      <w:pPr>
        <w:widowControl/>
        <w:shd w:val="clear" w:color="auto" w:fill="FFFFFF"/>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23.3公告期限为1个工作日。</w:t>
      </w:r>
    </w:p>
    <w:p w14:paraId="05DB5017">
      <w:pPr>
        <w:snapToGrid w:val="0"/>
        <w:spacing w:line="360" w:lineRule="auto"/>
        <w:ind w:left="120" w:leftChars="57" w:firstLine="482" w:firstLineChars="150"/>
        <w:jc w:val="center"/>
        <w:rPr>
          <w:rFonts w:ascii="宋体" w:hAnsi="宋体" w:cs="宋体"/>
          <w:b/>
          <w:color w:val="auto"/>
          <w:sz w:val="32"/>
          <w:highlight w:val="none"/>
        </w:rPr>
      </w:pPr>
    </w:p>
    <w:p w14:paraId="60BCD39A">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七、合同授予</w:t>
      </w:r>
    </w:p>
    <w:p w14:paraId="46693484">
      <w:pPr>
        <w:pStyle w:val="24"/>
        <w:snapToGrid w:val="0"/>
        <w:spacing w:line="360" w:lineRule="auto"/>
        <w:ind w:left="479" w:hanging="479" w:hangingChars="199"/>
        <w:rPr>
          <w:rFonts w:cs="宋体"/>
          <w:b/>
          <w:color w:val="auto"/>
          <w:highlight w:val="none"/>
        </w:rPr>
      </w:pPr>
      <w:r>
        <w:rPr>
          <w:rFonts w:hint="eastAsia" w:cs="宋体"/>
          <w:b/>
          <w:color w:val="auto"/>
          <w:highlight w:val="none"/>
        </w:rPr>
        <w:t xml:space="preserve">24. </w:t>
      </w:r>
      <w:r>
        <w:rPr>
          <w:rFonts w:hint="eastAsia" w:cs="宋体"/>
          <w:color w:val="auto"/>
          <w:highlight w:val="none"/>
        </w:rPr>
        <w:t>合同主要条款详见第五部分拟签订的合同文本。</w:t>
      </w:r>
    </w:p>
    <w:p w14:paraId="31B48CA4">
      <w:pPr>
        <w:pStyle w:val="24"/>
        <w:snapToGrid w:val="0"/>
        <w:spacing w:line="360" w:lineRule="auto"/>
        <w:ind w:left="479" w:hanging="479" w:hangingChars="199"/>
        <w:rPr>
          <w:rFonts w:cs="宋体"/>
          <w:b/>
          <w:color w:val="auto"/>
          <w:highlight w:val="none"/>
        </w:rPr>
      </w:pPr>
      <w:r>
        <w:rPr>
          <w:rFonts w:hint="eastAsia" w:cs="宋体"/>
          <w:b/>
          <w:color w:val="auto"/>
          <w:highlight w:val="none"/>
        </w:rPr>
        <w:t>25. 合同的签订</w:t>
      </w:r>
    </w:p>
    <w:p w14:paraId="3DBE34F4">
      <w:pPr>
        <w:widowControl/>
        <w:shd w:val="clear" w:color="auto" w:fill="FFFFFF"/>
        <w:snapToGrid w:val="0"/>
        <w:spacing w:line="360" w:lineRule="auto"/>
        <w:ind w:firstLine="480"/>
        <w:jc w:val="left"/>
        <w:rPr>
          <w:rFonts w:ascii="宋体" w:hAnsi="宋体" w:cs="宋体"/>
          <w:color w:val="auto"/>
          <w:kern w:val="0"/>
          <w:sz w:val="24"/>
          <w:highlight w:val="none"/>
        </w:rPr>
      </w:pPr>
      <w:r>
        <w:rPr>
          <w:rFonts w:hint="eastAsia" w:ascii="宋体" w:hAnsi="宋体" w:cs="宋体"/>
          <w:color w:val="auto"/>
          <w:sz w:val="24"/>
          <w:highlight w:val="none"/>
        </w:rPr>
        <w:t>25.1</w:t>
      </w:r>
      <w:r>
        <w:rPr>
          <w:rFonts w:hint="eastAsia" w:ascii="宋体" w:hAnsi="宋体" w:cs="宋体"/>
          <w:color w:val="auto"/>
          <w:kern w:val="0"/>
          <w:sz w:val="24"/>
          <w:highlight w:val="none"/>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14:paraId="767BD9B0">
      <w:pPr>
        <w:pStyle w:val="132"/>
        <w:snapToGrid w:val="0"/>
        <w:spacing w:before="0"/>
        <w:ind w:firstLine="480"/>
        <w:rPr>
          <w:rFonts w:ascii="宋体" w:hAnsi="宋体" w:cs="宋体"/>
          <w:color w:val="auto"/>
          <w:kern w:val="0"/>
          <w:highlight w:val="none"/>
        </w:rPr>
      </w:pPr>
      <w:r>
        <w:rPr>
          <w:rFonts w:hint="eastAsia" w:ascii="宋体" w:hAnsi="宋体" w:cs="宋体"/>
          <w:color w:val="auto"/>
          <w:kern w:val="0"/>
          <w:highlight w:val="none"/>
          <w:lang w:val="zh-CN"/>
        </w:rPr>
        <w:t>25.2成交供应商按规定的日期、时间、地点，由法定代表人或其授权代表与采购人代表签订合同。如成交供应商为联合体的，由联合体成员各方法定代表人或其授权代表与采购人代表签订合同。</w:t>
      </w:r>
    </w:p>
    <w:p w14:paraId="00488EF4">
      <w:pPr>
        <w:pStyle w:val="132"/>
        <w:snapToGrid w:val="0"/>
        <w:spacing w:before="0"/>
        <w:ind w:firstLine="480"/>
        <w:rPr>
          <w:rFonts w:ascii="宋体" w:hAnsi="宋体" w:cs="宋体"/>
          <w:color w:val="auto"/>
          <w:highlight w:val="none"/>
        </w:rPr>
      </w:pPr>
      <w:r>
        <w:rPr>
          <w:rFonts w:hint="eastAsia" w:ascii="宋体" w:hAnsi="宋体" w:cs="宋体"/>
          <w:color w:val="auto"/>
          <w:highlight w:val="none"/>
        </w:rPr>
        <w:t>25.3如签订合同并生效后，供应商无故拒绝或延期，除按照合同条款处理外，列入不良行为记录一次，并给予通报。</w:t>
      </w:r>
    </w:p>
    <w:p w14:paraId="1F1D1755">
      <w:pPr>
        <w:pStyle w:val="132"/>
        <w:snapToGrid w:val="0"/>
        <w:spacing w:before="0"/>
        <w:ind w:firstLine="480"/>
        <w:rPr>
          <w:rFonts w:ascii="宋体" w:hAnsi="宋体" w:cs="宋体"/>
          <w:color w:val="auto"/>
          <w:highlight w:val="none"/>
        </w:rPr>
      </w:pPr>
      <w:r>
        <w:rPr>
          <w:rFonts w:hint="eastAsia" w:ascii="宋体" w:hAnsi="宋体" w:cs="宋体"/>
          <w:color w:val="auto"/>
          <w:highlight w:val="none"/>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0DC369F2">
      <w:pPr>
        <w:pStyle w:val="132"/>
        <w:snapToGrid w:val="0"/>
        <w:spacing w:before="0"/>
        <w:ind w:firstLine="480"/>
        <w:rPr>
          <w:rFonts w:ascii="宋体" w:hAnsi="宋体" w:cs="宋体"/>
          <w:color w:val="auto"/>
          <w:highlight w:val="none"/>
        </w:rPr>
      </w:pPr>
      <w:r>
        <w:rPr>
          <w:rFonts w:hint="eastAsia" w:ascii="宋体" w:hAnsi="宋体" w:cs="宋体"/>
          <w:color w:val="auto"/>
          <w:highlight w:val="none"/>
        </w:rPr>
        <w:t>25.5采购合同由采购人与成交供应商根据采购文件、响应文件等内容通过政府采购电子交易平台在线签订，自动备案。</w:t>
      </w:r>
    </w:p>
    <w:p w14:paraId="69557FA5">
      <w:pPr>
        <w:pStyle w:val="24"/>
        <w:snapToGrid w:val="0"/>
        <w:spacing w:line="360" w:lineRule="auto"/>
        <w:ind w:left="479" w:hanging="479" w:hangingChars="199"/>
        <w:rPr>
          <w:rFonts w:cs="宋体"/>
          <w:b/>
          <w:color w:val="auto"/>
          <w:highlight w:val="none"/>
        </w:rPr>
      </w:pPr>
      <w:r>
        <w:rPr>
          <w:rFonts w:hint="eastAsia" w:cs="宋体"/>
          <w:b/>
          <w:color w:val="auto"/>
          <w:highlight w:val="none"/>
        </w:rPr>
        <w:t>26. 履约保证金</w:t>
      </w:r>
    </w:p>
    <w:p w14:paraId="32B71EB5">
      <w:pPr>
        <w:tabs>
          <w:tab w:val="left" w:pos="0"/>
        </w:tabs>
        <w:snapToGrid w:val="0"/>
        <w:spacing w:line="360" w:lineRule="auto"/>
        <w:ind w:firstLine="482"/>
        <w:rPr>
          <w:rFonts w:ascii="宋体" w:hAnsi="宋体" w:cs="宋体"/>
          <w:color w:val="auto"/>
          <w:sz w:val="24"/>
          <w:highlight w:val="none"/>
        </w:rPr>
      </w:pPr>
      <w:r>
        <w:rPr>
          <w:rFonts w:hint="eastAsia" w:ascii="宋体" w:hAnsi="宋体" w:cs="宋体"/>
          <w:color w:val="auto"/>
          <w:kern w:val="0"/>
          <w:sz w:val="24"/>
          <w:highlight w:val="none"/>
        </w:rPr>
        <w:t>拟签订的合同文本要求成交供应商提交履约保证金的，供应商应当以支票、汇票、本票或者金融机构、担保机构出具的保函等非现金形式提交</w:t>
      </w:r>
      <w:r>
        <w:rPr>
          <w:rFonts w:hint="eastAsia" w:ascii="宋体" w:hAnsi="宋体" w:cs="宋体"/>
          <w:color w:val="auto"/>
          <w:sz w:val="24"/>
          <w:highlight w:val="none"/>
        </w:rPr>
        <w:t>。杭州市政府采购网公布的供应商履约评价为满分的供应商，采购单位应当免收履约保证金。确需收取履约保证金的，履约保证金缴纳最高比例由不超过合同金额的1%。采购单位鼓励供应商采取履约保函形式提供信用保证；供应商提供保函的，采购单位不得拒收。项目验收结束后应及时退还，</w:t>
      </w:r>
      <w:r>
        <w:rPr>
          <w:rFonts w:ascii="宋体" w:hAnsi="宋体" w:cs="宋体"/>
          <w:color w:val="auto"/>
          <w:sz w:val="24"/>
          <w:highlight w:val="none"/>
        </w:rPr>
        <w:t>延迟退还的，应当按照合同约定和法律规定承担相应的赔偿责任</w:t>
      </w:r>
      <w:r>
        <w:rPr>
          <w:rFonts w:hint="eastAsia" w:ascii="宋体" w:hAnsi="宋体" w:cs="宋体"/>
          <w:color w:val="auto"/>
          <w:sz w:val="24"/>
          <w:highlight w:val="none"/>
        </w:rPr>
        <w:t>。</w:t>
      </w:r>
    </w:p>
    <w:p w14:paraId="676AAAAC">
      <w:pPr>
        <w:pStyle w:val="3"/>
        <w:snapToGrid w:val="0"/>
        <w:ind w:left="0" w:firstLine="480" w:firstLineChars="200"/>
        <w:rPr>
          <w:rFonts w:ascii="宋体" w:hAnsi="宋体" w:eastAsia="宋体" w:cs="宋体"/>
          <w:color w:val="auto"/>
          <w:highlight w:val="none"/>
          <w:lang w:val="en-US"/>
        </w:rPr>
      </w:pPr>
      <w:r>
        <w:rPr>
          <w:rFonts w:hint="eastAsia" w:ascii="宋体" w:hAnsi="宋体" w:eastAsia="宋体" w:cs="宋体"/>
          <w:b w:val="0"/>
          <w:bCs w:val="0"/>
          <w:snapToGrid w:val="0"/>
          <w:color w:val="auto"/>
          <w:kern w:val="28"/>
          <w:sz w:val="24"/>
          <w:highlight w:val="none"/>
        </w:rPr>
        <w:t>供应商</w:t>
      </w:r>
      <w:r>
        <w:rPr>
          <w:rFonts w:hint="eastAsia" w:ascii="宋体" w:hAnsi="宋体" w:eastAsia="宋体" w:cs="宋体"/>
          <w:b w:val="0"/>
          <w:bCs w:val="0"/>
          <w:snapToGrid w:val="0"/>
          <w:color w:val="auto"/>
          <w:kern w:val="28"/>
          <w:sz w:val="24"/>
          <w:highlight w:val="none"/>
          <w:lang w:val="en-US"/>
        </w:rPr>
        <w:t>可</w:t>
      </w:r>
      <w:r>
        <w:rPr>
          <w:rFonts w:hint="eastAsia" w:ascii="宋体" w:hAnsi="宋体" w:eastAsia="宋体" w:cs="宋体"/>
          <w:b w:val="0"/>
          <w:bCs w:val="0"/>
          <w:snapToGrid w:val="0"/>
          <w:color w:val="auto"/>
          <w:kern w:val="28"/>
          <w:sz w:val="24"/>
          <w:highlight w:val="none"/>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00445D22">
      <w:pPr>
        <w:snapToGrid w:val="0"/>
        <w:spacing w:line="360" w:lineRule="auto"/>
        <w:ind w:firstLine="3357" w:firstLineChars="1045"/>
        <w:rPr>
          <w:rFonts w:ascii="宋体" w:hAnsi="宋体" w:cs="宋体"/>
          <w:b/>
          <w:color w:val="auto"/>
          <w:sz w:val="32"/>
          <w:highlight w:val="none"/>
        </w:rPr>
      </w:pPr>
    </w:p>
    <w:p w14:paraId="2040C955">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八、电子交易活动的中止</w:t>
      </w:r>
    </w:p>
    <w:p w14:paraId="33631C2E">
      <w:pPr>
        <w:pStyle w:val="132"/>
        <w:snapToGrid w:val="0"/>
        <w:spacing w:before="0"/>
        <w:ind w:firstLine="0" w:firstLineChars="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b/>
          <w:color w:val="auto"/>
          <w:szCs w:val="24"/>
          <w:highlight w:val="none"/>
        </w:rPr>
        <w:t>7. 电子交易活动的中止。</w:t>
      </w:r>
      <w:r>
        <w:rPr>
          <w:rFonts w:hint="eastAsia" w:ascii="宋体" w:hAnsi="宋体" w:cs="宋体"/>
          <w:color w:val="auto"/>
          <w:highlight w:val="none"/>
        </w:rPr>
        <w:t>采购过程中出现以下情形，导致电子交易平台无法正常运行，或者无法保证电子交易的公平、公正和安全时，采购机构可中止电子交易活动：</w:t>
      </w:r>
    </w:p>
    <w:p w14:paraId="6CAFD3C0">
      <w:pPr>
        <w:pStyle w:val="132"/>
        <w:snapToGrid w:val="0"/>
        <w:spacing w:before="0"/>
        <w:ind w:firstLine="480"/>
        <w:rPr>
          <w:rFonts w:ascii="宋体" w:hAnsi="宋体" w:cs="宋体"/>
          <w:color w:val="auto"/>
          <w:highlight w:val="none"/>
        </w:rPr>
      </w:pPr>
      <w:r>
        <w:rPr>
          <w:rFonts w:hint="eastAsia" w:ascii="宋体" w:hAnsi="宋体" w:cs="宋体"/>
          <w:color w:val="auto"/>
          <w:highlight w:val="none"/>
        </w:rPr>
        <w:t xml:space="preserve">27.1电子交易平台发生故障而无法登录访问的； </w:t>
      </w:r>
    </w:p>
    <w:p w14:paraId="06140171">
      <w:pPr>
        <w:pStyle w:val="132"/>
        <w:snapToGrid w:val="0"/>
        <w:spacing w:before="0"/>
        <w:ind w:firstLine="480"/>
        <w:rPr>
          <w:rFonts w:ascii="宋体" w:hAnsi="宋体" w:cs="宋体"/>
          <w:color w:val="auto"/>
          <w:highlight w:val="none"/>
        </w:rPr>
      </w:pPr>
      <w:r>
        <w:rPr>
          <w:rFonts w:hint="eastAsia" w:ascii="宋体" w:hAnsi="宋体" w:cs="宋体"/>
          <w:color w:val="auto"/>
          <w:highlight w:val="none"/>
        </w:rPr>
        <w:t>27.2电子交易平台应用或数据库出现错误，不能进行正常操作的；</w:t>
      </w:r>
    </w:p>
    <w:p w14:paraId="666A434A">
      <w:pPr>
        <w:pStyle w:val="132"/>
        <w:snapToGrid w:val="0"/>
        <w:spacing w:before="0"/>
        <w:ind w:firstLine="480"/>
        <w:rPr>
          <w:rFonts w:ascii="宋体" w:hAnsi="宋体" w:cs="宋体"/>
          <w:color w:val="auto"/>
          <w:highlight w:val="none"/>
        </w:rPr>
      </w:pPr>
      <w:r>
        <w:rPr>
          <w:rFonts w:hint="eastAsia" w:ascii="宋体" w:hAnsi="宋体" w:cs="宋体"/>
          <w:color w:val="auto"/>
          <w:highlight w:val="none"/>
        </w:rPr>
        <w:t>27.3电子交易平台发现严重安全漏洞，有潜在泄密危险的；</w:t>
      </w:r>
    </w:p>
    <w:p w14:paraId="645AE59E">
      <w:pPr>
        <w:pStyle w:val="132"/>
        <w:snapToGrid w:val="0"/>
        <w:spacing w:before="0"/>
        <w:ind w:firstLine="480"/>
        <w:rPr>
          <w:rFonts w:ascii="宋体" w:hAnsi="宋体" w:cs="宋体"/>
          <w:color w:val="auto"/>
          <w:highlight w:val="none"/>
        </w:rPr>
      </w:pPr>
      <w:r>
        <w:rPr>
          <w:rFonts w:hint="eastAsia" w:ascii="宋体" w:hAnsi="宋体" w:cs="宋体"/>
          <w:color w:val="auto"/>
          <w:highlight w:val="none"/>
        </w:rPr>
        <w:t xml:space="preserve">27.4病毒发作导致不能进行正常操作的； </w:t>
      </w:r>
    </w:p>
    <w:p w14:paraId="0540EEEF">
      <w:pPr>
        <w:pStyle w:val="132"/>
        <w:snapToGrid w:val="0"/>
        <w:spacing w:before="0"/>
        <w:ind w:firstLine="480"/>
        <w:rPr>
          <w:rFonts w:ascii="宋体" w:hAnsi="宋体" w:cs="宋体"/>
          <w:color w:val="auto"/>
          <w:highlight w:val="none"/>
        </w:rPr>
      </w:pPr>
      <w:r>
        <w:rPr>
          <w:rFonts w:hint="eastAsia" w:ascii="宋体" w:hAnsi="宋体" w:cs="宋体"/>
          <w:color w:val="auto"/>
          <w:highlight w:val="none"/>
        </w:rPr>
        <w:t>27.5其他无法保证电子交易的公平、公正和安全的情况。</w:t>
      </w:r>
    </w:p>
    <w:p w14:paraId="5BEAB019">
      <w:pPr>
        <w:pStyle w:val="132"/>
        <w:snapToGrid w:val="0"/>
        <w:spacing w:before="0"/>
        <w:ind w:firstLine="0" w:firstLineChars="0"/>
        <w:rPr>
          <w:rFonts w:ascii="宋体" w:hAnsi="宋体" w:cs="宋体"/>
          <w:color w:val="auto"/>
          <w:highlight w:val="none"/>
        </w:rPr>
      </w:pPr>
      <w:r>
        <w:rPr>
          <w:rFonts w:hint="eastAsia" w:ascii="宋体" w:hAnsi="宋体" w:cs="宋体"/>
          <w:color w:val="auto"/>
          <w:highlight w:val="none"/>
        </w:rPr>
        <w:t xml:space="preserve"> 28.出现以上情形，不影响采购公平、公正性的，采购组织机构可以待上述情形消除后继续组织电子交易活动，也可以决定某些环节以纸质形式进行；影响或可能影响采购公平、公正性的，应当重新采购。</w:t>
      </w:r>
    </w:p>
    <w:p w14:paraId="6F7DA8E3">
      <w:pPr>
        <w:tabs>
          <w:tab w:val="left" w:pos="0"/>
        </w:tabs>
        <w:spacing w:line="360" w:lineRule="auto"/>
        <w:ind w:firstLine="480"/>
        <w:rPr>
          <w:rFonts w:ascii="宋体" w:hAnsi="宋体" w:cs="宋体"/>
          <w:color w:val="auto"/>
          <w:sz w:val="24"/>
          <w:highlight w:val="none"/>
        </w:rPr>
      </w:pPr>
    </w:p>
    <w:p w14:paraId="5AAABEDD">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九、验收</w:t>
      </w:r>
    </w:p>
    <w:p w14:paraId="1F7091D0">
      <w:pPr>
        <w:pStyle w:val="24"/>
        <w:spacing w:line="360" w:lineRule="auto"/>
        <w:ind w:firstLine="0" w:firstLineChars="0"/>
        <w:rPr>
          <w:rFonts w:cs="宋体"/>
          <w:b/>
          <w:color w:val="auto"/>
          <w:highlight w:val="none"/>
        </w:rPr>
      </w:pPr>
      <w:r>
        <w:rPr>
          <w:rFonts w:hint="eastAsia" w:cs="宋体"/>
          <w:b/>
          <w:color w:val="auto"/>
          <w:highlight w:val="none"/>
        </w:rPr>
        <w:t>29.验收</w:t>
      </w:r>
    </w:p>
    <w:p w14:paraId="48B0B985">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29.1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1B5D41E2">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29.2采购人可以邀请参加本项目的其他供应商或者第三方机构参与验收。参与验收的供应商或者第三方机构的意见作为验收书的参考资料一并存档。</w:t>
      </w:r>
    </w:p>
    <w:p w14:paraId="130B9648">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29.3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6179AC01">
      <w:pPr>
        <w:tabs>
          <w:tab w:val="left" w:pos="0"/>
        </w:tabs>
        <w:spacing w:line="360" w:lineRule="auto"/>
        <w:ind w:firstLine="480"/>
        <w:rPr>
          <w:rFonts w:ascii="宋体" w:hAnsi="宋体" w:cs="宋体"/>
          <w:color w:val="auto"/>
          <w:sz w:val="18"/>
          <w:szCs w:val="18"/>
          <w:highlight w:val="none"/>
        </w:rPr>
      </w:pPr>
      <w:r>
        <w:rPr>
          <w:rFonts w:hint="eastAsia" w:ascii="宋体" w:hAnsi="宋体" w:cs="宋体"/>
          <w:color w:val="auto"/>
          <w:kern w:val="0"/>
          <w:sz w:val="24"/>
          <w:highlight w:val="none"/>
        </w:rPr>
        <w:t>29.4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18"/>
    <w:p w14:paraId="531AFB66">
      <w:pPr>
        <w:tabs>
          <w:tab w:val="left" w:pos="0"/>
        </w:tabs>
        <w:spacing w:line="360" w:lineRule="auto"/>
        <w:ind w:firstLine="480"/>
        <w:rPr>
          <w:rFonts w:ascii="宋体" w:hAnsi="宋体" w:cs="宋体"/>
          <w:color w:val="auto"/>
          <w:kern w:val="0"/>
          <w:sz w:val="24"/>
          <w:highlight w:val="none"/>
        </w:rPr>
        <w:sectPr>
          <w:pgSz w:w="11906" w:h="16838"/>
          <w:pgMar w:top="1440" w:right="1080" w:bottom="1440" w:left="1080" w:header="851" w:footer="992" w:gutter="0"/>
          <w:cols w:space="720" w:num="1"/>
          <w:titlePg/>
          <w:docGrid w:linePitch="312" w:charSpace="0"/>
        </w:sectPr>
      </w:pPr>
      <w:bookmarkStart w:id="19" w:name="_Hlt74730295"/>
      <w:bookmarkEnd w:id="19"/>
      <w:bookmarkStart w:id="20" w:name="_Hlt68072998"/>
      <w:bookmarkEnd w:id="20"/>
      <w:bookmarkStart w:id="21" w:name="_Hlt74707468"/>
      <w:bookmarkEnd w:id="21"/>
      <w:bookmarkStart w:id="22" w:name="_Hlt68073093"/>
      <w:bookmarkEnd w:id="22"/>
      <w:bookmarkStart w:id="23" w:name="_Hlt68403820"/>
      <w:bookmarkEnd w:id="23"/>
      <w:bookmarkStart w:id="24" w:name="_Hlt68057669"/>
      <w:bookmarkEnd w:id="24"/>
      <w:bookmarkStart w:id="25" w:name="_Hlt75236290"/>
      <w:bookmarkEnd w:id="25"/>
      <w:bookmarkStart w:id="26" w:name="_Hlt75236011"/>
      <w:bookmarkEnd w:id="26"/>
      <w:bookmarkStart w:id="27" w:name="_Hlt75236101"/>
      <w:bookmarkEnd w:id="27"/>
      <w:bookmarkStart w:id="28" w:name="_Hlt74729768"/>
      <w:bookmarkEnd w:id="28"/>
      <w:bookmarkStart w:id="29" w:name="_Hlt74714665"/>
      <w:bookmarkEnd w:id="29"/>
      <w:bookmarkStart w:id="30" w:name="_Hlt68072990"/>
      <w:bookmarkEnd w:id="30"/>
    </w:p>
    <w:bookmarkEnd w:id="13"/>
    <w:bookmarkEnd w:id="14"/>
    <w:p w14:paraId="6EA19ECE">
      <w:pPr>
        <w:pStyle w:val="33"/>
        <w:spacing w:line="360" w:lineRule="auto"/>
        <w:jc w:val="center"/>
        <w:rPr>
          <w:rFonts w:hAnsi="宋体" w:cs="宋体"/>
          <w:b/>
          <w:snapToGrid/>
          <w:color w:val="auto"/>
          <w:sz w:val="36"/>
          <w:szCs w:val="20"/>
          <w:highlight w:val="none"/>
        </w:rPr>
      </w:pPr>
      <w:bookmarkStart w:id="31" w:name="第四部分"/>
      <w:r>
        <w:rPr>
          <w:rFonts w:hint="eastAsia" w:hAnsi="宋体" w:cs="宋体"/>
          <w:b/>
          <w:snapToGrid/>
          <w:color w:val="auto"/>
          <w:sz w:val="36"/>
          <w:szCs w:val="20"/>
          <w:highlight w:val="none"/>
        </w:rPr>
        <w:t>第三部分 采购需求</w:t>
      </w:r>
    </w:p>
    <w:p w14:paraId="2CA9EDFF">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一、工程概况：</w:t>
      </w:r>
      <w:r>
        <w:rPr>
          <w:rFonts w:hint="eastAsia" w:ascii="宋体" w:hAnsi="宋体" w:cs="宋体"/>
          <w:b w:val="0"/>
          <w:bCs/>
          <w:color w:val="auto"/>
          <w:sz w:val="24"/>
          <w:highlight w:val="none"/>
          <w:lang w:eastAsia="zh-CN"/>
        </w:rPr>
        <w:t>新开河（四季青段）入河排污口治理工程施工项目</w:t>
      </w:r>
      <w:r>
        <w:rPr>
          <w:rFonts w:hint="eastAsia" w:ascii="宋体" w:hAnsi="宋体" w:cs="宋体"/>
          <w:bCs/>
          <w:color w:val="auto"/>
          <w:sz w:val="24"/>
          <w:highlight w:val="none"/>
        </w:rPr>
        <w:t>，</w:t>
      </w:r>
      <w:r>
        <w:rPr>
          <w:rFonts w:hint="eastAsia" w:ascii="宋体" w:hAnsi="宋体" w:cs="宋体"/>
          <w:color w:val="auto"/>
          <w:sz w:val="24"/>
          <w:highlight w:val="none"/>
        </w:rPr>
        <w:t>具体内容详见工程量清单及</w:t>
      </w:r>
      <w:r>
        <w:rPr>
          <w:rFonts w:hint="eastAsia" w:ascii="宋体" w:hAnsi="宋体" w:cs="宋体"/>
          <w:color w:val="auto"/>
          <w:sz w:val="24"/>
          <w:highlight w:val="none"/>
          <w:lang w:val="en-US" w:eastAsia="zh-CN"/>
        </w:rPr>
        <w:t>施工</w:t>
      </w:r>
      <w:r>
        <w:rPr>
          <w:rFonts w:hint="eastAsia" w:ascii="宋体" w:hAnsi="宋体" w:cs="宋体"/>
          <w:color w:val="auto"/>
          <w:sz w:val="24"/>
          <w:highlight w:val="none"/>
        </w:rPr>
        <w:t>图纸。</w:t>
      </w:r>
    </w:p>
    <w:p w14:paraId="3FDE9EA3">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二、建设依据 ：</w:t>
      </w:r>
      <w:r>
        <w:rPr>
          <w:rFonts w:hint="eastAsia" w:ascii="宋体" w:hAnsi="宋体" w:cs="宋体"/>
          <w:color w:val="auto"/>
          <w:sz w:val="24"/>
          <w:highlight w:val="none"/>
        </w:rPr>
        <w:t>相关批准文件。</w:t>
      </w:r>
    </w:p>
    <w:p w14:paraId="3E74F2A9">
      <w:pPr>
        <w:spacing w:line="360" w:lineRule="auto"/>
        <w:rPr>
          <w:rFonts w:hint="eastAsia" w:ascii="宋体" w:hAnsi="宋体" w:cs="宋体"/>
          <w:b/>
          <w:color w:val="auto"/>
          <w:sz w:val="24"/>
          <w:highlight w:val="none"/>
        </w:rPr>
      </w:pPr>
      <w:r>
        <w:rPr>
          <w:rFonts w:hint="eastAsia" w:ascii="宋体" w:hAnsi="宋体" w:cs="宋体"/>
          <w:color w:val="auto"/>
          <w:sz w:val="24"/>
          <w:highlight w:val="none"/>
        </w:rPr>
        <w:t xml:space="preserve">    </w:t>
      </w:r>
      <w:r>
        <w:rPr>
          <w:rFonts w:hint="eastAsia" w:ascii="宋体" w:hAnsi="宋体" w:cs="宋体"/>
          <w:b/>
          <w:color w:val="auto"/>
          <w:sz w:val="24"/>
          <w:highlight w:val="none"/>
        </w:rPr>
        <w:t>三、有关单位和机构</w:t>
      </w:r>
    </w:p>
    <w:p w14:paraId="2058ADC5">
      <w:pPr>
        <w:spacing w:line="360" w:lineRule="auto"/>
        <w:ind w:firstLine="48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（一）采购人：</w:t>
      </w:r>
      <w:r>
        <w:rPr>
          <w:rFonts w:hint="eastAsia" w:ascii="宋体" w:hAnsi="宋体" w:cs="宋体"/>
          <w:color w:val="auto"/>
          <w:sz w:val="24"/>
          <w:highlight w:val="none"/>
          <w:lang w:val="en-US" w:eastAsia="zh-CN"/>
        </w:rPr>
        <w:t>杭州市上城区人民政府四季青街道办事处</w:t>
      </w:r>
    </w:p>
    <w:p w14:paraId="560A76C7">
      <w:pPr>
        <w:spacing w:line="360" w:lineRule="auto"/>
        <w:ind w:firstLine="480"/>
        <w:rPr>
          <w:rFonts w:hint="eastAsia" w:ascii="宋体" w:hAnsi="宋体" w:eastAsia="宋体" w:cs="宋体"/>
          <w:color w:val="auto"/>
          <w:sz w:val="24"/>
          <w:highlight w:val="none"/>
          <w:lang w:eastAsia="zh-CN"/>
        </w:rPr>
      </w:pPr>
      <w:r>
        <w:rPr>
          <w:rFonts w:hint="eastAsia" w:ascii="宋体" w:hAnsi="宋体" w:cs="宋体"/>
          <w:color w:val="auto"/>
          <w:sz w:val="24"/>
          <w:highlight w:val="none"/>
        </w:rPr>
        <w:t>（二） 代理机构：</w:t>
      </w:r>
      <w:r>
        <w:rPr>
          <w:rFonts w:hint="eastAsia" w:ascii="宋体" w:hAnsi="宋体" w:cs="宋体"/>
          <w:color w:val="auto"/>
          <w:sz w:val="24"/>
          <w:highlight w:val="none"/>
          <w:lang w:eastAsia="zh-CN"/>
        </w:rPr>
        <w:t>浙江广利工程咨询有限公司</w:t>
      </w:r>
    </w:p>
    <w:p w14:paraId="426BBE3B">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四、现场条件及踏勘</w:t>
      </w:r>
    </w:p>
    <w:p w14:paraId="3BEE04F6">
      <w:pPr>
        <w:spacing w:line="360" w:lineRule="auto"/>
        <w:ind w:firstLine="435"/>
        <w:rPr>
          <w:rFonts w:hint="eastAsia" w:ascii="宋体" w:hAnsi="宋体" w:cs="宋体"/>
          <w:color w:val="auto"/>
          <w:sz w:val="24"/>
          <w:highlight w:val="none"/>
        </w:rPr>
      </w:pPr>
      <w:r>
        <w:rPr>
          <w:rFonts w:hint="eastAsia" w:ascii="宋体" w:hAnsi="宋体" w:cs="宋体"/>
          <w:color w:val="auto"/>
          <w:sz w:val="24"/>
          <w:highlight w:val="none"/>
        </w:rPr>
        <w:t>（一）已经具备施工条件。</w:t>
      </w:r>
    </w:p>
    <w:p w14:paraId="55034D8C">
      <w:pPr>
        <w:spacing w:line="360" w:lineRule="auto"/>
        <w:ind w:firstLine="435"/>
        <w:rPr>
          <w:rFonts w:hint="eastAsia" w:ascii="宋体" w:hAnsi="宋体" w:cs="宋体"/>
          <w:color w:val="auto"/>
          <w:sz w:val="24"/>
          <w:highlight w:val="none"/>
        </w:rPr>
      </w:pPr>
      <w:r>
        <w:rPr>
          <w:rFonts w:hint="eastAsia" w:ascii="宋体" w:hAnsi="宋体" w:cs="宋体"/>
          <w:color w:val="auto"/>
          <w:sz w:val="24"/>
          <w:highlight w:val="none"/>
        </w:rPr>
        <w:t>（二）施工时间必须严格遵照园区的管理规定，分区域、分段施工，所有需预制加工的材料等均应在场外进行，并以成品运至施工现场使用，不得影响</w:t>
      </w:r>
      <w:r>
        <w:rPr>
          <w:rFonts w:hint="eastAsia" w:ascii="宋体" w:hAnsi="宋体" w:cs="宋体"/>
          <w:color w:val="auto"/>
          <w:sz w:val="24"/>
          <w:highlight w:val="none"/>
          <w:lang w:val="en-US" w:eastAsia="zh-CN"/>
        </w:rPr>
        <w:t>小</w:t>
      </w:r>
      <w:r>
        <w:rPr>
          <w:rFonts w:hint="eastAsia" w:ascii="宋体" w:hAnsi="宋体" w:cs="宋体"/>
          <w:color w:val="auto"/>
          <w:sz w:val="24"/>
          <w:highlight w:val="none"/>
        </w:rPr>
        <w:t>区及其他单位的正常运作。</w:t>
      </w:r>
    </w:p>
    <w:p w14:paraId="1510474A">
      <w:pPr>
        <w:pStyle w:val="36"/>
        <w:spacing w:line="360" w:lineRule="auto"/>
        <w:ind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供应商应自行进行现场踏勘，对工程现场和周围环境进行踏勘和了解，以获取有关编制响应文件和签署合同所需的各种资料，并应充分考虑影响本次报价的因素、预计实施过程中各种不利因素，由此可能发生的费用均由供应商考虑并包含在报价中。成交后，供应商不得再以不完全了解现场情况等为理由而提出额外付款或延长工期等的要求，若有此类要求，采购人将不作任何答复与考虑，供应商应承担现场踏勘的责任和风险，踏勘现场的费用由供应商自行承担。</w:t>
      </w:r>
    </w:p>
    <w:p w14:paraId="6E8A54C6">
      <w:pPr>
        <w:spacing w:line="360" w:lineRule="auto"/>
        <w:ind w:firstLine="480"/>
        <w:rPr>
          <w:rFonts w:hint="eastAsia" w:ascii="宋体" w:hAnsi="宋体" w:cs="宋体"/>
          <w:b/>
          <w:color w:val="auto"/>
          <w:sz w:val="24"/>
          <w:highlight w:val="none"/>
        </w:rPr>
      </w:pPr>
      <w:r>
        <w:rPr>
          <w:rFonts w:hint="eastAsia" w:ascii="宋体" w:hAnsi="宋体" w:cs="宋体"/>
          <w:b/>
          <w:color w:val="auto"/>
          <w:sz w:val="24"/>
          <w:highlight w:val="none"/>
        </w:rPr>
        <w:t>五、工程范围、内容和要求</w:t>
      </w:r>
    </w:p>
    <w:p w14:paraId="77967E57">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color w:val="auto"/>
          <w:sz w:val="24"/>
          <w:highlight w:val="none"/>
        </w:rPr>
      </w:pPr>
      <w:r>
        <w:rPr>
          <w:rFonts w:hint="eastAsia" w:ascii="宋体" w:hAnsi="宋体" w:cs="宋体"/>
          <w:b/>
          <w:color w:val="auto"/>
          <w:sz w:val="24"/>
          <w:highlight w:val="none"/>
        </w:rPr>
        <w:t>工程范围为</w:t>
      </w:r>
      <w:r>
        <w:rPr>
          <w:rFonts w:hint="eastAsia" w:ascii="宋体" w:hAnsi="宋体" w:cs="宋体"/>
          <w:b/>
          <w:color w:val="auto"/>
          <w:sz w:val="24"/>
          <w:highlight w:val="none"/>
          <w:lang w:eastAsia="zh-CN"/>
        </w:rPr>
        <w:t>新开河（四季青段）入河排污口治理工程施工项目</w:t>
      </w:r>
      <w:r>
        <w:rPr>
          <w:rFonts w:hint="eastAsia" w:ascii="宋体" w:hAnsi="宋体" w:cs="宋体"/>
          <w:b/>
          <w:color w:val="auto"/>
          <w:sz w:val="24"/>
          <w:highlight w:val="none"/>
        </w:rPr>
        <w:t>，包括：</w:t>
      </w:r>
    </w:p>
    <w:p w14:paraId="69CCBBB7">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cs="宋体"/>
          <w:b/>
          <w:color w:val="auto"/>
          <w:sz w:val="24"/>
          <w:highlight w:val="none"/>
        </w:rPr>
      </w:pPr>
      <w:r>
        <w:rPr>
          <w:rFonts w:hint="eastAsia" w:ascii="宋体" w:hAnsi="宋体" w:cs="宋体"/>
          <w:b/>
          <w:color w:val="auto"/>
          <w:sz w:val="24"/>
          <w:highlight w:val="none"/>
        </w:rPr>
        <w:t>（一）采购文件及其工程量清单要求的工作内容，结合供应商现场踏勘后作出的判断，并将所有不利因素、风险因素、单位的管理规定、分区域分段施工以及与施工工艺相关的工作均考虑在报价中。</w:t>
      </w:r>
    </w:p>
    <w:p w14:paraId="5BF6F95A">
      <w:pPr>
        <w:pStyle w:val="43"/>
        <w:keepNext w:val="0"/>
        <w:keepLines w:val="0"/>
        <w:pageBreakBefore w:val="0"/>
        <w:kinsoku/>
        <w:wordWrap/>
        <w:overflowPunct/>
        <w:topLinePunct w:val="0"/>
        <w:autoSpaceDE/>
        <w:autoSpaceDN/>
        <w:bidi w:val="0"/>
        <w:adjustRightInd w:val="0"/>
        <w:spacing w:line="360" w:lineRule="auto"/>
        <w:textAlignment w:val="auto"/>
        <w:rPr>
          <w:rFonts w:hint="eastAsia"/>
          <w:color w:val="auto"/>
          <w:highlight w:val="none"/>
        </w:rPr>
      </w:pPr>
      <w:r>
        <w:rPr>
          <w:rFonts w:hint="eastAsia"/>
          <w:color w:val="auto"/>
          <w:highlight w:val="none"/>
        </w:rPr>
        <w:t xml:space="preserve"> </w:t>
      </w:r>
      <w:r>
        <w:rPr>
          <w:rFonts w:hint="eastAsia"/>
          <w:b/>
          <w:bCs/>
          <w:color w:val="auto"/>
          <w:sz w:val="24"/>
          <w:highlight w:val="none"/>
        </w:rPr>
        <w:t xml:space="preserve"> （二）施工用水、用电由发包人接至施工现场附近，由变压器下端和自来水出口接至施工现场的相关费用及场内的用电接线盒、用水接管（含水表和电表）等由承包人负责并自行考虑在技术措施项目中综合报价，结算时不作调整。承包人应考虑自备发电设备和临时蓄水池，以防止施工过程中的临时停电和停水对工程进度和质量等的影响，费用包含在相关措施费中。</w:t>
      </w:r>
    </w:p>
    <w:p w14:paraId="49BD2C1D">
      <w:pPr>
        <w:keepNext w:val="0"/>
        <w:keepLines w:val="0"/>
        <w:pageBreakBefore w:val="0"/>
        <w:kinsoku/>
        <w:wordWrap/>
        <w:overflowPunct/>
        <w:topLinePunct w:val="0"/>
        <w:autoSpaceDE/>
        <w:autoSpaceDN/>
        <w:bidi w:val="0"/>
        <w:adjustRightInd w:val="0"/>
        <w:spacing w:line="360" w:lineRule="auto"/>
        <w:textAlignment w:val="auto"/>
        <w:rPr>
          <w:rFonts w:hint="eastAsia" w:ascii="宋体" w:hAnsi="宋体" w:cs="宋体"/>
          <w:b/>
          <w:color w:val="auto"/>
          <w:sz w:val="24"/>
          <w:highlight w:val="none"/>
        </w:rPr>
      </w:pPr>
      <w:r>
        <w:rPr>
          <w:rFonts w:hint="eastAsia" w:ascii="宋体" w:hAnsi="宋体" w:cs="宋体"/>
          <w:b/>
          <w:color w:val="auto"/>
          <w:sz w:val="24"/>
          <w:highlight w:val="none"/>
        </w:rPr>
        <w:t>（三）采购人根据项目实施的需要要求供应商完成的其他工作和配合工作。</w:t>
      </w:r>
    </w:p>
    <w:p w14:paraId="679604BC">
      <w:pPr>
        <w:pStyle w:val="5"/>
        <w:keepNext w:val="0"/>
        <w:keepLines w:val="0"/>
        <w:pageBreakBefore w:val="0"/>
        <w:kinsoku/>
        <w:wordWrap/>
        <w:overflowPunct/>
        <w:topLinePunct w:val="0"/>
        <w:autoSpaceDE/>
        <w:autoSpaceDN/>
        <w:bidi w:val="0"/>
        <w:adjustRightInd w:val="0"/>
        <w:spacing w:line="360" w:lineRule="auto"/>
        <w:ind w:firstLine="0"/>
        <w:textAlignment w:val="auto"/>
        <w:rPr>
          <w:rFonts w:hint="eastAsia"/>
          <w:b/>
          <w:bCs/>
          <w:color w:val="auto"/>
          <w:sz w:val="24"/>
          <w:szCs w:val="24"/>
          <w:highlight w:val="none"/>
        </w:rPr>
      </w:pPr>
      <w:r>
        <w:rPr>
          <w:rFonts w:hint="eastAsia"/>
          <w:b/>
          <w:bCs/>
          <w:color w:val="auto"/>
          <w:sz w:val="24"/>
          <w:szCs w:val="24"/>
          <w:highlight w:val="none"/>
        </w:rPr>
        <w:t>（四）成品保护：承包人应做好施工现场建筑物、构筑物、设备、管线的保护工作，并对所造成的损伤、损害负全部责任，承担全部费用。对采取的保护措施发生的费用列入措施费；发现损坏应及时抢修，确保在影响范围内的设备、管线、建筑物、构筑物的正常使用，并承担有关费用。为此增加的技术措施费包含在投标报价中。</w:t>
      </w:r>
    </w:p>
    <w:p w14:paraId="24555200">
      <w:pPr>
        <w:pStyle w:val="5"/>
        <w:keepNext w:val="0"/>
        <w:keepLines w:val="0"/>
        <w:pageBreakBefore w:val="0"/>
        <w:kinsoku/>
        <w:wordWrap/>
        <w:overflowPunct/>
        <w:topLinePunct w:val="0"/>
        <w:autoSpaceDE/>
        <w:autoSpaceDN/>
        <w:bidi w:val="0"/>
        <w:adjustRightInd w:val="0"/>
        <w:spacing w:line="360" w:lineRule="auto"/>
        <w:ind w:firstLine="0"/>
        <w:textAlignment w:val="auto"/>
        <w:rPr>
          <w:rFonts w:hint="eastAsia"/>
          <w:color w:val="auto"/>
          <w:highlight w:val="none"/>
        </w:rPr>
      </w:pPr>
      <w:r>
        <w:rPr>
          <w:rFonts w:hint="eastAsia"/>
          <w:b/>
          <w:bCs/>
          <w:color w:val="auto"/>
          <w:sz w:val="24"/>
          <w:szCs w:val="24"/>
          <w:highlight w:val="none"/>
        </w:rPr>
        <w:t>（五）施工场地清洁卫生要求：按浙江省、杭州市标化工地管理的有关要求、规定执行。所发生的各项清理费用、临时性收费、临时性占用场地费、临时性设施费及不可预见的费用，均已包括在合同总价内。施工场地做到“工完、料净、场地清”，承担因自身原因违反有关规定造成的损失和罚款。</w:t>
      </w:r>
    </w:p>
    <w:p w14:paraId="1EC61051">
      <w:pPr>
        <w:keepNext w:val="0"/>
        <w:keepLines w:val="0"/>
        <w:pageBreakBefore w:val="0"/>
        <w:kinsoku/>
        <w:wordWrap/>
        <w:overflowPunct/>
        <w:topLinePunct w:val="0"/>
        <w:autoSpaceDE/>
        <w:autoSpaceDN/>
        <w:bidi w:val="0"/>
        <w:adjustRightInd w:val="0"/>
        <w:spacing w:line="360" w:lineRule="auto"/>
        <w:textAlignment w:val="auto"/>
        <w:rPr>
          <w:rFonts w:hint="eastAsia" w:ascii="宋体" w:hAnsi="宋体" w:cs="宋体"/>
          <w:b/>
          <w:color w:val="auto"/>
          <w:sz w:val="24"/>
          <w:highlight w:val="none"/>
        </w:rPr>
      </w:pPr>
      <w:r>
        <w:rPr>
          <w:rFonts w:hint="eastAsia" w:ascii="宋体" w:hAnsi="宋体" w:cs="宋体"/>
          <w:b/>
          <w:color w:val="auto"/>
          <w:sz w:val="24"/>
          <w:highlight w:val="none"/>
        </w:rPr>
        <w:t>（六）负责工程竣工验收技术资料的汇总、整理、移交工作。</w:t>
      </w:r>
    </w:p>
    <w:p w14:paraId="6F6906CB">
      <w:pPr>
        <w:keepNext w:val="0"/>
        <w:keepLines w:val="0"/>
        <w:pageBreakBefore w:val="0"/>
        <w:kinsoku/>
        <w:wordWrap/>
        <w:overflowPunct/>
        <w:topLinePunct w:val="0"/>
        <w:autoSpaceDE/>
        <w:autoSpaceDN/>
        <w:bidi w:val="0"/>
        <w:adjustRightInd w:val="0"/>
        <w:spacing w:line="360" w:lineRule="auto"/>
        <w:ind w:firstLine="482" w:firstLineChars="200"/>
        <w:textAlignment w:val="auto"/>
        <w:rPr>
          <w:rFonts w:hint="eastAsia" w:ascii="宋体" w:hAnsi="宋体" w:cs="宋体"/>
          <w:b/>
          <w:color w:val="auto"/>
          <w:sz w:val="24"/>
          <w:highlight w:val="none"/>
        </w:rPr>
      </w:pPr>
      <w:r>
        <w:rPr>
          <w:rFonts w:hint="eastAsia" w:ascii="宋体" w:hAnsi="宋体" w:cs="宋体"/>
          <w:b/>
          <w:color w:val="auto"/>
          <w:sz w:val="24"/>
          <w:highlight w:val="none"/>
        </w:rPr>
        <w:t>注：现场，土方、垃圾清运（包括所有现场残余物、废弃物、以及因施工、拆除导致的所有垃圾）距离由供应商自行考虑，结算时不予调整。</w:t>
      </w:r>
    </w:p>
    <w:p w14:paraId="1CC63DD2">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六、 施工质量目标</w:t>
      </w:r>
    </w:p>
    <w:p w14:paraId="7E6912AE">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符合设计要求，工程质量达到国家规定的验收合格标准，确保一次性验收合格。</w:t>
      </w:r>
    </w:p>
    <w:p w14:paraId="7EC699DE">
      <w:pPr>
        <w:spacing w:line="360" w:lineRule="auto"/>
        <w:ind w:firstLine="480" w:firstLineChars="200"/>
        <w:rPr>
          <w:rFonts w:hint="eastAsia" w:ascii="宋体" w:hAnsi="宋体" w:cs="宋体"/>
          <w:b/>
          <w:color w:val="auto"/>
          <w:sz w:val="24"/>
          <w:highlight w:val="none"/>
        </w:rPr>
      </w:pPr>
      <w:r>
        <w:rPr>
          <w:rFonts w:hint="eastAsia" w:ascii="宋体" w:hAnsi="宋体" w:cs="宋体"/>
          <w:bCs/>
          <w:color w:val="auto"/>
          <w:sz w:val="24"/>
          <w:highlight w:val="none"/>
        </w:rPr>
        <w:t>供应商成交后必须严格按合同条款、施工图设计及审定的施工组织设计方案及相关施工规范、技术标准精心组织施工。</w:t>
      </w:r>
    </w:p>
    <w:p w14:paraId="44AC9EC9">
      <w:pPr>
        <w:spacing w:line="360" w:lineRule="auto"/>
        <w:ind w:firstLine="482" w:firstLineChars="200"/>
        <w:rPr>
          <w:rFonts w:hint="eastAsia" w:ascii="宋体" w:hAnsi="宋体" w:cs="宋体"/>
          <w:bCs/>
          <w:color w:val="auto"/>
          <w:sz w:val="24"/>
          <w:highlight w:val="none"/>
        </w:rPr>
      </w:pPr>
      <w:r>
        <w:rPr>
          <w:rFonts w:hint="eastAsia" w:ascii="宋体" w:hAnsi="宋体" w:cs="宋体"/>
          <w:b/>
          <w:color w:val="auto"/>
          <w:sz w:val="24"/>
          <w:highlight w:val="none"/>
        </w:rPr>
        <w:t>七、</w:t>
      </w:r>
      <w:r>
        <w:rPr>
          <w:rFonts w:hint="eastAsia" w:ascii="宋体" w:hAnsi="宋体" w:cs="宋体"/>
          <w:color w:val="auto"/>
          <w:sz w:val="24"/>
          <w:szCs w:val="20"/>
          <w:highlight w:val="none"/>
        </w:rPr>
        <w:t>▲</w:t>
      </w:r>
      <w:r>
        <w:rPr>
          <w:rFonts w:hint="eastAsia" w:ascii="宋体" w:hAnsi="宋体" w:cs="宋体"/>
          <w:b/>
          <w:color w:val="auto"/>
          <w:sz w:val="24"/>
          <w:highlight w:val="none"/>
        </w:rPr>
        <w:t>施工进度要求：合同签订后</w:t>
      </w:r>
      <w:r>
        <w:rPr>
          <w:rFonts w:hint="eastAsia" w:ascii="宋体" w:hAnsi="宋体" w:cs="宋体"/>
          <w:b/>
          <w:color w:val="auto"/>
          <w:sz w:val="24"/>
          <w:highlight w:val="none"/>
          <w:lang w:val="en-US" w:eastAsia="zh-CN"/>
        </w:rPr>
        <w:t>90</w:t>
      </w:r>
      <w:r>
        <w:rPr>
          <w:rFonts w:hint="eastAsia" w:ascii="宋体" w:hAnsi="宋体" w:cs="宋体"/>
          <w:b/>
          <w:color w:val="auto"/>
          <w:sz w:val="24"/>
          <w:highlight w:val="none"/>
        </w:rPr>
        <w:t>日历天内完工</w:t>
      </w:r>
      <w:r>
        <w:rPr>
          <w:rFonts w:hint="eastAsia" w:ascii="宋体" w:hAnsi="宋体" w:cs="宋体"/>
          <w:bCs/>
          <w:color w:val="auto"/>
          <w:sz w:val="24"/>
          <w:highlight w:val="none"/>
        </w:rPr>
        <w:t>。</w:t>
      </w:r>
    </w:p>
    <w:p w14:paraId="119EB371">
      <w:pPr>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供应商根据各自的施工经验以及工程特点，现场提供的条件，同时充分考虑各种可能产生的不利因素，并结合企业自身实力，确定工期及相应的保证措施。</w:t>
      </w:r>
      <w:r>
        <w:rPr>
          <w:rFonts w:hint="eastAsia" w:ascii="宋体" w:hAnsi="宋体" w:cs="宋体"/>
          <w:color w:val="auto"/>
          <w:sz w:val="24"/>
          <w:highlight w:val="none"/>
        </w:rPr>
        <w:t>成交供应商应在收到采购人通知后三天内进场，作好施工准备。正式开工日期以采购人的项目管理部门发出开工令为准，竣工日期以竣工总体验收合格日期为准。供应商根据自身实力，确定具有竞争力的施工总工期及合理的进度计划。磋商应明确完工时间和整体交付时间，如果成交，该工期将作为合同工期。</w:t>
      </w:r>
    </w:p>
    <w:p w14:paraId="20F3C7A6">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八、设备、材料供应</w:t>
      </w:r>
    </w:p>
    <w:p w14:paraId="684B3959">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一）本工作所需全部材料均由成交供应商负责采购（除非采购文件及合同中另有约定）。所有材料均应有合格证或质保书，并经采购人的项目管理部门确认，但该确认并不能免除或减少成交供应商应负的任何质量责任。成交供应商若使用劣质建材施工，一经发现，采购人有权制止使用，甚至责令停工、返工或终止合同。无论采购人是否发现和制止，由于使用劣质建材施工所引起的责任均由成交供应商负责并负责赔偿由此引起的直接和间接的经济损失。</w:t>
      </w:r>
    </w:p>
    <w:p w14:paraId="5633F020">
      <w:pPr>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（二）由采购人采购的成品（若有）只计取安装费，设备运输、验收、保管等相关费用由供应商在报价中综合考虑。设备本身的价格不进入报价。</w:t>
      </w:r>
    </w:p>
    <w:p w14:paraId="35F06292">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九、工程管理原则</w:t>
      </w:r>
    </w:p>
    <w:p w14:paraId="6D9A2323">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一）本工程承包范围内的工程项目，成交供应商未经采购人同意，一律不得分包、转包，成交供应商擅自分包、转包以违约论，一经发现立即取消成交供应商的承包资格，成交供应商应承担由此引起的一切经济责任和法律责任，扣罚履约保证金。</w:t>
      </w:r>
    </w:p>
    <w:p w14:paraId="2FB20F38">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（二）在工程实施过程中，如发现成交供应商为挂靠单位，采购人可立即终止合同。成交供应商应承担由此引起的一切经济责任和法律责任，扣罚履约保证金，并报建设工程主管部门。</w:t>
      </w:r>
    </w:p>
    <w:p w14:paraId="70256363">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（三）成交供应商严格按照已确认的施工技术方案组织实施，并无条件接受采购人的项目管理部门的管理。</w:t>
      </w:r>
    </w:p>
    <w:p w14:paraId="6224CEEC">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四）成交供应商在响应文件中确定的工程项目经理及项目管理班子人员，未经采购人同意，不得调换和撤离，本工程确定的成交供应商的项目管理班子成员，不得兼任其他工程职务并应完全到位。采购人有权要求成交供应商撤换工作不负责任、管理不力、贻误工期、违法乱纪及造成严重安全事故和工程质量事故的项目班子的任何人员，直至项目经理本人。如项目班子成员被采购人撤换，按项目班子成员不到位处罚额度进行处罚，成交供应商不得姑息迁就，拖延撤换和有碍工程进展，否则，采购人有权单方面终止合同，并对由此造成的采购人损失，予以追究赔偿。</w:t>
      </w:r>
    </w:p>
    <w:p w14:paraId="6D4A3EBD">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（五）安全施工、文明管理：</w:t>
      </w:r>
    </w:p>
    <w:p w14:paraId="443AD8F4">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1.施工单位成交后服从当地政府有关部门在社会治安、综合治理、计划生育、交通管理、环境保护等的管理规定，成交供应商应设专职人员负责本条款的执行，采购人有权对此进行监督检查。</w:t>
      </w:r>
    </w:p>
    <w:p w14:paraId="0F1E290B">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2.响应文件中应有详细的施工安全措施和安全管理组织及配备专职负责人的说明和承诺，以确保安全生产。</w:t>
      </w:r>
    </w:p>
    <w:p w14:paraId="0F70E19A">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3.成交供应商在工程施工期间，必须配备专职用电管理员，全面负责施工用电的管理。</w:t>
      </w:r>
    </w:p>
    <w:p w14:paraId="62E00321">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4.成交供应商在施工全过程中，要认真做好材料和成品的保护，因失窃失火或其他原因而造成的损失均由成交供应商负责。凡由此而损及采购人利益时，成交供应商应负责赔偿采购人的损失。因该工程是改造工程，做好成品保护，若因施工管理不当造成损坏，成交供应商应相应赔偿甲方的经济损失。若需要更换损坏物品时，施工方在更换前必须报甲方认可后，方能更换。</w:t>
      </w:r>
    </w:p>
    <w:p w14:paraId="63C0DBFB">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5.在工程施工过程中，成交供应商必须确保施工安全。因成交供应商原因造成的一切安全事故，由成交供应商承担全部经济责任和法律责任。同时严禁在施工现场抽烟，若经发现甲方必将严罚。若因施工需要要使用明火，施工方必须事先报甲方认可，必做好相应的消防安全措施。</w:t>
      </w:r>
    </w:p>
    <w:p w14:paraId="0EC6BE6D">
      <w:pPr>
        <w:spacing w:line="360" w:lineRule="auto"/>
        <w:ind w:firstLine="480" w:firstLineChars="200"/>
        <w:rPr>
          <w:rFonts w:hint="eastAsia" w:ascii="宋体" w:hAnsi="宋体" w:cs="宋体"/>
          <w:b w:val="0"/>
          <w:bCs/>
          <w:color w:val="auto"/>
          <w:sz w:val="24"/>
          <w:highlight w:val="none"/>
        </w:rPr>
      </w:pPr>
      <w:r>
        <w:rPr>
          <w:rFonts w:hint="eastAsia" w:ascii="宋体" w:hAnsi="宋体" w:cs="宋体"/>
          <w:b w:val="0"/>
          <w:bCs/>
          <w:color w:val="auto"/>
          <w:sz w:val="24"/>
          <w:highlight w:val="none"/>
        </w:rPr>
        <w:t>6.成交供应商因自身施工而对相邻工程施工造成影响，由成交供应商采取措施解决，费用由成交供应商负担。成交供应商还应做到文明施工，要考虑到周围居民的休息，不能因为施工而影响周围居民，要合理安排好施工时间。</w:t>
      </w:r>
    </w:p>
    <w:p w14:paraId="1590BDB5">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7.施工现场产生的施工建筑垃圾必须当日清除，并在规定时间段清运掉，同时不得将垃圾散落在园区内外，影响周边的卫生。根据园区管理及文明施工的要求，外运垃圾时不能暴露在外，要包装好。</w:t>
      </w:r>
    </w:p>
    <w:p w14:paraId="6B25F10C">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（六）成交供应商应负责涉及本工程施工的其他配合工作。</w:t>
      </w:r>
    </w:p>
    <w:p w14:paraId="43D29F32">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十、质量保修期</w:t>
      </w:r>
    </w:p>
    <w:p w14:paraId="330FEFF3">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总体质量要求：符合设计要求，确保工程质量达到国家规定合格质量标准，且一次验收合格。具体为：</w:t>
      </w:r>
    </w:p>
    <w:p w14:paraId="1F93F919">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（一）必须达到国家相关规范、标准的要求和施工图纸及技术资料要求的各项技术指标，不得违反强制性条文的规定。</w:t>
      </w:r>
    </w:p>
    <w:p w14:paraId="1AEB07E2">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（二）必须严格按合同条款、施工图纸及设计说明文件、施工验收规范精心组织施工，确保工程质量。</w:t>
      </w:r>
    </w:p>
    <w:p w14:paraId="7A16217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（三）本工程质量保修期为两年。（国家对此有强制性规定的，应从其规定）</w:t>
      </w:r>
    </w:p>
    <w:p w14:paraId="540251E6">
      <w:pPr>
        <w:spacing w:line="360" w:lineRule="auto"/>
        <w:ind w:firstLine="482" w:firstLineChars="200"/>
        <w:rPr>
          <w:rFonts w:hint="eastAsia"/>
          <w:b/>
          <w:bCs/>
          <w:color w:val="auto"/>
          <w:sz w:val="24"/>
          <w:highlight w:val="none"/>
        </w:rPr>
      </w:pPr>
      <w:r>
        <w:rPr>
          <w:rFonts w:hint="eastAsia"/>
          <w:b/>
          <w:bCs/>
          <w:color w:val="auto"/>
          <w:sz w:val="24"/>
          <w:highlight w:val="none"/>
        </w:rPr>
        <w:t>十</w:t>
      </w:r>
      <w:r>
        <w:rPr>
          <w:rFonts w:hint="eastAsia"/>
          <w:b/>
          <w:bCs/>
          <w:color w:val="auto"/>
          <w:sz w:val="24"/>
          <w:highlight w:val="none"/>
          <w:lang w:val="en-US" w:eastAsia="zh-CN"/>
        </w:rPr>
        <w:t>一</w:t>
      </w:r>
      <w:r>
        <w:rPr>
          <w:rFonts w:hint="eastAsia"/>
          <w:b/>
          <w:bCs/>
          <w:color w:val="auto"/>
          <w:sz w:val="24"/>
          <w:highlight w:val="none"/>
        </w:rPr>
        <w:t>、其他要求</w:t>
      </w:r>
    </w:p>
    <w:p w14:paraId="2E66F4D0">
      <w:pPr>
        <w:spacing w:line="360" w:lineRule="auto"/>
        <w:ind w:firstLine="480" w:firstLineChars="200"/>
        <w:rPr>
          <w:rFonts w:hint="eastAsia"/>
          <w:b w:val="0"/>
          <w:bCs w:val="0"/>
          <w:color w:val="auto"/>
          <w:sz w:val="24"/>
          <w:highlight w:val="none"/>
        </w:rPr>
      </w:pPr>
      <w:r>
        <w:rPr>
          <w:rFonts w:hint="eastAsia"/>
          <w:b w:val="0"/>
          <w:bCs w:val="0"/>
          <w:color w:val="auto"/>
          <w:sz w:val="24"/>
          <w:highlight w:val="none"/>
        </w:rPr>
        <w:t>（一）供应商应基于上述各项要求编制施工组织设计（施工方案），请特别阐明针对本项目施工环境需要采取的施工技术和组织措施情况。</w:t>
      </w:r>
    </w:p>
    <w:p w14:paraId="5F1AC2E1">
      <w:pPr>
        <w:spacing w:line="360" w:lineRule="auto"/>
        <w:ind w:firstLine="480" w:firstLineChars="200"/>
        <w:rPr>
          <w:rFonts w:hint="eastAsia"/>
          <w:b w:val="0"/>
          <w:bCs w:val="0"/>
          <w:color w:val="auto"/>
          <w:sz w:val="24"/>
          <w:highlight w:val="none"/>
        </w:rPr>
      </w:pPr>
      <w:r>
        <w:rPr>
          <w:rFonts w:hint="eastAsia"/>
          <w:b w:val="0"/>
          <w:bCs w:val="0"/>
          <w:color w:val="auto"/>
          <w:sz w:val="24"/>
          <w:highlight w:val="none"/>
        </w:rPr>
        <w:t>（二）供应商应组建与本项目相适应的项目管理班子。</w:t>
      </w:r>
    </w:p>
    <w:p w14:paraId="5BBDC45B">
      <w:pPr>
        <w:spacing w:line="360" w:lineRule="auto"/>
        <w:ind w:firstLine="480" w:firstLineChars="200"/>
        <w:rPr>
          <w:rFonts w:hint="eastAsia"/>
          <w:b w:val="0"/>
          <w:bCs w:val="0"/>
          <w:color w:val="auto"/>
          <w:sz w:val="24"/>
          <w:highlight w:val="none"/>
        </w:rPr>
      </w:pPr>
      <w:r>
        <w:rPr>
          <w:rFonts w:hint="eastAsia"/>
          <w:b w:val="0"/>
          <w:bCs w:val="0"/>
          <w:color w:val="auto"/>
          <w:sz w:val="24"/>
          <w:highlight w:val="none"/>
        </w:rPr>
        <w:t>（三）针对本项目的劳动力投入应能满足工程质量、施工进度的要求，供应商应在响应文件中详细描述。</w:t>
      </w:r>
    </w:p>
    <w:p w14:paraId="3EE7FECF">
      <w:pPr>
        <w:spacing w:line="360" w:lineRule="auto"/>
        <w:ind w:firstLine="480" w:firstLineChars="200"/>
        <w:rPr>
          <w:rFonts w:hint="eastAsia"/>
          <w:b w:val="0"/>
          <w:bCs w:val="0"/>
          <w:color w:val="auto"/>
          <w:sz w:val="24"/>
          <w:highlight w:val="none"/>
        </w:rPr>
      </w:pPr>
      <w:r>
        <w:rPr>
          <w:rFonts w:hint="eastAsia"/>
          <w:b w:val="0"/>
          <w:bCs w:val="0"/>
          <w:color w:val="auto"/>
          <w:sz w:val="24"/>
          <w:highlight w:val="none"/>
        </w:rPr>
        <w:t>（</w:t>
      </w:r>
      <w:r>
        <w:rPr>
          <w:rFonts w:hint="eastAsia"/>
          <w:b w:val="0"/>
          <w:bCs w:val="0"/>
          <w:color w:val="auto"/>
          <w:sz w:val="24"/>
          <w:highlight w:val="none"/>
          <w:lang w:val="en-US" w:eastAsia="zh-CN"/>
        </w:rPr>
        <w:t>四</w:t>
      </w:r>
      <w:r>
        <w:rPr>
          <w:rFonts w:hint="eastAsia"/>
          <w:b w:val="0"/>
          <w:bCs w:val="0"/>
          <w:color w:val="auto"/>
          <w:sz w:val="24"/>
          <w:highlight w:val="none"/>
        </w:rPr>
        <w:t>）供应商应阐述工程投入的施工机械设备情况、主要施工机械进场计划，确保能完全满足本项目需求且合理可行。</w:t>
      </w:r>
    </w:p>
    <w:p w14:paraId="6029A8AF">
      <w:pPr>
        <w:spacing w:line="360" w:lineRule="auto"/>
        <w:ind w:firstLine="480" w:firstLineChars="200"/>
        <w:rPr>
          <w:rFonts w:hint="eastAsia"/>
          <w:b w:val="0"/>
          <w:bCs w:val="0"/>
          <w:color w:val="auto"/>
          <w:sz w:val="24"/>
          <w:highlight w:val="none"/>
        </w:rPr>
      </w:pPr>
      <w:r>
        <w:rPr>
          <w:rFonts w:hint="eastAsia"/>
          <w:b w:val="0"/>
          <w:bCs w:val="0"/>
          <w:color w:val="auto"/>
          <w:sz w:val="24"/>
          <w:highlight w:val="none"/>
        </w:rPr>
        <w:t>（</w:t>
      </w:r>
      <w:r>
        <w:rPr>
          <w:rFonts w:hint="eastAsia"/>
          <w:b w:val="0"/>
          <w:bCs w:val="0"/>
          <w:color w:val="auto"/>
          <w:sz w:val="24"/>
          <w:highlight w:val="none"/>
          <w:lang w:val="en-US" w:eastAsia="zh-CN"/>
        </w:rPr>
        <w:t>五</w:t>
      </w:r>
      <w:r>
        <w:rPr>
          <w:rFonts w:hint="eastAsia"/>
          <w:b w:val="0"/>
          <w:bCs w:val="0"/>
          <w:color w:val="auto"/>
          <w:sz w:val="24"/>
          <w:highlight w:val="none"/>
        </w:rPr>
        <w:t>）供应商应明确承诺施工总工期，不得长于采购文件规定的工期要求，同时列明详细的进度计划。</w:t>
      </w:r>
    </w:p>
    <w:p w14:paraId="3F682CFA">
      <w:pPr>
        <w:spacing w:line="360" w:lineRule="auto"/>
        <w:ind w:firstLine="480" w:firstLineChars="200"/>
        <w:rPr>
          <w:rFonts w:hint="eastAsia"/>
          <w:b w:val="0"/>
          <w:bCs w:val="0"/>
          <w:color w:val="auto"/>
          <w:sz w:val="24"/>
          <w:highlight w:val="none"/>
        </w:rPr>
      </w:pPr>
      <w:r>
        <w:rPr>
          <w:rFonts w:hint="eastAsia"/>
          <w:b w:val="0"/>
          <w:bCs w:val="0"/>
          <w:color w:val="auto"/>
          <w:sz w:val="24"/>
          <w:highlight w:val="none"/>
        </w:rPr>
        <w:t>（</w:t>
      </w:r>
      <w:r>
        <w:rPr>
          <w:rFonts w:hint="eastAsia"/>
          <w:b w:val="0"/>
          <w:bCs w:val="0"/>
          <w:color w:val="auto"/>
          <w:sz w:val="24"/>
          <w:highlight w:val="none"/>
          <w:lang w:val="en-US" w:eastAsia="zh-CN"/>
        </w:rPr>
        <w:t>六</w:t>
      </w:r>
      <w:r>
        <w:rPr>
          <w:rFonts w:hint="eastAsia"/>
          <w:b w:val="0"/>
          <w:bCs w:val="0"/>
          <w:color w:val="auto"/>
          <w:sz w:val="24"/>
          <w:highlight w:val="none"/>
        </w:rPr>
        <w:t>）为实现本工程的质量目标，供应商应制订合理的质量控制手段以及达到质量目标的措施，措施方案应科学、合理、可行。</w:t>
      </w:r>
    </w:p>
    <w:p w14:paraId="6A83B413">
      <w:pPr>
        <w:spacing w:line="360" w:lineRule="auto"/>
        <w:ind w:firstLine="480" w:firstLineChars="200"/>
        <w:rPr>
          <w:rFonts w:hint="eastAsia"/>
          <w:b w:val="0"/>
          <w:bCs w:val="0"/>
          <w:color w:val="auto"/>
          <w:highlight w:val="none"/>
        </w:rPr>
      </w:pPr>
      <w:r>
        <w:rPr>
          <w:rFonts w:hint="eastAsia"/>
          <w:b w:val="0"/>
          <w:bCs w:val="0"/>
          <w:color w:val="auto"/>
          <w:sz w:val="24"/>
          <w:highlight w:val="none"/>
        </w:rPr>
        <w:t>（</w:t>
      </w:r>
      <w:r>
        <w:rPr>
          <w:rFonts w:hint="eastAsia"/>
          <w:b w:val="0"/>
          <w:bCs w:val="0"/>
          <w:color w:val="auto"/>
          <w:sz w:val="24"/>
          <w:highlight w:val="none"/>
          <w:lang w:val="en-US" w:eastAsia="zh-CN"/>
        </w:rPr>
        <w:t>七</w:t>
      </w:r>
      <w:r>
        <w:rPr>
          <w:rFonts w:hint="eastAsia"/>
          <w:b w:val="0"/>
          <w:bCs w:val="0"/>
          <w:color w:val="auto"/>
          <w:sz w:val="24"/>
          <w:highlight w:val="none"/>
        </w:rPr>
        <w:t>）供应商若能提供项目重点难点措施、合理化建议及承诺的，应对重点难点措施作针对性分析，并提供具有实质性意义的合理化建议及承诺。</w:t>
      </w:r>
    </w:p>
    <w:p w14:paraId="689BF6DB">
      <w:pPr>
        <w:spacing w:line="360" w:lineRule="auto"/>
        <w:ind w:firstLine="480" w:firstLineChars="200"/>
        <w:rPr>
          <w:rFonts w:hint="eastAsia"/>
          <w:b w:val="0"/>
          <w:bCs w:val="0"/>
          <w:color w:val="auto"/>
          <w:sz w:val="24"/>
          <w:highlight w:val="none"/>
        </w:rPr>
      </w:pPr>
      <w:r>
        <w:rPr>
          <w:rFonts w:hint="eastAsia"/>
          <w:b w:val="0"/>
          <w:bCs w:val="0"/>
          <w:color w:val="auto"/>
          <w:sz w:val="24"/>
          <w:highlight w:val="none"/>
        </w:rPr>
        <w:t>（</w:t>
      </w:r>
      <w:r>
        <w:rPr>
          <w:rFonts w:hint="eastAsia"/>
          <w:b w:val="0"/>
          <w:bCs w:val="0"/>
          <w:color w:val="auto"/>
          <w:sz w:val="24"/>
          <w:highlight w:val="none"/>
          <w:lang w:val="en-US" w:eastAsia="zh-CN"/>
        </w:rPr>
        <w:t>八</w:t>
      </w:r>
      <w:r>
        <w:rPr>
          <w:rFonts w:hint="eastAsia"/>
          <w:b w:val="0"/>
          <w:bCs w:val="0"/>
          <w:color w:val="auto"/>
          <w:sz w:val="24"/>
          <w:highlight w:val="none"/>
        </w:rPr>
        <w:t>）本项目要求供应商提供安全文明生产施工的目标及保证体系措施，确保工程能符合政府主管部门对于安全文明施工的要求。</w:t>
      </w:r>
    </w:p>
    <w:p w14:paraId="4700BF02">
      <w:pPr>
        <w:spacing w:line="360" w:lineRule="auto"/>
        <w:ind w:firstLine="480" w:firstLineChars="200"/>
        <w:rPr>
          <w:rFonts w:hint="eastAsia" w:ascii="宋体" w:hAnsi="宋体" w:cs="仿宋_GB2312"/>
          <w:b w:val="0"/>
          <w:bCs w:val="0"/>
          <w:color w:val="auto"/>
          <w:sz w:val="24"/>
          <w:highlight w:val="none"/>
        </w:rPr>
      </w:pPr>
      <w:r>
        <w:rPr>
          <w:rFonts w:hint="eastAsia"/>
          <w:b w:val="0"/>
          <w:bCs w:val="0"/>
          <w:color w:val="auto"/>
          <w:sz w:val="24"/>
          <w:highlight w:val="none"/>
        </w:rPr>
        <w:t>（</w:t>
      </w:r>
      <w:r>
        <w:rPr>
          <w:rFonts w:hint="eastAsia"/>
          <w:b w:val="0"/>
          <w:bCs w:val="0"/>
          <w:color w:val="auto"/>
          <w:sz w:val="24"/>
          <w:highlight w:val="none"/>
          <w:lang w:val="en-US" w:eastAsia="zh-CN"/>
        </w:rPr>
        <w:t>九</w:t>
      </w:r>
      <w:r>
        <w:rPr>
          <w:rFonts w:hint="eastAsia"/>
          <w:b w:val="0"/>
          <w:bCs w:val="0"/>
          <w:color w:val="auto"/>
          <w:sz w:val="24"/>
          <w:highlight w:val="none"/>
        </w:rPr>
        <w:t>）</w:t>
      </w:r>
      <w:r>
        <w:rPr>
          <w:rFonts w:hint="eastAsia" w:ascii="宋体" w:hAnsi="宋体" w:cs="仿宋_GB2312"/>
          <w:b w:val="0"/>
          <w:bCs w:val="0"/>
          <w:color w:val="auto"/>
          <w:sz w:val="24"/>
          <w:highlight w:val="none"/>
        </w:rPr>
        <w:t>施工企业的现场监控、现场临时宿舍，应根据市、区建设行政主管部门颁发的有关文件对于现场监控和现场民工宿舍空调的设置要求或标准规定落实，临时宿舍自行解决，具体位置于采购人协商确定。</w:t>
      </w:r>
    </w:p>
    <w:p w14:paraId="1FCAD6A9">
      <w:pPr>
        <w:widowControl/>
        <w:spacing w:line="360" w:lineRule="auto"/>
        <w:jc w:val="left"/>
        <w:rPr>
          <w:rFonts w:hint="default"/>
          <w:b/>
          <w:bCs/>
          <w:color w:val="auto"/>
          <w:sz w:val="24"/>
          <w:szCs w:val="24"/>
          <w:highlight w:val="none"/>
          <w:lang w:val="en-US" w:eastAsia="zh-CN"/>
        </w:rPr>
      </w:pPr>
      <w:r>
        <w:rPr>
          <w:rFonts w:hint="eastAsia"/>
          <w:b/>
          <w:bCs/>
          <w:color w:val="auto"/>
          <w:sz w:val="24"/>
          <w:szCs w:val="24"/>
          <w:highlight w:val="none"/>
          <w:lang w:val="en-US" w:eastAsia="zh-CN"/>
        </w:rPr>
        <w:t>十二、项目成员要求：</w:t>
      </w:r>
    </w:p>
    <w:p w14:paraId="5DEB00EF">
      <w:pPr>
        <w:widowControl/>
        <w:spacing w:line="360" w:lineRule="auto"/>
        <w:ind w:firstLine="480" w:firstLineChars="200"/>
        <w:jc w:val="left"/>
        <w:rPr>
          <w:rFonts w:hint="eastAsia" w:eastAsia="宋体"/>
          <w:color w:val="auto"/>
          <w:sz w:val="24"/>
          <w:szCs w:val="24"/>
          <w:highlight w:val="none"/>
          <w:lang w:eastAsia="zh-CN"/>
        </w:rPr>
      </w:pPr>
      <w:r>
        <w:rPr>
          <w:rFonts w:hint="eastAsia" w:ascii="宋体" w:hAnsi="宋体" w:cs="宋体"/>
          <w:color w:val="auto"/>
          <w:sz w:val="24"/>
          <w:szCs w:val="20"/>
          <w:highlight w:val="none"/>
        </w:rPr>
        <w:t>▲</w:t>
      </w:r>
      <w:r>
        <w:rPr>
          <w:rFonts w:hint="eastAsia"/>
          <w:color w:val="auto"/>
          <w:sz w:val="24"/>
          <w:szCs w:val="24"/>
          <w:highlight w:val="none"/>
          <w:lang w:eastAsia="zh-CN"/>
        </w:rPr>
        <w:t>（</w:t>
      </w:r>
      <w:r>
        <w:rPr>
          <w:rFonts w:hint="eastAsia"/>
          <w:color w:val="auto"/>
          <w:sz w:val="24"/>
          <w:szCs w:val="24"/>
          <w:highlight w:val="none"/>
          <w:lang w:val="en-US" w:eastAsia="zh-CN"/>
        </w:rPr>
        <w:t>1</w:t>
      </w:r>
      <w:r>
        <w:rPr>
          <w:rFonts w:hint="eastAsia"/>
          <w:color w:val="auto"/>
          <w:sz w:val="24"/>
          <w:szCs w:val="24"/>
          <w:highlight w:val="none"/>
          <w:lang w:eastAsia="zh-CN"/>
        </w:rPr>
        <w:t>）</w:t>
      </w:r>
      <w:r>
        <w:rPr>
          <w:rFonts w:hint="eastAsia"/>
          <w:color w:val="auto"/>
          <w:sz w:val="24"/>
          <w:szCs w:val="24"/>
          <w:highlight w:val="none"/>
        </w:rPr>
        <w:t>拟派项目经理具有</w:t>
      </w:r>
      <w:r>
        <w:rPr>
          <w:rFonts w:hint="eastAsia"/>
          <w:color w:val="auto"/>
          <w:sz w:val="24"/>
          <w:szCs w:val="24"/>
          <w:highlight w:val="none"/>
          <w:lang w:val="en-US" w:eastAsia="zh-CN"/>
        </w:rPr>
        <w:t>市政</w:t>
      </w:r>
      <w:r>
        <w:rPr>
          <w:rFonts w:hint="eastAsia"/>
          <w:color w:val="auto"/>
          <w:sz w:val="24"/>
          <w:szCs w:val="24"/>
          <w:highlight w:val="none"/>
        </w:rPr>
        <w:t>工程</w:t>
      </w:r>
      <w:r>
        <w:rPr>
          <w:rFonts w:hint="eastAsia"/>
          <w:color w:val="auto"/>
          <w:sz w:val="24"/>
          <w:szCs w:val="24"/>
          <w:highlight w:val="none"/>
          <w:lang w:val="en-US" w:eastAsia="zh-CN"/>
        </w:rPr>
        <w:t>二</w:t>
      </w:r>
      <w:r>
        <w:rPr>
          <w:rFonts w:hint="eastAsia"/>
          <w:color w:val="auto"/>
          <w:sz w:val="24"/>
          <w:szCs w:val="24"/>
          <w:highlight w:val="none"/>
        </w:rPr>
        <w:t>级及以上注册建造师资格</w:t>
      </w:r>
      <w:r>
        <w:rPr>
          <w:rFonts w:hint="eastAsia"/>
          <w:color w:val="auto"/>
          <w:sz w:val="24"/>
          <w:szCs w:val="24"/>
          <w:highlight w:val="none"/>
          <w:lang w:eastAsia="zh-CN"/>
        </w:rPr>
        <w:t>，</w:t>
      </w:r>
      <w:r>
        <w:rPr>
          <w:rFonts w:hint="eastAsia"/>
          <w:color w:val="auto"/>
          <w:sz w:val="24"/>
          <w:szCs w:val="24"/>
          <w:highlight w:val="none"/>
        </w:rPr>
        <w:t>具备有效的安全生产考核合格证书</w:t>
      </w:r>
      <w:r>
        <w:rPr>
          <w:rFonts w:hint="eastAsia"/>
          <w:color w:val="auto"/>
          <w:sz w:val="24"/>
          <w:szCs w:val="24"/>
          <w:highlight w:val="none"/>
          <w:lang w:eastAsia="zh-CN"/>
        </w:rPr>
        <w:t>“</w:t>
      </w:r>
      <w:r>
        <w:rPr>
          <w:rFonts w:hint="eastAsia"/>
          <w:color w:val="auto"/>
          <w:sz w:val="24"/>
          <w:szCs w:val="24"/>
          <w:highlight w:val="none"/>
        </w:rPr>
        <w:t>三类人员</w:t>
      </w:r>
      <w:r>
        <w:rPr>
          <w:rFonts w:hint="eastAsia"/>
          <w:color w:val="auto"/>
          <w:sz w:val="24"/>
          <w:szCs w:val="24"/>
          <w:highlight w:val="none"/>
          <w:lang w:eastAsia="zh-CN"/>
        </w:rPr>
        <w:t>”</w:t>
      </w:r>
      <w:r>
        <w:rPr>
          <w:rFonts w:hint="eastAsia"/>
          <w:color w:val="auto"/>
          <w:sz w:val="24"/>
          <w:szCs w:val="24"/>
          <w:highlight w:val="none"/>
        </w:rPr>
        <w:t>B类证书</w:t>
      </w:r>
      <w:r>
        <w:rPr>
          <w:rFonts w:hint="eastAsia"/>
          <w:color w:val="auto"/>
          <w:sz w:val="24"/>
          <w:szCs w:val="24"/>
          <w:highlight w:val="none"/>
          <w:lang w:eastAsia="zh-CN"/>
        </w:rPr>
        <w:t>。</w:t>
      </w:r>
    </w:p>
    <w:p w14:paraId="33F27D1A">
      <w:pPr>
        <w:widowControl/>
        <w:spacing w:line="360" w:lineRule="auto"/>
        <w:ind w:firstLine="480" w:firstLineChars="200"/>
        <w:jc w:val="left"/>
        <w:rPr>
          <w:rFonts w:hint="default" w:ascii="宋体" w:hAnsi="宋体" w:cs="仿宋_GB2312"/>
          <w:b/>
          <w:bCs/>
          <w:color w:val="auto"/>
          <w:sz w:val="24"/>
          <w:highlight w:val="none"/>
          <w:lang w:val="en-US" w:eastAsia="zh-CN"/>
        </w:rPr>
      </w:pPr>
      <w:r>
        <w:rPr>
          <w:rFonts w:hint="eastAsia"/>
          <w:color w:val="auto"/>
          <w:sz w:val="24"/>
          <w:szCs w:val="24"/>
          <w:highlight w:val="none"/>
          <w:lang w:eastAsia="zh-CN"/>
        </w:rPr>
        <w:t>（</w:t>
      </w:r>
      <w:r>
        <w:rPr>
          <w:rFonts w:hint="eastAsia"/>
          <w:color w:val="auto"/>
          <w:sz w:val="24"/>
          <w:szCs w:val="24"/>
          <w:highlight w:val="none"/>
          <w:lang w:val="en-US" w:eastAsia="zh-CN"/>
        </w:rPr>
        <w:t>2</w:t>
      </w:r>
      <w:r>
        <w:rPr>
          <w:rFonts w:hint="eastAsia"/>
          <w:color w:val="auto"/>
          <w:sz w:val="24"/>
          <w:szCs w:val="24"/>
          <w:highlight w:val="none"/>
          <w:lang w:eastAsia="zh-CN"/>
        </w:rPr>
        <w:t>）</w:t>
      </w:r>
      <w:r>
        <w:rPr>
          <w:rFonts w:hint="eastAsia"/>
          <w:color w:val="auto"/>
          <w:sz w:val="24"/>
          <w:szCs w:val="24"/>
          <w:highlight w:val="none"/>
          <w:lang w:val="en-US" w:eastAsia="zh-CN"/>
        </w:rPr>
        <w:t>供应商需要配备适应本工程的项目组成员确保如期完成项目施工。</w:t>
      </w:r>
    </w:p>
    <w:p w14:paraId="641EE027">
      <w:pPr>
        <w:spacing w:line="360" w:lineRule="auto"/>
        <w:jc w:val="left"/>
        <w:rPr>
          <w:rFonts w:ascii="宋体" w:hAnsi="宋体" w:cs="仿宋_GB2312"/>
          <w:b/>
          <w:bCs/>
          <w:color w:val="auto"/>
          <w:sz w:val="24"/>
          <w:highlight w:val="none"/>
        </w:rPr>
      </w:pPr>
      <w:r>
        <w:rPr>
          <w:rFonts w:hint="eastAsia" w:ascii="宋体" w:hAnsi="宋体" w:cs="仿宋_GB2312"/>
          <w:b/>
          <w:bCs/>
          <w:color w:val="auto"/>
          <w:sz w:val="24"/>
          <w:highlight w:val="none"/>
          <w:lang w:val="en-US" w:eastAsia="zh-CN"/>
        </w:rPr>
        <w:t>十二</w:t>
      </w:r>
      <w:r>
        <w:rPr>
          <w:rFonts w:hint="eastAsia" w:ascii="宋体" w:hAnsi="宋体" w:cs="仿宋_GB2312"/>
          <w:b/>
          <w:bCs/>
          <w:color w:val="auto"/>
          <w:sz w:val="24"/>
          <w:highlight w:val="none"/>
        </w:rPr>
        <w:t>、商务要求</w:t>
      </w:r>
    </w:p>
    <w:p w14:paraId="4CFD8D9A">
      <w:pPr>
        <w:spacing w:line="360" w:lineRule="auto"/>
        <w:ind w:left="210" w:leftChars="100"/>
        <w:jc w:val="left"/>
        <w:rPr>
          <w:rFonts w:ascii="宋体" w:hAnsi="宋体" w:cs="仿宋_GB2312"/>
          <w:color w:val="auto"/>
          <w:sz w:val="24"/>
          <w:highlight w:val="none"/>
        </w:rPr>
      </w:pPr>
      <w:r>
        <w:rPr>
          <w:rFonts w:hint="eastAsia" w:ascii="宋体" w:hAnsi="宋体" w:cs="仿宋_GB2312"/>
          <w:color w:val="auto"/>
          <w:sz w:val="24"/>
          <w:highlight w:val="none"/>
        </w:rPr>
        <w:t>1.工期要求：</w:t>
      </w:r>
      <w:r>
        <w:rPr>
          <w:rFonts w:hint="eastAsia" w:ascii="宋体" w:hAnsi="宋体"/>
          <w:color w:val="auto"/>
          <w:sz w:val="24"/>
          <w:highlight w:val="none"/>
          <w:u w:val="single"/>
          <w:lang w:val="en-US" w:eastAsia="zh-CN"/>
        </w:rPr>
        <w:t>90日历天</w:t>
      </w:r>
    </w:p>
    <w:p w14:paraId="62A58BC0">
      <w:pPr>
        <w:spacing w:line="360" w:lineRule="auto"/>
        <w:ind w:left="210" w:leftChars="100"/>
        <w:jc w:val="left"/>
        <w:rPr>
          <w:rFonts w:hint="default" w:ascii="宋体" w:hAnsi="宋体" w:eastAsia="宋体" w:cs="仿宋_GB2312"/>
          <w:color w:val="auto"/>
          <w:sz w:val="24"/>
          <w:highlight w:val="none"/>
          <w:lang w:val="en-US" w:eastAsia="zh-CN"/>
        </w:rPr>
      </w:pPr>
      <w:r>
        <w:rPr>
          <w:rFonts w:hint="eastAsia" w:ascii="宋体" w:hAnsi="宋体" w:cs="仿宋_GB2312"/>
          <w:color w:val="auto"/>
          <w:sz w:val="24"/>
          <w:highlight w:val="none"/>
        </w:rPr>
        <w:t>2.工程地点：</w:t>
      </w:r>
      <w:r>
        <w:rPr>
          <w:rFonts w:hint="eastAsia" w:ascii="宋体" w:hAnsi="宋体"/>
          <w:color w:val="auto"/>
          <w:sz w:val="24"/>
          <w:highlight w:val="none"/>
          <w:u w:val="single"/>
          <w:lang w:val="en-US" w:eastAsia="zh-CN"/>
        </w:rPr>
        <w:t>甲方指定地点</w:t>
      </w:r>
    </w:p>
    <w:p w14:paraId="6F46E625">
      <w:pPr>
        <w:spacing w:line="360" w:lineRule="auto"/>
        <w:ind w:left="210" w:leftChars="100"/>
        <w:jc w:val="left"/>
        <w:rPr>
          <w:rFonts w:hint="default"/>
          <w:b w:val="0"/>
          <w:bCs w:val="0"/>
          <w:color w:val="auto"/>
          <w:highlight w:val="none"/>
          <w:lang w:val="en-US" w:eastAsia="zh-CN"/>
        </w:rPr>
      </w:pPr>
      <w:r>
        <w:rPr>
          <w:rFonts w:hint="eastAsia" w:ascii="宋体" w:hAnsi="宋体" w:cs="仿宋_GB2312"/>
          <w:color w:val="auto"/>
          <w:sz w:val="24"/>
          <w:highlight w:val="none"/>
          <w:lang w:val="en-US" w:eastAsia="zh-CN"/>
        </w:rPr>
        <w:t>3.工程结算综合单价</w:t>
      </w:r>
      <w:r>
        <w:rPr>
          <w:rFonts w:hint="eastAsia" w:ascii="宋体" w:hAnsi="宋体" w:cs="仿宋_GB2312"/>
          <w:b w:val="0"/>
          <w:bCs w:val="0"/>
          <w:color w:val="auto"/>
          <w:sz w:val="24"/>
          <w:highlight w:val="none"/>
          <w:lang w:val="en-US" w:eastAsia="zh-CN"/>
        </w:rPr>
        <w:t>：按同比例下浮</w:t>
      </w:r>
      <w:r>
        <w:rPr>
          <w:rFonts w:hint="eastAsia"/>
          <w:b w:val="0"/>
          <w:bCs w:val="0"/>
          <w:color w:val="auto"/>
          <w:kern w:val="0"/>
          <w:sz w:val="24"/>
          <w:highlight w:val="none"/>
          <w:lang w:val="en-US" w:eastAsia="zh-CN"/>
        </w:rPr>
        <w:t>调整：即</w:t>
      </w:r>
      <w:r>
        <w:rPr>
          <w:rFonts w:hint="eastAsia"/>
          <w:b w:val="0"/>
          <w:bCs w:val="0"/>
          <w:color w:val="auto"/>
          <w:kern w:val="0"/>
          <w:sz w:val="24"/>
          <w:highlight w:val="none"/>
        </w:rPr>
        <w:t>最终总报价/初次总报价</w:t>
      </w:r>
    </w:p>
    <w:p w14:paraId="35451AC0">
      <w:pPr>
        <w:spacing w:line="360" w:lineRule="auto"/>
        <w:ind w:left="210" w:leftChars="100"/>
        <w:jc w:val="left"/>
        <w:rPr>
          <w:rFonts w:hint="eastAsia" w:ascii="宋体" w:hAnsi="宋体" w:cs="仿宋_GB2312"/>
          <w:color w:val="auto"/>
          <w:sz w:val="24"/>
          <w:highlight w:val="none"/>
        </w:rPr>
      </w:pPr>
      <w:r>
        <w:rPr>
          <w:rFonts w:hint="eastAsia" w:ascii="宋体" w:hAnsi="宋体" w:cs="仿宋_GB2312"/>
          <w:color w:val="auto"/>
          <w:sz w:val="24"/>
          <w:highlight w:val="none"/>
          <w:lang w:val="en-US" w:eastAsia="zh-CN"/>
        </w:rPr>
        <w:t>4</w:t>
      </w:r>
      <w:r>
        <w:rPr>
          <w:rFonts w:hint="eastAsia" w:ascii="宋体" w:hAnsi="宋体" w:cs="仿宋_GB2312"/>
          <w:color w:val="auto"/>
          <w:sz w:val="24"/>
          <w:highlight w:val="none"/>
        </w:rPr>
        <w:t>.付款条件（进度和方式）</w:t>
      </w:r>
    </w:p>
    <w:p w14:paraId="520DFB57">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预付款的支付</w:t>
      </w:r>
    </w:p>
    <w:p w14:paraId="39C41E20">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预付款支付比例或金额：</w:t>
      </w:r>
      <w:r>
        <w:rPr>
          <w:rFonts w:hint="eastAsia" w:hAnsi="宋体"/>
          <w:color w:val="auto"/>
          <w:sz w:val="24"/>
          <w:szCs w:val="24"/>
          <w:highlight w:val="none"/>
          <w:u w:val="single"/>
        </w:rPr>
        <w:t xml:space="preserve">  </w:t>
      </w:r>
      <w:r>
        <w:rPr>
          <w:rFonts w:hint="eastAsia" w:hAnsi="宋体"/>
          <w:color w:val="auto"/>
          <w:sz w:val="24"/>
          <w:szCs w:val="24"/>
          <w:highlight w:val="none"/>
          <w:u w:val="single"/>
          <w:lang w:val="en-US" w:eastAsia="zh-CN"/>
        </w:rPr>
        <w:t>40</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248A449D">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预付款支付期限：</w:t>
      </w:r>
      <w:r>
        <w:rPr>
          <w:rFonts w:hint="eastAsia" w:hAnsi="宋体" w:cs="宋体"/>
          <w:color w:val="auto"/>
          <w:sz w:val="24"/>
          <w:highlight w:val="none"/>
          <w:u w:val="single"/>
        </w:rPr>
        <w:t>合同签订并提供履约保证金、开工后呈报财政申请支付预付款，具体时间以财政审核为准</w:t>
      </w:r>
      <w:r>
        <w:rPr>
          <w:rFonts w:hint="eastAsia" w:hAnsi="宋体"/>
          <w:color w:val="auto"/>
          <w:sz w:val="24"/>
          <w:szCs w:val="24"/>
          <w:highlight w:val="none"/>
        </w:rPr>
        <w:t>。</w:t>
      </w:r>
    </w:p>
    <w:p w14:paraId="2CED007A">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预付款扣回的方式：</w:t>
      </w:r>
      <w:r>
        <w:rPr>
          <w:rFonts w:hint="eastAsia" w:hAnsi="宋体" w:cs="宋体"/>
          <w:color w:val="auto"/>
          <w:sz w:val="24"/>
          <w:highlight w:val="none"/>
          <w:u w:val="single"/>
        </w:rPr>
        <w:t>在支付工程进度款时同时扣回</w:t>
      </w:r>
      <w:r>
        <w:rPr>
          <w:rFonts w:hint="eastAsia" w:hAnsi="宋体"/>
          <w:color w:val="auto"/>
          <w:sz w:val="24"/>
          <w:szCs w:val="24"/>
          <w:highlight w:val="none"/>
        </w:rPr>
        <w:t>。</w:t>
      </w:r>
    </w:p>
    <w:p w14:paraId="55E19C1D">
      <w:pPr>
        <w:pStyle w:val="5"/>
        <w:rPr>
          <w:color w:val="auto"/>
          <w:highlight w:val="none"/>
        </w:rPr>
      </w:pPr>
    </w:p>
    <w:p w14:paraId="70AB6E6D">
      <w:pPr>
        <w:widowControl/>
        <w:ind w:firstLine="720" w:firstLineChars="300"/>
        <w:jc w:val="left"/>
        <w:rPr>
          <w:rFonts w:ascii="宋体" w:hAnsi="宋体" w:cs="宋体"/>
          <w:bCs/>
          <w:color w:val="auto"/>
          <w:sz w:val="24"/>
          <w:highlight w:val="none"/>
        </w:rPr>
      </w:pPr>
    </w:p>
    <w:p w14:paraId="2A2B70CE">
      <w:pPr>
        <w:rPr>
          <w:rFonts w:ascii="宋体" w:hAnsi="宋体" w:cs="宋体"/>
          <w:snapToGrid w:val="0"/>
          <w:color w:val="auto"/>
          <w:kern w:val="0"/>
          <w:sz w:val="24"/>
          <w:highlight w:val="none"/>
        </w:rPr>
      </w:pPr>
    </w:p>
    <w:p w14:paraId="71991752">
      <w:pPr>
        <w:snapToGrid w:val="0"/>
        <w:spacing w:line="360" w:lineRule="auto"/>
        <w:jc w:val="center"/>
        <w:rPr>
          <w:rFonts w:hint="eastAsia" w:ascii="宋体" w:hAnsi="宋体" w:eastAsia="宋体" w:cs="宋体"/>
          <w:b/>
          <w:color w:val="auto"/>
          <w:sz w:val="36"/>
          <w:szCs w:val="20"/>
          <w:highlight w:val="none"/>
          <w:lang w:val="en-US" w:eastAsia="zh-CN"/>
        </w:rPr>
      </w:pPr>
      <w:r>
        <w:rPr>
          <w:rFonts w:hint="eastAsia" w:ascii="宋体" w:hAnsi="宋体" w:cs="宋体"/>
          <w:b/>
          <w:color w:val="auto"/>
          <w:sz w:val="24"/>
          <w:highlight w:val="none"/>
          <w:lang w:val="en-US" w:eastAsia="zh-CN"/>
        </w:rPr>
        <w:t>具体施工内容详见清单</w:t>
      </w:r>
      <w:r>
        <w:rPr>
          <w:rFonts w:hint="eastAsia" w:ascii="宋体" w:hAnsi="宋体" w:cs="宋体"/>
          <w:b/>
          <w:color w:val="auto"/>
          <w:sz w:val="24"/>
          <w:highlight w:val="none"/>
        </w:rPr>
        <w:br w:type="page"/>
      </w:r>
      <w:r>
        <w:rPr>
          <w:rFonts w:hint="eastAsia" w:ascii="宋体" w:hAnsi="宋体" w:eastAsia="宋体" w:cs="宋体"/>
          <w:b/>
          <w:snapToGrid/>
          <w:color w:val="auto"/>
          <w:kern w:val="2"/>
          <w:sz w:val="36"/>
          <w:szCs w:val="20"/>
          <w:highlight w:val="none"/>
          <w:lang w:val="en-US" w:eastAsia="zh-CN" w:bidi="ar-SA"/>
        </w:rPr>
        <w:t>第四部分</w:t>
      </w:r>
      <w:bookmarkStart w:id="32" w:name="_Toc184308104"/>
      <w:bookmarkEnd w:id="32"/>
      <w:bookmarkStart w:id="33" w:name="_Toc184313281"/>
      <w:bookmarkEnd w:id="33"/>
      <w:bookmarkStart w:id="34" w:name="_Toc184310301"/>
      <w:bookmarkEnd w:id="34"/>
      <w:bookmarkStart w:id="35" w:name="_Toc184308082"/>
      <w:bookmarkEnd w:id="35"/>
      <w:bookmarkStart w:id="36" w:name="_Toc184312109"/>
      <w:bookmarkEnd w:id="36"/>
      <w:bookmarkStart w:id="37" w:name="_Toc184308093"/>
      <w:bookmarkEnd w:id="37"/>
      <w:bookmarkStart w:id="38" w:name="_Toc184312119"/>
      <w:bookmarkEnd w:id="38"/>
      <w:bookmarkStart w:id="39" w:name="_Toc184314438"/>
      <w:bookmarkEnd w:id="39"/>
      <w:bookmarkStart w:id="40" w:name="_Toc184310283"/>
      <w:bookmarkEnd w:id="40"/>
      <w:bookmarkStart w:id="41" w:name="_Toc184314439"/>
      <w:bookmarkEnd w:id="41"/>
      <w:bookmarkStart w:id="42" w:name="_Toc184310306"/>
      <w:bookmarkEnd w:id="42"/>
      <w:bookmarkStart w:id="43" w:name="_Toc184314427"/>
      <w:bookmarkEnd w:id="43"/>
      <w:bookmarkStart w:id="44" w:name="_Toc184308087"/>
      <w:bookmarkEnd w:id="44"/>
      <w:bookmarkStart w:id="45" w:name="_Toc184314433"/>
      <w:bookmarkEnd w:id="45"/>
      <w:bookmarkStart w:id="46" w:name="_Toc184312085"/>
      <w:bookmarkEnd w:id="46"/>
      <w:bookmarkStart w:id="47" w:name="_Toc184313266"/>
      <w:bookmarkEnd w:id="47"/>
      <w:bookmarkStart w:id="48" w:name="_Toc184308105"/>
      <w:bookmarkEnd w:id="48"/>
      <w:bookmarkStart w:id="49" w:name="_Toc184312120"/>
      <w:bookmarkEnd w:id="49"/>
      <w:bookmarkStart w:id="50" w:name="_Toc184308067"/>
      <w:bookmarkEnd w:id="50"/>
      <w:bookmarkStart w:id="51" w:name="_Toc184314472"/>
      <w:bookmarkEnd w:id="51"/>
      <w:bookmarkStart w:id="52" w:name="_Toc184314476"/>
      <w:bookmarkEnd w:id="52"/>
      <w:bookmarkStart w:id="53" w:name="_Toc184310331"/>
      <w:bookmarkEnd w:id="53"/>
      <w:bookmarkStart w:id="54" w:name="_Toc184308090"/>
      <w:bookmarkEnd w:id="54"/>
      <w:bookmarkStart w:id="55" w:name="_Toc184312134"/>
      <w:bookmarkEnd w:id="55"/>
      <w:bookmarkStart w:id="56" w:name="_Toc184313285"/>
      <w:bookmarkEnd w:id="56"/>
      <w:bookmarkStart w:id="57" w:name="_Toc184313251"/>
      <w:bookmarkEnd w:id="57"/>
      <w:bookmarkStart w:id="58" w:name="_Toc184312102"/>
      <w:bookmarkEnd w:id="58"/>
      <w:bookmarkStart w:id="59" w:name="_Toc184308106"/>
      <w:bookmarkEnd w:id="59"/>
      <w:bookmarkStart w:id="60" w:name="_Toc184312112"/>
      <w:bookmarkEnd w:id="60"/>
      <w:bookmarkStart w:id="61" w:name="_Toc184308054"/>
      <w:bookmarkEnd w:id="61"/>
      <w:bookmarkStart w:id="62" w:name="_Toc184312090"/>
      <w:bookmarkEnd w:id="62"/>
      <w:bookmarkStart w:id="63" w:name="_Toc184312098"/>
      <w:bookmarkEnd w:id="63"/>
      <w:bookmarkStart w:id="64" w:name="_Toc184308060"/>
      <w:bookmarkEnd w:id="64"/>
      <w:bookmarkStart w:id="65" w:name="_Toc184314412"/>
      <w:bookmarkEnd w:id="65"/>
      <w:bookmarkStart w:id="66" w:name="_Toc184313279"/>
      <w:bookmarkEnd w:id="66"/>
      <w:bookmarkStart w:id="67" w:name="_Toc184308061"/>
      <w:bookmarkEnd w:id="67"/>
      <w:bookmarkStart w:id="68" w:name="_Toc184314424"/>
      <w:bookmarkEnd w:id="68"/>
      <w:bookmarkStart w:id="69" w:name="_Toc184314447"/>
      <w:bookmarkEnd w:id="69"/>
      <w:bookmarkStart w:id="70" w:name="_Toc184313282"/>
      <w:bookmarkEnd w:id="70"/>
      <w:bookmarkStart w:id="71" w:name="_Toc184310330"/>
      <w:bookmarkEnd w:id="71"/>
      <w:bookmarkStart w:id="72" w:name="_Toc184312087"/>
      <w:bookmarkEnd w:id="72"/>
      <w:bookmarkStart w:id="73" w:name="_Toc184313275"/>
      <w:bookmarkEnd w:id="73"/>
      <w:bookmarkStart w:id="74" w:name="_Toc184312078"/>
      <w:bookmarkEnd w:id="74"/>
      <w:bookmarkStart w:id="75" w:name="_Toc184308076"/>
      <w:bookmarkEnd w:id="75"/>
      <w:bookmarkStart w:id="76" w:name="_Toc184314454"/>
      <w:bookmarkEnd w:id="76"/>
      <w:bookmarkStart w:id="77" w:name="_Toc184308098"/>
      <w:bookmarkEnd w:id="77"/>
      <w:bookmarkStart w:id="78" w:name="_Toc184308095"/>
      <w:bookmarkEnd w:id="78"/>
      <w:bookmarkStart w:id="79" w:name="_Toc184313242"/>
      <w:bookmarkEnd w:id="79"/>
      <w:bookmarkStart w:id="80" w:name="_Toc184310288"/>
      <w:bookmarkEnd w:id="80"/>
      <w:bookmarkStart w:id="81" w:name="_Toc184313303"/>
      <w:bookmarkEnd w:id="81"/>
      <w:bookmarkStart w:id="82" w:name="_Toc184312133"/>
      <w:bookmarkEnd w:id="82"/>
      <w:bookmarkStart w:id="83" w:name="_Toc184313301"/>
      <w:bookmarkEnd w:id="83"/>
      <w:bookmarkStart w:id="84" w:name="_Toc184310329"/>
      <w:bookmarkEnd w:id="84"/>
      <w:bookmarkStart w:id="85" w:name="_Toc184314482"/>
      <w:bookmarkEnd w:id="85"/>
      <w:bookmarkStart w:id="86" w:name="_Toc184308086"/>
      <w:bookmarkEnd w:id="86"/>
      <w:bookmarkStart w:id="87" w:name="_Toc184313246"/>
      <w:bookmarkEnd w:id="87"/>
      <w:bookmarkStart w:id="88" w:name="_Toc184314457"/>
      <w:bookmarkEnd w:id="88"/>
      <w:bookmarkStart w:id="89" w:name="_Toc184308043"/>
      <w:bookmarkEnd w:id="89"/>
      <w:bookmarkStart w:id="90" w:name="_Toc184312136"/>
      <w:bookmarkEnd w:id="90"/>
      <w:bookmarkStart w:id="91" w:name="_Toc184308097"/>
      <w:bookmarkEnd w:id="91"/>
      <w:bookmarkStart w:id="92" w:name="_Toc184308092"/>
      <w:bookmarkEnd w:id="92"/>
      <w:bookmarkStart w:id="93" w:name="_Toc184314443"/>
      <w:bookmarkEnd w:id="93"/>
      <w:bookmarkStart w:id="94" w:name="_Toc184310309"/>
      <w:bookmarkEnd w:id="94"/>
      <w:bookmarkStart w:id="95" w:name="_Toc184313257"/>
      <w:bookmarkEnd w:id="95"/>
      <w:bookmarkStart w:id="96" w:name="_Toc184313278"/>
      <w:bookmarkEnd w:id="96"/>
      <w:bookmarkStart w:id="97" w:name="_Toc184312139"/>
      <w:bookmarkEnd w:id="97"/>
      <w:bookmarkStart w:id="98" w:name="_Toc184313291"/>
      <w:bookmarkEnd w:id="98"/>
      <w:bookmarkStart w:id="99" w:name="_Toc184310317"/>
      <w:bookmarkEnd w:id="99"/>
      <w:bookmarkStart w:id="100" w:name="_Toc184310338"/>
      <w:bookmarkEnd w:id="100"/>
      <w:bookmarkStart w:id="101" w:name="_Toc184312099"/>
      <w:bookmarkEnd w:id="101"/>
      <w:bookmarkStart w:id="102" w:name="_Toc184310274"/>
      <w:bookmarkEnd w:id="102"/>
      <w:bookmarkStart w:id="103" w:name="_Toc184314466"/>
      <w:bookmarkEnd w:id="103"/>
      <w:bookmarkStart w:id="104" w:name="_Toc184312125"/>
      <w:bookmarkEnd w:id="104"/>
      <w:bookmarkStart w:id="105" w:name="_Toc184314441"/>
      <w:bookmarkEnd w:id="105"/>
      <w:bookmarkStart w:id="106" w:name="_Toc184308057"/>
      <w:bookmarkEnd w:id="106"/>
      <w:bookmarkStart w:id="107" w:name="_Toc184310282"/>
      <w:bookmarkEnd w:id="107"/>
      <w:bookmarkStart w:id="108" w:name="_Toc184313309"/>
      <w:bookmarkEnd w:id="108"/>
      <w:bookmarkStart w:id="109" w:name="_Toc184313295"/>
      <w:bookmarkEnd w:id="109"/>
      <w:bookmarkStart w:id="110" w:name="_Toc184312097"/>
      <w:bookmarkEnd w:id="110"/>
      <w:bookmarkStart w:id="111" w:name="_Toc184313287"/>
      <w:bookmarkEnd w:id="111"/>
      <w:bookmarkStart w:id="112" w:name="_Toc184312122"/>
      <w:bookmarkEnd w:id="112"/>
      <w:bookmarkStart w:id="113" w:name="_Toc184310290"/>
      <w:bookmarkEnd w:id="113"/>
      <w:bookmarkStart w:id="114" w:name="_Toc184314434"/>
      <w:bookmarkEnd w:id="114"/>
      <w:bookmarkStart w:id="115" w:name="_Toc184314465"/>
      <w:bookmarkEnd w:id="115"/>
      <w:bookmarkStart w:id="116" w:name="_Toc184313290"/>
      <w:bookmarkEnd w:id="116"/>
      <w:bookmarkStart w:id="117" w:name="_Toc184312070"/>
      <w:bookmarkEnd w:id="117"/>
      <w:bookmarkStart w:id="118" w:name="_Toc184308072"/>
      <w:bookmarkEnd w:id="118"/>
      <w:bookmarkStart w:id="119" w:name="_Toc184313272"/>
      <w:bookmarkEnd w:id="119"/>
      <w:bookmarkStart w:id="120" w:name="_Toc184308070"/>
      <w:bookmarkEnd w:id="120"/>
      <w:bookmarkStart w:id="121" w:name="_Toc184308103"/>
      <w:bookmarkEnd w:id="121"/>
      <w:bookmarkStart w:id="122" w:name="_Toc184312132"/>
      <w:bookmarkEnd w:id="122"/>
      <w:bookmarkStart w:id="123" w:name="_Toc184312076"/>
      <w:bookmarkEnd w:id="123"/>
      <w:bookmarkStart w:id="124" w:name="_Toc184314463"/>
      <w:bookmarkEnd w:id="124"/>
      <w:bookmarkStart w:id="125" w:name="_Toc184314473"/>
      <w:bookmarkEnd w:id="125"/>
      <w:bookmarkStart w:id="126" w:name="_Toc184312127"/>
      <w:bookmarkEnd w:id="126"/>
      <w:bookmarkStart w:id="127" w:name="_Toc184308050"/>
      <w:bookmarkEnd w:id="127"/>
      <w:bookmarkStart w:id="128" w:name="_Toc184313298"/>
      <w:bookmarkEnd w:id="128"/>
      <w:bookmarkStart w:id="129" w:name="_Toc184312080"/>
      <w:bookmarkEnd w:id="129"/>
      <w:bookmarkStart w:id="130" w:name="_Toc184312121"/>
      <w:bookmarkEnd w:id="130"/>
      <w:bookmarkStart w:id="131" w:name="_Toc184308108"/>
      <w:bookmarkEnd w:id="131"/>
      <w:bookmarkStart w:id="132" w:name="_Toc184310308"/>
      <w:bookmarkEnd w:id="132"/>
      <w:bookmarkStart w:id="133" w:name="_Toc184313247"/>
      <w:bookmarkEnd w:id="133"/>
      <w:bookmarkStart w:id="134" w:name="_Toc184314419"/>
      <w:bookmarkEnd w:id="134"/>
      <w:bookmarkStart w:id="135" w:name="_Toc184310286"/>
      <w:bookmarkEnd w:id="135"/>
      <w:bookmarkStart w:id="136" w:name="_Toc184308065"/>
      <w:bookmarkEnd w:id="136"/>
      <w:bookmarkStart w:id="137" w:name="_Toc184314464"/>
      <w:bookmarkEnd w:id="137"/>
      <w:bookmarkStart w:id="138" w:name="_Toc184314418"/>
      <w:bookmarkEnd w:id="138"/>
      <w:bookmarkStart w:id="139" w:name="_Toc184310276"/>
      <w:bookmarkEnd w:id="139"/>
      <w:bookmarkStart w:id="140" w:name="_Toc184313258"/>
      <w:bookmarkEnd w:id="140"/>
      <w:bookmarkStart w:id="141" w:name="_Toc184308080"/>
      <w:bookmarkEnd w:id="141"/>
      <w:bookmarkStart w:id="142" w:name="_Toc184313260"/>
      <w:bookmarkEnd w:id="142"/>
      <w:bookmarkStart w:id="143" w:name="_Toc184308107"/>
      <w:bookmarkEnd w:id="143"/>
      <w:bookmarkStart w:id="144" w:name="_Toc184308051"/>
      <w:bookmarkEnd w:id="144"/>
      <w:bookmarkStart w:id="145" w:name="_Toc184308064"/>
      <w:bookmarkEnd w:id="145"/>
      <w:bookmarkStart w:id="146" w:name="_Toc184308046"/>
      <w:bookmarkEnd w:id="146"/>
      <w:bookmarkStart w:id="147" w:name="_Toc184314449"/>
      <w:bookmarkEnd w:id="147"/>
      <w:bookmarkStart w:id="148" w:name="_Toc184313239"/>
      <w:bookmarkEnd w:id="148"/>
      <w:bookmarkStart w:id="149" w:name="_Toc184308094"/>
      <w:bookmarkEnd w:id="149"/>
      <w:bookmarkStart w:id="150" w:name="_Toc184312100"/>
      <w:bookmarkEnd w:id="150"/>
      <w:bookmarkStart w:id="151" w:name="_Toc184308074"/>
      <w:bookmarkEnd w:id="151"/>
      <w:bookmarkStart w:id="152" w:name="_Toc184308062"/>
      <w:bookmarkEnd w:id="152"/>
      <w:bookmarkStart w:id="153" w:name="_Toc184312116"/>
      <w:bookmarkEnd w:id="153"/>
      <w:bookmarkStart w:id="154" w:name="_Toc184312083"/>
      <w:bookmarkEnd w:id="154"/>
      <w:bookmarkStart w:id="155" w:name="_Toc184310335"/>
      <w:bookmarkEnd w:id="155"/>
      <w:bookmarkStart w:id="156" w:name="_Toc184310294"/>
      <w:bookmarkEnd w:id="156"/>
      <w:bookmarkStart w:id="157" w:name="_Toc184313310"/>
      <w:bookmarkEnd w:id="157"/>
      <w:bookmarkStart w:id="158" w:name="_Toc184310326"/>
      <w:bookmarkEnd w:id="158"/>
      <w:bookmarkStart w:id="159" w:name="_Toc184312108"/>
      <w:bookmarkEnd w:id="159"/>
      <w:bookmarkStart w:id="160" w:name="_Toc184314440"/>
      <w:bookmarkEnd w:id="160"/>
      <w:bookmarkStart w:id="161" w:name="_Toc184313288"/>
      <w:bookmarkEnd w:id="161"/>
      <w:bookmarkStart w:id="162" w:name="_Toc184308075"/>
      <w:bookmarkEnd w:id="162"/>
      <w:bookmarkStart w:id="163" w:name="_Toc184314431"/>
      <w:bookmarkEnd w:id="163"/>
      <w:bookmarkStart w:id="164" w:name="_Toc184308055"/>
      <w:bookmarkEnd w:id="164"/>
      <w:bookmarkStart w:id="165" w:name="_Toc184310297"/>
      <w:bookmarkEnd w:id="165"/>
      <w:bookmarkStart w:id="166" w:name="_Toc184313243"/>
      <w:bookmarkEnd w:id="166"/>
      <w:bookmarkStart w:id="167" w:name="_Toc184310336"/>
      <w:bookmarkEnd w:id="167"/>
      <w:bookmarkStart w:id="168" w:name="_Toc184312091"/>
      <w:bookmarkEnd w:id="168"/>
      <w:bookmarkStart w:id="169" w:name="_Toc184312081"/>
      <w:bookmarkEnd w:id="169"/>
      <w:bookmarkStart w:id="170" w:name="_Toc184312094"/>
      <w:bookmarkEnd w:id="170"/>
      <w:bookmarkStart w:id="171" w:name="_Toc184313294"/>
      <w:bookmarkEnd w:id="171"/>
      <w:bookmarkStart w:id="172" w:name="_Toc184308073"/>
      <w:bookmarkEnd w:id="172"/>
      <w:bookmarkStart w:id="173" w:name="_Toc184314436"/>
      <w:bookmarkEnd w:id="173"/>
      <w:bookmarkStart w:id="174" w:name="_Toc184308078"/>
      <w:bookmarkEnd w:id="174"/>
      <w:bookmarkStart w:id="175" w:name="_Toc184313304"/>
      <w:bookmarkEnd w:id="175"/>
      <w:bookmarkStart w:id="176" w:name="_Toc184308042"/>
      <w:bookmarkEnd w:id="176"/>
      <w:bookmarkStart w:id="177" w:name="_Toc184314437"/>
      <w:bookmarkEnd w:id="177"/>
      <w:bookmarkStart w:id="178" w:name="_Toc184308091"/>
      <w:bookmarkEnd w:id="178"/>
      <w:bookmarkStart w:id="179" w:name="_Toc184310322"/>
      <w:bookmarkEnd w:id="179"/>
      <w:bookmarkStart w:id="180" w:name="_Toc184312086"/>
      <w:bookmarkEnd w:id="180"/>
      <w:bookmarkStart w:id="181" w:name="_Toc184308084"/>
      <w:bookmarkEnd w:id="181"/>
      <w:bookmarkStart w:id="182" w:name="_Toc184312088"/>
      <w:bookmarkEnd w:id="182"/>
      <w:bookmarkStart w:id="183" w:name="_Toc184308101"/>
      <w:bookmarkEnd w:id="183"/>
      <w:bookmarkStart w:id="184" w:name="_Toc184310339"/>
      <w:bookmarkEnd w:id="184"/>
      <w:bookmarkStart w:id="185" w:name="_Toc184312114"/>
      <w:bookmarkEnd w:id="185"/>
      <w:bookmarkStart w:id="186" w:name="_Toc184308077"/>
      <w:bookmarkEnd w:id="186"/>
      <w:bookmarkStart w:id="187" w:name="_Toc184313302"/>
      <w:bookmarkEnd w:id="187"/>
      <w:bookmarkStart w:id="188" w:name="_Toc184313270"/>
      <w:bookmarkEnd w:id="188"/>
      <w:bookmarkStart w:id="189" w:name="_Toc184312107"/>
      <w:bookmarkEnd w:id="189"/>
      <w:bookmarkStart w:id="190" w:name="_Toc184312069"/>
      <w:bookmarkEnd w:id="190"/>
      <w:bookmarkStart w:id="191" w:name="_Toc184310340"/>
      <w:bookmarkEnd w:id="191"/>
      <w:bookmarkStart w:id="192" w:name="_Toc184310332"/>
      <w:bookmarkEnd w:id="192"/>
      <w:bookmarkStart w:id="193" w:name="_Toc184312093"/>
      <w:bookmarkEnd w:id="193"/>
      <w:bookmarkStart w:id="194" w:name="_Toc184312096"/>
      <w:bookmarkEnd w:id="194"/>
      <w:bookmarkStart w:id="195" w:name="_Toc184308058"/>
      <w:bookmarkEnd w:id="195"/>
      <w:bookmarkStart w:id="196" w:name="_Toc184314452"/>
      <w:bookmarkEnd w:id="196"/>
      <w:bookmarkStart w:id="197" w:name="_Toc184313264"/>
      <w:bookmarkEnd w:id="197"/>
      <w:bookmarkStart w:id="198" w:name="_Toc184310311"/>
      <w:bookmarkEnd w:id="198"/>
      <w:bookmarkStart w:id="199" w:name="_Toc184312084"/>
      <w:bookmarkEnd w:id="199"/>
      <w:bookmarkStart w:id="200" w:name="_Toc184314453"/>
      <w:bookmarkEnd w:id="200"/>
      <w:bookmarkStart w:id="201" w:name="_Toc184314416"/>
      <w:bookmarkEnd w:id="201"/>
      <w:bookmarkStart w:id="202" w:name="_Toc184312131"/>
      <w:bookmarkEnd w:id="202"/>
      <w:bookmarkStart w:id="203" w:name="_Toc184312117"/>
      <w:bookmarkEnd w:id="203"/>
      <w:bookmarkStart w:id="204" w:name="_Toc184312118"/>
      <w:bookmarkEnd w:id="204"/>
      <w:bookmarkStart w:id="205" w:name="_Toc184313241"/>
      <w:bookmarkEnd w:id="205"/>
      <w:bookmarkStart w:id="206" w:name="_Toc184310337"/>
      <w:bookmarkEnd w:id="206"/>
      <w:bookmarkStart w:id="207" w:name="_Toc184313299"/>
      <w:bookmarkEnd w:id="207"/>
      <w:bookmarkStart w:id="208" w:name="_Toc184310321"/>
      <w:bookmarkEnd w:id="208"/>
      <w:bookmarkStart w:id="209" w:name="_Toc184313273"/>
      <w:bookmarkEnd w:id="209"/>
      <w:bookmarkStart w:id="210" w:name="_Toc184312123"/>
      <w:bookmarkEnd w:id="210"/>
      <w:bookmarkStart w:id="211" w:name="_Toc184310278"/>
      <w:bookmarkEnd w:id="211"/>
      <w:bookmarkStart w:id="212" w:name="_Toc184310307"/>
      <w:bookmarkEnd w:id="212"/>
      <w:bookmarkStart w:id="213" w:name="_Toc184310304"/>
      <w:bookmarkEnd w:id="213"/>
      <w:bookmarkStart w:id="214" w:name="_Toc184313245"/>
      <w:bookmarkEnd w:id="214"/>
      <w:bookmarkStart w:id="215" w:name="_Toc184310341"/>
      <w:bookmarkEnd w:id="215"/>
      <w:bookmarkStart w:id="216" w:name="_Toc184310327"/>
      <w:bookmarkEnd w:id="216"/>
      <w:bookmarkStart w:id="217" w:name="_Toc184310303"/>
      <w:bookmarkEnd w:id="217"/>
      <w:bookmarkStart w:id="218" w:name="_Toc184314429"/>
      <w:bookmarkEnd w:id="218"/>
      <w:bookmarkStart w:id="219" w:name="_Toc184312068"/>
      <w:bookmarkEnd w:id="219"/>
      <w:bookmarkStart w:id="220" w:name="_Toc184312072"/>
      <w:bookmarkEnd w:id="220"/>
      <w:bookmarkStart w:id="221" w:name="_Toc184310325"/>
      <w:bookmarkEnd w:id="221"/>
      <w:bookmarkStart w:id="222" w:name="_Toc184310287"/>
      <w:bookmarkEnd w:id="222"/>
      <w:bookmarkStart w:id="223" w:name="_Toc184314478"/>
      <w:bookmarkEnd w:id="223"/>
      <w:bookmarkStart w:id="224" w:name="_Toc184312137"/>
      <w:bookmarkEnd w:id="224"/>
      <w:bookmarkStart w:id="225" w:name="_Toc184312130"/>
      <w:bookmarkEnd w:id="225"/>
      <w:bookmarkStart w:id="226" w:name="_Toc184310324"/>
      <w:bookmarkEnd w:id="226"/>
      <w:bookmarkStart w:id="227" w:name="_Toc184313289"/>
      <w:bookmarkEnd w:id="227"/>
      <w:bookmarkStart w:id="228" w:name="_Toc184314467"/>
      <w:bookmarkEnd w:id="228"/>
      <w:bookmarkStart w:id="229" w:name="_Toc184313286"/>
      <w:bookmarkEnd w:id="229"/>
      <w:bookmarkStart w:id="230" w:name="_Toc184310315"/>
      <w:bookmarkEnd w:id="230"/>
      <w:bookmarkStart w:id="231" w:name="_Toc184312092"/>
      <w:bookmarkEnd w:id="231"/>
      <w:bookmarkStart w:id="232" w:name="_Toc184308089"/>
      <w:bookmarkEnd w:id="232"/>
      <w:bookmarkStart w:id="233" w:name="_Toc184312095"/>
      <w:bookmarkEnd w:id="233"/>
      <w:bookmarkStart w:id="234" w:name="_Toc184313283"/>
      <w:bookmarkEnd w:id="234"/>
      <w:bookmarkStart w:id="235" w:name="_Toc184314461"/>
      <w:bookmarkEnd w:id="235"/>
      <w:bookmarkStart w:id="236" w:name="_Toc184310320"/>
      <w:bookmarkEnd w:id="236"/>
      <w:bookmarkStart w:id="237" w:name="_Toc184314459"/>
      <w:bookmarkEnd w:id="237"/>
      <w:bookmarkStart w:id="238" w:name="_Toc184313253"/>
      <w:bookmarkEnd w:id="238"/>
      <w:bookmarkStart w:id="239" w:name="_Toc184314458"/>
      <w:bookmarkEnd w:id="239"/>
      <w:bookmarkStart w:id="240" w:name="_Toc184310296"/>
      <w:bookmarkEnd w:id="240"/>
      <w:bookmarkStart w:id="241" w:name="_Toc184312082"/>
      <w:bookmarkEnd w:id="241"/>
      <w:bookmarkStart w:id="242" w:name="_Toc184313300"/>
      <w:bookmarkEnd w:id="242"/>
      <w:bookmarkStart w:id="243" w:name="_Toc184308036"/>
      <w:bookmarkEnd w:id="243"/>
      <w:bookmarkStart w:id="244" w:name="_Toc184313293"/>
      <w:bookmarkEnd w:id="244"/>
      <w:bookmarkStart w:id="245" w:name="_Toc184314475"/>
      <w:bookmarkEnd w:id="245"/>
      <w:bookmarkStart w:id="246" w:name="_Toc184312089"/>
      <w:bookmarkEnd w:id="246"/>
      <w:bookmarkStart w:id="247" w:name="_Toc184314435"/>
      <w:bookmarkEnd w:id="247"/>
      <w:bookmarkStart w:id="248" w:name="_Toc184314422"/>
      <w:bookmarkEnd w:id="248"/>
      <w:bookmarkStart w:id="249" w:name="_Toc184308071"/>
      <w:bookmarkEnd w:id="249"/>
      <w:bookmarkStart w:id="250" w:name="_Toc184313263"/>
      <w:bookmarkEnd w:id="250"/>
      <w:bookmarkStart w:id="251" w:name="_Toc184314446"/>
      <w:bookmarkEnd w:id="251"/>
      <w:bookmarkStart w:id="252" w:name="_Toc184310302"/>
      <w:bookmarkEnd w:id="252"/>
      <w:bookmarkStart w:id="253" w:name="_Toc184310342"/>
      <w:bookmarkEnd w:id="253"/>
      <w:bookmarkStart w:id="254" w:name="_Toc184308079"/>
      <w:bookmarkEnd w:id="254"/>
      <w:bookmarkStart w:id="255" w:name="_Toc184308069"/>
      <w:bookmarkEnd w:id="255"/>
      <w:bookmarkStart w:id="256" w:name="_Toc184314426"/>
      <w:bookmarkEnd w:id="256"/>
      <w:bookmarkStart w:id="257" w:name="_Toc184314430"/>
      <w:bookmarkEnd w:id="257"/>
      <w:bookmarkStart w:id="258" w:name="_Toc184310280"/>
      <w:bookmarkEnd w:id="258"/>
      <w:bookmarkStart w:id="259" w:name="_Toc184313306"/>
      <w:bookmarkEnd w:id="259"/>
      <w:bookmarkStart w:id="260" w:name="_Toc184308038"/>
      <w:bookmarkEnd w:id="260"/>
      <w:bookmarkStart w:id="261" w:name="_Toc184308052"/>
      <w:bookmarkEnd w:id="261"/>
      <w:bookmarkStart w:id="262" w:name="_Toc184310298"/>
      <w:bookmarkEnd w:id="262"/>
      <w:bookmarkStart w:id="263" w:name="_Toc184308081"/>
      <w:bookmarkEnd w:id="263"/>
      <w:bookmarkStart w:id="264" w:name="_Toc184308039"/>
      <w:bookmarkEnd w:id="264"/>
      <w:bookmarkStart w:id="265" w:name="_Toc184314471"/>
      <w:bookmarkEnd w:id="265"/>
      <w:bookmarkStart w:id="266" w:name="_Toc184310295"/>
      <w:bookmarkEnd w:id="266"/>
      <w:bookmarkStart w:id="267" w:name="_Toc184312124"/>
      <w:bookmarkEnd w:id="267"/>
      <w:bookmarkStart w:id="268" w:name="_Toc184312126"/>
      <w:bookmarkEnd w:id="268"/>
      <w:bookmarkStart w:id="269" w:name="_Toc184313240"/>
      <w:bookmarkEnd w:id="269"/>
      <w:bookmarkStart w:id="270" w:name="_Toc184314421"/>
      <w:bookmarkEnd w:id="270"/>
      <w:bookmarkStart w:id="271" w:name="_Toc184310333"/>
      <w:bookmarkEnd w:id="271"/>
      <w:bookmarkStart w:id="272" w:name="_Toc184314451"/>
      <w:bookmarkEnd w:id="272"/>
      <w:bookmarkStart w:id="273" w:name="_Toc184310313"/>
      <w:bookmarkEnd w:id="273"/>
      <w:bookmarkStart w:id="274" w:name="_Toc184312104"/>
      <w:bookmarkEnd w:id="274"/>
      <w:bookmarkStart w:id="275" w:name="_Toc184310343"/>
      <w:bookmarkEnd w:id="275"/>
      <w:bookmarkStart w:id="276" w:name="_Toc184312128"/>
      <w:bookmarkEnd w:id="276"/>
      <w:bookmarkStart w:id="277" w:name="_Toc184308056"/>
      <w:bookmarkEnd w:id="277"/>
      <w:bookmarkStart w:id="278" w:name="_Toc184314469"/>
      <w:bookmarkEnd w:id="278"/>
      <w:bookmarkStart w:id="279" w:name="_Toc184310319"/>
      <w:bookmarkEnd w:id="279"/>
      <w:bookmarkStart w:id="280" w:name="_Toc184310305"/>
      <w:bookmarkEnd w:id="280"/>
      <w:bookmarkStart w:id="281" w:name="_Toc184312106"/>
      <w:bookmarkEnd w:id="281"/>
      <w:bookmarkStart w:id="282" w:name="_Toc184313249"/>
      <w:bookmarkEnd w:id="282"/>
      <w:bookmarkStart w:id="283" w:name="_Toc184312103"/>
      <w:bookmarkEnd w:id="283"/>
      <w:bookmarkStart w:id="284" w:name="_Toc184310300"/>
      <w:bookmarkEnd w:id="284"/>
      <w:bookmarkStart w:id="285" w:name="_Toc184314450"/>
      <w:bookmarkEnd w:id="285"/>
      <w:bookmarkStart w:id="286" w:name="_Toc184312105"/>
      <w:bookmarkEnd w:id="286"/>
      <w:bookmarkStart w:id="287" w:name="_Toc184310314"/>
      <w:bookmarkEnd w:id="287"/>
      <w:bookmarkStart w:id="288" w:name="_Toc184310316"/>
      <w:bookmarkEnd w:id="288"/>
      <w:bookmarkStart w:id="289" w:name="_Toc184313268"/>
      <w:bookmarkEnd w:id="289"/>
      <w:bookmarkStart w:id="290" w:name="_Toc184313259"/>
      <w:bookmarkEnd w:id="290"/>
      <w:bookmarkStart w:id="291" w:name="_Toc184314481"/>
      <w:bookmarkEnd w:id="291"/>
      <w:bookmarkStart w:id="292" w:name="_Toc184313305"/>
      <w:bookmarkEnd w:id="292"/>
      <w:bookmarkStart w:id="293" w:name="_Toc184314455"/>
      <w:bookmarkEnd w:id="293"/>
      <w:bookmarkStart w:id="294" w:name="_Toc184313296"/>
      <w:bookmarkEnd w:id="294"/>
      <w:bookmarkStart w:id="295" w:name="_Toc184314410"/>
      <w:bookmarkEnd w:id="295"/>
      <w:bookmarkStart w:id="296" w:name="_Toc184308047"/>
      <w:bookmarkEnd w:id="296"/>
      <w:bookmarkStart w:id="297" w:name="_Toc184310310"/>
      <w:bookmarkEnd w:id="297"/>
      <w:bookmarkStart w:id="298" w:name="_Toc184313269"/>
      <w:bookmarkEnd w:id="298"/>
      <w:bookmarkStart w:id="299" w:name="_Toc184313297"/>
      <w:bookmarkEnd w:id="299"/>
      <w:bookmarkStart w:id="300" w:name="_Toc184314445"/>
      <w:bookmarkEnd w:id="300"/>
      <w:bookmarkStart w:id="301" w:name="_Toc184310289"/>
      <w:bookmarkEnd w:id="301"/>
      <w:bookmarkStart w:id="302" w:name="_Toc184313250"/>
      <w:bookmarkEnd w:id="302"/>
      <w:bookmarkStart w:id="303" w:name="_Toc184313307"/>
      <w:bookmarkEnd w:id="303"/>
      <w:bookmarkStart w:id="304" w:name="_Toc184314477"/>
      <w:bookmarkEnd w:id="304"/>
      <w:bookmarkStart w:id="305" w:name="_Toc184310272"/>
      <w:bookmarkEnd w:id="305"/>
      <w:bookmarkStart w:id="306" w:name="_Toc184314444"/>
      <w:bookmarkEnd w:id="306"/>
      <w:bookmarkStart w:id="307" w:name="_Toc184312073"/>
      <w:bookmarkEnd w:id="307"/>
      <w:bookmarkStart w:id="308" w:name="_Toc184310281"/>
      <w:bookmarkEnd w:id="308"/>
      <w:bookmarkStart w:id="309" w:name="_Toc184308068"/>
      <w:bookmarkEnd w:id="309"/>
      <w:bookmarkStart w:id="310" w:name="_Toc184310291"/>
      <w:bookmarkEnd w:id="310"/>
      <w:bookmarkStart w:id="311" w:name="_Toc184314417"/>
      <w:bookmarkEnd w:id="311"/>
      <w:bookmarkStart w:id="312" w:name="_Toc184312111"/>
      <w:bookmarkEnd w:id="312"/>
      <w:bookmarkStart w:id="313" w:name="_Toc184313284"/>
      <w:bookmarkEnd w:id="313"/>
      <w:bookmarkStart w:id="314" w:name="_Toc184308066"/>
      <w:bookmarkEnd w:id="314"/>
      <w:bookmarkStart w:id="315" w:name="_Toc184312071"/>
      <w:bookmarkEnd w:id="315"/>
      <w:bookmarkStart w:id="316" w:name="_Toc184310292"/>
      <w:bookmarkEnd w:id="316"/>
      <w:bookmarkStart w:id="317" w:name="_Toc184313276"/>
      <w:bookmarkEnd w:id="317"/>
      <w:bookmarkStart w:id="318" w:name="_Toc184308100"/>
      <w:bookmarkEnd w:id="318"/>
      <w:bookmarkStart w:id="319" w:name="_Toc184308085"/>
      <w:bookmarkEnd w:id="319"/>
      <w:bookmarkStart w:id="320" w:name="_Toc184310323"/>
      <w:bookmarkEnd w:id="320"/>
      <w:bookmarkStart w:id="321" w:name="_Toc184308096"/>
      <w:bookmarkEnd w:id="321"/>
      <w:bookmarkStart w:id="322" w:name="_Toc184310284"/>
      <w:bookmarkEnd w:id="322"/>
      <w:bookmarkStart w:id="323" w:name="_Toc184313271"/>
      <w:bookmarkEnd w:id="323"/>
      <w:bookmarkStart w:id="324" w:name="_Toc184314460"/>
      <w:bookmarkEnd w:id="324"/>
      <w:bookmarkStart w:id="325" w:name="_Toc184314456"/>
      <w:bookmarkEnd w:id="325"/>
      <w:bookmarkStart w:id="326" w:name="_Toc184312129"/>
      <w:bookmarkEnd w:id="326"/>
      <w:bookmarkStart w:id="327" w:name="_Toc184313262"/>
      <w:bookmarkEnd w:id="327"/>
      <w:bookmarkStart w:id="328" w:name="_Toc184313238"/>
      <w:bookmarkEnd w:id="328"/>
      <w:bookmarkStart w:id="329" w:name="_Toc184313265"/>
      <w:bookmarkEnd w:id="329"/>
      <w:bookmarkStart w:id="330" w:name="_Toc184312075"/>
      <w:bookmarkEnd w:id="330"/>
      <w:bookmarkStart w:id="331" w:name="_Toc184313252"/>
      <w:bookmarkEnd w:id="331"/>
      <w:bookmarkStart w:id="332" w:name="_Toc184308063"/>
      <w:bookmarkEnd w:id="332"/>
      <w:bookmarkStart w:id="333" w:name="_Toc184310285"/>
      <w:bookmarkEnd w:id="333"/>
      <w:bookmarkStart w:id="334" w:name="_Toc184308102"/>
      <w:bookmarkEnd w:id="334"/>
      <w:bookmarkStart w:id="335" w:name="_Toc184314480"/>
      <w:bookmarkEnd w:id="335"/>
      <w:bookmarkStart w:id="336" w:name="_Toc184310328"/>
      <w:bookmarkEnd w:id="336"/>
      <w:bookmarkStart w:id="337" w:name="_Toc184313292"/>
      <w:bookmarkEnd w:id="337"/>
      <w:bookmarkStart w:id="338" w:name="_Toc184313274"/>
      <w:bookmarkEnd w:id="338"/>
      <w:bookmarkStart w:id="339" w:name="_Toc184314462"/>
      <w:bookmarkEnd w:id="339"/>
      <w:bookmarkStart w:id="340" w:name="_Toc184314420"/>
      <w:bookmarkEnd w:id="340"/>
      <w:bookmarkStart w:id="341" w:name="_Toc184308045"/>
      <w:bookmarkEnd w:id="341"/>
      <w:bookmarkStart w:id="342" w:name="_Toc184312138"/>
      <w:bookmarkEnd w:id="342"/>
      <w:bookmarkStart w:id="343" w:name="_Toc184312079"/>
      <w:bookmarkEnd w:id="343"/>
      <w:bookmarkStart w:id="344" w:name="_Toc184308088"/>
      <w:bookmarkEnd w:id="344"/>
      <w:bookmarkStart w:id="345" w:name="_Toc184308059"/>
      <w:bookmarkEnd w:id="345"/>
      <w:bookmarkStart w:id="346" w:name="_Toc184312074"/>
      <w:bookmarkEnd w:id="346"/>
      <w:bookmarkStart w:id="347" w:name="_Toc184313277"/>
      <w:bookmarkEnd w:id="347"/>
      <w:bookmarkStart w:id="348" w:name="_Toc184313244"/>
      <w:bookmarkEnd w:id="348"/>
      <w:bookmarkStart w:id="349" w:name="_Toc184310299"/>
      <w:bookmarkEnd w:id="349"/>
      <w:bookmarkStart w:id="350" w:name="_Toc184313280"/>
      <w:bookmarkEnd w:id="350"/>
      <w:bookmarkStart w:id="351" w:name="_Toc184310275"/>
      <w:bookmarkEnd w:id="351"/>
      <w:bookmarkStart w:id="352" w:name="_Toc184313267"/>
      <w:bookmarkEnd w:id="352"/>
      <w:bookmarkStart w:id="353" w:name="_Toc184312113"/>
      <w:bookmarkEnd w:id="353"/>
      <w:bookmarkStart w:id="354" w:name="_Toc184312110"/>
      <w:bookmarkEnd w:id="354"/>
      <w:bookmarkStart w:id="355" w:name="_Toc184313256"/>
      <w:bookmarkEnd w:id="355"/>
      <w:bookmarkStart w:id="356" w:name="_Toc184314448"/>
      <w:bookmarkEnd w:id="356"/>
      <w:bookmarkStart w:id="357" w:name="_Toc184314470"/>
      <w:bookmarkEnd w:id="357"/>
      <w:bookmarkStart w:id="358" w:name="_Toc184314479"/>
      <w:bookmarkEnd w:id="358"/>
      <w:bookmarkStart w:id="359" w:name="_Toc184314415"/>
      <w:bookmarkEnd w:id="359"/>
      <w:bookmarkStart w:id="360" w:name="_Toc184314425"/>
      <w:bookmarkEnd w:id="360"/>
      <w:bookmarkStart w:id="361" w:name="_Toc184310277"/>
      <w:bookmarkEnd w:id="361"/>
      <w:bookmarkStart w:id="362" w:name="_Toc184310293"/>
      <w:bookmarkEnd w:id="362"/>
      <w:bookmarkStart w:id="363" w:name="_Toc184310312"/>
      <w:bookmarkEnd w:id="363"/>
      <w:bookmarkStart w:id="364" w:name="_Toc184308049"/>
      <w:bookmarkEnd w:id="364"/>
      <w:bookmarkStart w:id="365" w:name="_Toc184314413"/>
      <w:bookmarkEnd w:id="365"/>
      <w:bookmarkStart w:id="366" w:name="_Toc184313255"/>
      <w:bookmarkEnd w:id="366"/>
      <w:bookmarkStart w:id="367" w:name="_Toc184313248"/>
      <w:bookmarkEnd w:id="367"/>
      <w:bookmarkStart w:id="368" w:name="_Toc184308083"/>
      <w:bookmarkEnd w:id="368"/>
      <w:bookmarkStart w:id="369" w:name="_Toc184312115"/>
      <w:bookmarkEnd w:id="369"/>
      <w:bookmarkStart w:id="370" w:name="_Toc184308040"/>
      <w:bookmarkEnd w:id="370"/>
      <w:bookmarkStart w:id="371" w:name="_Toc184310318"/>
      <w:bookmarkEnd w:id="371"/>
      <w:bookmarkStart w:id="372" w:name="_Toc184308041"/>
      <w:bookmarkEnd w:id="372"/>
      <w:bookmarkStart w:id="373" w:name="_Toc184312135"/>
      <w:bookmarkEnd w:id="373"/>
      <w:bookmarkStart w:id="374" w:name="_Toc184310344"/>
      <w:bookmarkEnd w:id="374"/>
      <w:bookmarkStart w:id="375" w:name="_Toc184314428"/>
      <w:bookmarkEnd w:id="375"/>
      <w:bookmarkStart w:id="376" w:name="_Toc184313261"/>
      <w:bookmarkEnd w:id="376"/>
      <w:bookmarkStart w:id="377" w:name="_Toc184314474"/>
      <w:bookmarkEnd w:id="377"/>
      <w:bookmarkStart w:id="378" w:name="_Toc184310279"/>
      <w:bookmarkEnd w:id="378"/>
      <w:bookmarkStart w:id="379" w:name="_Toc184308037"/>
      <w:bookmarkEnd w:id="379"/>
      <w:bookmarkStart w:id="380" w:name="_Toc184314411"/>
      <w:bookmarkEnd w:id="380"/>
      <w:bookmarkStart w:id="381" w:name="_Toc184310334"/>
      <w:bookmarkEnd w:id="381"/>
      <w:bookmarkStart w:id="382" w:name="_Toc184308053"/>
      <w:bookmarkEnd w:id="382"/>
      <w:bookmarkStart w:id="383" w:name="_Toc184313254"/>
      <w:bookmarkEnd w:id="383"/>
      <w:bookmarkStart w:id="384" w:name="_Toc184312101"/>
      <w:bookmarkEnd w:id="384"/>
      <w:bookmarkStart w:id="385" w:name="_Toc184314414"/>
      <w:bookmarkEnd w:id="385"/>
      <w:bookmarkStart w:id="386" w:name="_Toc184308099"/>
      <w:bookmarkEnd w:id="386"/>
      <w:bookmarkStart w:id="387" w:name="_Toc184312077"/>
      <w:bookmarkEnd w:id="387"/>
      <w:bookmarkStart w:id="388" w:name="_Toc184314423"/>
      <w:bookmarkEnd w:id="388"/>
      <w:bookmarkStart w:id="389" w:name="_Toc184310273"/>
      <w:bookmarkEnd w:id="389"/>
      <w:bookmarkStart w:id="390" w:name="_Toc184314432"/>
      <w:bookmarkEnd w:id="390"/>
      <w:bookmarkStart w:id="391" w:name="_Toc184308048"/>
      <w:bookmarkEnd w:id="391"/>
      <w:bookmarkStart w:id="392" w:name="_Toc184312067"/>
      <w:bookmarkEnd w:id="392"/>
      <w:bookmarkStart w:id="393" w:name="_Toc184313308"/>
      <w:bookmarkEnd w:id="393"/>
      <w:bookmarkStart w:id="394" w:name="_Toc184314442"/>
      <w:bookmarkEnd w:id="394"/>
      <w:bookmarkStart w:id="395" w:name="_Toc184314468"/>
      <w:bookmarkEnd w:id="395"/>
      <w:bookmarkStart w:id="396" w:name="_Toc184308044"/>
      <w:bookmarkEnd w:id="396"/>
      <w:r>
        <w:rPr>
          <w:rFonts w:hint="eastAsia" w:ascii="宋体" w:hAnsi="宋体" w:eastAsia="宋体" w:cs="宋体"/>
          <w:b/>
          <w:snapToGrid/>
          <w:color w:val="auto"/>
          <w:kern w:val="2"/>
          <w:sz w:val="36"/>
          <w:szCs w:val="20"/>
          <w:highlight w:val="none"/>
          <w:lang w:val="en-US" w:eastAsia="zh-CN" w:bidi="ar-SA"/>
        </w:rPr>
        <w:t xml:space="preserve"> 评审办法</w:t>
      </w:r>
    </w:p>
    <w:tbl>
      <w:tblPr>
        <w:tblStyle w:val="63"/>
        <w:tblW w:w="97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5897"/>
        <w:gridCol w:w="793"/>
        <w:gridCol w:w="2133"/>
      </w:tblGrid>
      <w:tr w14:paraId="2F5B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614E4F72">
            <w:pPr>
              <w:snapToGrid w:val="0"/>
              <w:jc w:val="center"/>
              <w:outlineLvl w:val="0"/>
              <w:rPr>
                <w:rFonts w:ascii="宋体" w:hAnsi="宋体" w:cs="宋体"/>
                <w:bCs/>
                <w:color w:val="auto"/>
                <w:sz w:val="24"/>
                <w:szCs w:val="24"/>
                <w:highlight w:val="none"/>
              </w:rPr>
            </w:pPr>
            <w:r>
              <w:rPr>
                <w:rFonts w:hint="eastAsia" w:ascii="宋体" w:hAnsi="宋体" w:cs="宋体"/>
                <w:bCs/>
                <w:color w:val="auto"/>
                <w:sz w:val="24"/>
                <w:szCs w:val="24"/>
                <w:highlight w:val="none"/>
              </w:rPr>
              <w:t>序号</w:t>
            </w:r>
          </w:p>
        </w:tc>
        <w:tc>
          <w:tcPr>
            <w:tcW w:w="5897" w:type="dxa"/>
            <w:vAlign w:val="center"/>
          </w:tcPr>
          <w:p w14:paraId="7E41680A">
            <w:pPr>
              <w:snapToGrid w:val="0"/>
              <w:jc w:val="center"/>
              <w:outlineLvl w:val="0"/>
              <w:rPr>
                <w:rFonts w:ascii="宋体" w:hAnsi="宋体" w:cs="宋体"/>
                <w:bCs/>
                <w:color w:val="auto"/>
                <w:sz w:val="24"/>
                <w:szCs w:val="24"/>
                <w:highlight w:val="none"/>
              </w:rPr>
            </w:pPr>
            <w:r>
              <w:rPr>
                <w:rFonts w:hint="eastAsia" w:ascii="宋体" w:hAnsi="宋体" w:cs="宋体"/>
                <w:bCs/>
                <w:color w:val="auto"/>
                <w:sz w:val="24"/>
                <w:szCs w:val="24"/>
                <w:highlight w:val="none"/>
              </w:rPr>
              <w:t>评审标准</w:t>
            </w:r>
          </w:p>
        </w:tc>
        <w:tc>
          <w:tcPr>
            <w:tcW w:w="793" w:type="dxa"/>
            <w:vAlign w:val="center"/>
          </w:tcPr>
          <w:p w14:paraId="4BF516FC">
            <w:pPr>
              <w:snapToGrid w:val="0"/>
              <w:jc w:val="center"/>
              <w:outlineLvl w:val="0"/>
              <w:rPr>
                <w:rFonts w:ascii="宋体" w:hAnsi="宋体" w:cs="宋体"/>
                <w:bCs/>
                <w:color w:val="auto"/>
                <w:sz w:val="24"/>
                <w:szCs w:val="24"/>
                <w:highlight w:val="none"/>
              </w:rPr>
            </w:pPr>
            <w:r>
              <w:rPr>
                <w:rFonts w:hint="eastAsia" w:ascii="宋体" w:hAnsi="宋体" w:cs="宋体"/>
                <w:bCs/>
                <w:color w:val="auto"/>
                <w:sz w:val="24"/>
                <w:szCs w:val="24"/>
                <w:highlight w:val="none"/>
              </w:rPr>
              <w:t>权重</w:t>
            </w:r>
          </w:p>
        </w:tc>
        <w:tc>
          <w:tcPr>
            <w:tcW w:w="2133" w:type="dxa"/>
          </w:tcPr>
          <w:p w14:paraId="1F11A97A">
            <w:pPr>
              <w:snapToGrid w:val="0"/>
              <w:outlineLvl w:val="0"/>
              <w:rPr>
                <w:rFonts w:ascii="宋体" w:hAnsi="宋体" w:cs="宋体"/>
                <w:bCs/>
                <w:color w:val="auto"/>
                <w:sz w:val="24"/>
                <w:szCs w:val="24"/>
                <w:highlight w:val="none"/>
              </w:rPr>
            </w:pPr>
            <w:r>
              <w:rPr>
                <w:rFonts w:hint="eastAsia" w:ascii="宋体" w:hAnsi="宋体" w:cs="宋体"/>
                <w:bCs/>
                <w:color w:val="auto"/>
                <w:sz w:val="24"/>
                <w:szCs w:val="24"/>
                <w:highlight w:val="none"/>
              </w:rPr>
              <w:t>响应文件中评审标准相应的商务技术资料目录</w:t>
            </w:r>
            <w:r>
              <w:rPr>
                <w:rFonts w:hint="eastAsia" w:ascii="宋体" w:hAnsi="宋体" w:cs="宋体"/>
                <w:color w:val="auto"/>
                <w:sz w:val="24"/>
                <w:szCs w:val="24"/>
                <w:highlight w:val="none"/>
                <w:shd w:val="clear" w:color="auto" w:fill="FFFFFF"/>
              </w:rPr>
              <w:t> *</w:t>
            </w:r>
          </w:p>
        </w:tc>
      </w:tr>
      <w:tr w14:paraId="5B5F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0" w:type="dxa"/>
            <w:vAlign w:val="center"/>
          </w:tcPr>
          <w:p w14:paraId="2ABCDEEE">
            <w:pPr>
              <w:snapToGrid w:val="0"/>
              <w:jc w:val="center"/>
              <w:outlineLvl w:val="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w:t>
            </w:r>
          </w:p>
        </w:tc>
        <w:tc>
          <w:tcPr>
            <w:tcW w:w="5897" w:type="dxa"/>
            <w:vAlign w:val="center"/>
          </w:tcPr>
          <w:p w14:paraId="609D2930">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企业业绩</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供应商自</w:t>
            </w:r>
            <w:r>
              <w:rPr>
                <w:rFonts w:hint="eastAsia" w:ascii="宋体" w:hAnsi="宋体" w:eastAsia="宋体" w:cs="宋体"/>
                <w:color w:val="auto"/>
                <w:kern w:val="0"/>
                <w:sz w:val="24"/>
                <w:szCs w:val="24"/>
                <w:highlight w:val="none"/>
                <w:lang w:val="en-US" w:eastAsia="zh-CN"/>
              </w:rPr>
              <w:t>2021</w:t>
            </w:r>
            <w:r>
              <w:rPr>
                <w:rFonts w:hint="eastAsia" w:ascii="宋体" w:hAnsi="宋体" w:eastAsia="宋体" w:cs="宋体"/>
                <w:color w:val="auto"/>
                <w:kern w:val="0"/>
                <w:sz w:val="24"/>
                <w:szCs w:val="24"/>
                <w:highlight w:val="none"/>
              </w:rPr>
              <w:t>年1月1日以来，具有类似项目业绩（以合同签订时间为准），每个得</w:t>
            </w:r>
            <w:r>
              <w:rPr>
                <w:rFonts w:hint="eastAsia" w:ascii="宋体" w:hAnsi="宋体" w:eastAsia="宋体" w:cs="宋体"/>
                <w:color w:val="auto"/>
                <w:kern w:val="0"/>
                <w:sz w:val="24"/>
                <w:szCs w:val="24"/>
                <w:highlight w:val="none"/>
                <w:lang w:val="en-US" w:eastAsia="zh-CN"/>
              </w:rPr>
              <w:t>0.5</w:t>
            </w:r>
            <w:r>
              <w:rPr>
                <w:rFonts w:hint="eastAsia" w:ascii="宋体" w:hAnsi="宋体" w:eastAsia="宋体" w:cs="宋体"/>
                <w:color w:val="auto"/>
                <w:kern w:val="0"/>
                <w:sz w:val="24"/>
                <w:szCs w:val="24"/>
                <w:highlight w:val="none"/>
              </w:rPr>
              <w:t>分，最多得</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分。需提供合同协议书。同一个用户不重复得分。</w:t>
            </w:r>
          </w:p>
        </w:tc>
        <w:tc>
          <w:tcPr>
            <w:tcW w:w="793" w:type="dxa"/>
          </w:tcPr>
          <w:p w14:paraId="2D796A92">
            <w:pPr>
              <w:snapToGrid w:val="0"/>
              <w:jc w:val="center"/>
              <w:outlineLvl w:val="0"/>
              <w:rPr>
                <w:rFonts w:ascii="宋体" w:hAnsi="宋体" w:cs="宋体"/>
                <w:bCs/>
                <w:color w:val="auto"/>
                <w:sz w:val="24"/>
                <w:szCs w:val="24"/>
                <w:highlight w:val="none"/>
              </w:rPr>
            </w:pPr>
          </w:p>
          <w:p w14:paraId="5DCCD983">
            <w:pPr>
              <w:snapToGrid w:val="0"/>
              <w:jc w:val="center"/>
              <w:outlineLvl w:val="0"/>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w:t>
            </w:r>
          </w:p>
        </w:tc>
        <w:tc>
          <w:tcPr>
            <w:tcW w:w="2133" w:type="dxa"/>
          </w:tcPr>
          <w:p w14:paraId="4CAA4E62">
            <w:pPr>
              <w:snapToGrid w:val="0"/>
              <w:outlineLvl w:val="0"/>
              <w:rPr>
                <w:rFonts w:ascii="宋体" w:hAnsi="宋体" w:cs="宋体"/>
                <w:color w:val="auto"/>
                <w:sz w:val="24"/>
                <w:szCs w:val="24"/>
                <w:highlight w:val="none"/>
              </w:rPr>
            </w:pPr>
          </w:p>
        </w:tc>
      </w:tr>
      <w:tr w14:paraId="1DA6D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282EFFBE">
            <w:pPr>
              <w:snapToGrid w:val="0"/>
              <w:jc w:val="center"/>
              <w:outlineLvl w:val="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p>
        </w:tc>
        <w:tc>
          <w:tcPr>
            <w:tcW w:w="5897" w:type="dxa"/>
            <w:vAlign w:val="center"/>
          </w:tcPr>
          <w:p w14:paraId="27020A19">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投标人对本项目情况及施工环境、现状的了解、根据施工环境、现状、结合施工图纸进行分析，提供分析方案：</w:t>
            </w:r>
          </w:p>
          <w:p w14:paraId="4A8CB2E5">
            <w:pPr>
              <w:numPr>
                <w:ilvl w:val="0"/>
                <w:numId w:val="1"/>
              </w:num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提供了分析方案方案的得</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分；</w:t>
            </w:r>
          </w:p>
          <w:p w14:paraId="5CE6644D">
            <w:pPr>
              <w:numPr>
                <w:ilvl w:val="0"/>
                <w:numId w:val="1"/>
              </w:num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对施工环境、现状了解到位的得1分；</w:t>
            </w:r>
          </w:p>
          <w:p w14:paraId="33F429BD">
            <w:pPr>
              <w:numPr>
                <w:ilvl w:val="0"/>
                <w:numId w:val="1"/>
              </w:num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对施工图纸施工要求分析到位的得1分；</w:t>
            </w:r>
          </w:p>
          <w:p w14:paraId="725EDC16">
            <w:pPr>
              <w:numPr>
                <w:ilvl w:val="0"/>
                <w:numId w:val="1"/>
              </w:num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分析方案能更好的提升工程质量的得2分；</w:t>
            </w:r>
          </w:p>
          <w:p w14:paraId="7ED7E988">
            <w:pPr>
              <w:numPr>
                <w:ilvl w:val="0"/>
                <w:numId w:val="1"/>
              </w:num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未提供不得分。</w:t>
            </w:r>
          </w:p>
        </w:tc>
        <w:tc>
          <w:tcPr>
            <w:tcW w:w="793" w:type="dxa"/>
          </w:tcPr>
          <w:p w14:paraId="021166CE">
            <w:pPr>
              <w:snapToGrid w:val="0"/>
              <w:jc w:val="center"/>
              <w:outlineLvl w:val="0"/>
              <w:rPr>
                <w:rFonts w:hint="eastAsia" w:ascii="宋体" w:hAnsi="宋体" w:cs="宋体"/>
                <w:bCs/>
                <w:color w:val="auto"/>
                <w:sz w:val="24"/>
                <w:szCs w:val="24"/>
                <w:highlight w:val="none"/>
                <w:lang w:val="en-US" w:eastAsia="zh-CN"/>
              </w:rPr>
            </w:pPr>
          </w:p>
          <w:p w14:paraId="1B9E65D0">
            <w:pPr>
              <w:snapToGrid w:val="0"/>
              <w:jc w:val="center"/>
              <w:outlineLvl w:val="0"/>
              <w:rPr>
                <w:rFonts w:hint="eastAsia" w:ascii="宋体" w:hAnsi="宋体" w:cs="宋体"/>
                <w:bCs/>
                <w:color w:val="auto"/>
                <w:sz w:val="24"/>
                <w:szCs w:val="24"/>
                <w:highlight w:val="none"/>
                <w:lang w:val="en-US" w:eastAsia="zh-CN"/>
              </w:rPr>
            </w:pPr>
          </w:p>
          <w:p w14:paraId="538FD435">
            <w:pPr>
              <w:snapToGrid w:val="0"/>
              <w:jc w:val="center"/>
              <w:outlineLvl w:val="0"/>
              <w:rPr>
                <w:rFonts w:hint="eastAsia" w:ascii="宋体" w:hAnsi="宋体" w:cs="宋体"/>
                <w:bCs/>
                <w:color w:val="auto"/>
                <w:sz w:val="24"/>
                <w:szCs w:val="24"/>
                <w:highlight w:val="none"/>
                <w:lang w:val="en-US" w:eastAsia="zh-CN"/>
              </w:rPr>
            </w:pPr>
          </w:p>
          <w:p w14:paraId="5EBFDC7F">
            <w:pPr>
              <w:snapToGrid w:val="0"/>
              <w:jc w:val="center"/>
              <w:outlineLvl w:val="0"/>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6</w:t>
            </w:r>
          </w:p>
        </w:tc>
        <w:tc>
          <w:tcPr>
            <w:tcW w:w="2133" w:type="dxa"/>
          </w:tcPr>
          <w:p w14:paraId="39EA2157">
            <w:pPr>
              <w:snapToGrid w:val="0"/>
              <w:outlineLvl w:val="0"/>
              <w:rPr>
                <w:rFonts w:ascii="宋体" w:hAnsi="宋体" w:cs="宋体"/>
                <w:color w:val="auto"/>
                <w:sz w:val="24"/>
                <w:szCs w:val="24"/>
                <w:highlight w:val="none"/>
              </w:rPr>
            </w:pPr>
          </w:p>
        </w:tc>
      </w:tr>
      <w:tr w14:paraId="7E2CE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57A53BC5">
            <w:pPr>
              <w:snapToGrid w:val="0"/>
              <w:jc w:val="center"/>
              <w:outlineLvl w:val="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5897" w:type="dxa"/>
            <w:vAlign w:val="center"/>
          </w:tcPr>
          <w:p w14:paraId="65787EAF">
            <w:pPr>
              <w:spacing w:line="240" w:lineRule="auto"/>
              <w:contextualSpacing/>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投标人结合本项目施工得特点、难点进行分析，并提出解决措施，根据提供方案进行评审</w:t>
            </w:r>
          </w:p>
          <w:p w14:paraId="1D174A44">
            <w:pPr>
              <w:spacing w:line="240" w:lineRule="auto"/>
              <w:contextualSpacing/>
              <w:jc w:val="lef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rPr>
              <w:t>投标人提供争对本项目的特点、难点分析方案的得1分；</w:t>
            </w:r>
          </w:p>
          <w:p w14:paraId="3050A720">
            <w:pPr>
              <w:spacing w:line="240" w:lineRule="auto"/>
              <w:contextualSpacing/>
              <w:jc w:val="lef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rPr>
              <w:t>投标人提供项目特点、难点解决措施的得1分；</w:t>
            </w:r>
          </w:p>
          <w:p w14:paraId="69DB6FA1">
            <w:pPr>
              <w:spacing w:line="240" w:lineRule="auto"/>
              <w:contextualSpacing/>
              <w:jc w:val="lef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en-US"/>
              </w:rPr>
              <w:t>提供的特点、难点解决措施</w:t>
            </w:r>
            <w:r>
              <w:rPr>
                <w:rFonts w:hint="eastAsia" w:ascii="宋体" w:hAnsi="宋体" w:eastAsia="宋体" w:cs="宋体"/>
                <w:b/>
                <w:bCs/>
                <w:color w:val="auto"/>
                <w:sz w:val="24"/>
                <w:szCs w:val="24"/>
                <w:highlight w:val="none"/>
                <w:lang w:val="en-US"/>
              </w:rPr>
              <w:t>合理、完整、科学</w:t>
            </w:r>
            <w:r>
              <w:rPr>
                <w:rFonts w:hint="eastAsia" w:ascii="宋体" w:hAnsi="宋体" w:eastAsia="宋体" w:cs="宋体"/>
                <w:color w:val="auto"/>
                <w:sz w:val="24"/>
                <w:szCs w:val="24"/>
                <w:highlight w:val="none"/>
                <w:lang w:val="en-US"/>
              </w:rPr>
              <w:t>的每满足一项得1分，共3分。</w:t>
            </w:r>
          </w:p>
        </w:tc>
        <w:tc>
          <w:tcPr>
            <w:tcW w:w="793" w:type="dxa"/>
          </w:tcPr>
          <w:p w14:paraId="1112EDFD">
            <w:pPr>
              <w:snapToGrid w:val="0"/>
              <w:jc w:val="center"/>
              <w:outlineLvl w:val="0"/>
              <w:rPr>
                <w:rFonts w:hint="eastAsia" w:ascii="宋体" w:hAnsi="宋体" w:cs="宋体"/>
                <w:bCs/>
                <w:color w:val="auto"/>
                <w:sz w:val="24"/>
                <w:szCs w:val="24"/>
                <w:highlight w:val="none"/>
                <w:lang w:val="en-US" w:eastAsia="zh-CN"/>
              </w:rPr>
            </w:pPr>
          </w:p>
          <w:p w14:paraId="7509510B">
            <w:pPr>
              <w:snapToGrid w:val="0"/>
              <w:jc w:val="center"/>
              <w:outlineLvl w:val="0"/>
              <w:rPr>
                <w:rFonts w:hint="eastAsia" w:ascii="宋体" w:hAnsi="宋体" w:cs="宋体"/>
                <w:bCs/>
                <w:color w:val="auto"/>
                <w:sz w:val="24"/>
                <w:szCs w:val="24"/>
                <w:highlight w:val="none"/>
                <w:lang w:val="en-US" w:eastAsia="zh-CN"/>
              </w:rPr>
            </w:pPr>
          </w:p>
          <w:p w14:paraId="07329FDE">
            <w:pPr>
              <w:snapToGrid w:val="0"/>
              <w:jc w:val="center"/>
              <w:outlineLvl w:val="0"/>
              <w:rPr>
                <w:rFonts w:hint="eastAsia" w:ascii="宋体" w:hAnsi="宋体" w:cs="宋体"/>
                <w:bCs/>
                <w:color w:val="auto"/>
                <w:sz w:val="24"/>
                <w:szCs w:val="24"/>
                <w:highlight w:val="none"/>
                <w:lang w:val="en-US" w:eastAsia="zh-CN"/>
              </w:rPr>
            </w:pPr>
          </w:p>
          <w:p w14:paraId="7060A49C">
            <w:pPr>
              <w:snapToGrid w:val="0"/>
              <w:jc w:val="center"/>
              <w:outlineLvl w:val="0"/>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5</w:t>
            </w:r>
          </w:p>
        </w:tc>
        <w:tc>
          <w:tcPr>
            <w:tcW w:w="2133" w:type="dxa"/>
          </w:tcPr>
          <w:p w14:paraId="7B16BAFD">
            <w:pPr>
              <w:snapToGrid w:val="0"/>
              <w:outlineLvl w:val="0"/>
              <w:rPr>
                <w:rFonts w:ascii="宋体" w:hAnsi="宋体" w:cs="宋体"/>
                <w:color w:val="auto"/>
                <w:sz w:val="24"/>
                <w:szCs w:val="24"/>
                <w:highlight w:val="none"/>
              </w:rPr>
            </w:pPr>
          </w:p>
        </w:tc>
      </w:tr>
      <w:tr w14:paraId="7F1B6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2B858AA4">
            <w:pPr>
              <w:snapToGrid w:val="0"/>
              <w:jc w:val="center"/>
              <w:outlineLvl w:val="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4</w:t>
            </w:r>
          </w:p>
        </w:tc>
        <w:tc>
          <w:tcPr>
            <w:tcW w:w="5897" w:type="dxa"/>
            <w:vAlign w:val="center"/>
          </w:tcPr>
          <w:p w14:paraId="607F803B">
            <w:pPr>
              <w:spacing w:line="240" w:lineRule="auto"/>
              <w:contextualSpacing/>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投标人</w:t>
            </w:r>
            <w:r>
              <w:rPr>
                <w:rFonts w:hint="eastAsia" w:ascii="宋体" w:hAnsi="宋体" w:eastAsia="宋体" w:cs="宋体"/>
                <w:color w:val="auto"/>
                <w:kern w:val="0"/>
                <w:sz w:val="24"/>
                <w:szCs w:val="24"/>
                <w:highlight w:val="none"/>
              </w:rPr>
              <w:t>针对保证工期的施工组织方案和措施的严密性及合理性进行阐述</w:t>
            </w:r>
            <w:r>
              <w:rPr>
                <w:rFonts w:hint="eastAsia" w:ascii="宋体" w:hAnsi="宋体" w:eastAsia="宋体" w:cs="宋体"/>
                <w:color w:val="auto"/>
                <w:kern w:val="0"/>
                <w:sz w:val="24"/>
                <w:szCs w:val="24"/>
                <w:highlight w:val="none"/>
                <w:lang w:val="en-US" w:eastAsia="zh-CN"/>
              </w:rPr>
              <w:t>,包括但不限于临时应急抢修、关键重点地方的施工方案、夜间施工方案等内容。</w:t>
            </w:r>
          </w:p>
          <w:p w14:paraId="4475A9DE">
            <w:pPr>
              <w:numPr>
                <w:ilvl w:val="0"/>
                <w:numId w:val="2"/>
              </w:numPr>
              <w:snapToGrid w:val="0"/>
              <w:outlineLvl w:val="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sz w:val="24"/>
                <w:szCs w:val="24"/>
                <w:highlight w:val="none"/>
                <w:lang w:val="en-US" w:eastAsia="zh-CN"/>
              </w:rPr>
              <w:t>投标人提供</w:t>
            </w:r>
            <w:r>
              <w:rPr>
                <w:rFonts w:hint="eastAsia" w:ascii="宋体" w:hAnsi="宋体" w:eastAsia="宋体" w:cs="宋体"/>
                <w:color w:val="auto"/>
                <w:kern w:val="0"/>
                <w:sz w:val="24"/>
                <w:szCs w:val="24"/>
                <w:highlight w:val="none"/>
              </w:rPr>
              <w:t>保证工期的施工组织方案和措施的</w:t>
            </w:r>
            <w:r>
              <w:rPr>
                <w:rFonts w:hint="eastAsia" w:ascii="宋体" w:hAnsi="宋体" w:eastAsia="宋体" w:cs="宋体"/>
                <w:color w:val="auto"/>
                <w:kern w:val="0"/>
                <w:sz w:val="24"/>
                <w:szCs w:val="24"/>
                <w:highlight w:val="none"/>
                <w:lang w:val="en-US" w:eastAsia="zh-CN"/>
              </w:rPr>
              <w:t>得1分；</w:t>
            </w:r>
          </w:p>
          <w:p w14:paraId="2E52495D">
            <w:pPr>
              <w:numPr>
                <w:ilvl w:val="0"/>
                <w:numId w:val="0"/>
              </w:numPr>
              <w:snapToGrid w:val="0"/>
              <w:outlineLvl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rPr>
              <w:t>2）方案内容</w:t>
            </w:r>
            <w:r>
              <w:rPr>
                <w:rFonts w:hint="eastAsia" w:ascii="宋体" w:hAnsi="宋体" w:eastAsia="宋体" w:cs="宋体"/>
                <w:color w:val="auto"/>
                <w:kern w:val="0"/>
                <w:sz w:val="24"/>
                <w:szCs w:val="24"/>
                <w:highlight w:val="none"/>
              </w:rPr>
              <w:t>阐述</w:t>
            </w:r>
            <w:r>
              <w:rPr>
                <w:rFonts w:hint="eastAsia" w:ascii="宋体" w:hAnsi="宋体" w:eastAsia="宋体" w:cs="宋体"/>
                <w:b/>
                <w:bCs/>
                <w:color w:val="auto"/>
                <w:kern w:val="0"/>
                <w:sz w:val="24"/>
                <w:szCs w:val="24"/>
                <w:highlight w:val="none"/>
                <w:lang w:val="en-US" w:eastAsia="zh-CN"/>
              </w:rPr>
              <w:t>完整、科学合理、</w:t>
            </w:r>
            <w:r>
              <w:rPr>
                <w:rFonts w:hint="eastAsia" w:ascii="宋体" w:hAnsi="宋体" w:eastAsia="宋体" w:cs="宋体"/>
                <w:b/>
                <w:bCs/>
                <w:color w:val="auto"/>
                <w:sz w:val="24"/>
                <w:highlight w:val="none"/>
              </w:rPr>
              <w:t>有明确的管理机构和各部门职责</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有完善的施工计划列表</w:t>
            </w:r>
            <w:r>
              <w:rPr>
                <w:rFonts w:hint="eastAsia" w:ascii="宋体" w:hAnsi="宋体" w:eastAsia="宋体" w:cs="宋体"/>
                <w:color w:val="auto"/>
                <w:kern w:val="0"/>
                <w:sz w:val="24"/>
                <w:szCs w:val="24"/>
                <w:highlight w:val="none"/>
                <w:lang w:val="en-US" w:eastAsia="zh-CN"/>
              </w:rPr>
              <w:t>的每满足一项加1分，共4分。</w:t>
            </w:r>
          </w:p>
        </w:tc>
        <w:tc>
          <w:tcPr>
            <w:tcW w:w="793" w:type="dxa"/>
          </w:tcPr>
          <w:p w14:paraId="4542AFC5">
            <w:pPr>
              <w:snapToGrid w:val="0"/>
              <w:jc w:val="center"/>
              <w:outlineLvl w:val="0"/>
              <w:rPr>
                <w:rFonts w:ascii="宋体" w:hAnsi="宋体" w:cs="宋体"/>
                <w:bCs/>
                <w:color w:val="auto"/>
                <w:sz w:val="24"/>
                <w:szCs w:val="24"/>
                <w:highlight w:val="none"/>
              </w:rPr>
            </w:pPr>
          </w:p>
          <w:p w14:paraId="11CCC974">
            <w:pPr>
              <w:snapToGrid w:val="0"/>
              <w:jc w:val="center"/>
              <w:outlineLvl w:val="0"/>
              <w:rPr>
                <w:rFonts w:hint="eastAsia" w:ascii="宋体" w:hAnsi="宋体" w:cs="宋体"/>
                <w:bCs/>
                <w:color w:val="auto"/>
                <w:sz w:val="24"/>
                <w:szCs w:val="24"/>
                <w:highlight w:val="none"/>
                <w:lang w:val="en-US" w:eastAsia="zh-CN"/>
              </w:rPr>
            </w:pPr>
          </w:p>
          <w:p w14:paraId="2B0AD1D7">
            <w:pPr>
              <w:snapToGrid w:val="0"/>
              <w:jc w:val="center"/>
              <w:outlineLvl w:val="0"/>
              <w:rPr>
                <w:rFonts w:hint="eastAsia" w:ascii="宋体" w:hAnsi="宋体" w:cs="宋体"/>
                <w:bCs/>
                <w:color w:val="auto"/>
                <w:sz w:val="24"/>
                <w:szCs w:val="24"/>
                <w:highlight w:val="none"/>
                <w:lang w:val="en-US" w:eastAsia="zh-CN"/>
              </w:rPr>
            </w:pPr>
          </w:p>
          <w:p w14:paraId="64283ECA">
            <w:pPr>
              <w:snapToGrid w:val="0"/>
              <w:jc w:val="center"/>
              <w:outlineLvl w:val="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5</w:t>
            </w:r>
          </w:p>
        </w:tc>
        <w:tc>
          <w:tcPr>
            <w:tcW w:w="2133" w:type="dxa"/>
          </w:tcPr>
          <w:p w14:paraId="1D1033B6">
            <w:pPr>
              <w:snapToGrid w:val="0"/>
              <w:outlineLvl w:val="0"/>
              <w:rPr>
                <w:rFonts w:ascii="宋体" w:hAnsi="宋体" w:cs="宋体"/>
                <w:color w:val="auto"/>
                <w:sz w:val="24"/>
                <w:szCs w:val="24"/>
                <w:highlight w:val="none"/>
              </w:rPr>
            </w:pPr>
          </w:p>
        </w:tc>
      </w:tr>
      <w:tr w14:paraId="1110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3E12B74A">
            <w:pPr>
              <w:snapToGrid w:val="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5</w:t>
            </w:r>
          </w:p>
        </w:tc>
        <w:tc>
          <w:tcPr>
            <w:tcW w:w="5897" w:type="dxa"/>
            <w:vAlign w:val="center"/>
          </w:tcPr>
          <w:p w14:paraId="72AA71C5">
            <w:pPr>
              <w:spacing w:line="240" w:lineRule="auto"/>
              <w:contextualSpacing/>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针对保证工程质量的技术方案和措施的严密性及合理性进行阐述</w:t>
            </w:r>
            <w:r>
              <w:rPr>
                <w:rFonts w:hint="eastAsia" w:ascii="宋体" w:hAnsi="宋体" w:eastAsia="宋体" w:cs="宋体"/>
                <w:color w:val="auto"/>
                <w:sz w:val="24"/>
                <w:szCs w:val="24"/>
                <w:highlight w:val="none"/>
                <w:lang w:val="en-US" w:eastAsia="zh-CN"/>
              </w:rPr>
              <w:t>评审</w:t>
            </w:r>
            <w:r>
              <w:rPr>
                <w:rFonts w:hint="eastAsia" w:ascii="宋体" w:hAnsi="宋体" w:eastAsia="宋体" w:cs="宋体"/>
                <w:bCs/>
                <w:color w:val="auto"/>
                <w:sz w:val="24"/>
                <w:szCs w:val="24"/>
                <w:highlight w:val="none"/>
                <w:lang w:val="en-US" w:eastAsia="zh-CN"/>
              </w:rPr>
              <w:t>。</w:t>
            </w:r>
          </w:p>
          <w:p w14:paraId="65877568">
            <w:pPr>
              <w:numPr>
                <w:ilvl w:val="0"/>
                <w:numId w:val="3"/>
              </w:numPr>
              <w:spacing w:line="240" w:lineRule="auto"/>
              <w:contextualSpacing/>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投标人提供项目保证工程质量的技术方案及措施的得1分；</w:t>
            </w:r>
          </w:p>
          <w:p w14:paraId="34B7E61D">
            <w:pPr>
              <w:numPr>
                <w:ilvl w:val="0"/>
                <w:numId w:val="3"/>
              </w:numPr>
              <w:spacing w:line="240" w:lineRule="auto"/>
              <w:contextualSpacing/>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保证工程质量的技术方案</w:t>
            </w:r>
            <w:r>
              <w:rPr>
                <w:rFonts w:hint="eastAsia" w:ascii="宋体" w:hAnsi="宋体" w:eastAsia="宋体" w:cs="宋体"/>
                <w:b/>
                <w:bCs w:val="0"/>
                <w:color w:val="auto"/>
                <w:sz w:val="24"/>
                <w:szCs w:val="24"/>
                <w:highlight w:val="none"/>
                <w:lang w:val="en-US" w:eastAsia="zh-CN"/>
              </w:rPr>
              <w:t>切合本项目工程施工内容及要求的</w:t>
            </w:r>
            <w:r>
              <w:rPr>
                <w:rFonts w:hint="eastAsia" w:ascii="宋体" w:hAnsi="宋体" w:eastAsia="宋体" w:cs="宋体"/>
                <w:bCs/>
                <w:color w:val="auto"/>
                <w:sz w:val="24"/>
                <w:szCs w:val="24"/>
                <w:highlight w:val="none"/>
                <w:lang w:val="en-US" w:eastAsia="zh-CN"/>
              </w:rPr>
              <w:t>、</w:t>
            </w:r>
            <w:r>
              <w:rPr>
                <w:rFonts w:hint="eastAsia" w:ascii="宋体" w:hAnsi="宋体" w:eastAsia="宋体" w:cs="宋体"/>
                <w:b/>
                <w:bCs w:val="0"/>
                <w:color w:val="auto"/>
                <w:sz w:val="24"/>
                <w:szCs w:val="24"/>
                <w:highlight w:val="none"/>
                <w:lang w:val="en-US" w:eastAsia="zh-CN"/>
              </w:rPr>
              <w:t>有明确的管理机构、</w:t>
            </w:r>
            <w:r>
              <w:rPr>
                <w:rFonts w:hint="eastAsia" w:ascii="宋体" w:hAnsi="宋体" w:eastAsia="宋体" w:cs="宋体"/>
                <w:b/>
                <w:bCs w:val="0"/>
                <w:color w:val="auto"/>
                <w:sz w:val="24"/>
                <w:highlight w:val="none"/>
                <w:lang w:val="en-US" w:eastAsia="zh-CN"/>
              </w:rPr>
              <w:t>有明确的</w:t>
            </w:r>
            <w:r>
              <w:rPr>
                <w:rFonts w:hint="eastAsia" w:ascii="宋体" w:hAnsi="宋体" w:eastAsia="宋体" w:cs="宋体"/>
                <w:b/>
                <w:bCs w:val="0"/>
                <w:color w:val="auto"/>
                <w:sz w:val="24"/>
                <w:highlight w:val="none"/>
              </w:rPr>
              <w:t>各部门职责</w:t>
            </w:r>
            <w:r>
              <w:rPr>
                <w:rFonts w:hint="eastAsia" w:ascii="宋体" w:hAnsi="宋体" w:eastAsia="宋体" w:cs="宋体"/>
                <w:b/>
                <w:bCs w:val="0"/>
                <w:color w:val="auto"/>
                <w:sz w:val="24"/>
                <w:highlight w:val="none"/>
                <w:lang w:val="en-US" w:eastAsia="zh-CN"/>
              </w:rPr>
              <w:t>分工</w:t>
            </w:r>
            <w:r>
              <w:rPr>
                <w:rFonts w:hint="eastAsia" w:ascii="宋体" w:hAnsi="宋体" w:eastAsia="宋体" w:cs="宋体"/>
                <w:b w:val="0"/>
                <w:bCs/>
                <w:color w:val="auto"/>
                <w:sz w:val="24"/>
                <w:szCs w:val="24"/>
                <w:highlight w:val="none"/>
                <w:lang w:val="en-US" w:eastAsia="zh-CN"/>
              </w:rPr>
              <w:t>的每满足一项加1分，共3分；</w:t>
            </w:r>
          </w:p>
          <w:p w14:paraId="655ABE6A">
            <w:pPr>
              <w:numPr>
                <w:ilvl w:val="0"/>
                <w:numId w:val="3"/>
              </w:numPr>
              <w:spacing w:line="240" w:lineRule="auto"/>
              <w:contextualSpacing/>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sz w:val="24"/>
                <w:szCs w:val="24"/>
                <w:highlight w:val="none"/>
              </w:rPr>
              <w:t>保证工程质量的</w:t>
            </w:r>
            <w:r>
              <w:rPr>
                <w:rFonts w:hint="eastAsia" w:ascii="宋体" w:hAnsi="宋体" w:eastAsia="宋体" w:cs="宋体"/>
                <w:color w:val="auto"/>
                <w:sz w:val="24"/>
                <w:szCs w:val="24"/>
                <w:highlight w:val="none"/>
                <w:lang w:val="en-US" w:eastAsia="zh-CN"/>
              </w:rPr>
              <w:t>实施措施</w:t>
            </w:r>
            <w:r>
              <w:rPr>
                <w:rFonts w:hint="eastAsia" w:ascii="宋体" w:hAnsi="宋体" w:eastAsia="宋体" w:cs="宋体"/>
                <w:b/>
                <w:bCs/>
                <w:color w:val="auto"/>
                <w:sz w:val="24"/>
                <w:szCs w:val="24"/>
                <w:highlight w:val="none"/>
                <w:lang w:val="en-US" w:eastAsia="zh-CN"/>
              </w:rPr>
              <w:t>合理科学、具备明确的计划安排、具备明确的工作组织机构设置的</w:t>
            </w:r>
            <w:r>
              <w:rPr>
                <w:rFonts w:hint="eastAsia" w:ascii="宋体" w:hAnsi="宋体" w:eastAsia="宋体" w:cs="宋体"/>
                <w:b w:val="0"/>
                <w:bCs w:val="0"/>
                <w:color w:val="auto"/>
                <w:sz w:val="24"/>
                <w:szCs w:val="24"/>
                <w:highlight w:val="none"/>
                <w:lang w:val="en-US" w:eastAsia="zh-CN"/>
              </w:rPr>
              <w:t>每满足一项加1分，共3分</w:t>
            </w:r>
            <w:r>
              <w:rPr>
                <w:rFonts w:hint="eastAsia" w:ascii="宋体" w:hAnsi="宋体" w:eastAsia="宋体" w:cs="宋体"/>
                <w:b/>
                <w:bCs/>
                <w:color w:val="auto"/>
                <w:sz w:val="24"/>
                <w:szCs w:val="24"/>
                <w:highlight w:val="none"/>
                <w:lang w:val="en-US" w:eastAsia="zh-CN"/>
              </w:rPr>
              <w:t>。</w:t>
            </w:r>
          </w:p>
          <w:p w14:paraId="23FC7253">
            <w:pPr>
              <w:snapToGrid w:val="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4）未提供不得分。</w:t>
            </w:r>
          </w:p>
        </w:tc>
        <w:tc>
          <w:tcPr>
            <w:tcW w:w="793" w:type="dxa"/>
          </w:tcPr>
          <w:p w14:paraId="6944F4F9">
            <w:pPr>
              <w:snapToGrid w:val="0"/>
              <w:jc w:val="center"/>
              <w:outlineLvl w:val="0"/>
              <w:rPr>
                <w:rFonts w:ascii="宋体" w:hAnsi="宋体" w:cs="宋体"/>
                <w:bCs/>
                <w:color w:val="auto"/>
                <w:sz w:val="24"/>
                <w:szCs w:val="24"/>
                <w:highlight w:val="none"/>
              </w:rPr>
            </w:pPr>
          </w:p>
          <w:p w14:paraId="708E952C">
            <w:pPr>
              <w:snapToGrid w:val="0"/>
              <w:jc w:val="center"/>
              <w:outlineLvl w:val="0"/>
              <w:rPr>
                <w:rFonts w:hint="eastAsia" w:ascii="宋体" w:hAnsi="宋体" w:cs="宋体"/>
                <w:bCs/>
                <w:color w:val="auto"/>
                <w:sz w:val="24"/>
                <w:szCs w:val="24"/>
                <w:highlight w:val="none"/>
                <w:lang w:val="en-US" w:eastAsia="zh-CN"/>
              </w:rPr>
            </w:pPr>
          </w:p>
          <w:p w14:paraId="03132890">
            <w:pPr>
              <w:snapToGrid w:val="0"/>
              <w:jc w:val="center"/>
              <w:outlineLvl w:val="0"/>
              <w:rPr>
                <w:rFonts w:hint="eastAsia" w:ascii="宋体" w:hAnsi="宋体" w:cs="宋体"/>
                <w:bCs/>
                <w:color w:val="auto"/>
                <w:sz w:val="24"/>
                <w:szCs w:val="24"/>
                <w:highlight w:val="none"/>
                <w:lang w:val="en-US" w:eastAsia="zh-CN"/>
              </w:rPr>
            </w:pPr>
          </w:p>
          <w:p w14:paraId="1216C434">
            <w:pPr>
              <w:snapToGrid w:val="0"/>
              <w:jc w:val="center"/>
              <w:outlineLvl w:val="0"/>
              <w:rPr>
                <w:rFonts w:hint="eastAsia" w:ascii="宋体" w:hAnsi="宋体" w:cs="宋体"/>
                <w:bCs/>
                <w:color w:val="auto"/>
                <w:sz w:val="24"/>
                <w:szCs w:val="24"/>
                <w:highlight w:val="none"/>
                <w:lang w:val="en-US" w:eastAsia="zh-CN"/>
              </w:rPr>
            </w:pPr>
          </w:p>
          <w:p w14:paraId="7226CED8">
            <w:pPr>
              <w:snapToGrid w:val="0"/>
              <w:jc w:val="center"/>
              <w:outlineLvl w:val="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7</w:t>
            </w:r>
          </w:p>
        </w:tc>
        <w:tc>
          <w:tcPr>
            <w:tcW w:w="2133" w:type="dxa"/>
          </w:tcPr>
          <w:p w14:paraId="6B92EF4F">
            <w:pPr>
              <w:snapToGrid w:val="0"/>
              <w:rPr>
                <w:rFonts w:ascii="宋体" w:hAnsi="宋体" w:cs="宋体"/>
                <w:color w:val="auto"/>
                <w:sz w:val="24"/>
                <w:szCs w:val="24"/>
                <w:highlight w:val="none"/>
              </w:rPr>
            </w:pPr>
          </w:p>
        </w:tc>
      </w:tr>
      <w:tr w14:paraId="53AE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7" w:hRule="atLeast"/>
        </w:trPr>
        <w:tc>
          <w:tcPr>
            <w:tcW w:w="910" w:type="dxa"/>
            <w:vAlign w:val="center"/>
          </w:tcPr>
          <w:p w14:paraId="397AD8EC">
            <w:pPr>
              <w:snapToGrid w:val="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p>
        </w:tc>
        <w:tc>
          <w:tcPr>
            <w:tcW w:w="5897" w:type="dxa"/>
            <w:vAlign w:val="center"/>
          </w:tcPr>
          <w:p w14:paraId="5FA6D2C5">
            <w:pPr>
              <w:spacing w:line="240" w:lineRule="auto"/>
              <w:contextualSpacing/>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针对</w:t>
            </w:r>
            <w:r>
              <w:rPr>
                <w:rFonts w:hint="eastAsia" w:ascii="宋体" w:hAnsi="宋体" w:eastAsia="宋体" w:cs="宋体"/>
                <w:bCs/>
                <w:color w:val="auto"/>
                <w:sz w:val="24"/>
                <w:szCs w:val="24"/>
                <w:highlight w:val="none"/>
                <w:lang w:val="en-US" w:eastAsia="zh-CN"/>
              </w:rPr>
              <w:t>确保供应施工材料质量的监管及质量保障措施，对施工材料的选择、生产、运输、到场后的验收、保存方法等进行阐述评审。</w:t>
            </w:r>
          </w:p>
          <w:p w14:paraId="07348CD2">
            <w:pPr>
              <w:numPr>
                <w:ilvl w:val="0"/>
                <w:numId w:val="4"/>
              </w:numPr>
              <w:snapToGrid w:val="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投标人提供</w:t>
            </w:r>
            <w:r>
              <w:rPr>
                <w:rFonts w:hint="eastAsia" w:ascii="宋体" w:hAnsi="宋体" w:eastAsia="宋体" w:cs="宋体"/>
                <w:color w:val="auto"/>
                <w:sz w:val="24"/>
                <w:szCs w:val="24"/>
                <w:highlight w:val="none"/>
              </w:rPr>
              <w:t>针对</w:t>
            </w:r>
            <w:r>
              <w:rPr>
                <w:rFonts w:hint="eastAsia" w:ascii="宋体" w:hAnsi="宋体" w:eastAsia="宋体" w:cs="宋体"/>
                <w:bCs/>
                <w:color w:val="auto"/>
                <w:sz w:val="24"/>
                <w:szCs w:val="24"/>
                <w:highlight w:val="none"/>
                <w:lang w:val="en-US" w:eastAsia="zh-CN"/>
              </w:rPr>
              <w:t>确保供应施工材料质量的监管及质量保障措施的得2分；</w:t>
            </w:r>
          </w:p>
          <w:p w14:paraId="5A08F0F5">
            <w:pPr>
              <w:numPr>
                <w:ilvl w:val="0"/>
                <w:numId w:val="4"/>
              </w:numPr>
              <w:snapToGrid w:val="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投标人提供</w:t>
            </w:r>
            <w:r>
              <w:rPr>
                <w:rFonts w:hint="eastAsia" w:ascii="宋体" w:hAnsi="宋体" w:eastAsia="宋体" w:cs="宋体"/>
                <w:color w:val="auto"/>
                <w:sz w:val="24"/>
                <w:szCs w:val="24"/>
                <w:highlight w:val="none"/>
              </w:rPr>
              <w:t>针对</w:t>
            </w:r>
            <w:r>
              <w:rPr>
                <w:rFonts w:hint="eastAsia" w:ascii="宋体" w:hAnsi="宋体" w:eastAsia="宋体" w:cs="宋体"/>
                <w:bCs/>
                <w:color w:val="auto"/>
                <w:sz w:val="24"/>
                <w:szCs w:val="24"/>
                <w:highlight w:val="none"/>
                <w:lang w:val="en-US" w:eastAsia="zh-CN"/>
              </w:rPr>
              <w:t>确保供应施工材料质量的监管及质量保障措施</w:t>
            </w:r>
            <w:r>
              <w:rPr>
                <w:rFonts w:hint="eastAsia" w:ascii="宋体" w:hAnsi="宋体" w:eastAsia="宋体" w:cs="宋体"/>
                <w:b/>
                <w:bCs w:val="0"/>
                <w:color w:val="auto"/>
                <w:sz w:val="24"/>
                <w:szCs w:val="24"/>
                <w:highlight w:val="none"/>
                <w:lang w:val="en-US" w:eastAsia="zh-CN"/>
              </w:rPr>
              <w:t>完整合理、</w:t>
            </w:r>
            <w:r>
              <w:rPr>
                <w:rFonts w:hint="eastAsia" w:ascii="宋体" w:hAnsi="宋体" w:eastAsia="宋体" w:cs="宋体"/>
                <w:b/>
                <w:bCs w:val="0"/>
                <w:color w:val="auto"/>
                <w:sz w:val="24"/>
                <w:highlight w:val="none"/>
              </w:rPr>
              <w:t>有明确的管理机构</w:t>
            </w:r>
            <w:r>
              <w:rPr>
                <w:rFonts w:hint="eastAsia" w:ascii="宋体" w:hAnsi="宋体" w:eastAsia="宋体" w:cs="宋体"/>
                <w:b/>
                <w:bCs w:val="0"/>
                <w:color w:val="auto"/>
                <w:sz w:val="24"/>
                <w:highlight w:val="none"/>
                <w:lang w:eastAsia="zh-CN"/>
              </w:rPr>
              <w:t>、</w:t>
            </w:r>
            <w:r>
              <w:rPr>
                <w:rFonts w:hint="eastAsia" w:ascii="宋体" w:hAnsi="宋体" w:eastAsia="宋体" w:cs="宋体"/>
                <w:b/>
                <w:bCs w:val="0"/>
                <w:color w:val="auto"/>
                <w:sz w:val="24"/>
                <w:highlight w:val="none"/>
                <w:lang w:val="en-US" w:eastAsia="zh-CN"/>
              </w:rPr>
              <w:t>有明确的</w:t>
            </w:r>
            <w:r>
              <w:rPr>
                <w:rFonts w:hint="eastAsia" w:ascii="宋体" w:hAnsi="宋体" w:eastAsia="宋体" w:cs="宋体"/>
                <w:b/>
                <w:bCs w:val="0"/>
                <w:color w:val="auto"/>
                <w:sz w:val="24"/>
                <w:highlight w:val="none"/>
              </w:rPr>
              <w:t>各部门职责</w:t>
            </w:r>
            <w:r>
              <w:rPr>
                <w:rFonts w:hint="eastAsia" w:ascii="宋体" w:hAnsi="宋体" w:eastAsia="宋体" w:cs="宋体"/>
                <w:b/>
                <w:bCs w:val="0"/>
                <w:color w:val="auto"/>
                <w:sz w:val="24"/>
                <w:highlight w:val="none"/>
                <w:lang w:val="en-US" w:eastAsia="zh-CN"/>
              </w:rPr>
              <w:t>分工</w:t>
            </w:r>
            <w:r>
              <w:rPr>
                <w:rFonts w:hint="eastAsia" w:ascii="宋体" w:hAnsi="宋体" w:eastAsia="宋体" w:cs="宋体"/>
                <w:b w:val="0"/>
                <w:bCs w:val="0"/>
                <w:color w:val="auto"/>
                <w:sz w:val="24"/>
                <w:szCs w:val="24"/>
                <w:highlight w:val="none"/>
                <w:lang w:val="en-US" w:eastAsia="zh-CN"/>
              </w:rPr>
              <w:t>每满足一项加1分，共3分</w:t>
            </w:r>
            <w:r>
              <w:rPr>
                <w:rFonts w:hint="eastAsia" w:ascii="宋体" w:hAnsi="宋体" w:eastAsia="宋体" w:cs="宋体"/>
                <w:b/>
                <w:bCs/>
                <w:color w:val="auto"/>
                <w:sz w:val="24"/>
                <w:szCs w:val="24"/>
                <w:highlight w:val="none"/>
                <w:lang w:val="en-US" w:eastAsia="zh-CN"/>
              </w:rPr>
              <w:t>。</w:t>
            </w:r>
          </w:p>
          <w:p w14:paraId="4EB6F808">
            <w:pPr>
              <w:snapToGrid w:val="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3）未提供不得分。</w:t>
            </w:r>
          </w:p>
        </w:tc>
        <w:tc>
          <w:tcPr>
            <w:tcW w:w="793" w:type="dxa"/>
          </w:tcPr>
          <w:p w14:paraId="3E408820">
            <w:pPr>
              <w:snapToGrid w:val="0"/>
              <w:jc w:val="center"/>
              <w:outlineLvl w:val="0"/>
              <w:rPr>
                <w:rFonts w:hint="eastAsia" w:ascii="宋体" w:hAnsi="宋体" w:cs="宋体"/>
                <w:bCs/>
                <w:color w:val="auto"/>
                <w:sz w:val="24"/>
                <w:szCs w:val="24"/>
                <w:highlight w:val="none"/>
                <w:lang w:val="en-US" w:eastAsia="zh-CN"/>
              </w:rPr>
            </w:pPr>
          </w:p>
          <w:p w14:paraId="15B7730B">
            <w:pPr>
              <w:snapToGrid w:val="0"/>
              <w:jc w:val="center"/>
              <w:outlineLvl w:val="0"/>
              <w:rPr>
                <w:rFonts w:hint="eastAsia" w:ascii="宋体" w:hAnsi="宋体" w:cs="宋体"/>
                <w:bCs/>
                <w:color w:val="auto"/>
                <w:sz w:val="24"/>
                <w:szCs w:val="24"/>
                <w:highlight w:val="none"/>
                <w:lang w:val="en-US" w:eastAsia="zh-CN"/>
              </w:rPr>
            </w:pPr>
          </w:p>
          <w:p w14:paraId="1D137613">
            <w:pPr>
              <w:snapToGrid w:val="0"/>
              <w:jc w:val="center"/>
              <w:outlineLvl w:val="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5</w:t>
            </w:r>
          </w:p>
        </w:tc>
        <w:tc>
          <w:tcPr>
            <w:tcW w:w="2133" w:type="dxa"/>
          </w:tcPr>
          <w:p w14:paraId="32766A68">
            <w:pPr>
              <w:snapToGrid w:val="0"/>
              <w:rPr>
                <w:rFonts w:ascii="宋体" w:hAnsi="宋体" w:cs="宋体"/>
                <w:color w:val="auto"/>
                <w:sz w:val="24"/>
                <w:szCs w:val="24"/>
                <w:highlight w:val="none"/>
              </w:rPr>
            </w:pPr>
          </w:p>
        </w:tc>
      </w:tr>
      <w:tr w14:paraId="7A127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0" w:type="dxa"/>
            <w:vAlign w:val="center"/>
          </w:tcPr>
          <w:p w14:paraId="2DE2491A">
            <w:pPr>
              <w:snapToGrid w:val="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p>
        </w:tc>
        <w:tc>
          <w:tcPr>
            <w:tcW w:w="5897" w:type="dxa"/>
            <w:vAlign w:val="center"/>
          </w:tcPr>
          <w:p w14:paraId="42C68C5C">
            <w:pPr>
              <w:spacing w:line="240" w:lineRule="auto"/>
              <w:contextualSpacing/>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rPr>
              <w:t>投标人</w:t>
            </w:r>
            <w:r>
              <w:rPr>
                <w:rFonts w:hint="eastAsia" w:ascii="宋体" w:hAnsi="宋体" w:eastAsia="宋体" w:cs="宋体"/>
                <w:color w:val="auto"/>
                <w:kern w:val="0"/>
                <w:sz w:val="24"/>
                <w:szCs w:val="24"/>
                <w:highlight w:val="none"/>
              </w:rPr>
              <w:t>针对保证项目实施的技术力量和人力资源安排的合理性，专业配置与工程内容的相适性进行阐述</w:t>
            </w:r>
            <w:r>
              <w:rPr>
                <w:rFonts w:hint="eastAsia" w:ascii="宋体" w:hAnsi="宋体" w:eastAsia="宋体" w:cs="宋体"/>
                <w:color w:val="auto"/>
                <w:kern w:val="0"/>
                <w:sz w:val="24"/>
                <w:szCs w:val="24"/>
                <w:highlight w:val="none"/>
                <w:lang w:eastAsia="zh-CN"/>
              </w:rPr>
              <w:t>，包括但不限于人员简历介绍、人员分工安排的合理性、管理人员的统筹手段、紧急情况下现场人员的工作合力安排及分工、后备力量的支持等内容</w:t>
            </w:r>
            <w:r>
              <w:rPr>
                <w:rFonts w:hint="eastAsia" w:ascii="宋体" w:hAnsi="宋体" w:eastAsia="宋体" w:cs="宋体"/>
                <w:color w:val="auto"/>
                <w:kern w:val="0"/>
                <w:sz w:val="24"/>
                <w:szCs w:val="24"/>
                <w:highlight w:val="none"/>
                <w:lang w:val="en-US" w:eastAsia="zh-CN"/>
              </w:rPr>
              <w:t>进行评审：</w:t>
            </w:r>
            <w:r>
              <w:rPr>
                <w:rFonts w:hint="eastAsia" w:ascii="宋体" w:hAnsi="宋体" w:eastAsia="宋体" w:cs="宋体"/>
                <w:b/>
                <w:bCs/>
                <w:color w:val="auto"/>
                <w:kern w:val="0"/>
                <w:sz w:val="24"/>
                <w:szCs w:val="24"/>
                <w:highlight w:val="none"/>
                <w:lang w:val="en-US" w:eastAsia="zh-CN"/>
              </w:rPr>
              <w:t>提供人员技术力量齐全、人员配备充足、人员分工安排明确合理、后备人员支持充分</w:t>
            </w:r>
            <w:r>
              <w:rPr>
                <w:rFonts w:hint="eastAsia" w:ascii="宋体" w:hAnsi="宋体" w:eastAsia="宋体" w:cs="宋体"/>
                <w:color w:val="auto"/>
                <w:kern w:val="0"/>
                <w:sz w:val="24"/>
                <w:szCs w:val="24"/>
                <w:highlight w:val="none"/>
                <w:lang w:val="en-US" w:eastAsia="zh-CN"/>
              </w:rPr>
              <w:t>的每满足一项加1分，共4分。</w:t>
            </w:r>
            <w:r>
              <w:rPr>
                <w:rFonts w:hint="eastAsia" w:ascii="宋体" w:hAnsi="宋体" w:eastAsia="宋体" w:cs="宋体"/>
                <w:bCs/>
                <w:color w:val="auto"/>
                <w:sz w:val="24"/>
                <w:szCs w:val="24"/>
                <w:highlight w:val="none"/>
                <w:lang w:val="en-US" w:eastAsia="zh-CN"/>
              </w:rPr>
              <w:t>未提供方案不得分。</w:t>
            </w:r>
          </w:p>
        </w:tc>
        <w:tc>
          <w:tcPr>
            <w:tcW w:w="793" w:type="dxa"/>
          </w:tcPr>
          <w:p w14:paraId="00B68586">
            <w:pPr>
              <w:snapToGrid w:val="0"/>
              <w:jc w:val="center"/>
              <w:outlineLvl w:val="0"/>
              <w:rPr>
                <w:rFonts w:hint="eastAsia" w:ascii="宋体" w:hAnsi="宋体" w:cs="宋体"/>
                <w:bCs/>
                <w:color w:val="auto"/>
                <w:sz w:val="24"/>
                <w:szCs w:val="24"/>
                <w:highlight w:val="none"/>
                <w:lang w:val="en-US" w:eastAsia="zh-CN"/>
              </w:rPr>
            </w:pPr>
          </w:p>
          <w:p w14:paraId="26DE5FE1">
            <w:pPr>
              <w:snapToGrid w:val="0"/>
              <w:jc w:val="center"/>
              <w:outlineLvl w:val="0"/>
              <w:rPr>
                <w:rFonts w:hint="eastAsia" w:ascii="宋体" w:hAnsi="宋体" w:cs="宋体"/>
                <w:bCs/>
                <w:color w:val="auto"/>
                <w:sz w:val="24"/>
                <w:szCs w:val="24"/>
                <w:highlight w:val="none"/>
                <w:lang w:val="en-US" w:eastAsia="zh-CN"/>
              </w:rPr>
            </w:pPr>
          </w:p>
          <w:p w14:paraId="33A32589">
            <w:pPr>
              <w:snapToGrid w:val="0"/>
              <w:jc w:val="center"/>
              <w:outlineLvl w:val="0"/>
              <w:rPr>
                <w:rFonts w:hint="eastAsia" w:ascii="宋体" w:hAnsi="宋体" w:cs="宋体"/>
                <w:bCs/>
                <w:color w:val="auto"/>
                <w:sz w:val="24"/>
                <w:szCs w:val="24"/>
                <w:highlight w:val="none"/>
                <w:lang w:val="en-US" w:eastAsia="zh-CN"/>
              </w:rPr>
            </w:pPr>
          </w:p>
          <w:p w14:paraId="1F015537">
            <w:pPr>
              <w:snapToGrid w:val="0"/>
              <w:jc w:val="center"/>
              <w:outlineLvl w:val="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4</w:t>
            </w:r>
          </w:p>
        </w:tc>
        <w:tc>
          <w:tcPr>
            <w:tcW w:w="2133" w:type="dxa"/>
          </w:tcPr>
          <w:p w14:paraId="4A785023">
            <w:pPr>
              <w:snapToGrid w:val="0"/>
              <w:rPr>
                <w:rFonts w:ascii="宋体" w:hAnsi="宋体" w:cs="宋体"/>
                <w:color w:val="auto"/>
                <w:sz w:val="24"/>
                <w:szCs w:val="24"/>
                <w:highlight w:val="none"/>
              </w:rPr>
            </w:pPr>
          </w:p>
        </w:tc>
      </w:tr>
      <w:tr w14:paraId="4748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0" w:type="dxa"/>
            <w:vAlign w:val="center"/>
          </w:tcPr>
          <w:p w14:paraId="68FD612A">
            <w:pPr>
              <w:snapToGrid w:val="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5897" w:type="dxa"/>
            <w:vAlign w:val="center"/>
          </w:tcPr>
          <w:p w14:paraId="06184882">
            <w:pPr>
              <w:spacing w:line="240" w:lineRule="auto"/>
              <w:contextualSpacing/>
              <w:jc w:val="left"/>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投标人针对施工方案拟投入的主要加工设备及施工机具是否能满足本项目质量和进度的要求进行评审：投标人投入的机械设备方案</w:t>
            </w:r>
            <w:r>
              <w:rPr>
                <w:rFonts w:hint="eastAsia" w:ascii="宋体" w:hAnsi="宋体" w:eastAsia="宋体" w:cs="宋体"/>
                <w:b/>
                <w:bCs w:val="0"/>
                <w:color w:val="auto"/>
                <w:sz w:val="24"/>
                <w:szCs w:val="24"/>
                <w:highlight w:val="none"/>
                <w:lang w:val="en-US" w:eastAsia="zh-CN"/>
              </w:rPr>
              <w:t>合理、科学、充足</w:t>
            </w:r>
            <w:r>
              <w:rPr>
                <w:rFonts w:hint="eastAsia" w:ascii="宋体" w:hAnsi="宋体" w:eastAsia="宋体" w:cs="宋体"/>
                <w:bCs/>
                <w:color w:val="auto"/>
                <w:sz w:val="24"/>
                <w:szCs w:val="24"/>
                <w:highlight w:val="none"/>
                <w:lang w:val="en-US" w:eastAsia="zh-CN"/>
              </w:rPr>
              <w:t>的每满足一项加1分，共3分。未提供不得分。</w:t>
            </w:r>
          </w:p>
        </w:tc>
        <w:tc>
          <w:tcPr>
            <w:tcW w:w="793" w:type="dxa"/>
          </w:tcPr>
          <w:p w14:paraId="136ED16E">
            <w:pPr>
              <w:snapToGrid w:val="0"/>
              <w:jc w:val="both"/>
              <w:outlineLvl w:val="0"/>
              <w:rPr>
                <w:rFonts w:hint="eastAsia" w:ascii="宋体" w:hAnsi="宋体" w:cs="宋体"/>
                <w:bCs/>
                <w:color w:val="auto"/>
                <w:sz w:val="24"/>
                <w:szCs w:val="24"/>
                <w:highlight w:val="none"/>
                <w:lang w:val="en-US" w:eastAsia="zh-CN"/>
              </w:rPr>
            </w:pPr>
          </w:p>
          <w:p w14:paraId="04F47AF7">
            <w:pPr>
              <w:snapToGrid w:val="0"/>
              <w:jc w:val="center"/>
              <w:outlineLvl w:val="0"/>
              <w:rPr>
                <w:rFonts w:hint="eastAsia" w:ascii="宋体" w:hAnsi="宋体" w:cs="宋体"/>
                <w:bCs/>
                <w:color w:val="auto"/>
                <w:sz w:val="24"/>
                <w:szCs w:val="24"/>
                <w:highlight w:val="none"/>
                <w:lang w:val="en-US" w:eastAsia="zh-CN"/>
              </w:rPr>
            </w:pPr>
          </w:p>
          <w:p w14:paraId="227BB402">
            <w:pPr>
              <w:snapToGrid w:val="0"/>
              <w:jc w:val="center"/>
              <w:outlineLvl w:val="0"/>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c>
          <w:tcPr>
            <w:tcW w:w="2133" w:type="dxa"/>
          </w:tcPr>
          <w:p w14:paraId="2598BC10">
            <w:pPr>
              <w:snapToGrid w:val="0"/>
              <w:rPr>
                <w:rFonts w:ascii="宋体" w:hAnsi="宋体" w:cs="宋体"/>
                <w:color w:val="auto"/>
                <w:sz w:val="24"/>
                <w:szCs w:val="24"/>
                <w:highlight w:val="none"/>
              </w:rPr>
            </w:pPr>
          </w:p>
        </w:tc>
      </w:tr>
      <w:tr w14:paraId="04E51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trPr>
        <w:tc>
          <w:tcPr>
            <w:tcW w:w="910" w:type="dxa"/>
            <w:vAlign w:val="center"/>
          </w:tcPr>
          <w:p w14:paraId="11A2B551">
            <w:pPr>
              <w:snapToGrid w:val="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5897" w:type="dxa"/>
            <w:vAlign w:val="center"/>
          </w:tcPr>
          <w:p w14:paraId="747BB552">
            <w:pPr>
              <w:spacing w:line="240" w:lineRule="auto"/>
              <w:contextualSpacing/>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投标人</w:t>
            </w:r>
            <w:r>
              <w:rPr>
                <w:rFonts w:hint="eastAsia" w:ascii="宋体" w:hAnsi="宋体" w:eastAsia="宋体" w:cs="宋体"/>
                <w:color w:val="auto"/>
                <w:kern w:val="0"/>
                <w:sz w:val="24"/>
                <w:szCs w:val="24"/>
                <w:highlight w:val="none"/>
              </w:rPr>
              <w:t>针对验收的方案合理性和竣工资料完整性和及时性等进行阐述</w:t>
            </w:r>
            <w:r>
              <w:rPr>
                <w:rFonts w:hint="eastAsia" w:ascii="宋体" w:hAnsi="宋体" w:eastAsia="宋体" w:cs="宋体"/>
                <w:color w:val="auto"/>
                <w:kern w:val="0"/>
                <w:sz w:val="24"/>
                <w:szCs w:val="24"/>
                <w:highlight w:val="none"/>
                <w:lang w:val="en-US" w:eastAsia="zh-CN"/>
              </w:rPr>
              <w:t>。</w:t>
            </w:r>
          </w:p>
          <w:p w14:paraId="658E4185">
            <w:pPr>
              <w:numPr>
                <w:ilvl w:val="0"/>
                <w:numId w:val="5"/>
              </w:numPr>
              <w:snapToGrid w:val="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投标人验收方案科学</w:t>
            </w:r>
            <w:r>
              <w:rPr>
                <w:rFonts w:hint="eastAsia" w:ascii="宋体" w:hAnsi="宋体" w:eastAsia="宋体" w:cs="宋体"/>
                <w:b/>
                <w:bCs w:val="0"/>
                <w:color w:val="auto"/>
                <w:sz w:val="24"/>
                <w:szCs w:val="24"/>
                <w:highlight w:val="none"/>
                <w:lang w:val="en-US" w:eastAsia="zh-CN"/>
              </w:rPr>
              <w:t>合理、详细、有完整的实施组织流程</w:t>
            </w:r>
            <w:r>
              <w:rPr>
                <w:rFonts w:hint="eastAsia" w:ascii="宋体" w:hAnsi="宋体" w:eastAsia="宋体" w:cs="宋体"/>
                <w:bCs/>
                <w:color w:val="auto"/>
                <w:sz w:val="24"/>
                <w:szCs w:val="24"/>
                <w:highlight w:val="none"/>
                <w:lang w:val="en-US" w:eastAsia="zh-CN"/>
              </w:rPr>
              <w:t>的每满足一项加1分，共3分；</w:t>
            </w:r>
          </w:p>
          <w:p w14:paraId="4FA2A7C5">
            <w:pPr>
              <w:numPr>
                <w:ilvl w:val="0"/>
                <w:numId w:val="0"/>
              </w:numPr>
              <w:snapToGrid w:val="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2）投标人竣工资料准备</w:t>
            </w:r>
            <w:r>
              <w:rPr>
                <w:rFonts w:hint="eastAsia" w:ascii="宋体" w:hAnsi="宋体" w:eastAsia="宋体" w:cs="宋体"/>
                <w:b/>
                <w:bCs w:val="0"/>
                <w:color w:val="auto"/>
                <w:sz w:val="24"/>
                <w:szCs w:val="24"/>
                <w:highlight w:val="none"/>
                <w:lang w:val="en-US" w:eastAsia="zh-CN"/>
              </w:rPr>
              <w:t>及时性强、内容齐全、对于隐蔽工程有明确的记录方案及措施</w:t>
            </w:r>
            <w:r>
              <w:rPr>
                <w:rFonts w:hint="eastAsia" w:ascii="宋体" w:hAnsi="宋体" w:eastAsia="宋体" w:cs="宋体"/>
                <w:bCs/>
                <w:color w:val="auto"/>
                <w:sz w:val="24"/>
                <w:szCs w:val="24"/>
                <w:highlight w:val="none"/>
                <w:lang w:val="en-US" w:eastAsia="zh-CN"/>
              </w:rPr>
              <w:t>的每满足一项加1分，共3分。</w:t>
            </w:r>
          </w:p>
        </w:tc>
        <w:tc>
          <w:tcPr>
            <w:tcW w:w="793" w:type="dxa"/>
          </w:tcPr>
          <w:p w14:paraId="19FE3714">
            <w:pPr>
              <w:snapToGrid w:val="0"/>
              <w:jc w:val="center"/>
              <w:outlineLvl w:val="0"/>
              <w:rPr>
                <w:rFonts w:hint="eastAsia" w:ascii="宋体" w:hAnsi="宋体" w:cs="宋体"/>
                <w:bCs/>
                <w:color w:val="auto"/>
                <w:sz w:val="24"/>
                <w:szCs w:val="24"/>
                <w:highlight w:val="none"/>
                <w:lang w:val="en-US" w:eastAsia="zh-CN"/>
              </w:rPr>
            </w:pPr>
          </w:p>
          <w:p w14:paraId="2533FD8E">
            <w:pPr>
              <w:snapToGrid w:val="0"/>
              <w:jc w:val="both"/>
              <w:outlineLvl w:val="0"/>
              <w:rPr>
                <w:rFonts w:hint="eastAsia" w:ascii="宋体" w:hAnsi="宋体" w:cs="宋体"/>
                <w:bCs/>
                <w:color w:val="auto"/>
                <w:sz w:val="24"/>
                <w:szCs w:val="24"/>
                <w:highlight w:val="none"/>
                <w:lang w:val="en-US" w:eastAsia="zh-CN"/>
              </w:rPr>
            </w:pPr>
          </w:p>
          <w:p w14:paraId="7A681D5A">
            <w:pPr>
              <w:snapToGrid w:val="0"/>
              <w:jc w:val="center"/>
              <w:outlineLvl w:val="0"/>
              <w:rPr>
                <w:rFonts w:hint="eastAsia" w:ascii="宋体" w:hAnsi="宋体" w:cs="宋体"/>
                <w:bCs/>
                <w:color w:val="auto"/>
                <w:sz w:val="24"/>
                <w:szCs w:val="24"/>
                <w:highlight w:val="none"/>
                <w:lang w:val="en-US" w:eastAsia="zh-CN"/>
              </w:rPr>
            </w:pPr>
          </w:p>
          <w:p w14:paraId="2A912A48">
            <w:pPr>
              <w:snapToGrid w:val="0"/>
              <w:jc w:val="center"/>
              <w:outlineLvl w:val="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6</w:t>
            </w:r>
          </w:p>
        </w:tc>
        <w:tc>
          <w:tcPr>
            <w:tcW w:w="2133" w:type="dxa"/>
          </w:tcPr>
          <w:p w14:paraId="2B43F748">
            <w:pPr>
              <w:snapToGrid w:val="0"/>
              <w:rPr>
                <w:rFonts w:ascii="宋体" w:hAnsi="宋体" w:cs="宋体"/>
                <w:color w:val="auto"/>
                <w:sz w:val="24"/>
                <w:szCs w:val="24"/>
                <w:highlight w:val="none"/>
              </w:rPr>
            </w:pPr>
          </w:p>
        </w:tc>
      </w:tr>
      <w:tr w14:paraId="63A1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3AEAEEB2">
            <w:pPr>
              <w:snapToGrid w:val="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5897" w:type="dxa"/>
            <w:vAlign w:val="center"/>
          </w:tcPr>
          <w:p w14:paraId="522E86F1">
            <w:pPr>
              <w:spacing w:line="240" w:lineRule="auto"/>
              <w:contextualSpacing/>
              <w:jc w:val="both"/>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安全、文明施工及市政、市容、环保、消防等的保证措施等。</w:t>
            </w:r>
          </w:p>
          <w:p w14:paraId="3EC21A3C">
            <w:pPr>
              <w:numPr>
                <w:ilvl w:val="0"/>
                <w:numId w:val="6"/>
              </w:numPr>
              <w:spacing w:line="240" w:lineRule="auto"/>
              <w:contextualSpacing/>
              <w:jc w:val="both"/>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提供</w:t>
            </w:r>
            <w:r>
              <w:rPr>
                <w:rFonts w:hint="eastAsia" w:ascii="宋体" w:hAnsi="宋体" w:eastAsia="宋体" w:cs="宋体"/>
                <w:color w:val="auto"/>
                <w:kern w:val="0"/>
                <w:sz w:val="24"/>
                <w:szCs w:val="24"/>
                <w:highlight w:val="none"/>
              </w:rPr>
              <w:t>安全、文明施工及市政、市容、环保、消防等的保证措施</w:t>
            </w:r>
            <w:r>
              <w:rPr>
                <w:rFonts w:hint="eastAsia" w:ascii="宋体" w:hAnsi="宋体" w:eastAsia="宋体" w:cs="宋体"/>
                <w:color w:val="auto"/>
                <w:kern w:val="0"/>
                <w:sz w:val="24"/>
                <w:szCs w:val="24"/>
                <w:highlight w:val="none"/>
                <w:lang w:val="en-US" w:eastAsia="zh-CN"/>
              </w:rPr>
              <w:t>方案的得2分；</w:t>
            </w:r>
          </w:p>
          <w:p w14:paraId="66C31511">
            <w:pPr>
              <w:numPr>
                <w:ilvl w:val="0"/>
                <w:numId w:val="6"/>
              </w:numPr>
              <w:spacing w:line="240" w:lineRule="auto"/>
              <w:contextualSpacing/>
              <w:jc w:val="both"/>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en-US" w:eastAsia="zh-CN"/>
              </w:rPr>
              <w:t>内容合理、符合规范、可操作性强、具备明确的计划安排及工作组织机构设置</w:t>
            </w:r>
            <w:r>
              <w:rPr>
                <w:rFonts w:hint="eastAsia" w:ascii="宋体" w:hAnsi="宋体" w:eastAsia="宋体" w:cs="宋体"/>
                <w:color w:val="auto"/>
                <w:kern w:val="0"/>
                <w:sz w:val="24"/>
                <w:szCs w:val="24"/>
                <w:highlight w:val="none"/>
                <w:lang w:val="en-US" w:eastAsia="zh-CN"/>
              </w:rPr>
              <w:t>的每满足一项得1分，共4分。3）</w:t>
            </w:r>
            <w:r>
              <w:rPr>
                <w:rFonts w:hint="eastAsia" w:ascii="宋体" w:hAnsi="宋体" w:eastAsia="宋体" w:cs="宋体"/>
                <w:bCs/>
                <w:color w:val="auto"/>
                <w:sz w:val="24"/>
                <w:szCs w:val="24"/>
                <w:highlight w:val="none"/>
                <w:lang w:val="en-US" w:eastAsia="zh-CN"/>
              </w:rPr>
              <w:t>未提供不得分。</w:t>
            </w:r>
          </w:p>
        </w:tc>
        <w:tc>
          <w:tcPr>
            <w:tcW w:w="793" w:type="dxa"/>
          </w:tcPr>
          <w:p w14:paraId="2EB64B91">
            <w:pPr>
              <w:snapToGrid w:val="0"/>
              <w:jc w:val="center"/>
              <w:outlineLvl w:val="0"/>
              <w:rPr>
                <w:rFonts w:hint="eastAsia" w:ascii="宋体" w:hAnsi="宋体" w:cs="宋体"/>
                <w:bCs/>
                <w:color w:val="auto"/>
                <w:sz w:val="24"/>
                <w:szCs w:val="24"/>
                <w:highlight w:val="none"/>
                <w:lang w:val="en-US" w:eastAsia="zh-CN"/>
              </w:rPr>
            </w:pPr>
          </w:p>
          <w:p w14:paraId="43BDB51B">
            <w:pPr>
              <w:snapToGrid w:val="0"/>
              <w:jc w:val="both"/>
              <w:outlineLvl w:val="0"/>
              <w:rPr>
                <w:rFonts w:hint="eastAsia" w:ascii="宋体" w:hAnsi="宋体" w:cs="宋体"/>
                <w:bCs/>
                <w:color w:val="auto"/>
                <w:sz w:val="24"/>
                <w:szCs w:val="24"/>
                <w:highlight w:val="none"/>
                <w:lang w:val="en-US" w:eastAsia="zh-CN"/>
              </w:rPr>
            </w:pPr>
          </w:p>
          <w:p w14:paraId="2C50B5DE">
            <w:pPr>
              <w:snapToGrid w:val="0"/>
              <w:jc w:val="center"/>
              <w:outlineLvl w:val="0"/>
              <w:rPr>
                <w:rFonts w:hint="eastAsia" w:ascii="宋体" w:hAnsi="宋体" w:cs="宋体"/>
                <w:bCs/>
                <w:color w:val="auto"/>
                <w:sz w:val="24"/>
                <w:szCs w:val="24"/>
                <w:highlight w:val="none"/>
                <w:lang w:val="en-US" w:eastAsia="zh-CN"/>
              </w:rPr>
            </w:pPr>
          </w:p>
          <w:p w14:paraId="26E36EB4">
            <w:pPr>
              <w:snapToGrid w:val="0"/>
              <w:jc w:val="center"/>
              <w:outlineLvl w:val="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6</w:t>
            </w:r>
          </w:p>
        </w:tc>
        <w:tc>
          <w:tcPr>
            <w:tcW w:w="2133" w:type="dxa"/>
          </w:tcPr>
          <w:p w14:paraId="04F39D8E">
            <w:pPr>
              <w:snapToGrid w:val="0"/>
              <w:rPr>
                <w:rFonts w:ascii="宋体" w:hAnsi="宋体" w:cs="宋体"/>
                <w:color w:val="auto"/>
                <w:sz w:val="24"/>
                <w:szCs w:val="24"/>
                <w:highlight w:val="none"/>
              </w:rPr>
            </w:pPr>
          </w:p>
        </w:tc>
      </w:tr>
      <w:tr w14:paraId="5056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4028CE05">
            <w:pPr>
              <w:snapToGrid w:val="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11</w:t>
            </w:r>
          </w:p>
        </w:tc>
        <w:tc>
          <w:tcPr>
            <w:tcW w:w="5897" w:type="dxa"/>
            <w:vAlign w:val="center"/>
          </w:tcPr>
          <w:p w14:paraId="307C1FD6">
            <w:pPr>
              <w:spacing w:line="240" w:lineRule="auto"/>
              <w:contextualSpacing/>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rPr>
              <w:t>项目经理情况：项目经理为高级工程师的得1分，</w:t>
            </w:r>
            <w:r>
              <w:rPr>
                <w:rFonts w:hint="eastAsia" w:ascii="宋体" w:hAnsi="宋体" w:eastAsia="宋体" w:cs="宋体"/>
                <w:b/>
                <w:bCs/>
                <w:color w:val="auto"/>
                <w:kern w:val="0"/>
                <w:sz w:val="24"/>
                <w:szCs w:val="24"/>
                <w:highlight w:val="none"/>
                <w:lang w:val="en-US" w:eastAsia="zh-CN"/>
              </w:rPr>
              <w:t>注：需提供相关职称证书及最近3个月的人员社保，否则不得分。</w:t>
            </w:r>
          </w:p>
        </w:tc>
        <w:tc>
          <w:tcPr>
            <w:tcW w:w="793" w:type="dxa"/>
          </w:tcPr>
          <w:p w14:paraId="05C03DBD">
            <w:pPr>
              <w:snapToGrid w:val="0"/>
              <w:jc w:val="center"/>
              <w:outlineLvl w:val="0"/>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w:t>
            </w:r>
          </w:p>
        </w:tc>
        <w:tc>
          <w:tcPr>
            <w:tcW w:w="2133" w:type="dxa"/>
          </w:tcPr>
          <w:p w14:paraId="49279CFE">
            <w:pPr>
              <w:snapToGrid w:val="0"/>
              <w:rPr>
                <w:rFonts w:ascii="宋体" w:hAnsi="宋体" w:cs="宋体"/>
                <w:color w:val="auto"/>
                <w:sz w:val="24"/>
                <w:szCs w:val="24"/>
                <w:highlight w:val="none"/>
              </w:rPr>
            </w:pPr>
          </w:p>
        </w:tc>
      </w:tr>
      <w:tr w14:paraId="17FD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trPr>
        <w:tc>
          <w:tcPr>
            <w:tcW w:w="910" w:type="dxa"/>
            <w:vAlign w:val="center"/>
          </w:tcPr>
          <w:p w14:paraId="456914FD">
            <w:pPr>
              <w:snapToGrid w:val="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w:t>
            </w:r>
          </w:p>
        </w:tc>
        <w:tc>
          <w:tcPr>
            <w:tcW w:w="5897" w:type="dxa"/>
            <w:vAlign w:val="center"/>
          </w:tcPr>
          <w:p w14:paraId="7DE1CDE1">
            <w:pPr>
              <w:spacing w:line="240" w:lineRule="auto"/>
              <w:contextualSpacing/>
              <w:jc w:val="left"/>
              <w:rPr>
                <w:rFonts w:hint="eastAsia" w:ascii="宋体" w:hAnsi="宋体" w:eastAsia="宋体" w:cs="宋体"/>
                <w:color w:val="auto"/>
                <w:sz w:val="24"/>
                <w:szCs w:val="24"/>
                <w:highlight w:val="none"/>
                <w:lang w:val="en-US"/>
              </w:rPr>
            </w:pPr>
            <w:r>
              <w:rPr>
                <w:rFonts w:hint="eastAsia" w:ascii="宋体" w:hAnsi="宋体" w:eastAsia="宋体" w:cs="宋体"/>
                <w:color w:val="auto"/>
                <w:kern w:val="0"/>
                <w:sz w:val="24"/>
                <w:szCs w:val="24"/>
                <w:highlight w:val="none"/>
              </w:rPr>
              <w:t>项目组人员组成</w:t>
            </w:r>
            <w:r>
              <w:rPr>
                <w:rFonts w:hint="eastAsia" w:ascii="宋体" w:hAnsi="宋体" w:eastAsia="宋体" w:cs="宋体"/>
                <w:color w:val="auto"/>
                <w:kern w:val="0"/>
                <w:sz w:val="24"/>
                <w:szCs w:val="24"/>
                <w:highlight w:val="none"/>
                <w:lang w:val="en-US" w:eastAsia="zh-CN"/>
              </w:rPr>
              <w:t>情况</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1）项目技术负责人为高级工程师的得1分；2）项目组成员除项目经理及技术负责人外具有工程师职称的每个加0.5分，最高1分。</w:t>
            </w:r>
            <w:r>
              <w:rPr>
                <w:rFonts w:hint="eastAsia" w:ascii="宋体" w:hAnsi="宋体" w:eastAsia="宋体" w:cs="宋体"/>
                <w:b/>
                <w:bCs/>
                <w:color w:val="auto"/>
                <w:kern w:val="0"/>
                <w:sz w:val="24"/>
                <w:szCs w:val="24"/>
                <w:highlight w:val="none"/>
                <w:lang w:val="en-US" w:eastAsia="zh-CN"/>
              </w:rPr>
              <w:t>注：需提供相关职称证书及最近3个月的人员社保，否则不得分。</w:t>
            </w:r>
          </w:p>
        </w:tc>
        <w:tc>
          <w:tcPr>
            <w:tcW w:w="793" w:type="dxa"/>
          </w:tcPr>
          <w:p w14:paraId="38088817">
            <w:pPr>
              <w:snapToGrid w:val="0"/>
              <w:jc w:val="both"/>
              <w:outlineLvl w:val="0"/>
              <w:rPr>
                <w:rFonts w:hint="eastAsia" w:ascii="宋体" w:hAnsi="宋体" w:cs="宋体"/>
                <w:bCs/>
                <w:color w:val="auto"/>
                <w:sz w:val="24"/>
                <w:szCs w:val="24"/>
                <w:highlight w:val="none"/>
                <w:lang w:val="en-US" w:eastAsia="zh-CN"/>
              </w:rPr>
            </w:pPr>
          </w:p>
          <w:p w14:paraId="6EE11E62">
            <w:pPr>
              <w:snapToGrid w:val="0"/>
              <w:jc w:val="center"/>
              <w:outlineLvl w:val="0"/>
              <w:rPr>
                <w:rFonts w:hint="eastAsia" w:ascii="宋体" w:hAnsi="宋体" w:cs="宋体"/>
                <w:bCs/>
                <w:color w:val="auto"/>
                <w:sz w:val="24"/>
                <w:szCs w:val="24"/>
                <w:highlight w:val="none"/>
                <w:lang w:val="en-US" w:eastAsia="zh-CN"/>
              </w:rPr>
            </w:pPr>
          </w:p>
          <w:p w14:paraId="43AE44AB">
            <w:pPr>
              <w:snapToGrid w:val="0"/>
              <w:jc w:val="center"/>
              <w:outlineLvl w:val="0"/>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p w14:paraId="54E67644">
            <w:pPr>
              <w:snapToGrid w:val="0"/>
              <w:jc w:val="both"/>
              <w:outlineLvl w:val="0"/>
              <w:rPr>
                <w:rFonts w:hint="eastAsia" w:ascii="宋体" w:hAnsi="宋体" w:eastAsia="宋体" w:cs="宋体"/>
                <w:bCs/>
                <w:color w:val="auto"/>
                <w:sz w:val="24"/>
                <w:szCs w:val="24"/>
                <w:highlight w:val="none"/>
                <w:lang w:val="en-US" w:eastAsia="zh-CN"/>
              </w:rPr>
            </w:pPr>
          </w:p>
        </w:tc>
        <w:tc>
          <w:tcPr>
            <w:tcW w:w="2133" w:type="dxa"/>
          </w:tcPr>
          <w:p w14:paraId="03A694DE">
            <w:pPr>
              <w:snapToGrid w:val="0"/>
              <w:rPr>
                <w:rFonts w:ascii="宋体" w:hAnsi="宋体" w:cs="宋体"/>
                <w:color w:val="auto"/>
                <w:sz w:val="24"/>
                <w:szCs w:val="24"/>
                <w:highlight w:val="none"/>
              </w:rPr>
            </w:pPr>
          </w:p>
        </w:tc>
      </w:tr>
      <w:tr w14:paraId="4AA6A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4A8213BF">
            <w:pPr>
              <w:snapToGrid w:val="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13</w:t>
            </w:r>
          </w:p>
        </w:tc>
        <w:tc>
          <w:tcPr>
            <w:tcW w:w="5897" w:type="dxa"/>
            <w:vAlign w:val="center"/>
          </w:tcPr>
          <w:p w14:paraId="7967DB12">
            <w:pPr>
              <w:snapToGrid w:val="0"/>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kern w:val="0"/>
                <w:sz w:val="24"/>
                <w:szCs w:val="24"/>
                <w:highlight w:val="none"/>
              </w:rPr>
              <w:t>根据</w:t>
            </w:r>
            <w:r>
              <w:rPr>
                <w:rFonts w:hint="eastAsia" w:ascii="宋体" w:hAnsi="宋体" w:eastAsia="宋体" w:cs="宋体"/>
                <w:color w:val="auto"/>
                <w:kern w:val="0"/>
                <w:sz w:val="24"/>
                <w:szCs w:val="24"/>
                <w:highlight w:val="none"/>
                <w:lang w:eastAsia="zh-CN"/>
              </w:rPr>
              <w:t>投标</w:t>
            </w:r>
            <w:r>
              <w:rPr>
                <w:rFonts w:hint="eastAsia" w:ascii="宋体" w:hAnsi="宋体" w:eastAsia="宋体" w:cs="宋体"/>
                <w:color w:val="auto"/>
                <w:kern w:val="0"/>
                <w:sz w:val="24"/>
                <w:szCs w:val="24"/>
                <w:highlight w:val="none"/>
              </w:rPr>
              <w:t>人针对本项目制定的</w:t>
            </w:r>
            <w:r>
              <w:rPr>
                <w:rFonts w:hint="eastAsia" w:ascii="宋体" w:hAnsi="宋体" w:eastAsia="宋体" w:cs="宋体"/>
                <w:color w:val="auto"/>
                <w:kern w:val="0"/>
                <w:sz w:val="24"/>
                <w:szCs w:val="24"/>
                <w:highlight w:val="none"/>
                <w:lang w:eastAsia="zh-CN"/>
              </w:rPr>
              <w:t>售后服务方案</w:t>
            </w:r>
            <w:r>
              <w:rPr>
                <w:rFonts w:hint="eastAsia" w:ascii="宋体" w:hAnsi="宋体" w:eastAsia="宋体" w:cs="宋体"/>
                <w:color w:val="auto"/>
                <w:kern w:val="0"/>
                <w:sz w:val="24"/>
                <w:szCs w:val="24"/>
                <w:highlight w:val="none"/>
              </w:rPr>
              <w:t>进行评价,</w:t>
            </w:r>
            <w:r>
              <w:rPr>
                <w:rFonts w:hint="eastAsia" w:ascii="宋体" w:hAnsi="宋体" w:eastAsia="宋体" w:cs="宋体"/>
                <w:color w:val="auto"/>
                <w:kern w:val="0"/>
                <w:sz w:val="24"/>
                <w:szCs w:val="24"/>
                <w:highlight w:val="none"/>
                <w:lang w:eastAsia="zh-CN"/>
              </w:rPr>
              <w:t>售后服务</w:t>
            </w:r>
            <w:r>
              <w:rPr>
                <w:rFonts w:hint="eastAsia" w:ascii="宋体" w:hAnsi="宋体" w:eastAsia="宋体" w:cs="宋体"/>
                <w:color w:val="auto"/>
                <w:kern w:val="0"/>
                <w:sz w:val="24"/>
                <w:szCs w:val="24"/>
                <w:highlight w:val="none"/>
              </w:rPr>
              <w:t>方案应至少包括①</w:t>
            </w:r>
            <w:r>
              <w:rPr>
                <w:rFonts w:hint="eastAsia" w:ascii="宋体" w:hAnsi="宋体" w:eastAsia="宋体" w:cs="宋体"/>
                <w:color w:val="auto"/>
                <w:kern w:val="0"/>
                <w:sz w:val="24"/>
                <w:szCs w:val="24"/>
                <w:highlight w:val="none"/>
                <w:lang w:eastAsia="zh-CN" w:bidi="en-US"/>
              </w:rPr>
              <w:t>售后服务保障</w:t>
            </w:r>
            <w:r>
              <w:rPr>
                <w:rFonts w:hint="eastAsia" w:ascii="宋体" w:hAnsi="宋体" w:eastAsia="宋体" w:cs="宋体"/>
                <w:color w:val="auto"/>
                <w:kern w:val="0"/>
                <w:sz w:val="24"/>
                <w:szCs w:val="24"/>
                <w:highlight w:val="none"/>
              </w:rPr>
              <w:t>；②</w:t>
            </w:r>
            <w:r>
              <w:rPr>
                <w:rFonts w:hint="eastAsia" w:ascii="宋体" w:hAnsi="宋体" w:eastAsia="宋体" w:cs="宋体"/>
                <w:color w:val="auto"/>
                <w:kern w:val="0"/>
                <w:sz w:val="24"/>
                <w:szCs w:val="24"/>
                <w:highlight w:val="none"/>
                <w:lang w:eastAsia="zh-CN"/>
              </w:rPr>
              <w:t>响应时间</w:t>
            </w:r>
            <w:r>
              <w:rPr>
                <w:rFonts w:hint="eastAsia" w:ascii="宋体" w:hAnsi="宋体" w:eastAsia="宋体" w:cs="宋体"/>
                <w:color w:val="auto"/>
                <w:kern w:val="0"/>
                <w:sz w:val="24"/>
                <w:szCs w:val="24"/>
                <w:highlight w:val="none"/>
              </w:rPr>
              <w:t>；③</w:t>
            </w:r>
            <w:r>
              <w:rPr>
                <w:rFonts w:hint="eastAsia" w:ascii="宋体" w:hAnsi="宋体" w:eastAsia="宋体" w:cs="宋体"/>
                <w:color w:val="auto"/>
                <w:kern w:val="0"/>
                <w:sz w:val="24"/>
                <w:szCs w:val="24"/>
                <w:highlight w:val="none"/>
                <w:lang w:eastAsia="zh-CN"/>
              </w:rPr>
              <w:t>维修技术服务。</w:t>
            </w:r>
            <w:r>
              <w:rPr>
                <w:rFonts w:hint="eastAsia" w:ascii="宋体" w:hAnsi="宋体" w:eastAsia="宋体" w:cs="宋体"/>
                <w:color w:val="auto"/>
                <w:kern w:val="0"/>
                <w:sz w:val="24"/>
                <w:szCs w:val="24"/>
                <w:highlight w:val="none"/>
              </w:rPr>
              <w:t>以上内容每完整响应成1项得</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分,</w:t>
            </w:r>
            <w:r>
              <w:rPr>
                <w:rFonts w:hint="eastAsia" w:ascii="宋体" w:hAnsi="宋体" w:eastAsia="宋体" w:cs="宋体"/>
                <w:color w:val="auto"/>
                <w:kern w:val="0"/>
                <w:sz w:val="24"/>
                <w:szCs w:val="24"/>
                <w:highlight w:val="none"/>
                <w:lang w:eastAsia="zh-CN"/>
              </w:rPr>
              <w:t>最高得</w:t>
            </w:r>
            <w:r>
              <w:rPr>
                <w:rFonts w:hint="eastAsia" w:ascii="宋体" w:hAnsi="宋体" w:eastAsia="宋体" w:cs="宋体"/>
                <w:color w:val="auto"/>
                <w:kern w:val="0"/>
                <w:sz w:val="24"/>
                <w:szCs w:val="24"/>
                <w:highlight w:val="none"/>
                <w:lang w:val="en-US" w:eastAsia="zh-CN"/>
              </w:rPr>
              <w:t>6分，</w:t>
            </w:r>
            <w:r>
              <w:rPr>
                <w:rFonts w:hint="eastAsia" w:ascii="宋体" w:hAnsi="宋体" w:eastAsia="宋体" w:cs="宋体"/>
                <w:color w:val="auto"/>
                <w:sz w:val="24"/>
                <w:szCs w:val="24"/>
                <w:highlight w:val="none"/>
                <w:lang w:val="en-US" w:eastAsia="zh-CN"/>
              </w:rPr>
              <w:t>不符合不得分。</w:t>
            </w:r>
          </w:p>
        </w:tc>
        <w:tc>
          <w:tcPr>
            <w:tcW w:w="793" w:type="dxa"/>
          </w:tcPr>
          <w:p w14:paraId="11428098">
            <w:pPr>
              <w:snapToGrid w:val="0"/>
              <w:jc w:val="center"/>
              <w:outlineLvl w:val="0"/>
              <w:rPr>
                <w:rFonts w:hint="eastAsia" w:ascii="宋体" w:hAnsi="宋体" w:cs="宋体"/>
                <w:bCs/>
                <w:color w:val="auto"/>
                <w:sz w:val="24"/>
                <w:szCs w:val="24"/>
                <w:highlight w:val="none"/>
                <w:lang w:val="en-US" w:eastAsia="zh-CN"/>
              </w:rPr>
            </w:pPr>
          </w:p>
          <w:p w14:paraId="5EA3CEB3">
            <w:pPr>
              <w:snapToGrid w:val="0"/>
              <w:jc w:val="center"/>
              <w:outlineLvl w:val="0"/>
              <w:rPr>
                <w:rFonts w:hint="eastAsia" w:ascii="宋体" w:hAnsi="宋体" w:cs="宋体"/>
                <w:bCs/>
                <w:color w:val="auto"/>
                <w:sz w:val="24"/>
                <w:szCs w:val="24"/>
                <w:highlight w:val="none"/>
                <w:lang w:val="en-US" w:eastAsia="zh-CN"/>
              </w:rPr>
            </w:pPr>
          </w:p>
          <w:p w14:paraId="09F56BA1">
            <w:pPr>
              <w:snapToGrid w:val="0"/>
              <w:jc w:val="center"/>
              <w:outlineLvl w:val="0"/>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6</w:t>
            </w:r>
          </w:p>
        </w:tc>
        <w:tc>
          <w:tcPr>
            <w:tcW w:w="2133" w:type="dxa"/>
          </w:tcPr>
          <w:p w14:paraId="4A982AFC">
            <w:pPr>
              <w:snapToGrid w:val="0"/>
              <w:rPr>
                <w:rFonts w:ascii="宋体" w:hAnsi="宋体" w:cs="宋体"/>
                <w:color w:val="auto"/>
                <w:sz w:val="24"/>
                <w:szCs w:val="24"/>
                <w:highlight w:val="none"/>
              </w:rPr>
            </w:pPr>
          </w:p>
        </w:tc>
      </w:tr>
      <w:tr w14:paraId="5C3A3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5153CA71">
            <w:pPr>
              <w:snapToGrid w:val="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14</w:t>
            </w:r>
          </w:p>
        </w:tc>
        <w:tc>
          <w:tcPr>
            <w:tcW w:w="5897" w:type="dxa"/>
            <w:vAlign w:val="center"/>
          </w:tcPr>
          <w:p w14:paraId="3EFBE188">
            <w:pPr>
              <w:adjustRightInd w:val="0"/>
              <w:snapToGrid w:val="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根据供应商提供的资料从施工材料的品牌、档次及与</w:t>
            </w:r>
            <w:r>
              <w:rPr>
                <w:rFonts w:hint="eastAsia" w:ascii="宋体" w:hAnsi="宋体" w:eastAsia="宋体" w:cs="宋体"/>
                <w:color w:val="auto"/>
                <w:kern w:val="0"/>
                <w:sz w:val="24"/>
                <w:szCs w:val="24"/>
                <w:highlight w:val="none"/>
                <w:lang w:val="en-US" w:eastAsia="zh-CN"/>
              </w:rPr>
              <w:t>采购</w:t>
            </w:r>
            <w:r>
              <w:rPr>
                <w:rFonts w:hint="eastAsia" w:ascii="宋体" w:hAnsi="宋体" w:eastAsia="宋体" w:cs="宋体"/>
                <w:color w:val="auto"/>
                <w:kern w:val="0"/>
                <w:sz w:val="24"/>
                <w:szCs w:val="24"/>
                <w:highlight w:val="none"/>
              </w:rPr>
              <w:t>文件要求的响应性等进行评分</w:t>
            </w:r>
            <w:r>
              <w:rPr>
                <w:rFonts w:hint="eastAsia" w:ascii="宋体" w:hAnsi="宋体" w:eastAsia="宋体" w:cs="宋体"/>
                <w:color w:val="auto"/>
                <w:kern w:val="0"/>
                <w:sz w:val="24"/>
                <w:szCs w:val="24"/>
                <w:highlight w:val="none"/>
                <w:lang w:eastAsia="zh-CN"/>
              </w:rPr>
              <w:t>（此项投标单位需根据主要材料（设备）一览表在商务技术文件中提供自身单位所用品牌表供评委评审，但不得体现价格）</w:t>
            </w:r>
            <w:r>
              <w:rPr>
                <w:rFonts w:hint="eastAsia" w:ascii="宋体" w:hAnsi="宋体" w:eastAsia="宋体" w:cs="宋体"/>
                <w:color w:val="auto"/>
                <w:kern w:val="0"/>
                <w:sz w:val="24"/>
                <w:szCs w:val="24"/>
                <w:highlight w:val="none"/>
              </w:rPr>
              <w:t>。</w:t>
            </w:r>
          </w:p>
          <w:p w14:paraId="741916EA">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rPr>
              <w:t>较优的得4分。基本满足项目要求的得2分。相对较差的得1分。未提供或极差的不得分。</w:t>
            </w:r>
          </w:p>
        </w:tc>
        <w:tc>
          <w:tcPr>
            <w:tcW w:w="793" w:type="dxa"/>
          </w:tcPr>
          <w:p w14:paraId="6C60F78B">
            <w:pPr>
              <w:snapToGrid w:val="0"/>
              <w:jc w:val="center"/>
              <w:outlineLvl w:val="0"/>
              <w:rPr>
                <w:rFonts w:hint="eastAsia" w:ascii="宋体" w:hAnsi="宋体" w:cs="宋体"/>
                <w:bCs/>
                <w:color w:val="auto"/>
                <w:sz w:val="24"/>
                <w:szCs w:val="24"/>
                <w:highlight w:val="none"/>
                <w:lang w:val="en-US" w:eastAsia="zh-CN"/>
              </w:rPr>
            </w:pPr>
          </w:p>
          <w:p w14:paraId="78675830">
            <w:pPr>
              <w:snapToGrid w:val="0"/>
              <w:jc w:val="center"/>
              <w:outlineLvl w:val="0"/>
              <w:rPr>
                <w:rFonts w:hint="eastAsia" w:ascii="宋体" w:hAnsi="宋体" w:cs="宋体"/>
                <w:bCs/>
                <w:color w:val="auto"/>
                <w:sz w:val="24"/>
                <w:szCs w:val="24"/>
                <w:highlight w:val="none"/>
                <w:lang w:val="en-US" w:eastAsia="zh-CN"/>
              </w:rPr>
            </w:pPr>
          </w:p>
          <w:p w14:paraId="5E9CC71D">
            <w:pPr>
              <w:snapToGrid w:val="0"/>
              <w:jc w:val="center"/>
              <w:outlineLvl w:val="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4</w:t>
            </w:r>
          </w:p>
        </w:tc>
        <w:tc>
          <w:tcPr>
            <w:tcW w:w="2133" w:type="dxa"/>
          </w:tcPr>
          <w:p w14:paraId="058BD275">
            <w:pPr>
              <w:snapToGrid w:val="0"/>
              <w:rPr>
                <w:rFonts w:ascii="宋体" w:hAnsi="宋体" w:cs="宋体"/>
                <w:color w:val="auto"/>
                <w:sz w:val="24"/>
                <w:szCs w:val="24"/>
                <w:highlight w:val="none"/>
              </w:rPr>
            </w:pPr>
          </w:p>
        </w:tc>
      </w:tr>
      <w:tr w14:paraId="2FE2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1E0005C3">
            <w:pPr>
              <w:snapToGrid w:val="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15</w:t>
            </w:r>
          </w:p>
        </w:tc>
        <w:tc>
          <w:tcPr>
            <w:tcW w:w="5897" w:type="dxa"/>
            <w:vAlign w:val="center"/>
          </w:tcPr>
          <w:p w14:paraId="01EC876B">
            <w:pPr>
              <w:snapToGrid w:val="0"/>
              <w:rPr>
                <w:rFonts w:hint="eastAsia" w:ascii="宋体" w:hAnsi="宋体" w:eastAsia="宋体" w:cs="宋体"/>
                <w:color w:val="auto"/>
                <w:kern w:val="0"/>
                <w:sz w:val="24"/>
                <w:szCs w:val="24"/>
                <w:highlight w:val="none"/>
                <w:lang w:val="en-US" w:eastAsia="zh-CN"/>
              </w:rPr>
            </w:pPr>
            <w:r>
              <w:rPr>
                <w:rFonts w:hint="eastAsia" w:ascii="宋体" w:hAnsi="宋体" w:eastAsia="宋体" w:cs="宋体"/>
                <w:b w:val="0"/>
                <w:bCs/>
                <w:color w:val="auto"/>
                <w:sz w:val="24"/>
                <w:szCs w:val="24"/>
                <w:highlight w:val="none"/>
                <w:lang w:val="en-US" w:eastAsia="zh-CN"/>
              </w:rPr>
              <w:t>投标人针对本项目提出的合理化建议情况进行评审：合理化建议</w:t>
            </w:r>
            <w:r>
              <w:rPr>
                <w:rFonts w:hint="eastAsia" w:ascii="宋体" w:hAnsi="宋体" w:eastAsia="宋体" w:cs="宋体"/>
                <w:b/>
                <w:bCs w:val="0"/>
                <w:color w:val="auto"/>
                <w:sz w:val="24"/>
                <w:szCs w:val="24"/>
                <w:highlight w:val="none"/>
                <w:lang w:val="en-US" w:eastAsia="zh-CN"/>
              </w:rPr>
              <w:t>科学、思路清晰、能更好的提升本项目实施成果</w:t>
            </w:r>
            <w:r>
              <w:rPr>
                <w:rFonts w:hint="eastAsia" w:ascii="宋体" w:hAnsi="宋体" w:eastAsia="宋体" w:cs="宋体"/>
                <w:b w:val="0"/>
                <w:bCs/>
                <w:color w:val="auto"/>
                <w:sz w:val="24"/>
                <w:szCs w:val="24"/>
                <w:highlight w:val="none"/>
                <w:lang w:val="en-US" w:eastAsia="zh-CN"/>
              </w:rPr>
              <w:t>的每满足一项加2分，共6分。</w:t>
            </w:r>
          </w:p>
        </w:tc>
        <w:tc>
          <w:tcPr>
            <w:tcW w:w="793" w:type="dxa"/>
          </w:tcPr>
          <w:p w14:paraId="67EF924F">
            <w:pPr>
              <w:snapToGrid w:val="0"/>
              <w:jc w:val="center"/>
              <w:outlineLvl w:val="0"/>
              <w:rPr>
                <w:rFonts w:hint="eastAsia" w:ascii="宋体" w:hAnsi="宋体" w:cs="宋体"/>
                <w:bCs/>
                <w:color w:val="auto"/>
                <w:sz w:val="24"/>
                <w:szCs w:val="24"/>
                <w:highlight w:val="none"/>
                <w:lang w:val="en-US" w:eastAsia="zh-CN"/>
              </w:rPr>
            </w:pPr>
          </w:p>
          <w:p w14:paraId="3F394284">
            <w:pPr>
              <w:snapToGrid w:val="0"/>
              <w:jc w:val="center"/>
              <w:outlineLvl w:val="0"/>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6</w:t>
            </w:r>
          </w:p>
        </w:tc>
        <w:tc>
          <w:tcPr>
            <w:tcW w:w="2133" w:type="dxa"/>
          </w:tcPr>
          <w:p w14:paraId="61759629">
            <w:pPr>
              <w:snapToGrid w:val="0"/>
              <w:rPr>
                <w:rFonts w:ascii="宋体" w:hAnsi="宋体" w:cs="宋体"/>
                <w:color w:val="auto"/>
                <w:sz w:val="24"/>
                <w:szCs w:val="24"/>
                <w:highlight w:val="none"/>
              </w:rPr>
            </w:pPr>
          </w:p>
        </w:tc>
      </w:tr>
      <w:tr w14:paraId="6F1C5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5EFE0392">
            <w:pPr>
              <w:snapToGrid w:val="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16</w:t>
            </w:r>
          </w:p>
        </w:tc>
        <w:tc>
          <w:tcPr>
            <w:tcW w:w="5897" w:type="dxa"/>
            <w:vAlign w:val="center"/>
          </w:tcPr>
          <w:p w14:paraId="2CD34516">
            <w:pPr>
              <w:spacing w:line="288"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1.投标人针对本项目提供应急响应方案的得1分；</w:t>
            </w:r>
          </w:p>
          <w:p w14:paraId="1C2F6946">
            <w:pPr>
              <w:snapToGrid w:val="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2.应急响应方案中</w:t>
            </w:r>
            <w:r>
              <w:rPr>
                <w:rFonts w:hint="eastAsia" w:ascii="宋体" w:hAnsi="宋体" w:eastAsia="宋体" w:cs="宋体"/>
                <w:b/>
                <w:bCs/>
                <w:color w:val="auto"/>
                <w:sz w:val="24"/>
                <w:highlight w:val="none"/>
              </w:rPr>
              <w:t>能体现突发事件应急处理措施</w:t>
            </w:r>
            <w:r>
              <w:rPr>
                <w:rFonts w:hint="eastAsia" w:ascii="宋体" w:hAnsi="宋体" w:eastAsia="宋体" w:cs="宋体"/>
                <w:color w:val="auto"/>
                <w:sz w:val="24"/>
                <w:highlight w:val="none"/>
              </w:rPr>
              <w:t>、</w:t>
            </w:r>
            <w:r>
              <w:rPr>
                <w:rFonts w:hint="eastAsia" w:ascii="宋体" w:hAnsi="宋体" w:eastAsia="宋体" w:cs="宋体"/>
                <w:b/>
                <w:bCs/>
                <w:color w:val="auto"/>
                <w:sz w:val="24"/>
                <w:highlight w:val="none"/>
              </w:rPr>
              <w:t>应急后处置</w:t>
            </w:r>
            <w:r>
              <w:rPr>
                <w:rFonts w:hint="eastAsia" w:ascii="宋体" w:hAnsi="宋体" w:eastAsia="宋体" w:cs="宋体"/>
                <w:color w:val="auto"/>
                <w:sz w:val="24"/>
                <w:highlight w:val="none"/>
              </w:rPr>
              <w:t>、</w:t>
            </w:r>
            <w:r>
              <w:rPr>
                <w:rFonts w:hint="eastAsia" w:ascii="宋体" w:hAnsi="宋体" w:eastAsia="宋体" w:cs="宋体"/>
                <w:b/>
                <w:bCs/>
                <w:color w:val="auto"/>
                <w:sz w:val="24"/>
                <w:highlight w:val="none"/>
              </w:rPr>
              <w:t>人员配备齐全</w:t>
            </w:r>
            <w:r>
              <w:rPr>
                <w:rFonts w:hint="eastAsia" w:ascii="宋体" w:hAnsi="宋体" w:eastAsia="宋体" w:cs="宋体"/>
                <w:color w:val="auto"/>
                <w:sz w:val="24"/>
                <w:highlight w:val="none"/>
              </w:rPr>
              <w:t>的每</w:t>
            </w:r>
            <w:r>
              <w:rPr>
                <w:rFonts w:hint="eastAsia" w:ascii="宋体" w:hAnsi="宋体" w:eastAsia="宋体" w:cs="宋体"/>
                <w:color w:val="auto"/>
                <w:kern w:val="0"/>
                <w:sz w:val="24"/>
                <w:highlight w:val="none"/>
              </w:rPr>
              <w:t>满足</w:t>
            </w:r>
            <w:r>
              <w:rPr>
                <w:rFonts w:hint="eastAsia" w:ascii="宋体" w:hAnsi="宋体" w:eastAsia="宋体" w:cs="宋体"/>
                <w:color w:val="auto"/>
                <w:sz w:val="24"/>
                <w:highlight w:val="none"/>
              </w:rPr>
              <w:t xml:space="preserve">一项加1分，共3分； 本项最高4分。   </w:t>
            </w:r>
          </w:p>
        </w:tc>
        <w:tc>
          <w:tcPr>
            <w:tcW w:w="793" w:type="dxa"/>
          </w:tcPr>
          <w:p w14:paraId="3156E4BD">
            <w:pPr>
              <w:snapToGrid w:val="0"/>
              <w:jc w:val="center"/>
              <w:outlineLvl w:val="0"/>
              <w:rPr>
                <w:rFonts w:hint="eastAsia" w:ascii="宋体" w:hAnsi="宋体" w:cs="宋体"/>
                <w:bCs/>
                <w:color w:val="auto"/>
                <w:sz w:val="24"/>
                <w:szCs w:val="24"/>
                <w:highlight w:val="none"/>
                <w:lang w:val="en-US" w:eastAsia="zh-CN"/>
              </w:rPr>
            </w:pPr>
          </w:p>
          <w:p w14:paraId="7630929A">
            <w:pPr>
              <w:snapToGrid w:val="0"/>
              <w:jc w:val="center"/>
              <w:outlineLvl w:val="0"/>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4</w:t>
            </w:r>
          </w:p>
        </w:tc>
        <w:tc>
          <w:tcPr>
            <w:tcW w:w="2133" w:type="dxa"/>
          </w:tcPr>
          <w:p w14:paraId="224F81DF">
            <w:pPr>
              <w:snapToGrid w:val="0"/>
              <w:rPr>
                <w:rFonts w:ascii="宋体" w:hAnsi="宋体" w:cs="宋体"/>
                <w:color w:val="auto"/>
                <w:sz w:val="24"/>
                <w:szCs w:val="24"/>
                <w:highlight w:val="none"/>
              </w:rPr>
            </w:pPr>
          </w:p>
        </w:tc>
      </w:tr>
      <w:tr w14:paraId="5906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2A983B3E">
            <w:pPr>
              <w:snapToGrid w:val="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17</w:t>
            </w:r>
          </w:p>
        </w:tc>
        <w:tc>
          <w:tcPr>
            <w:tcW w:w="5897" w:type="dxa"/>
            <w:vAlign w:val="center"/>
          </w:tcPr>
          <w:p w14:paraId="12E19564">
            <w:pPr>
              <w:snapToGrid w:val="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本项目实施主要在生活小区内部</w:t>
            </w:r>
            <w:r>
              <w:rPr>
                <w:rFonts w:hint="eastAsia" w:ascii="宋体" w:hAnsi="宋体" w:eastAsia="宋体" w:cs="宋体"/>
                <w:color w:val="auto"/>
                <w:sz w:val="24"/>
                <w:highlight w:val="none"/>
              </w:rPr>
              <w:t>在</w:t>
            </w:r>
            <w:r>
              <w:rPr>
                <w:rFonts w:hint="eastAsia" w:ascii="宋体" w:hAnsi="宋体" w:eastAsia="宋体" w:cs="宋体"/>
                <w:color w:val="auto"/>
                <w:sz w:val="24"/>
                <w:highlight w:val="none"/>
                <w:lang w:val="en-US" w:eastAsia="zh-CN"/>
              </w:rPr>
              <w:t>施工</w:t>
            </w:r>
            <w:r>
              <w:rPr>
                <w:rFonts w:hint="eastAsia" w:ascii="宋体" w:hAnsi="宋体" w:eastAsia="宋体" w:cs="宋体"/>
                <w:color w:val="auto"/>
                <w:sz w:val="24"/>
                <w:highlight w:val="none"/>
              </w:rPr>
              <w:t>过程中</w:t>
            </w:r>
            <w:r>
              <w:rPr>
                <w:rFonts w:hint="eastAsia" w:ascii="宋体" w:hAnsi="宋体" w:eastAsia="宋体" w:cs="宋体"/>
                <w:color w:val="auto"/>
                <w:sz w:val="24"/>
                <w:highlight w:val="none"/>
                <w:lang w:val="en-US" w:eastAsia="zh-CN"/>
              </w:rPr>
              <w:t>需要协调好小区居民的日常生活，投标人根据项目情况提出合理的实施措施：实施措施</w:t>
            </w:r>
            <w:r>
              <w:rPr>
                <w:rFonts w:hint="eastAsia" w:ascii="宋体" w:hAnsi="宋体" w:eastAsia="宋体" w:cs="宋体"/>
                <w:b/>
                <w:bCs/>
                <w:color w:val="auto"/>
                <w:sz w:val="24"/>
                <w:highlight w:val="none"/>
                <w:lang w:val="en-US" w:eastAsia="zh-CN"/>
              </w:rPr>
              <w:t>科学、</w:t>
            </w:r>
            <w:r>
              <w:rPr>
                <w:rFonts w:hint="eastAsia" w:ascii="宋体" w:hAnsi="宋体" w:eastAsia="宋体" w:cs="宋体"/>
                <w:b/>
                <w:bCs/>
                <w:color w:val="auto"/>
                <w:sz w:val="24"/>
                <w:highlight w:val="none"/>
              </w:rPr>
              <w:t>有完整的责任机制和</w:t>
            </w:r>
            <w:r>
              <w:rPr>
                <w:rFonts w:hint="eastAsia" w:ascii="宋体" w:hAnsi="宋体" w:eastAsia="宋体" w:cs="宋体"/>
                <w:b/>
                <w:bCs/>
                <w:color w:val="auto"/>
                <w:sz w:val="24"/>
                <w:highlight w:val="none"/>
                <w:lang w:val="en-US" w:eastAsia="zh-CN"/>
              </w:rPr>
              <w:t>人员</w:t>
            </w:r>
            <w:r>
              <w:rPr>
                <w:rFonts w:hint="eastAsia" w:ascii="宋体" w:hAnsi="宋体" w:eastAsia="宋体" w:cs="宋体"/>
                <w:b/>
                <w:bCs/>
                <w:color w:val="auto"/>
                <w:sz w:val="24"/>
                <w:highlight w:val="none"/>
              </w:rPr>
              <w:t>分工</w:t>
            </w:r>
            <w:r>
              <w:rPr>
                <w:rFonts w:hint="eastAsia" w:ascii="宋体" w:hAnsi="宋体" w:eastAsia="宋体" w:cs="宋体"/>
                <w:b w:val="0"/>
                <w:bCs w:val="0"/>
                <w:color w:val="auto"/>
                <w:sz w:val="24"/>
                <w:highlight w:val="none"/>
                <w:lang w:val="en-US" w:eastAsia="zh-CN"/>
              </w:rPr>
              <w:t>的</w:t>
            </w:r>
            <w:r>
              <w:rPr>
                <w:rFonts w:hint="eastAsia" w:ascii="宋体" w:hAnsi="宋体" w:eastAsia="宋体" w:cs="宋体"/>
                <w:color w:val="auto"/>
                <w:sz w:val="24"/>
                <w:highlight w:val="none"/>
              </w:rPr>
              <w:t>每</w:t>
            </w:r>
            <w:r>
              <w:rPr>
                <w:rFonts w:hint="eastAsia" w:ascii="宋体" w:hAnsi="宋体" w:eastAsia="宋体" w:cs="宋体"/>
                <w:color w:val="auto"/>
                <w:kern w:val="0"/>
                <w:sz w:val="24"/>
                <w:highlight w:val="none"/>
              </w:rPr>
              <w:t>满足</w:t>
            </w:r>
            <w:r>
              <w:rPr>
                <w:rFonts w:hint="eastAsia" w:ascii="宋体" w:hAnsi="宋体" w:eastAsia="宋体" w:cs="宋体"/>
                <w:color w:val="auto"/>
                <w:sz w:val="24"/>
                <w:highlight w:val="none"/>
              </w:rPr>
              <w:t>一项加</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分</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共4分。</w:t>
            </w:r>
          </w:p>
        </w:tc>
        <w:tc>
          <w:tcPr>
            <w:tcW w:w="793" w:type="dxa"/>
          </w:tcPr>
          <w:p w14:paraId="588F56D9">
            <w:pPr>
              <w:snapToGrid w:val="0"/>
              <w:jc w:val="center"/>
              <w:outlineLvl w:val="0"/>
              <w:rPr>
                <w:rFonts w:hint="eastAsia" w:ascii="宋体" w:hAnsi="宋体" w:cs="宋体"/>
                <w:bCs/>
                <w:color w:val="auto"/>
                <w:sz w:val="24"/>
                <w:szCs w:val="24"/>
                <w:highlight w:val="none"/>
                <w:lang w:val="en-US" w:eastAsia="zh-CN"/>
              </w:rPr>
            </w:pPr>
          </w:p>
          <w:p w14:paraId="60CDE137">
            <w:pPr>
              <w:snapToGrid w:val="0"/>
              <w:jc w:val="center"/>
              <w:outlineLvl w:val="0"/>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4</w:t>
            </w:r>
          </w:p>
        </w:tc>
        <w:tc>
          <w:tcPr>
            <w:tcW w:w="2133" w:type="dxa"/>
          </w:tcPr>
          <w:p w14:paraId="0FD13500">
            <w:pPr>
              <w:snapToGrid w:val="0"/>
              <w:rPr>
                <w:rFonts w:ascii="宋体" w:hAnsi="宋体" w:cs="宋体"/>
                <w:color w:val="auto"/>
                <w:sz w:val="24"/>
                <w:szCs w:val="24"/>
                <w:highlight w:val="none"/>
              </w:rPr>
            </w:pPr>
          </w:p>
        </w:tc>
      </w:tr>
      <w:tr w14:paraId="7904A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2459D4E9">
            <w:pPr>
              <w:snapToGrid w:val="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18</w:t>
            </w:r>
          </w:p>
        </w:tc>
        <w:tc>
          <w:tcPr>
            <w:tcW w:w="5897" w:type="dxa"/>
            <w:vAlign w:val="center"/>
          </w:tcPr>
          <w:p w14:paraId="39A38C81">
            <w:pPr>
              <w:snapToGrid w:val="0"/>
              <w:rPr>
                <w:rFonts w:hint="eastAsia" w:ascii="宋体" w:hAnsi="宋体" w:eastAsia="宋体" w:cs="宋体"/>
                <w:color w:val="auto"/>
                <w:kern w:val="0"/>
                <w:sz w:val="24"/>
                <w:szCs w:val="24"/>
                <w:highlight w:val="none"/>
              </w:rPr>
            </w:pPr>
            <w:r>
              <w:rPr>
                <w:rFonts w:hint="eastAsia" w:ascii="宋体" w:hAnsi="宋体" w:eastAsia="宋体" w:cs="宋体"/>
                <w:color w:val="auto"/>
                <w:sz w:val="24"/>
                <w:highlight w:val="none"/>
                <w:lang w:val="en-US" w:eastAsia="zh-CN"/>
              </w:rPr>
              <w:t>本项目实施主要在生活小区内部</w:t>
            </w:r>
            <w:r>
              <w:rPr>
                <w:rFonts w:hint="eastAsia" w:ascii="宋体" w:hAnsi="宋体" w:eastAsia="宋体" w:cs="宋体"/>
                <w:color w:val="auto"/>
                <w:sz w:val="24"/>
                <w:highlight w:val="none"/>
              </w:rPr>
              <w:t>在</w:t>
            </w:r>
            <w:r>
              <w:rPr>
                <w:rFonts w:hint="eastAsia" w:ascii="宋体" w:hAnsi="宋体" w:eastAsia="宋体" w:cs="宋体"/>
                <w:color w:val="auto"/>
                <w:sz w:val="24"/>
                <w:highlight w:val="none"/>
                <w:lang w:val="en-US" w:eastAsia="zh-CN"/>
              </w:rPr>
              <w:t>施工</w:t>
            </w:r>
            <w:r>
              <w:rPr>
                <w:rFonts w:hint="eastAsia" w:ascii="宋体" w:hAnsi="宋体" w:eastAsia="宋体" w:cs="宋体"/>
                <w:color w:val="auto"/>
                <w:sz w:val="24"/>
                <w:highlight w:val="none"/>
              </w:rPr>
              <w:t>过程中如出现投诉需及时处理，投标人处理投诉的方案</w:t>
            </w:r>
            <w:r>
              <w:rPr>
                <w:rFonts w:hint="eastAsia" w:ascii="宋体" w:hAnsi="宋体" w:eastAsia="宋体" w:cs="宋体"/>
                <w:b/>
                <w:bCs/>
                <w:color w:val="auto"/>
                <w:sz w:val="24"/>
                <w:highlight w:val="none"/>
              </w:rPr>
              <w:t>合理、完整、有完整的责任机制和分工</w:t>
            </w:r>
            <w:r>
              <w:rPr>
                <w:rFonts w:hint="eastAsia" w:ascii="宋体" w:hAnsi="宋体" w:eastAsia="宋体" w:cs="宋体"/>
                <w:color w:val="auto"/>
                <w:sz w:val="24"/>
                <w:highlight w:val="none"/>
              </w:rPr>
              <w:t>的每</w:t>
            </w:r>
            <w:r>
              <w:rPr>
                <w:rFonts w:hint="eastAsia" w:ascii="宋体" w:hAnsi="宋体" w:eastAsia="宋体" w:cs="宋体"/>
                <w:color w:val="auto"/>
                <w:kern w:val="0"/>
                <w:sz w:val="24"/>
                <w:highlight w:val="none"/>
              </w:rPr>
              <w:t>满足</w:t>
            </w:r>
            <w:r>
              <w:rPr>
                <w:rFonts w:hint="eastAsia" w:ascii="宋体" w:hAnsi="宋体" w:eastAsia="宋体" w:cs="宋体"/>
                <w:color w:val="auto"/>
                <w:sz w:val="24"/>
                <w:highlight w:val="none"/>
              </w:rPr>
              <w:t>一项加1分，最高3分。</w:t>
            </w:r>
          </w:p>
        </w:tc>
        <w:tc>
          <w:tcPr>
            <w:tcW w:w="793" w:type="dxa"/>
          </w:tcPr>
          <w:p w14:paraId="1C6847E7">
            <w:pPr>
              <w:snapToGrid w:val="0"/>
              <w:jc w:val="center"/>
              <w:outlineLvl w:val="0"/>
              <w:rPr>
                <w:rFonts w:hint="eastAsia" w:ascii="宋体" w:hAnsi="宋体" w:cs="宋体"/>
                <w:bCs/>
                <w:color w:val="auto"/>
                <w:sz w:val="24"/>
                <w:szCs w:val="24"/>
                <w:highlight w:val="none"/>
                <w:lang w:val="en-US" w:eastAsia="zh-CN"/>
              </w:rPr>
            </w:pPr>
          </w:p>
          <w:p w14:paraId="27B45137">
            <w:pPr>
              <w:snapToGrid w:val="0"/>
              <w:jc w:val="center"/>
              <w:outlineLvl w:val="0"/>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c>
          <w:tcPr>
            <w:tcW w:w="2133" w:type="dxa"/>
          </w:tcPr>
          <w:p w14:paraId="70B7AF88">
            <w:pPr>
              <w:snapToGrid w:val="0"/>
              <w:rPr>
                <w:rFonts w:ascii="宋体" w:hAnsi="宋体" w:cs="宋体"/>
                <w:color w:val="auto"/>
                <w:sz w:val="24"/>
                <w:szCs w:val="24"/>
                <w:highlight w:val="none"/>
              </w:rPr>
            </w:pPr>
          </w:p>
        </w:tc>
      </w:tr>
      <w:tr w14:paraId="743A9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068BEEBE">
            <w:pPr>
              <w:snapToGrid w:val="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19</w:t>
            </w:r>
          </w:p>
        </w:tc>
        <w:tc>
          <w:tcPr>
            <w:tcW w:w="5897" w:type="dxa"/>
            <w:vAlign w:val="center"/>
          </w:tcPr>
          <w:p w14:paraId="19500B5E">
            <w:pPr>
              <w:snapToGrid w:val="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项目结算审核配合方案：投标人完成项目施工验收合格后，需要按采购人要求提交结算送审材料完成结算审核，</w:t>
            </w:r>
            <w:r>
              <w:rPr>
                <w:rFonts w:hint="eastAsia" w:ascii="宋体" w:hAnsi="宋体" w:eastAsia="宋体" w:cs="宋体"/>
                <w:b/>
                <w:bCs/>
                <w:color w:val="auto"/>
                <w:sz w:val="24"/>
                <w:highlight w:val="none"/>
                <w:lang w:val="en-US" w:eastAsia="zh-CN"/>
              </w:rPr>
              <w:t>投标人的送审材料准备时效响应及时、有完整的工作人员配置</w:t>
            </w:r>
            <w:r>
              <w:rPr>
                <w:rFonts w:hint="eastAsia" w:ascii="宋体" w:hAnsi="宋体" w:eastAsia="宋体" w:cs="宋体"/>
                <w:color w:val="auto"/>
                <w:sz w:val="24"/>
                <w:highlight w:val="none"/>
                <w:lang w:val="en-US" w:eastAsia="zh-CN"/>
              </w:rPr>
              <w:t>的每满足一项加1分，共2分。</w:t>
            </w:r>
          </w:p>
        </w:tc>
        <w:tc>
          <w:tcPr>
            <w:tcW w:w="793" w:type="dxa"/>
          </w:tcPr>
          <w:p w14:paraId="0E2ED656">
            <w:pPr>
              <w:snapToGrid w:val="0"/>
              <w:jc w:val="center"/>
              <w:outlineLvl w:val="0"/>
              <w:rPr>
                <w:rFonts w:hint="eastAsia" w:ascii="宋体" w:hAnsi="宋体" w:cs="宋体"/>
                <w:bCs/>
                <w:color w:val="auto"/>
                <w:sz w:val="24"/>
                <w:szCs w:val="24"/>
                <w:highlight w:val="none"/>
                <w:lang w:val="en-US" w:eastAsia="zh-CN"/>
              </w:rPr>
            </w:pPr>
          </w:p>
          <w:p w14:paraId="5BDFA7A8">
            <w:pPr>
              <w:snapToGrid w:val="0"/>
              <w:jc w:val="center"/>
              <w:outlineLvl w:val="0"/>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c>
          <w:tcPr>
            <w:tcW w:w="2133" w:type="dxa"/>
          </w:tcPr>
          <w:p w14:paraId="77A03B60">
            <w:pPr>
              <w:snapToGrid w:val="0"/>
              <w:rPr>
                <w:rFonts w:ascii="宋体" w:hAnsi="宋体" w:cs="宋体"/>
                <w:color w:val="auto"/>
                <w:sz w:val="24"/>
                <w:szCs w:val="24"/>
                <w:highlight w:val="none"/>
              </w:rPr>
            </w:pPr>
          </w:p>
        </w:tc>
      </w:tr>
      <w:tr w14:paraId="4586C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6CC572FA">
            <w:pPr>
              <w:snapToGrid w:val="0"/>
              <w:jc w:val="center"/>
              <w:outlineLvl w:val="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20</w:t>
            </w:r>
          </w:p>
        </w:tc>
        <w:tc>
          <w:tcPr>
            <w:tcW w:w="5897" w:type="dxa"/>
          </w:tcPr>
          <w:p w14:paraId="2ED748F0">
            <w:pPr>
              <w:snapToGrid w:val="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有效最后报价的最低价作为评审基准价，其最低报价为满分；按［最后报价得分=（评审基准价/最后报价）*</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0］的计算公式计算。</w:t>
            </w:r>
          </w:p>
          <w:p w14:paraId="1006A3FE">
            <w:pPr>
              <w:widowControl/>
              <w:shd w:val="clear" w:color="auto" w:fill="FFFFFF"/>
              <w:adjustRightInd/>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评审过程中，不得去掉报价中的最高报价和最低报价。</w:t>
            </w:r>
          </w:p>
          <w:p w14:paraId="01072457">
            <w:pPr>
              <w:widowControl/>
              <w:shd w:val="clear" w:color="auto" w:fill="FFFFFF"/>
              <w:adjustRightInd/>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因落实政府采购政策需要进行价格调整的，以调整后的价格计算评审基准价和最后报价。</w:t>
            </w:r>
          </w:p>
        </w:tc>
        <w:tc>
          <w:tcPr>
            <w:tcW w:w="793" w:type="dxa"/>
            <w:vAlign w:val="center"/>
          </w:tcPr>
          <w:p w14:paraId="16F8A505">
            <w:pPr>
              <w:snapToGrid w:val="0"/>
              <w:jc w:val="center"/>
              <w:outlineLvl w:val="0"/>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20</w:t>
            </w:r>
          </w:p>
        </w:tc>
        <w:tc>
          <w:tcPr>
            <w:tcW w:w="2133" w:type="dxa"/>
            <w:vAlign w:val="center"/>
          </w:tcPr>
          <w:p w14:paraId="013A4997">
            <w:pPr>
              <w:snapToGrid w:val="0"/>
              <w:jc w:val="center"/>
              <w:outlineLvl w:val="0"/>
              <w:rPr>
                <w:rFonts w:ascii="宋体" w:hAnsi="宋体" w:cs="宋体"/>
                <w:color w:val="auto"/>
                <w:sz w:val="24"/>
                <w:szCs w:val="24"/>
                <w:highlight w:val="none"/>
              </w:rPr>
            </w:pPr>
            <w:r>
              <w:rPr>
                <w:rFonts w:hint="eastAsia" w:ascii="宋体" w:hAnsi="宋体" w:cs="宋体"/>
                <w:color w:val="auto"/>
                <w:sz w:val="24"/>
                <w:szCs w:val="24"/>
                <w:highlight w:val="none"/>
              </w:rPr>
              <w:t>/</w:t>
            </w:r>
          </w:p>
        </w:tc>
      </w:tr>
      <w:tr w14:paraId="17469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105A524E">
            <w:pPr>
              <w:snapToGrid w:val="0"/>
              <w:ind w:firstLine="240" w:firstLineChars="100"/>
              <w:jc w:val="center"/>
              <w:outlineLvl w:val="0"/>
              <w:rPr>
                <w:rFonts w:ascii="宋体" w:hAnsi="宋体" w:cs="宋体"/>
                <w:color w:val="auto"/>
                <w:sz w:val="24"/>
                <w:szCs w:val="24"/>
                <w:highlight w:val="none"/>
              </w:rPr>
            </w:pPr>
          </w:p>
        </w:tc>
        <w:tc>
          <w:tcPr>
            <w:tcW w:w="5897" w:type="dxa"/>
          </w:tcPr>
          <w:p w14:paraId="5A7FEE08">
            <w:pPr>
              <w:widowControl/>
              <w:shd w:val="clear" w:color="auto" w:fill="FFFFFF"/>
              <w:adjustRightInd/>
              <w:snapToGrid w:val="0"/>
              <w:ind w:firstLine="420"/>
              <w:jc w:val="left"/>
              <w:rPr>
                <w:rFonts w:ascii="宋体" w:hAnsi="宋体" w:cs="宋体"/>
                <w:color w:val="auto"/>
                <w:sz w:val="24"/>
                <w:szCs w:val="24"/>
                <w:highlight w:val="none"/>
              </w:rPr>
            </w:pPr>
            <w:r>
              <w:rPr>
                <w:rFonts w:hint="eastAsia" w:ascii="宋体" w:hAnsi="宋体" w:cs="宋体"/>
                <w:color w:val="auto"/>
                <w:sz w:val="24"/>
                <w:szCs w:val="24"/>
                <w:highlight w:val="none"/>
              </w:rPr>
              <w:t>注意：不得以特定金额的业绩作为评审因素</w:t>
            </w:r>
          </w:p>
        </w:tc>
        <w:tc>
          <w:tcPr>
            <w:tcW w:w="793" w:type="dxa"/>
            <w:vAlign w:val="center"/>
          </w:tcPr>
          <w:p w14:paraId="251255A9">
            <w:pPr>
              <w:snapToGrid w:val="0"/>
              <w:ind w:firstLine="120" w:firstLineChars="50"/>
              <w:outlineLvl w:val="0"/>
              <w:rPr>
                <w:rFonts w:ascii="宋体" w:hAnsi="宋体" w:cs="宋体"/>
                <w:color w:val="auto"/>
                <w:sz w:val="24"/>
                <w:szCs w:val="24"/>
                <w:highlight w:val="none"/>
              </w:rPr>
            </w:pPr>
          </w:p>
        </w:tc>
        <w:tc>
          <w:tcPr>
            <w:tcW w:w="2133" w:type="dxa"/>
            <w:vAlign w:val="center"/>
          </w:tcPr>
          <w:p w14:paraId="0D1BAB81">
            <w:pPr>
              <w:snapToGrid w:val="0"/>
              <w:jc w:val="center"/>
              <w:outlineLvl w:val="0"/>
              <w:rPr>
                <w:rFonts w:ascii="宋体" w:hAnsi="宋体" w:cs="宋体"/>
                <w:color w:val="auto"/>
                <w:sz w:val="24"/>
                <w:szCs w:val="24"/>
                <w:highlight w:val="none"/>
              </w:rPr>
            </w:pPr>
          </w:p>
        </w:tc>
      </w:tr>
    </w:tbl>
    <w:p w14:paraId="6E63D477">
      <w:pPr>
        <w:snapToGrid w:val="0"/>
        <w:spacing w:line="360" w:lineRule="auto"/>
        <w:rPr>
          <w:rFonts w:ascii="宋体" w:hAnsi="宋体" w:cs="宋体"/>
          <w:b/>
          <w:color w:val="auto"/>
          <w:sz w:val="24"/>
          <w:highlight w:val="none"/>
        </w:rPr>
      </w:pPr>
      <w:r>
        <w:rPr>
          <w:rFonts w:hint="eastAsia" w:ascii="宋体" w:hAnsi="宋体" w:cs="宋体"/>
          <w:color w:val="auto"/>
          <w:sz w:val="20"/>
          <w:szCs w:val="20"/>
          <w:highlight w:val="none"/>
          <w:shd w:val="clear" w:color="auto" w:fill="FFFFFF"/>
        </w:rPr>
        <w:t> *</w:t>
      </w:r>
      <w:r>
        <w:rPr>
          <w:rFonts w:hint="eastAsia" w:ascii="宋体" w:hAnsi="宋体" w:cs="宋体"/>
          <w:b/>
          <w:color w:val="auto"/>
          <w:sz w:val="24"/>
          <w:highlight w:val="none"/>
        </w:rPr>
        <w:t>备注：</w:t>
      </w:r>
      <w:r>
        <w:rPr>
          <w:rFonts w:hint="eastAsia" w:ascii="宋体" w:hAnsi="宋体" w:cs="宋体"/>
          <w:color w:val="auto"/>
          <w:sz w:val="24"/>
          <w:highlight w:val="none"/>
        </w:rPr>
        <w:t>供应商编制响应文件（商务技术文件部分）时，建议按此目录（序号和内容）提供评审标准相应的商务技术资料。 </w:t>
      </w:r>
    </w:p>
    <w:p w14:paraId="0114B356">
      <w:pPr>
        <w:jc w:val="left"/>
        <w:rPr>
          <w:rFonts w:ascii="宋体" w:hAnsi="宋体" w:cs="宋体"/>
          <w:b/>
          <w:color w:val="auto"/>
          <w:sz w:val="32"/>
          <w:highlight w:val="none"/>
        </w:rPr>
      </w:pPr>
      <w:r>
        <w:rPr>
          <w:rFonts w:hint="eastAsia" w:ascii="宋体" w:hAnsi="宋体" w:cs="宋体"/>
          <w:b/>
          <w:color w:val="auto"/>
          <w:sz w:val="32"/>
          <w:highlight w:val="none"/>
        </w:rPr>
        <w:br w:type="page"/>
      </w:r>
    </w:p>
    <w:p w14:paraId="4CC08844">
      <w:pPr>
        <w:snapToGrid w:val="0"/>
        <w:spacing w:line="360" w:lineRule="auto"/>
        <w:jc w:val="center"/>
        <w:rPr>
          <w:rFonts w:ascii="宋体" w:hAnsi="宋体" w:cs="宋体"/>
          <w:b/>
          <w:color w:val="auto"/>
          <w:sz w:val="28"/>
          <w:szCs w:val="28"/>
          <w:highlight w:val="none"/>
        </w:rPr>
      </w:pPr>
      <w:r>
        <w:rPr>
          <w:rFonts w:hint="eastAsia" w:ascii="宋体" w:hAnsi="宋体" w:cs="宋体"/>
          <w:b/>
          <w:color w:val="auto"/>
          <w:sz w:val="32"/>
          <w:highlight w:val="none"/>
        </w:rPr>
        <w:t>一、评审方法</w:t>
      </w:r>
    </w:p>
    <w:p w14:paraId="26881B45">
      <w:pPr>
        <w:adjustRightInd/>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1.本项目采用综合评分法。</w:t>
      </w:r>
      <w:r>
        <w:rPr>
          <w:rFonts w:hint="eastAsia" w:ascii="宋体" w:hAnsi="宋体" w:cs="宋体"/>
          <w:color w:val="auto"/>
          <w:kern w:val="0"/>
          <w:sz w:val="24"/>
          <w:highlight w:val="none"/>
        </w:rPr>
        <w:t>综合评分法，是指响应文件满足磋商文件全部实质性要求且按评审因素的量化指标评审得分最高的供应商为成交候选供应商的评审方法。</w:t>
      </w:r>
    </w:p>
    <w:p w14:paraId="6E9BBA69">
      <w:pPr>
        <w:snapToGrid w:val="0"/>
        <w:spacing w:line="360" w:lineRule="auto"/>
        <w:jc w:val="center"/>
        <w:rPr>
          <w:rFonts w:ascii="宋体" w:hAnsi="宋体" w:cs="宋体"/>
          <w:b/>
          <w:color w:val="auto"/>
          <w:sz w:val="32"/>
          <w:highlight w:val="none"/>
        </w:rPr>
      </w:pPr>
      <w:r>
        <w:rPr>
          <w:rFonts w:hint="eastAsia" w:ascii="宋体" w:hAnsi="宋体" w:cs="宋体"/>
          <w:b/>
          <w:color w:val="auto"/>
          <w:sz w:val="32"/>
          <w:highlight w:val="none"/>
        </w:rPr>
        <w:t>二、评审标准</w:t>
      </w:r>
    </w:p>
    <w:p w14:paraId="648FED09">
      <w:pPr>
        <w:spacing w:line="360" w:lineRule="auto"/>
        <w:ind w:firstLine="472" w:firstLineChars="196"/>
        <w:rPr>
          <w:rFonts w:ascii="宋体" w:hAnsi="宋体" w:cs="宋体"/>
          <w:b/>
          <w:color w:val="auto"/>
          <w:sz w:val="24"/>
          <w:highlight w:val="none"/>
        </w:rPr>
      </w:pPr>
      <w:r>
        <w:rPr>
          <w:rFonts w:hint="eastAsia" w:ascii="宋体" w:hAnsi="宋体" w:cs="宋体"/>
          <w:b/>
          <w:color w:val="auto"/>
          <w:sz w:val="24"/>
          <w:highlight w:val="none"/>
        </w:rPr>
        <w:t>2.</w:t>
      </w:r>
      <w:r>
        <w:rPr>
          <w:rFonts w:hint="eastAsia" w:ascii="宋体" w:hAnsi="宋体" w:cs="宋体"/>
          <w:color w:val="auto"/>
          <w:highlight w:val="none"/>
        </w:rPr>
        <w:t xml:space="preserve"> </w:t>
      </w:r>
      <w:r>
        <w:rPr>
          <w:rFonts w:hint="eastAsia" w:ascii="宋体" w:hAnsi="宋体" w:cs="宋体"/>
          <w:b/>
          <w:color w:val="auto"/>
          <w:sz w:val="24"/>
          <w:highlight w:val="none"/>
        </w:rPr>
        <w:t>评审标准：</w:t>
      </w:r>
      <w:r>
        <w:rPr>
          <w:rFonts w:hint="eastAsia" w:ascii="宋体" w:hAnsi="宋体" w:cs="宋体"/>
          <w:color w:val="auto"/>
          <w:kern w:val="0"/>
          <w:sz w:val="24"/>
          <w:highlight w:val="none"/>
        </w:rPr>
        <w:t>见评审办法前附表。</w:t>
      </w:r>
    </w:p>
    <w:p w14:paraId="1DCFACAE">
      <w:pPr>
        <w:snapToGrid w:val="0"/>
        <w:spacing w:line="360" w:lineRule="auto"/>
        <w:jc w:val="center"/>
        <w:rPr>
          <w:rFonts w:ascii="宋体" w:hAnsi="宋体" w:cs="宋体"/>
          <w:b/>
          <w:color w:val="auto"/>
          <w:sz w:val="32"/>
          <w:highlight w:val="none"/>
        </w:rPr>
      </w:pPr>
      <w:r>
        <w:rPr>
          <w:rFonts w:hint="eastAsia" w:ascii="宋体" w:hAnsi="宋体" w:cs="宋体"/>
          <w:b/>
          <w:color w:val="auto"/>
          <w:sz w:val="32"/>
          <w:highlight w:val="none"/>
        </w:rPr>
        <w:t>三、评审程序</w:t>
      </w:r>
    </w:p>
    <w:p w14:paraId="24A7757A">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3.1符合性审查。</w:t>
      </w:r>
      <w:r>
        <w:rPr>
          <w:rFonts w:hint="eastAsia" w:ascii="宋体" w:hAnsi="宋体" w:cs="宋体"/>
          <w:color w:val="auto"/>
          <w:kern w:val="0"/>
          <w:sz w:val="24"/>
          <w:highlight w:val="none"/>
        </w:rPr>
        <w:t>磋商小组应当对符合资格的供应商的响应文件进行符合性审查，以确定其是否满足采购文件的实质性要求。不满足采购文件的实质性要求的，响应文件无效。</w:t>
      </w:r>
    </w:p>
    <w:p w14:paraId="572A94AE">
      <w:pPr>
        <w:spacing w:line="360" w:lineRule="auto"/>
        <w:ind w:firstLine="472" w:firstLineChars="196"/>
        <w:rPr>
          <w:rFonts w:ascii="宋体" w:hAnsi="宋体" w:cs="宋体"/>
          <w:color w:val="auto"/>
          <w:sz w:val="24"/>
          <w:highlight w:val="none"/>
        </w:rPr>
      </w:pPr>
      <w:r>
        <w:rPr>
          <w:rFonts w:hint="eastAsia" w:ascii="宋体" w:hAnsi="宋体" w:cs="宋体"/>
          <w:b/>
          <w:color w:val="auto"/>
          <w:kern w:val="0"/>
          <w:sz w:val="24"/>
          <w:highlight w:val="none"/>
        </w:rPr>
        <w:t>3.2 磋商。</w:t>
      </w:r>
      <w:r>
        <w:rPr>
          <w:rFonts w:hint="eastAsia" w:ascii="宋体" w:hAnsi="宋体" w:cs="宋体"/>
          <w:color w:val="auto"/>
          <w:sz w:val="24"/>
          <w:highlight w:val="none"/>
        </w:rPr>
        <w:t>磋商小组将对确定为实质性响应本采购文件的响应文件进行详细评价和比较，主要就资信、服务方案内容、服务承诺等磋商小组认为与本次采购有关的因素与</w:t>
      </w:r>
      <w:r>
        <w:rPr>
          <w:rFonts w:hint="eastAsia" w:ascii="宋体" w:hAnsi="宋体" w:cs="宋体"/>
          <w:color w:val="auto"/>
          <w:kern w:val="0"/>
          <w:sz w:val="24"/>
          <w:highlight w:val="none"/>
        </w:rPr>
        <w:t>符合性审查合格的</w:t>
      </w:r>
      <w:r>
        <w:rPr>
          <w:rFonts w:hint="eastAsia" w:ascii="宋体" w:hAnsi="宋体" w:cs="宋体"/>
          <w:color w:val="auto"/>
          <w:sz w:val="24"/>
          <w:highlight w:val="none"/>
        </w:rPr>
        <w:t>供应商逐一进行磋商。</w:t>
      </w:r>
    </w:p>
    <w:p w14:paraId="638ED7CD">
      <w:pPr>
        <w:spacing w:line="360" w:lineRule="auto"/>
        <w:ind w:firstLine="470" w:firstLineChars="196"/>
        <w:rPr>
          <w:rFonts w:ascii="宋体" w:hAnsi="宋体" w:cs="宋体"/>
          <w:b/>
          <w:color w:val="auto"/>
          <w:sz w:val="24"/>
          <w:highlight w:val="none"/>
        </w:rPr>
      </w:pPr>
      <w:r>
        <w:rPr>
          <w:rFonts w:hint="eastAsia" w:ascii="宋体" w:hAnsi="宋体" w:cs="宋体"/>
          <w:bCs/>
          <w:color w:val="auto"/>
          <w:sz w:val="24"/>
          <w:highlight w:val="none"/>
        </w:rPr>
        <w:t xml:space="preserve">3.2.1 </w:t>
      </w:r>
      <w:r>
        <w:rPr>
          <w:rFonts w:hint="eastAsia" w:ascii="宋体" w:hAnsi="宋体" w:cs="宋体"/>
          <w:color w:val="auto"/>
          <w:sz w:val="24"/>
          <w:highlight w:val="none"/>
        </w:rPr>
        <w:t>供应商逐家回答磋商小组的提问；</w:t>
      </w:r>
      <w:r>
        <w:rPr>
          <w:rFonts w:hint="eastAsia" w:ascii="宋体" w:hAnsi="宋体" w:cs="宋体"/>
          <w:b/>
          <w:color w:val="auto"/>
          <w:sz w:val="24"/>
          <w:highlight w:val="none"/>
        </w:rPr>
        <w:t>逐家磋商一次为一个轮次，磋商轮次根据实际情况进行。</w:t>
      </w:r>
    </w:p>
    <w:p w14:paraId="76170470">
      <w:pPr>
        <w:spacing w:line="360" w:lineRule="auto"/>
        <w:ind w:firstLine="470" w:firstLineChars="196"/>
        <w:rPr>
          <w:rFonts w:ascii="宋体" w:hAnsi="宋体" w:cs="宋体"/>
          <w:color w:val="auto"/>
          <w:sz w:val="24"/>
          <w:highlight w:val="none"/>
        </w:rPr>
      </w:pPr>
      <w:r>
        <w:rPr>
          <w:rFonts w:hint="eastAsia" w:ascii="宋体" w:hAnsi="宋体" w:cs="宋体"/>
          <w:bCs/>
          <w:color w:val="auto"/>
          <w:sz w:val="24"/>
          <w:highlight w:val="none"/>
        </w:rPr>
        <w:t xml:space="preserve">3.2.2 </w:t>
      </w:r>
      <w:r>
        <w:rPr>
          <w:rFonts w:hint="eastAsia" w:ascii="宋体" w:hAnsi="宋体" w:cs="宋体"/>
          <w:color w:val="auto"/>
          <w:sz w:val="24"/>
          <w:highlight w:val="none"/>
        </w:rPr>
        <w:t>供应商应按磋商小组通知的时间在线或以邮件回复做出承诺或回复，承诺或回复的内容须由供应商法定代表人或授权代表签署，并作为响应文件的补充部分。</w:t>
      </w:r>
    </w:p>
    <w:p w14:paraId="267CF660">
      <w:pPr>
        <w:spacing w:line="360" w:lineRule="auto"/>
        <w:ind w:firstLine="470" w:firstLineChars="196"/>
        <w:rPr>
          <w:rFonts w:ascii="宋体" w:hAnsi="宋体" w:cs="宋体"/>
          <w:bCs/>
          <w:color w:val="auto"/>
          <w:kern w:val="0"/>
          <w:sz w:val="24"/>
          <w:highlight w:val="none"/>
        </w:rPr>
      </w:pPr>
      <w:r>
        <w:rPr>
          <w:rFonts w:hint="eastAsia" w:ascii="宋体" w:hAnsi="宋体" w:cs="宋体"/>
          <w:color w:val="auto"/>
          <w:sz w:val="24"/>
          <w:highlight w:val="none"/>
        </w:rPr>
        <w:t xml:space="preserve">3.2.3 </w:t>
      </w:r>
      <w:r>
        <w:rPr>
          <w:rFonts w:hint="eastAsia" w:ascii="宋体" w:hAnsi="宋体" w:cs="宋体"/>
          <w:b/>
          <w:bCs/>
          <w:color w:val="auto"/>
          <w:sz w:val="24"/>
          <w:highlight w:val="none"/>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color w:val="auto"/>
          <w:sz w:val="24"/>
          <w:highlight w:val="none"/>
        </w:rPr>
        <w:t>实质性变动的内容，须经采购人代表确认。磋商文件有实质性变动的，磋商小组将以书面形式通知所有</w:t>
      </w:r>
      <w:r>
        <w:rPr>
          <w:rFonts w:hint="eastAsia" w:ascii="宋体" w:hAnsi="宋体" w:cs="宋体"/>
          <w:color w:val="auto"/>
          <w:kern w:val="0"/>
          <w:sz w:val="24"/>
          <w:highlight w:val="none"/>
        </w:rPr>
        <w:t>符合性审查合格的</w:t>
      </w:r>
      <w:r>
        <w:rPr>
          <w:rFonts w:hint="eastAsia" w:ascii="宋体" w:hAnsi="宋体" w:cs="宋体"/>
          <w:color w:val="auto"/>
          <w:sz w:val="24"/>
          <w:highlight w:val="none"/>
        </w:rPr>
        <w:t xml:space="preserve">供应商。 </w:t>
      </w:r>
    </w:p>
    <w:p w14:paraId="7C794F92">
      <w:pPr>
        <w:spacing w:line="360" w:lineRule="auto"/>
        <w:ind w:firstLine="472" w:firstLineChars="196"/>
        <w:rPr>
          <w:rFonts w:ascii="宋体" w:hAnsi="宋体" w:cs="宋体"/>
          <w:b/>
          <w:bCs/>
          <w:color w:val="auto"/>
          <w:kern w:val="0"/>
          <w:sz w:val="24"/>
          <w:highlight w:val="none"/>
        </w:rPr>
      </w:pPr>
      <w:r>
        <w:rPr>
          <w:rFonts w:hint="eastAsia" w:ascii="宋体" w:hAnsi="宋体" w:cs="宋体"/>
          <w:b/>
          <w:bCs/>
          <w:color w:val="auto"/>
          <w:kern w:val="0"/>
          <w:sz w:val="24"/>
          <w:highlight w:val="none"/>
        </w:rPr>
        <w:t>3.3最后报价</w:t>
      </w:r>
    </w:p>
    <w:p w14:paraId="416C918F">
      <w:pPr>
        <w:spacing w:line="360" w:lineRule="auto"/>
        <w:ind w:firstLine="470" w:firstLineChars="196"/>
        <w:rPr>
          <w:rFonts w:ascii="宋体" w:hAnsi="宋体" w:cs="宋体"/>
          <w:color w:val="auto"/>
          <w:kern w:val="0"/>
          <w:sz w:val="24"/>
          <w:highlight w:val="none"/>
        </w:rPr>
      </w:pPr>
      <w:r>
        <w:rPr>
          <w:rFonts w:hint="eastAsia" w:ascii="宋体" w:hAnsi="宋体" w:cs="宋体"/>
          <w:color w:val="auto"/>
          <w:kern w:val="0"/>
          <w:sz w:val="24"/>
          <w:highlight w:val="none"/>
        </w:rPr>
        <w:t>3.3.1 磋商文件能够详细列明采购标的的技术、服务要求的，磋商结束后，磋商小组应当要求所有符合性审查合格的供应商在规定时间内提交最后报价，提交最后报价的供应商不得少于3家。</w:t>
      </w:r>
    </w:p>
    <w:p w14:paraId="0A72D451">
      <w:pPr>
        <w:spacing w:line="360" w:lineRule="auto"/>
        <w:ind w:firstLine="470" w:firstLineChars="196"/>
        <w:rPr>
          <w:rFonts w:ascii="宋体" w:hAnsi="宋体" w:cs="宋体"/>
          <w:color w:val="auto"/>
          <w:kern w:val="0"/>
          <w:sz w:val="24"/>
          <w:highlight w:val="none"/>
        </w:rPr>
      </w:pPr>
      <w:r>
        <w:rPr>
          <w:rFonts w:hint="eastAsia" w:ascii="宋体" w:hAnsi="宋体" w:cs="宋体"/>
          <w:color w:val="auto"/>
          <w:kern w:val="0"/>
          <w:sz w:val="24"/>
          <w:highlight w:val="none"/>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2318C643">
      <w:pPr>
        <w:spacing w:line="360" w:lineRule="auto"/>
        <w:ind w:firstLine="470" w:firstLineChars="196"/>
        <w:rPr>
          <w:rFonts w:ascii="宋体" w:hAnsi="宋体" w:cs="宋体"/>
          <w:color w:val="auto"/>
          <w:kern w:val="0"/>
          <w:sz w:val="24"/>
          <w:highlight w:val="none"/>
        </w:rPr>
      </w:pPr>
      <w:r>
        <w:rPr>
          <w:rFonts w:hint="eastAsia" w:ascii="宋体" w:hAnsi="宋体" w:cs="宋体"/>
          <w:color w:val="auto"/>
          <w:kern w:val="0"/>
          <w:sz w:val="24"/>
          <w:highlight w:val="none"/>
        </w:rPr>
        <w:t>3.3.3 已提交响应文件的供应商，在提交最后报价之前，可以根据磋商情况退出磋商</w:t>
      </w:r>
    </w:p>
    <w:p w14:paraId="6CD12EE5">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3.4 综合评分。</w:t>
      </w:r>
      <w:r>
        <w:rPr>
          <w:rFonts w:hint="eastAsia" w:ascii="宋体" w:hAnsi="宋体" w:cs="宋体"/>
          <w:bCs/>
          <w:color w:val="auto"/>
          <w:kern w:val="0"/>
          <w:sz w:val="24"/>
          <w:highlight w:val="none"/>
        </w:rPr>
        <w:t>经磋商确定最终采购需求和提交最后报价的供应商后，</w:t>
      </w:r>
      <w:r>
        <w:rPr>
          <w:rFonts w:hint="eastAsia" w:ascii="宋体" w:hAnsi="宋体" w:cs="宋体"/>
          <w:color w:val="auto"/>
          <w:kern w:val="0"/>
          <w:sz w:val="24"/>
          <w:highlight w:val="none"/>
        </w:rPr>
        <w:t>磋商小组应当按照采购文件中规定的评审标准，对符合性审查合格的响应文件进行综合评分。磋商文件中没有规定的评审标准不得作为评审依据。</w:t>
      </w:r>
    </w:p>
    <w:p w14:paraId="221B69F0">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3.5汇总商务技术得分。</w:t>
      </w:r>
      <w:r>
        <w:rPr>
          <w:rFonts w:hint="eastAsia" w:ascii="宋体" w:hAnsi="宋体" w:cs="宋体"/>
          <w:color w:val="auto"/>
          <w:kern w:val="0"/>
          <w:sz w:val="24"/>
          <w:highlight w:val="none"/>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宋体" w:hAnsi="宋体" w:cs="宋体"/>
          <w:color w:val="auto"/>
          <w:kern w:val="0"/>
          <w:sz w:val="24"/>
          <w:highlight w:val="none"/>
        </w:rPr>
        <w:t>30%以上的，由</w:t>
      </w:r>
      <w:r>
        <w:rPr>
          <w:rFonts w:hint="eastAsia" w:ascii="宋体" w:hAnsi="宋体" w:cs="宋体"/>
          <w:color w:val="auto"/>
          <w:kern w:val="0"/>
          <w:sz w:val="24"/>
          <w:highlight w:val="none"/>
        </w:rPr>
        <w:t>磋商小组</w:t>
      </w:r>
      <w:r>
        <w:rPr>
          <w:rFonts w:ascii="宋体" w:hAnsi="宋体" w:cs="宋体"/>
          <w:color w:val="auto"/>
          <w:kern w:val="0"/>
          <w:sz w:val="24"/>
          <w:highlight w:val="none"/>
        </w:rPr>
        <w:t>启动评分畸高、畸低行为认定程序</w:t>
      </w:r>
      <w:r>
        <w:rPr>
          <w:rFonts w:hint="eastAsia" w:ascii="宋体" w:hAnsi="宋体" w:cs="宋体"/>
          <w:color w:val="auto"/>
          <w:kern w:val="0"/>
          <w:sz w:val="24"/>
          <w:highlight w:val="none"/>
        </w:rPr>
        <w:t>，磋商小组组长应提醒相关评审人员进行复核或书面说明理由，评审人员拒绝说明的，由现场监督员据实记录；评审人员的评审、修改记录应保留原件，随项目其他资料一并存档。</w:t>
      </w:r>
    </w:p>
    <w:p w14:paraId="3CA5AE59">
      <w:pPr>
        <w:spacing w:line="360" w:lineRule="auto"/>
        <w:ind w:firstLine="472" w:firstLineChars="196"/>
        <w:rPr>
          <w:rFonts w:ascii="宋体" w:hAnsi="宋体" w:cs="宋体"/>
          <w:b/>
          <w:color w:val="auto"/>
          <w:kern w:val="0"/>
          <w:sz w:val="24"/>
          <w:highlight w:val="none"/>
        </w:rPr>
      </w:pPr>
      <w:r>
        <w:rPr>
          <w:rFonts w:hint="eastAsia" w:ascii="宋体" w:hAnsi="宋体" w:cs="宋体"/>
          <w:b/>
          <w:color w:val="auto"/>
          <w:kern w:val="0"/>
          <w:sz w:val="24"/>
          <w:highlight w:val="none"/>
        </w:rPr>
        <w:t>3.6报价评审。</w:t>
      </w:r>
    </w:p>
    <w:p w14:paraId="504A8CBE">
      <w:pPr>
        <w:pStyle w:val="132"/>
        <w:spacing w:before="0"/>
        <w:ind w:firstLine="508" w:firstLineChars="212"/>
        <w:rPr>
          <w:rFonts w:ascii="宋体" w:hAnsi="宋体" w:cs="宋体"/>
          <w:color w:val="auto"/>
          <w:kern w:val="0"/>
          <w:highlight w:val="none"/>
        </w:rPr>
      </w:pPr>
      <w:r>
        <w:rPr>
          <w:rFonts w:hint="eastAsia" w:ascii="宋体" w:hAnsi="宋体" w:cs="宋体"/>
          <w:color w:val="auto"/>
          <w:kern w:val="0"/>
          <w:highlight w:val="none"/>
        </w:rPr>
        <w:t>3.6.1响应文件报价出现前后不一致的，按照下列规定修正：</w:t>
      </w:r>
    </w:p>
    <w:p w14:paraId="25495950">
      <w:pPr>
        <w:pStyle w:val="132"/>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3.6.1.1响应文件中已标价工程量清单内容与响应文件中相应内容不一致的，以已标价工程量清单为准;</w:t>
      </w:r>
    </w:p>
    <w:p w14:paraId="1D6D0208">
      <w:pPr>
        <w:pStyle w:val="132"/>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3.6.1.2大写金额和小写金额不一致的，以大写金额为准;</w:t>
      </w:r>
    </w:p>
    <w:p w14:paraId="4A3C3E58">
      <w:pPr>
        <w:pStyle w:val="132"/>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3.6.1.3单价金额小数点或者百分比有明显错位的，以已标价工程量清单的总价为准，并修改单价;</w:t>
      </w:r>
    </w:p>
    <w:p w14:paraId="5A264C37">
      <w:pPr>
        <w:pStyle w:val="132"/>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3.6.1.4总价金额与按单价汇总金额不一致的，以单价金额计算结果为准。</w:t>
      </w:r>
    </w:p>
    <w:p w14:paraId="69C7DEC3">
      <w:pPr>
        <w:pStyle w:val="132"/>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3.6.1.5同时出现两种以上不一致的，按照3.6.1规定的顺序修正。修正后的报价经供应商确认后产生约束力。</w:t>
      </w:r>
    </w:p>
    <w:p w14:paraId="26D94706">
      <w:pPr>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3.6.2响应文件出现不是唯一的、有选择性最后报价的，响应文件无效。</w:t>
      </w:r>
    </w:p>
    <w:p w14:paraId="02172801">
      <w:pPr>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3.6.3最后报价超过采购文件中规定的预算金额或者最高限价的，响应文件无效。</w:t>
      </w:r>
    </w:p>
    <w:p w14:paraId="2C78A2E0">
      <w:pPr>
        <w:pStyle w:val="132"/>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502918DB">
      <w:pPr>
        <w:spacing w:line="360" w:lineRule="auto"/>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3.7排序与推荐。</w:t>
      </w:r>
      <w:r>
        <w:rPr>
          <w:rFonts w:hint="eastAsia" w:ascii="宋体" w:hAnsi="宋体" w:cs="宋体"/>
          <w:color w:val="auto"/>
          <w:kern w:val="0"/>
          <w:sz w:val="24"/>
          <w:highlight w:val="none"/>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p>
    <w:p w14:paraId="14B71CA2">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3.8编写评审报告。</w:t>
      </w:r>
      <w:r>
        <w:rPr>
          <w:rFonts w:hint="eastAsia" w:ascii="宋体" w:hAnsi="宋体" w:cs="宋体"/>
          <w:color w:val="auto"/>
          <w:kern w:val="0"/>
          <w:sz w:val="24"/>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71EBD7ED">
      <w:pPr>
        <w:snapToGrid w:val="0"/>
        <w:spacing w:line="360" w:lineRule="auto"/>
        <w:jc w:val="center"/>
        <w:rPr>
          <w:rFonts w:ascii="宋体" w:hAnsi="宋体" w:cs="宋体"/>
          <w:b/>
          <w:color w:val="auto"/>
          <w:sz w:val="32"/>
          <w:highlight w:val="none"/>
        </w:rPr>
      </w:pPr>
      <w:r>
        <w:rPr>
          <w:rFonts w:hint="eastAsia" w:ascii="宋体" w:hAnsi="宋体" w:cs="宋体"/>
          <w:b/>
          <w:color w:val="auto"/>
          <w:sz w:val="32"/>
          <w:highlight w:val="none"/>
        </w:rPr>
        <w:t>四、评审中的其他事项</w:t>
      </w:r>
    </w:p>
    <w:p w14:paraId="6CF3A5E6">
      <w:pPr>
        <w:pStyle w:val="132"/>
        <w:spacing w:before="0"/>
        <w:ind w:firstLine="472" w:firstLineChars="196"/>
        <w:rPr>
          <w:rFonts w:ascii="宋体" w:hAnsi="宋体" w:cs="宋体"/>
          <w:color w:val="auto"/>
          <w:kern w:val="0"/>
          <w:szCs w:val="24"/>
          <w:highlight w:val="none"/>
        </w:rPr>
      </w:pPr>
      <w:r>
        <w:rPr>
          <w:rFonts w:hint="eastAsia" w:ascii="宋体" w:hAnsi="宋体" w:cs="宋体"/>
          <w:b/>
          <w:color w:val="auto"/>
          <w:kern w:val="0"/>
          <w:szCs w:val="24"/>
          <w:highlight w:val="none"/>
        </w:rPr>
        <w:t>4.1供应商澄清、说明或者补正。</w:t>
      </w:r>
      <w:r>
        <w:rPr>
          <w:rFonts w:hint="eastAsia" w:ascii="宋体" w:hAnsi="宋体" w:cs="宋体"/>
          <w:color w:val="auto"/>
          <w:kern w:val="0"/>
          <w:szCs w:val="24"/>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04B48091">
      <w:pPr>
        <w:pStyle w:val="24"/>
        <w:spacing w:line="360" w:lineRule="auto"/>
        <w:ind w:left="954" w:leftChars="226" w:hanging="479" w:firstLineChars="0"/>
        <w:rPr>
          <w:rFonts w:cs="宋体"/>
          <w:color w:val="auto"/>
          <w:szCs w:val="21"/>
          <w:highlight w:val="none"/>
        </w:rPr>
      </w:pPr>
      <w:r>
        <w:rPr>
          <w:rFonts w:hint="eastAsia" w:cs="宋体"/>
          <w:b/>
          <w:color w:val="auto"/>
          <w:kern w:val="0"/>
          <w:highlight w:val="none"/>
        </w:rPr>
        <w:t>4.2响应文件无效。</w:t>
      </w:r>
      <w:r>
        <w:rPr>
          <w:rFonts w:hint="eastAsia" w:cs="宋体"/>
          <w:color w:val="auto"/>
          <w:szCs w:val="21"/>
          <w:highlight w:val="none"/>
        </w:rPr>
        <w:t>有下列情形之一的，响应文件无效：</w:t>
      </w:r>
    </w:p>
    <w:p w14:paraId="37A90951">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4.2.1供应商不具备采购文件中规定的资格要求的（供应商未提供有效的资格文件的，视为供应商不具备采购文件中规定的资格要求）；</w:t>
      </w:r>
    </w:p>
    <w:p w14:paraId="5EF4B567">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4.2.2响应文件未按照采购文件要求签署、盖章的；</w:t>
      </w:r>
    </w:p>
    <w:p w14:paraId="1D5FEF68">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4.2.3采购人拟采购的产品属于政府强制采购的节能产品品目清单范围的，供应商未按采购文件要求提供国家确定的认证机构出具的、处于有效期之内的节能产品认证证书的；</w:t>
      </w:r>
    </w:p>
    <w:p w14:paraId="3072CA1C">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4.2.4响应文件含有采购人不能接受的附加条件的；</w:t>
      </w:r>
    </w:p>
    <w:p w14:paraId="257E1867">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4.2.5响应文件中承诺的响应文件有效期少于采购文件中载明的响应文件有效期的；</w:t>
      </w:r>
    </w:p>
    <w:p w14:paraId="43155814">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4.2.6响应文件出现不是唯一的、有选择性最后报价的;</w:t>
      </w:r>
    </w:p>
    <w:p w14:paraId="792C189B">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4.2.7最后报价超过采购文件中规定的预算金额或者最高限价的;</w:t>
      </w:r>
    </w:p>
    <w:p w14:paraId="1170170B">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4.2.8报价明显低于其他通过符合性审查供应商的报价，有可能影响产品质量或者不能诚信履约的，未能按要求提供书面说明或者提交相关证明材料，不能证明其报价合理性的;</w:t>
      </w:r>
    </w:p>
    <w:p w14:paraId="5753742A">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4.2.9供应商对根据修正原则修正后的报价不确认的；</w:t>
      </w:r>
    </w:p>
    <w:p w14:paraId="40592CE5">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4.2.10供应商提供虚假材料响应的；</w:t>
      </w:r>
    </w:p>
    <w:p w14:paraId="478E91D3">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4.2.11供应商有恶意串通、妨碍其他供应商的竞争行为、损害采购人或者其他供应商的合法权益情形的；</w:t>
      </w:r>
    </w:p>
    <w:p w14:paraId="3F61FAAD">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4.2.12供应商仅提交备份响应文件，未在电子交易平台传输递交响应文件的，响应文件无效；</w:t>
      </w:r>
    </w:p>
    <w:p w14:paraId="3A1AD880">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4.2.13 响应文件不满足采购文件的其它实质性要求的；</w:t>
      </w:r>
    </w:p>
    <w:p w14:paraId="57C00194">
      <w:pPr>
        <w:keepNext w:val="0"/>
        <w:keepLines w:val="0"/>
        <w:pageBreakBefore w:val="0"/>
        <w:kinsoku/>
        <w:wordWrap/>
        <w:overflowPunct/>
        <w:topLinePunct w:val="0"/>
        <w:bidi w:val="0"/>
        <w:adjustRightInd w:val="0"/>
        <w:spacing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4.2.14法律、法规、规章（适用本市的）及省级以上规范性文件（适用本市的）规定的其他无效情形。</w:t>
      </w:r>
    </w:p>
    <w:p w14:paraId="42DAD89C">
      <w:pPr>
        <w:pStyle w:val="967"/>
        <w:keepNext w:val="0"/>
        <w:keepLines w:val="0"/>
        <w:pageBreakBefore w:val="0"/>
        <w:kinsoku/>
        <w:wordWrap/>
        <w:overflowPunct/>
        <w:topLinePunct w:val="0"/>
        <w:bidi w:val="0"/>
        <w:adjustRightIn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en-US" w:eastAsia="zh-CN" w:bidi="ar-SA"/>
        </w:rPr>
        <w:t>4.2.15 参与同一个采购包（标段）的供应商存在下列情形之一的，其投标（响应）文件无效：（1）不同供应商的电子投标（响应）文件上传计算机的网卡MAC地址、CPU序列号和硬盘序列号等硬件信息相同的；（2）上传的电子投标（响应）文件若出现使用本项目其他投标（响应）人的数字证书加密的，或者加盖本项目其他投标（响应）人的电子印章的；（3）不同供应商的投标（响应）文件的内容存在两处以上细节错误一致，且无法合理解释的；（4）不同供应商联系人为同一人或不同联系人的联系电话一致，且无法合理解释的。</w:t>
      </w:r>
    </w:p>
    <w:p w14:paraId="38E5CC56">
      <w:pPr>
        <w:pStyle w:val="24"/>
        <w:keepNext w:val="0"/>
        <w:keepLines w:val="0"/>
        <w:pageBreakBefore w:val="0"/>
        <w:kinsoku/>
        <w:wordWrap/>
        <w:overflowPunct/>
        <w:topLinePunct w:val="0"/>
        <w:bidi w:val="0"/>
        <w:adjustRightInd w:val="0"/>
        <w:snapToGrid w:val="0"/>
        <w:spacing w:line="360" w:lineRule="auto"/>
        <w:ind w:firstLine="472" w:firstLineChars="196"/>
        <w:textAlignment w:val="auto"/>
        <w:rPr>
          <w:rFonts w:cs="宋体"/>
          <w:color w:val="auto"/>
          <w:highlight w:val="none"/>
        </w:rPr>
      </w:pPr>
      <w:r>
        <w:rPr>
          <w:rFonts w:hint="eastAsia" w:cs="宋体"/>
          <w:b/>
          <w:color w:val="auto"/>
          <w:highlight w:val="none"/>
        </w:rPr>
        <w:t>5.终止竞争性磋商采购活动。</w:t>
      </w:r>
      <w:r>
        <w:rPr>
          <w:rFonts w:hint="eastAsia" w:cs="宋体"/>
          <w:color w:val="auto"/>
          <w:highlight w:val="none"/>
        </w:rPr>
        <w:t>出现下列情形之一的，采购人或者采购代理机构应当终止竞争性磋商采购活动，发布项目终止公告并说明原因，重新开展采购活动：</w:t>
      </w:r>
    </w:p>
    <w:p w14:paraId="0049B91A">
      <w:pPr>
        <w:pStyle w:val="24"/>
        <w:keepNext w:val="0"/>
        <w:keepLines w:val="0"/>
        <w:pageBreakBefore w:val="0"/>
        <w:kinsoku/>
        <w:wordWrap/>
        <w:overflowPunct/>
        <w:topLinePunct w:val="0"/>
        <w:bidi w:val="0"/>
        <w:adjustRightInd w:val="0"/>
        <w:snapToGrid w:val="0"/>
        <w:spacing w:line="360" w:lineRule="auto"/>
        <w:textAlignment w:val="auto"/>
        <w:rPr>
          <w:rFonts w:cs="宋体"/>
          <w:color w:val="auto"/>
          <w:highlight w:val="none"/>
        </w:rPr>
      </w:pPr>
      <w:r>
        <w:rPr>
          <w:rFonts w:hint="eastAsia" w:cs="宋体"/>
          <w:color w:val="auto"/>
          <w:highlight w:val="none"/>
        </w:rPr>
        <w:t>5.1因情况变化，不再符合规定的竞争性磋商采购方式适用情形的；</w:t>
      </w:r>
    </w:p>
    <w:p w14:paraId="09A0FDC9">
      <w:pPr>
        <w:pStyle w:val="24"/>
        <w:snapToGrid w:val="0"/>
        <w:spacing w:line="360" w:lineRule="auto"/>
        <w:rPr>
          <w:rFonts w:cs="宋体"/>
          <w:color w:val="auto"/>
          <w:highlight w:val="none"/>
        </w:rPr>
      </w:pPr>
      <w:r>
        <w:rPr>
          <w:rFonts w:hint="eastAsia" w:cs="宋体"/>
          <w:color w:val="auto"/>
          <w:highlight w:val="none"/>
        </w:rPr>
        <w:t>5.2出现影响采购公正的违法、违规行为的；</w:t>
      </w:r>
    </w:p>
    <w:p w14:paraId="2788A2D8">
      <w:pPr>
        <w:pStyle w:val="24"/>
        <w:snapToGrid w:val="0"/>
        <w:spacing w:line="360" w:lineRule="auto"/>
        <w:rPr>
          <w:rFonts w:cs="宋体"/>
          <w:color w:val="auto"/>
          <w:highlight w:val="none"/>
        </w:rPr>
      </w:pPr>
      <w:r>
        <w:rPr>
          <w:rFonts w:hint="eastAsia" w:cs="宋体"/>
          <w:color w:val="auto"/>
          <w:highlight w:val="none"/>
        </w:rPr>
        <w:t>5.3除本办法第二十一条第三款规定的情形外，在采购过程中符合要求的供应商或者报价未超过采购预算的供应商不足3家的。</w:t>
      </w:r>
    </w:p>
    <w:p w14:paraId="4E58585F">
      <w:pPr>
        <w:pStyle w:val="24"/>
        <w:snapToGrid w:val="0"/>
        <w:spacing w:line="360" w:lineRule="auto"/>
        <w:rPr>
          <w:rFonts w:cs="宋体"/>
          <w:color w:val="auto"/>
          <w:highlight w:val="none"/>
        </w:rPr>
      </w:pPr>
      <w:r>
        <w:rPr>
          <w:rFonts w:hint="eastAsia" w:cs="宋体"/>
          <w:color w:val="auto"/>
          <w:highlight w:val="none"/>
        </w:rPr>
        <w:t>5.4在采购活动中因重大变故，采购任务取消的，采购人或者采购代理机构应当终止采购活动，通知所有参加采购活动的供应商，并将项目实施情况和采购任务取消原因报送本级财政部门。</w:t>
      </w:r>
    </w:p>
    <w:p w14:paraId="4146AD74">
      <w:pPr>
        <w:pStyle w:val="24"/>
        <w:snapToGrid w:val="0"/>
        <w:spacing w:line="360" w:lineRule="auto"/>
        <w:ind w:firstLine="482"/>
        <w:rPr>
          <w:rFonts w:cs="宋体"/>
          <w:color w:val="auto"/>
          <w:highlight w:val="none"/>
        </w:rPr>
      </w:pPr>
      <w:r>
        <w:rPr>
          <w:rFonts w:hint="eastAsia" w:cs="宋体"/>
          <w:b/>
          <w:color w:val="auto"/>
          <w:kern w:val="0"/>
          <w:highlight w:val="none"/>
        </w:rPr>
        <w:t>6.重新开展采购。</w:t>
      </w:r>
      <w:r>
        <w:rPr>
          <w:rFonts w:hint="eastAsia" w:cs="宋体"/>
          <w:color w:val="auto"/>
          <w:highlight w:val="none"/>
        </w:rPr>
        <w:t>有政府采购法第七十一条、第七十二条规定的违法行为之一，影响或者可能影响成交结果的，依照下列规定处理：</w:t>
      </w:r>
    </w:p>
    <w:p w14:paraId="26E5128E">
      <w:pPr>
        <w:pStyle w:val="24"/>
        <w:snapToGrid w:val="0"/>
        <w:spacing w:line="360" w:lineRule="auto"/>
        <w:rPr>
          <w:rFonts w:cs="宋体"/>
          <w:color w:val="auto"/>
          <w:highlight w:val="none"/>
        </w:rPr>
      </w:pPr>
      <w:r>
        <w:rPr>
          <w:rFonts w:hint="eastAsia" w:cs="宋体"/>
          <w:color w:val="auto"/>
          <w:highlight w:val="none"/>
        </w:rPr>
        <w:t>6.1未确定成交供应商的，终止本次政府采购活动，重新开展政府采购活动。</w:t>
      </w:r>
    </w:p>
    <w:p w14:paraId="13DEF76C">
      <w:pPr>
        <w:pStyle w:val="24"/>
        <w:snapToGrid w:val="0"/>
        <w:spacing w:line="360" w:lineRule="auto"/>
        <w:rPr>
          <w:rFonts w:cs="宋体"/>
          <w:color w:val="auto"/>
          <w:highlight w:val="none"/>
        </w:rPr>
      </w:pPr>
      <w:r>
        <w:rPr>
          <w:rFonts w:hint="eastAsia" w:cs="宋体"/>
          <w:color w:val="auto"/>
          <w:highlight w:val="none"/>
        </w:rPr>
        <w:t>6.2已确定成交供应商但尚未签订政府采购合同的，成交结果无效，从合格的成交候选供应商中另行确定成交供应商；没有合格的成交候选供应商的，重新开展政府采购活动。</w:t>
      </w:r>
    </w:p>
    <w:p w14:paraId="1EF15B22">
      <w:pPr>
        <w:pStyle w:val="24"/>
        <w:snapToGrid w:val="0"/>
        <w:spacing w:line="360" w:lineRule="auto"/>
        <w:rPr>
          <w:rFonts w:cs="宋体"/>
          <w:color w:val="auto"/>
          <w:highlight w:val="none"/>
        </w:rPr>
      </w:pPr>
      <w:r>
        <w:rPr>
          <w:rFonts w:hint="eastAsia" w:cs="宋体"/>
          <w:color w:val="auto"/>
          <w:highlight w:val="none"/>
        </w:rPr>
        <w:t>6.3政府采购合同已签订但尚未履行的，撤销合同，从合格的成交候选供应商中另行确定成交供应商；没有合格的成交候选供应商的，重新开展政府采购活动。</w:t>
      </w:r>
    </w:p>
    <w:p w14:paraId="6D00B14D">
      <w:pPr>
        <w:pStyle w:val="24"/>
        <w:snapToGrid w:val="0"/>
        <w:spacing w:line="360" w:lineRule="auto"/>
        <w:rPr>
          <w:rFonts w:cs="宋体"/>
          <w:color w:val="auto"/>
          <w:highlight w:val="none"/>
        </w:rPr>
      </w:pPr>
      <w:r>
        <w:rPr>
          <w:rFonts w:hint="eastAsia" w:cs="宋体"/>
          <w:color w:val="auto"/>
          <w:highlight w:val="none"/>
        </w:rPr>
        <w:t>6.4政府采购合同已经履行，给采购人、供应商造成损失的，由责任人承担赔偿责任。</w:t>
      </w:r>
    </w:p>
    <w:p w14:paraId="19269E78">
      <w:pPr>
        <w:pStyle w:val="24"/>
        <w:snapToGrid w:val="0"/>
        <w:spacing w:line="360" w:lineRule="auto"/>
        <w:rPr>
          <w:rFonts w:cs="宋体"/>
          <w:color w:val="auto"/>
          <w:highlight w:val="none"/>
        </w:rPr>
      </w:pPr>
      <w:r>
        <w:rPr>
          <w:rFonts w:hint="eastAsia" w:cs="宋体"/>
          <w:color w:val="auto"/>
          <w:highlight w:val="none"/>
        </w:rPr>
        <w:t>6.5政府采购当事人有其他违反政府采购法或者政府采购法实施条例等法律法规规定的行为，经改正后仍然影响或者可能影响成交结果或者依法被认定为成交无效的，依照6.1-6.4规定处理。</w:t>
      </w:r>
    </w:p>
    <w:p w14:paraId="3D728A3A">
      <w:pPr>
        <w:pStyle w:val="24"/>
        <w:snapToGrid w:val="0"/>
        <w:spacing w:line="360" w:lineRule="auto"/>
        <w:ind w:firstLine="0" w:firstLineChars="0"/>
        <w:rPr>
          <w:rFonts w:cs="宋体"/>
          <w:color w:val="auto"/>
          <w:highlight w:val="none"/>
        </w:rPr>
        <w:sectPr>
          <w:pgSz w:w="11907" w:h="16840"/>
          <w:pgMar w:top="1440" w:right="1080" w:bottom="1440" w:left="1080" w:header="851" w:footer="851" w:gutter="0"/>
          <w:cols w:space="720" w:num="1"/>
        </w:sectPr>
      </w:pPr>
    </w:p>
    <w:bookmarkEnd w:id="31"/>
    <w:p w14:paraId="4C40D249">
      <w:pPr>
        <w:spacing w:line="360" w:lineRule="auto"/>
        <w:jc w:val="center"/>
        <w:outlineLvl w:val="0"/>
        <w:rPr>
          <w:rFonts w:ascii="宋体" w:hAnsi="宋体" w:cs="宋体"/>
          <w:b/>
          <w:color w:val="auto"/>
          <w:sz w:val="36"/>
          <w:szCs w:val="36"/>
          <w:highlight w:val="none"/>
        </w:rPr>
      </w:pPr>
      <w:bookmarkStart w:id="397" w:name="第五部分"/>
      <w:bookmarkStart w:id="398" w:name="_Toc86217003"/>
      <w:r>
        <w:rPr>
          <w:rFonts w:hint="eastAsia" w:ascii="宋体" w:hAnsi="宋体" w:cs="宋体"/>
          <w:b/>
          <w:color w:val="auto"/>
          <w:sz w:val="36"/>
          <w:szCs w:val="36"/>
          <w:highlight w:val="none"/>
        </w:rPr>
        <w:t>第五部分 拟签订的合同文本</w:t>
      </w:r>
    </w:p>
    <w:p w14:paraId="1255163B">
      <w:pPr>
        <w:keepNext w:val="0"/>
        <w:keepLines w:val="0"/>
        <w:widowControl/>
        <w:suppressLineNumbers w:val="0"/>
        <w:kinsoku/>
        <w:topLinePunct/>
        <w:snapToGrid/>
        <w:jc w:val="left"/>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说明： </w:t>
      </w:r>
    </w:p>
    <w:p w14:paraId="0142CFD8">
      <w:pPr>
        <w:keepNext w:val="0"/>
        <w:keepLines w:val="0"/>
        <w:widowControl/>
        <w:suppressLineNumbers w:val="0"/>
        <w:kinsoku/>
        <w:topLinePunct/>
        <w:snapToGrid/>
        <w:ind w:firstLine="480" w:firstLineChars="200"/>
        <w:jc w:val="left"/>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1.施工项目使用住房和城乡建设部、国家工商行政管理总局制定的《建设工程施工合同(示范文本)》(GF-2017-0201)及当地建设主管部门颁发的施工合同专用条款(范本)。</w:t>
      </w:r>
    </w:p>
    <w:p w14:paraId="398738CA">
      <w:pPr>
        <w:kinsoku/>
        <w:topLinePunct/>
        <w:rPr>
          <w:rFonts w:hint="eastAsia"/>
          <w:color w:val="auto"/>
          <w:highlight w:val="none"/>
        </w:rPr>
      </w:pPr>
    </w:p>
    <w:p w14:paraId="7DCB7998">
      <w:pPr>
        <w:pStyle w:val="33"/>
        <w:spacing w:line="360" w:lineRule="auto"/>
        <w:jc w:val="center"/>
        <w:outlineLvl w:val="0"/>
        <w:rPr>
          <w:rFonts w:hAnsi="宋体"/>
          <w:color w:val="auto"/>
          <w:sz w:val="36"/>
          <w:szCs w:val="36"/>
          <w:highlight w:val="none"/>
        </w:rPr>
      </w:pPr>
      <w:r>
        <w:rPr>
          <w:rFonts w:hint="eastAsia" w:hAnsi="宋体"/>
          <w:color w:val="auto"/>
          <w:sz w:val="36"/>
          <w:szCs w:val="36"/>
          <w:highlight w:val="none"/>
        </w:rPr>
        <w:t>合同专用条款</w:t>
      </w:r>
    </w:p>
    <w:p w14:paraId="3FFCF10C">
      <w:pPr>
        <w:spacing w:line="400" w:lineRule="exact"/>
        <w:ind w:firstLine="964" w:firstLineChars="300"/>
        <w:jc w:val="center"/>
        <w:rPr>
          <w:b/>
          <w:bCs/>
          <w:color w:val="auto"/>
          <w:sz w:val="32"/>
          <w:szCs w:val="32"/>
          <w:highlight w:val="none"/>
        </w:rPr>
      </w:pPr>
      <w:r>
        <w:rPr>
          <w:b/>
          <w:bCs/>
          <w:color w:val="auto"/>
          <w:sz w:val="32"/>
          <w:szCs w:val="32"/>
          <w:highlight w:val="none"/>
        </w:rPr>
        <w:t>第一部分  协议书</w:t>
      </w:r>
    </w:p>
    <w:p w14:paraId="1AE1FC11">
      <w:pPr>
        <w:adjustRightInd w:val="0"/>
        <w:snapToGrid w:val="0"/>
        <w:spacing w:line="400" w:lineRule="exact"/>
        <w:ind w:firstLine="482" w:firstLineChars="200"/>
        <w:rPr>
          <w:rFonts w:hint="eastAsia" w:hAnsi="宋体" w:eastAsia="宋体" w:cs="宋体"/>
          <w:b/>
          <w:color w:val="auto"/>
          <w:sz w:val="24"/>
          <w:szCs w:val="24"/>
          <w:highlight w:val="none"/>
          <w:lang w:eastAsia="zh-CN"/>
        </w:rPr>
      </w:pPr>
      <w:r>
        <w:rPr>
          <w:rFonts w:hint="eastAsia" w:hAnsi="宋体" w:cs="宋体"/>
          <w:b/>
          <w:color w:val="auto"/>
          <w:sz w:val="24"/>
          <w:szCs w:val="24"/>
          <w:highlight w:val="none"/>
        </w:rPr>
        <w:t>发包人（全称）：</w:t>
      </w:r>
      <w:r>
        <w:rPr>
          <w:rFonts w:hint="eastAsia" w:hAnsi="宋体" w:cs="宋体"/>
          <w:b/>
          <w:color w:val="auto"/>
          <w:sz w:val="24"/>
          <w:szCs w:val="24"/>
          <w:highlight w:val="none"/>
          <w:u w:val="single"/>
        </w:rPr>
        <w:t>杭州市上城区人民政府四季青街道办事处</w:t>
      </w:r>
    </w:p>
    <w:p w14:paraId="6252EDCD">
      <w:pPr>
        <w:adjustRightInd w:val="0"/>
        <w:snapToGrid w:val="0"/>
        <w:spacing w:line="400" w:lineRule="exact"/>
        <w:ind w:firstLine="482" w:firstLineChars="200"/>
        <w:rPr>
          <w:rFonts w:hAnsi="宋体" w:cs="宋体"/>
          <w:b/>
          <w:color w:val="auto"/>
          <w:sz w:val="24"/>
          <w:szCs w:val="24"/>
          <w:highlight w:val="none"/>
        </w:rPr>
      </w:pPr>
      <w:r>
        <w:rPr>
          <w:rFonts w:hint="eastAsia" w:hAnsi="宋体" w:cs="宋体"/>
          <w:b/>
          <w:color w:val="auto"/>
          <w:sz w:val="24"/>
          <w:szCs w:val="24"/>
          <w:highlight w:val="none"/>
        </w:rPr>
        <w:t>承包人（全称）：</w:t>
      </w:r>
      <w:r>
        <w:rPr>
          <w:rFonts w:hint="eastAsia" w:hAnsi="宋体" w:cs="宋体"/>
          <w:b w:val="0"/>
          <w:bCs/>
          <w:color w:val="auto"/>
          <w:sz w:val="24"/>
          <w:szCs w:val="24"/>
          <w:highlight w:val="none"/>
          <w:u w:val="single"/>
        </w:rPr>
        <w:t xml:space="preserve">                                         </w:t>
      </w:r>
    </w:p>
    <w:p w14:paraId="1C63A11C">
      <w:pPr>
        <w:pStyle w:val="24"/>
        <w:adjustRightInd w:val="0"/>
        <w:snapToGrid w:val="0"/>
        <w:spacing w:line="400" w:lineRule="exact"/>
        <w:ind w:firstLine="480"/>
        <w:rPr>
          <w:rFonts w:cs="宋体"/>
          <w:color w:val="auto"/>
          <w:sz w:val="24"/>
          <w:szCs w:val="24"/>
          <w:highlight w:val="none"/>
          <w:u w:val="single"/>
        </w:rPr>
      </w:pPr>
      <w:r>
        <w:rPr>
          <w:rFonts w:hint="eastAsia" w:cs="宋体"/>
          <w:color w:val="auto"/>
          <w:sz w:val="24"/>
          <w:szCs w:val="24"/>
          <w:highlight w:val="none"/>
        </w:rPr>
        <w:t>根据《中华人民共和国</w:t>
      </w:r>
      <w:r>
        <w:rPr>
          <w:rFonts w:hint="eastAsia"/>
          <w:color w:val="auto"/>
          <w:highlight w:val="none"/>
          <w:lang w:eastAsia="zh-CN"/>
        </w:rPr>
        <w:t>民典法</w:t>
      </w:r>
      <w:r>
        <w:rPr>
          <w:rFonts w:hint="eastAsia" w:cs="宋体"/>
          <w:color w:val="auto"/>
          <w:sz w:val="24"/>
          <w:szCs w:val="24"/>
          <w:highlight w:val="none"/>
        </w:rPr>
        <w:t>》、《中华人民共和国建筑法》及其他有关法律规定，遵循平等、自愿、公平和诚实信用的原则，双方就</w:t>
      </w:r>
      <w:r>
        <w:rPr>
          <w:rFonts w:hint="eastAsia" w:cs="宋体"/>
          <w:color w:val="auto"/>
          <w:kern w:val="2"/>
          <w:sz w:val="24"/>
          <w:szCs w:val="24"/>
          <w:highlight w:val="none"/>
          <w:u w:val="single"/>
        </w:rPr>
        <w:t xml:space="preserve"> </w:t>
      </w:r>
      <w:r>
        <w:rPr>
          <w:rFonts w:hint="eastAsia" w:cs="宋体"/>
          <w:color w:val="auto"/>
          <w:kern w:val="2"/>
          <w:sz w:val="24"/>
          <w:szCs w:val="24"/>
          <w:highlight w:val="none"/>
          <w:u w:val="single"/>
          <w:lang w:eastAsia="zh-CN"/>
        </w:rPr>
        <w:t>新开河（四季青段）入河排污口治理工程施工项目</w:t>
      </w:r>
      <w:r>
        <w:rPr>
          <w:rFonts w:hint="eastAsia" w:cs="宋体"/>
          <w:color w:val="auto"/>
          <w:kern w:val="2"/>
          <w:sz w:val="24"/>
          <w:szCs w:val="24"/>
          <w:highlight w:val="none"/>
          <w:u w:val="single"/>
        </w:rPr>
        <w:t xml:space="preserve">  </w:t>
      </w:r>
      <w:r>
        <w:rPr>
          <w:rFonts w:hint="eastAsia" w:cs="宋体"/>
          <w:color w:val="auto"/>
          <w:kern w:val="2"/>
          <w:sz w:val="24"/>
          <w:szCs w:val="24"/>
          <w:highlight w:val="none"/>
          <w:u w:val="none"/>
        </w:rPr>
        <w:t>工程</w:t>
      </w:r>
      <w:r>
        <w:rPr>
          <w:rFonts w:hint="eastAsia" w:cs="宋体"/>
          <w:color w:val="auto"/>
          <w:sz w:val="24"/>
          <w:szCs w:val="24"/>
          <w:highlight w:val="none"/>
        </w:rPr>
        <w:t>施工及有关事项协商一致，共同达成如下协议:</w:t>
      </w:r>
    </w:p>
    <w:p w14:paraId="45F0B2CB">
      <w:pPr>
        <w:adjustRightInd w:val="0"/>
        <w:snapToGrid w:val="0"/>
        <w:spacing w:line="400" w:lineRule="exact"/>
        <w:ind w:firstLine="482" w:firstLineChars="200"/>
        <w:rPr>
          <w:rFonts w:hAnsi="宋体" w:cs="宋体"/>
          <w:b/>
          <w:color w:val="auto"/>
          <w:sz w:val="24"/>
          <w:szCs w:val="24"/>
          <w:highlight w:val="none"/>
        </w:rPr>
      </w:pPr>
      <w:r>
        <w:rPr>
          <w:rFonts w:hint="eastAsia" w:hAnsi="宋体" w:cs="宋体"/>
          <w:b/>
          <w:color w:val="auto"/>
          <w:sz w:val="24"/>
          <w:szCs w:val="24"/>
          <w:highlight w:val="none"/>
        </w:rPr>
        <w:t>一、工程概况</w:t>
      </w:r>
    </w:p>
    <w:p w14:paraId="74235E24">
      <w:pPr>
        <w:adjustRightInd w:val="0"/>
        <w:snapToGrid w:val="0"/>
        <w:spacing w:line="400" w:lineRule="exact"/>
        <w:ind w:firstLine="480" w:firstLineChars="200"/>
        <w:rPr>
          <w:rFonts w:hAnsi="宋体" w:cs="宋体"/>
          <w:color w:val="auto"/>
          <w:sz w:val="24"/>
          <w:szCs w:val="24"/>
          <w:highlight w:val="none"/>
          <w:u w:val="single"/>
        </w:rPr>
      </w:pPr>
      <w:r>
        <w:rPr>
          <w:rFonts w:hint="eastAsia" w:hAnsi="宋体" w:cs="宋体"/>
          <w:color w:val="auto"/>
          <w:sz w:val="24"/>
          <w:szCs w:val="24"/>
          <w:highlight w:val="none"/>
        </w:rPr>
        <w:t>1.工程名称：</w:t>
      </w:r>
      <w:r>
        <w:rPr>
          <w:rFonts w:hint="eastAsia" w:hAnsi="宋体" w:cs="宋体"/>
          <w:color w:val="auto"/>
          <w:sz w:val="24"/>
          <w:szCs w:val="24"/>
          <w:highlight w:val="none"/>
          <w:u w:val="single"/>
          <w:lang w:eastAsia="zh-CN"/>
        </w:rPr>
        <w:t>新开河（四季青段）入河排污口治理工程施工项目</w:t>
      </w:r>
    </w:p>
    <w:p w14:paraId="0D2A2908">
      <w:pPr>
        <w:adjustRightInd w:val="0"/>
        <w:snapToGrid w:val="0"/>
        <w:spacing w:line="400" w:lineRule="exact"/>
        <w:ind w:firstLine="480" w:firstLineChars="200"/>
        <w:rPr>
          <w:rFonts w:hAnsi="宋体" w:cs="宋体"/>
          <w:color w:val="auto"/>
          <w:sz w:val="24"/>
          <w:szCs w:val="24"/>
          <w:highlight w:val="none"/>
          <w:u w:val="single"/>
        </w:rPr>
      </w:pPr>
      <w:r>
        <w:rPr>
          <w:rFonts w:hint="eastAsia" w:hAnsi="宋体" w:cs="宋体"/>
          <w:color w:val="auto"/>
          <w:sz w:val="24"/>
          <w:szCs w:val="24"/>
          <w:highlight w:val="none"/>
        </w:rPr>
        <w:t>2.工程地点：</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杭州市上城区四季青街道</w:t>
      </w:r>
      <w:r>
        <w:rPr>
          <w:rFonts w:hint="eastAsia" w:hAnsi="宋体" w:cs="宋体"/>
          <w:color w:val="auto"/>
          <w:sz w:val="24"/>
          <w:szCs w:val="24"/>
          <w:highlight w:val="none"/>
          <w:u w:val="single"/>
        </w:rPr>
        <w:t xml:space="preserve"> </w:t>
      </w:r>
    </w:p>
    <w:p w14:paraId="3DF8CE6B">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3.工程立项批准文号：</w:t>
      </w:r>
      <w:r>
        <w:rPr>
          <w:rFonts w:hint="eastAsia" w:hAnsi="宋体" w:cs="宋体"/>
          <w:color w:val="auto"/>
          <w:sz w:val="24"/>
          <w:szCs w:val="24"/>
          <w:highlight w:val="none"/>
          <w:u w:val="single"/>
        </w:rPr>
        <w:t xml:space="preserve">                  </w:t>
      </w:r>
    </w:p>
    <w:p w14:paraId="5E6966A7">
      <w:pPr>
        <w:adjustRightInd w:val="0"/>
        <w:snapToGrid w:val="0"/>
        <w:spacing w:line="400" w:lineRule="exact"/>
        <w:ind w:firstLine="480" w:firstLineChars="200"/>
        <w:rPr>
          <w:rFonts w:hAnsi="宋体" w:cs="宋体"/>
          <w:color w:val="auto"/>
          <w:sz w:val="24"/>
          <w:szCs w:val="24"/>
          <w:highlight w:val="none"/>
          <w:u w:val="single"/>
        </w:rPr>
      </w:pPr>
      <w:r>
        <w:rPr>
          <w:rFonts w:hint="eastAsia" w:hAnsi="宋体" w:cs="宋体"/>
          <w:color w:val="auto"/>
          <w:sz w:val="24"/>
          <w:szCs w:val="24"/>
          <w:highlight w:val="none"/>
        </w:rPr>
        <w:t>4.资金来源：</w:t>
      </w:r>
      <w:r>
        <w:rPr>
          <w:rFonts w:hint="eastAsia" w:hAnsi="宋体" w:cs="宋体"/>
          <w:color w:val="auto"/>
          <w:sz w:val="24"/>
          <w:szCs w:val="24"/>
          <w:highlight w:val="none"/>
          <w:u w:val="single"/>
          <w:lang w:val="en-US" w:eastAsia="zh-CN"/>
        </w:rPr>
        <w:t>财政</w:t>
      </w:r>
      <w:r>
        <w:rPr>
          <w:rFonts w:hint="eastAsia" w:hAnsi="宋体" w:cs="宋体"/>
          <w:color w:val="auto"/>
          <w:sz w:val="24"/>
          <w:szCs w:val="24"/>
          <w:highlight w:val="none"/>
          <w:u w:val="single"/>
        </w:rPr>
        <w:t xml:space="preserve"> </w:t>
      </w:r>
    </w:p>
    <w:p w14:paraId="48749DBF">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5.工程内容：</w:t>
      </w:r>
      <w:r>
        <w:rPr>
          <w:rFonts w:hint="eastAsia" w:hAnsi="宋体" w:cs="宋体"/>
          <w:color w:val="auto"/>
          <w:sz w:val="24"/>
          <w:szCs w:val="24"/>
          <w:highlight w:val="none"/>
          <w:u w:val="single"/>
          <w:lang w:eastAsia="zh-CN"/>
        </w:rPr>
        <w:t>磋商文件</w:t>
      </w:r>
      <w:r>
        <w:rPr>
          <w:rFonts w:hint="eastAsia" w:hAnsi="宋体" w:cs="宋体"/>
          <w:color w:val="auto"/>
          <w:sz w:val="24"/>
          <w:szCs w:val="24"/>
          <w:highlight w:val="none"/>
          <w:u w:val="single"/>
        </w:rPr>
        <w:t>、图纸及工程量清单范围内包含的工程内容</w:t>
      </w:r>
    </w:p>
    <w:p w14:paraId="169A7077">
      <w:pPr>
        <w:adjustRightInd w:val="0"/>
        <w:snapToGrid w:val="0"/>
        <w:spacing w:line="400" w:lineRule="exact"/>
        <w:ind w:firstLine="808" w:firstLineChars="337"/>
        <w:rPr>
          <w:rFonts w:hAnsi="宋体" w:cs="宋体"/>
          <w:color w:val="auto"/>
          <w:sz w:val="24"/>
          <w:szCs w:val="24"/>
          <w:highlight w:val="none"/>
        </w:rPr>
      </w:pPr>
      <w:r>
        <w:rPr>
          <w:rFonts w:hint="eastAsia" w:hAnsi="宋体" w:cs="宋体"/>
          <w:color w:val="auto"/>
          <w:sz w:val="24"/>
          <w:szCs w:val="24"/>
          <w:highlight w:val="none"/>
        </w:rPr>
        <w:t>群体工程应附承包人承揽工程项目一览表（附件1）</w:t>
      </w:r>
    </w:p>
    <w:p w14:paraId="00D154EE">
      <w:pPr>
        <w:adjustRightInd w:val="0"/>
        <w:snapToGrid w:val="0"/>
        <w:spacing w:line="400" w:lineRule="exact"/>
        <w:ind w:firstLine="480" w:firstLineChars="200"/>
        <w:rPr>
          <w:rFonts w:hAnsi="宋体" w:cs="宋体"/>
          <w:color w:val="auto"/>
          <w:sz w:val="24"/>
          <w:szCs w:val="24"/>
          <w:highlight w:val="none"/>
          <w:u w:val="single"/>
        </w:rPr>
      </w:pPr>
      <w:r>
        <w:rPr>
          <w:rFonts w:hint="eastAsia" w:hAnsi="宋体" w:cs="宋体"/>
          <w:color w:val="auto"/>
          <w:sz w:val="24"/>
          <w:szCs w:val="24"/>
          <w:highlight w:val="none"/>
        </w:rPr>
        <w:t>6.工程承包范围：</w:t>
      </w:r>
      <w:r>
        <w:rPr>
          <w:rFonts w:hint="eastAsia" w:hAnsi="宋体" w:cs="宋体"/>
          <w:color w:val="auto"/>
          <w:sz w:val="24"/>
          <w:szCs w:val="24"/>
          <w:highlight w:val="none"/>
          <w:u w:val="single"/>
          <w:lang w:val="en-US" w:eastAsia="zh-CN"/>
        </w:rPr>
        <w:t>磋商</w:t>
      </w:r>
      <w:r>
        <w:rPr>
          <w:rFonts w:hint="eastAsia" w:hAnsi="宋体" w:cs="宋体"/>
          <w:color w:val="auto"/>
          <w:sz w:val="24"/>
          <w:szCs w:val="24"/>
          <w:highlight w:val="none"/>
          <w:u w:val="single"/>
        </w:rPr>
        <w:t>文件、图纸及工程量清单范围内包含的工程内容。</w:t>
      </w:r>
    </w:p>
    <w:p w14:paraId="54F66A27">
      <w:pPr>
        <w:adjustRightInd w:val="0"/>
        <w:snapToGrid w:val="0"/>
        <w:spacing w:line="400" w:lineRule="exact"/>
        <w:ind w:firstLine="482" w:firstLineChars="200"/>
        <w:rPr>
          <w:rFonts w:hAnsi="宋体" w:cs="宋体"/>
          <w:b/>
          <w:color w:val="auto"/>
          <w:sz w:val="24"/>
          <w:szCs w:val="24"/>
          <w:highlight w:val="none"/>
        </w:rPr>
      </w:pPr>
      <w:r>
        <w:rPr>
          <w:rFonts w:hint="eastAsia" w:hAnsi="宋体" w:cs="宋体"/>
          <w:b/>
          <w:color w:val="auto"/>
          <w:sz w:val="24"/>
          <w:szCs w:val="24"/>
          <w:highlight w:val="none"/>
        </w:rPr>
        <w:t>二、合同工期</w:t>
      </w:r>
    </w:p>
    <w:p w14:paraId="283B1D69">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开工日期：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年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月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日  </w:t>
      </w:r>
    </w:p>
    <w:p w14:paraId="1901D15D">
      <w:pPr>
        <w:adjustRightInd w:val="0"/>
        <w:snapToGrid w:val="0"/>
        <w:spacing w:line="400" w:lineRule="exact"/>
        <w:ind w:firstLine="480" w:firstLineChars="200"/>
        <w:rPr>
          <w:rFonts w:hAnsi="宋体" w:cs="宋体"/>
          <w:color w:val="auto"/>
          <w:sz w:val="24"/>
          <w:szCs w:val="24"/>
          <w:highlight w:val="none"/>
          <w:u w:val="single"/>
        </w:rPr>
      </w:pPr>
      <w:r>
        <w:rPr>
          <w:rFonts w:hint="eastAsia" w:hAnsi="宋体" w:cs="宋体"/>
          <w:color w:val="auto"/>
          <w:sz w:val="24"/>
          <w:szCs w:val="24"/>
          <w:highlight w:val="none"/>
        </w:rPr>
        <w:t>竣工日期：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年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月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日</w:t>
      </w:r>
    </w:p>
    <w:p w14:paraId="6422AD33">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工期总日历天数</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天。工期总日历天数与根据前述计划开竣工日期计算的工期天数不一致的，以工期总日历天数为准。</w:t>
      </w:r>
    </w:p>
    <w:p w14:paraId="2F07B3C3">
      <w:pPr>
        <w:adjustRightInd w:val="0"/>
        <w:snapToGrid w:val="0"/>
        <w:spacing w:line="400" w:lineRule="exact"/>
        <w:ind w:firstLine="482" w:firstLineChars="200"/>
        <w:rPr>
          <w:rFonts w:hAnsi="宋体" w:cs="宋体"/>
          <w:b/>
          <w:color w:val="auto"/>
          <w:sz w:val="24"/>
          <w:szCs w:val="24"/>
          <w:highlight w:val="none"/>
        </w:rPr>
      </w:pPr>
      <w:r>
        <w:rPr>
          <w:rFonts w:hint="eastAsia" w:hAnsi="宋体" w:cs="宋体"/>
          <w:b/>
          <w:color w:val="auto"/>
          <w:sz w:val="24"/>
          <w:szCs w:val="24"/>
          <w:highlight w:val="none"/>
        </w:rPr>
        <w:t>三、质量标准</w:t>
      </w:r>
    </w:p>
    <w:p w14:paraId="00375B8E">
      <w:pPr>
        <w:adjustRightInd w:val="0"/>
        <w:snapToGrid w:val="0"/>
        <w:spacing w:line="400" w:lineRule="exact"/>
        <w:ind w:firstLine="480" w:firstLineChars="200"/>
        <w:rPr>
          <w:rFonts w:hAnsi="宋体" w:cs="宋体"/>
          <w:color w:val="auto"/>
          <w:sz w:val="24"/>
          <w:szCs w:val="24"/>
          <w:highlight w:val="none"/>
          <w:u w:val="single"/>
        </w:rPr>
      </w:pPr>
      <w:r>
        <w:rPr>
          <w:rFonts w:hint="eastAsia" w:hAnsi="宋体" w:cs="宋体"/>
          <w:color w:val="auto"/>
          <w:sz w:val="24"/>
          <w:szCs w:val="24"/>
          <w:highlight w:val="none"/>
        </w:rPr>
        <w:t>工程质量符合：</w:t>
      </w:r>
      <w:r>
        <w:rPr>
          <w:rFonts w:hint="eastAsia" w:hAnsi="宋体" w:cs="宋体"/>
          <w:color w:val="auto"/>
          <w:sz w:val="24"/>
          <w:szCs w:val="24"/>
          <w:highlight w:val="none"/>
          <w:u w:val="single"/>
        </w:rPr>
        <w:t xml:space="preserve">    工程施工质量验收规范合格   </w:t>
      </w:r>
      <w:r>
        <w:rPr>
          <w:rFonts w:hint="eastAsia" w:hAnsi="宋体" w:cs="宋体"/>
          <w:color w:val="auto"/>
          <w:sz w:val="24"/>
          <w:szCs w:val="24"/>
          <w:highlight w:val="none"/>
        </w:rPr>
        <w:t>标准。</w:t>
      </w:r>
    </w:p>
    <w:p w14:paraId="52E356BC">
      <w:pPr>
        <w:adjustRightInd w:val="0"/>
        <w:snapToGrid w:val="0"/>
        <w:spacing w:line="400" w:lineRule="exact"/>
        <w:ind w:firstLine="482" w:firstLineChars="200"/>
        <w:rPr>
          <w:rFonts w:hAnsi="宋体" w:cs="宋体"/>
          <w:b/>
          <w:color w:val="auto"/>
          <w:sz w:val="24"/>
          <w:szCs w:val="24"/>
          <w:highlight w:val="none"/>
        </w:rPr>
      </w:pPr>
      <w:r>
        <w:rPr>
          <w:rFonts w:hint="eastAsia" w:hAnsi="宋体" w:cs="宋体"/>
          <w:b/>
          <w:color w:val="auto"/>
          <w:sz w:val="24"/>
          <w:szCs w:val="24"/>
          <w:highlight w:val="none"/>
        </w:rPr>
        <w:t>四、签约合同价与合同价格形式</w:t>
      </w:r>
    </w:p>
    <w:p w14:paraId="52EA0D6F">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1.签约合同价为：</w:t>
      </w:r>
    </w:p>
    <w:p w14:paraId="7B7E5CAD">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人民币（大写）：</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元）；</w:t>
      </w:r>
    </w:p>
    <w:p w14:paraId="6B1427B2">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其中：</w:t>
      </w:r>
    </w:p>
    <w:p w14:paraId="6E906F40">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（1）安全文明施工费：</w:t>
      </w:r>
    </w:p>
    <w:p w14:paraId="73112F1E">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人民币（大写）</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元）；</w:t>
      </w:r>
    </w:p>
    <w:p w14:paraId="650ADF1E">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（2）材料和工程设备暂估价金额：</w:t>
      </w:r>
    </w:p>
    <w:p w14:paraId="4F2C2231">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人民币（大写）</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元）；</w:t>
      </w:r>
    </w:p>
    <w:p w14:paraId="4E5D9CF7">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（3）专业工程暂估价金额：</w:t>
      </w:r>
    </w:p>
    <w:p w14:paraId="0327932D">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人民币（大写）</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元）；</w:t>
      </w:r>
    </w:p>
    <w:p w14:paraId="424EABFA">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（4）暂列金额：</w:t>
      </w:r>
    </w:p>
    <w:p w14:paraId="182A7111">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人民币（大写）</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元）；</w:t>
      </w:r>
    </w:p>
    <w:p w14:paraId="328FFE90">
      <w:pPr>
        <w:adjustRightInd w:val="0"/>
        <w:snapToGrid w:val="0"/>
        <w:spacing w:line="400" w:lineRule="exact"/>
        <w:ind w:firstLine="480" w:firstLineChars="200"/>
        <w:rPr>
          <w:rFonts w:hAnsi="宋体" w:cs="宋体"/>
          <w:color w:val="auto"/>
          <w:sz w:val="24"/>
          <w:szCs w:val="24"/>
          <w:highlight w:val="none"/>
          <w:u w:val="single"/>
        </w:rPr>
      </w:pPr>
      <w:r>
        <w:rPr>
          <w:rFonts w:hint="eastAsia" w:hAnsi="宋体" w:cs="宋体"/>
          <w:color w:val="auto"/>
          <w:sz w:val="24"/>
          <w:szCs w:val="24"/>
          <w:highlight w:val="none"/>
        </w:rPr>
        <w:t>2.合同价格形式：</w:t>
      </w:r>
      <w:r>
        <w:rPr>
          <w:rFonts w:hint="eastAsia" w:hAnsi="宋体" w:cs="宋体"/>
          <w:color w:val="auto"/>
          <w:sz w:val="24"/>
          <w:szCs w:val="24"/>
          <w:highlight w:val="none"/>
          <w:u w:val="single"/>
        </w:rPr>
        <w:t xml:space="preserve">       固定</w:t>
      </w:r>
      <w:r>
        <w:rPr>
          <w:rFonts w:hint="eastAsia" w:hAnsi="宋体" w:cs="宋体"/>
          <w:color w:val="auto"/>
          <w:sz w:val="24"/>
          <w:szCs w:val="24"/>
          <w:highlight w:val="none"/>
          <w:u w:val="single"/>
          <w:lang w:val="en-US" w:eastAsia="zh-CN"/>
        </w:rPr>
        <w:t>单</w:t>
      </w:r>
      <w:r>
        <w:rPr>
          <w:rFonts w:hint="eastAsia" w:hAnsi="宋体" w:cs="宋体"/>
          <w:color w:val="auto"/>
          <w:sz w:val="24"/>
          <w:szCs w:val="24"/>
          <w:highlight w:val="none"/>
          <w:u w:val="single"/>
        </w:rPr>
        <w:t>价合同          。</w:t>
      </w:r>
    </w:p>
    <w:p w14:paraId="79746135">
      <w:pPr>
        <w:adjustRightInd w:val="0"/>
        <w:snapToGrid w:val="0"/>
        <w:spacing w:line="400" w:lineRule="exact"/>
        <w:ind w:firstLine="482" w:firstLineChars="200"/>
        <w:rPr>
          <w:rFonts w:hAnsi="宋体" w:cs="宋体"/>
          <w:b/>
          <w:color w:val="auto"/>
          <w:sz w:val="24"/>
          <w:szCs w:val="24"/>
          <w:highlight w:val="none"/>
        </w:rPr>
      </w:pPr>
      <w:r>
        <w:rPr>
          <w:rFonts w:hint="eastAsia" w:hAnsi="宋体" w:cs="宋体"/>
          <w:b/>
          <w:color w:val="auto"/>
          <w:sz w:val="24"/>
          <w:szCs w:val="24"/>
          <w:highlight w:val="none"/>
        </w:rPr>
        <w:t>五、项目负责人</w:t>
      </w:r>
    </w:p>
    <w:p w14:paraId="50CB46B9">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承包人项目负责人</w:t>
      </w:r>
      <w:r>
        <w:rPr>
          <w:rFonts w:hint="eastAsia" w:hAnsi="宋体" w:cs="宋体"/>
          <w:color w:val="auto"/>
          <w:sz w:val="24"/>
          <w:szCs w:val="24"/>
          <w:highlight w:val="none"/>
          <w:u w:val="single"/>
        </w:rPr>
        <w:t xml:space="preserve">                  。</w:t>
      </w:r>
    </w:p>
    <w:p w14:paraId="1AA7EC8E">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六、合同文件构成</w:t>
      </w:r>
    </w:p>
    <w:p w14:paraId="782C8A51">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本协议书与下列文件一起构成合同文件：</w:t>
      </w:r>
    </w:p>
    <w:p w14:paraId="3E8E3F10">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1、中标通知书（如果有）；</w:t>
      </w:r>
    </w:p>
    <w:p w14:paraId="51EE2C4D">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2、投标函及其附录（如果有）；</w:t>
      </w:r>
    </w:p>
    <w:p w14:paraId="6C364F90">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3、专用合同条款及其附件；</w:t>
      </w:r>
    </w:p>
    <w:p w14:paraId="5177BA4B">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4、通用合同条款；</w:t>
      </w:r>
    </w:p>
    <w:p w14:paraId="1EDE8A51">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5、技术标准和要求；</w:t>
      </w:r>
    </w:p>
    <w:p w14:paraId="43D83BA2">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6、图纸；</w:t>
      </w:r>
    </w:p>
    <w:p w14:paraId="14636FDB">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7、已标价工程量清单或预算书；</w:t>
      </w:r>
    </w:p>
    <w:p w14:paraId="3A3FB7B3">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8、其他合同文件</w:t>
      </w:r>
    </w:p>
    <w:p w14:paraId="2D9DE904">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在合同订立及履行过程中形成的与合同有关的文件均构成合同文件组成部分。</w:t>
      </w:r>
    </w:p>
    <w:p w14:paraId="188BC838">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0EE19D62">
      <w:pPr>
        <w:pStyle w:val="37"/>
        <w:adjustRightInd w:val="0"/>
        <w:snapToGrid w:val="0"/>
        <w:spacing w:line="400" w:lineRule="exact"/>
        <w:ind w:firstLine="551" w:firstLineChars="196"/>
        <w:rPr>
          <w:rFonts w:cs="宋体"/>
          <w:b/>
          <w:color w:val="auto"/>
          <w:szCs w:val="24"/>
          <w:highlight w:val="none"/>
        </w:rPr>
      </w:pPr>
      <w:r>
        <w:rPr>
          <w:rFonts w:hint="eastAsia" w:cs="宋体"/>
          <w:b/>
          <w:color w:val="auto"/>
          <w:szCs w:val="24"/>
          <w:highlight w:val="none"/>
        </w:rPr>
        <w:t>七、承诺</w:t>
      </w:r>
    </w:p>
    <w:p w14:paraId="250F21B9">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1．发包人承诺按照法律规定履行项目审批手续、筹集工程建设资金并按照合同约定的期限和方式支付合同价款。</w:t>
      </w:r>
    </w:p>
    <w:p w14:paraId="1779BA44">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1FCDCE79">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3.发包人和承包人通过招投标形式签订合同的，双方理解并承诺不再就同一工程另行签订与合同实质性内容相背离的协议。</w:t>
      </w:r>
    </w:p>
    <w:p w14:paraId="0EAFB9F0">
      <w:pPr>
        <w:adjustRightInd w:val="0"/>
        <w:snapToGrid w:val="0"/>
        <w:spacing w:line="400" w:lineRule="exact"/>
        <w:ind w:firstLine="482" w:firstLineChars="200"/>
        <w:outlineLvl w:val="1"/>
        <w:rPr>
          <w:rFonts w:hAnsi="宋体" w:cs="宋体"/>
          <w:b/>
          <w:bCs/>
          <w:color w:val="auto"/>
          <w:sz w:val="24"/>
          <w:szCs w:val="24"/>
          <w:highlight w:val="none"/>
        </w:rPr>
      </w:pPr>
      <w:r>
        <w:rPr>
          <w:rFonts w:hint="eastAsia" w:hAnsi="宋体" w:cs="宋体"/>
          <w:b/>
          <w:color w:val="auto"/>
          <w:sz w:val="24"/>
          <w:szCs w:val="24"/>
          <w:highlight w:val="none"/>
        </w:rPr>
        <w:t>八、词语含义</w:t>
      </w:r>
    </w:p>
    <w:p w14:paraId="433A9AD2">
      <w:pPr>
        <w:adjustRightInd w:val="0"/>
        <w:snapToGrid w:val="0"/>
        <w:spacing w:line="400" w:lineRule="exact"/>
        <w:ind w:firstLine="480" w:firstLineChars="200"/>
        <w:rPr>
          <w:rFonts w:hAnsi="宋体" w:cs="宋体"/>
          <w:bCs/>
          <w:color w:val="auto"/>
          <w:sz w:val="24"/>
          <w:szCs w:val="24"/>
          <w:highlight w:val="none"/>
        </w:rPr>
      </w:pPr>
      <w:r>
        <w:rPr>
          <w:rFonts w:hint="eastAsia" w:hAnsi="宋体" w:cs="宋体"/>
          <w:bCs/>
          <w:color w:val="auto"/>
          <w:sz w:val="24"/>
          <w:szCs w:val="24"/>
          <w:highlight w:val="none"/>
        </w:rPr>
        <w:t>本协议书中词语含义与第二部分通用合同条款中赋予的含义相同。</w:t>
      </w:r>
    </w:p>
    <w:p w14:paraId="7B3B54A7">
      <w:pPr>
        <w:adjustRightInd w:val="0"/>
        <w:snapToGrid w:val="0"/>
        <w:spacing w:line="400" w:lineRule="exact"/>
        <w:ind w:firstLine="482" w:firstLineChars="200"/>
        <w:outlineLvl w:val="1"/>
        <w:rPr>
          <w:rFonts w:hAnsi="宋体" w:cs="宋体"/>
          <w:b/>
          <w:bCs/>
          <w:color w:val="auto"/>
          <w:sz w:val="24"/>
          <w:szCs w:val="24"/>
          <w:highlight w:val="none"/>
        </w:rPr>
      </w:pPr>
      <w:r>
        <w:rPr>
          <w:rFonts w:hint="eastAsia" w:hAnsi="宋体" w:cs="宋体"/>
          <w:b/>
          <w:color w:val="auto"/>
          <w:sz w:val="24"/>
          <w:szCs w:val="24"/>
          <w:highlight w:val="none"/>
        </w:rPr>
        <w:t>九、签订时间</w:t>
      </w:r>
    </w:p>
    <w:p w14:paraId="7C1E72EC">
      <w:pPr>
        <w:adjustRightInd w:val="0"/>
        <w:snapToGrid w:val="0"/>
        <w:spacing w:line="400" w:lineRule="exact"/>
        <w:ind w:firstLine="480" w:firstLineChars="200"/>
        <w:rPr>
          <w:rFonts w:hAnsi="宋体" w:cs="宋体"/>
          <w:bCs/>
          <w:color w:val="auto"/>
          <w:sz w:val="24"/>
          <w:szCs w:val="24"/>
          <w:highlight w:val="none"/>
        </w:rPr>
      </w:pPr>
      <w:r>
        <w:rPr>
          <w:rFonts w:hint="eastAsia" w:hAnsi="宋体" w:cs="宋体"/>
          <w:bCs/>
          <w:color w:val="auto"/>
          <w:sz w:val="24"/>
          <w:szCs w:val="24"/>
          <w:highlight w:val="none"/>
        </w:rPr>
        <w:t>本合同于</w:t>
      </w:r>
      <w:r>
        <w:rPr>
          <w:rFonts w:hint="eastAsia" w:hAnsi="宋体" w:cs="宋体"/>
          <w:bCs/>
          <w:color w:val="auto"/>
          <w:sz w:val="24"/>
          <w:szCs w:val="24"/>
          <w:highlight w:val="none"/>
          <w:u w:val="single"/>
        </w:rPr>
        <w:t xml:space="preserve">      </w:t>
      </w:r>
      <w:r>
        <w:rPr>
          <w:rFonts w:hint="eastAsia" w:hAnsi="宋体" w:cs="宋体"/>
          <w:bCs/>
          <w:color w:val="auto"/>
          <w:sz w:val="24"/>
          <w:szCs w:val="24"/>
          <w:highlight w:val="none"/>
        </w:rPr>
        <w:t>年</w:t>
      </w:r>
      <w:r>
        <w:rPr>
          <w:rFonts w:hint="eastAsia" w:hAnsi="宋体" w:cs="宋体"/>
          <w:bCs/>
          <w:color w:val="auto"/>
          <w:sz w:val="24"/>
          <w:szCs w:val="24"/>
          <w:highlight w:val="none"/>
          <w:u w:val="single"/>
        </w:rPr>
        <w:t xml:space="preserve">      </w:t>
      </w:r>
      <w:r>
        <w:rPr>
          <w:rFonts w:hint="eastAsia" w:hAnsi="宋体" w:cs="宋体"/>
          <w:bCs/>
          <w:color w:val="auto"/>
          <w:sz w:val="24"/>
          <w:szCs w:val="24"/>
          <w:highlight w:val="none"/>
        </w:rPr>
        <w:t>月</w:t>
      </w:r>
      <w:r>
        <w:rPr>
          <w:rFonts w:hint="eastAsia" w:hAnsi="宋体" w:cs="宋体"/>
          <w:bCs/>
          <w:color w:val="auto"/>
          <w:sz w:val="24"/>
          <w:szCs w:val="24"/>
          <w:highlight w:val="none"/>
          <w:u w:val="single"/>
        </w:rPr>
        <w:t xml:space="preserve">      </w:t>
      </w:r>
      <w:r>
        <w:rPr>
          <w:rFonts w:hint="eastAsia" w:hAnsi="宋体" w:cs="宋体"/>
          <w:bCs/>
          <w:color w:val="auto"/>
          <w:sz w:val="24"/>
          <w:szCs w:val="24"/>
          <w:highlight w:val="none"/>
        </w:rPr>
        <w:t>日签订。</w:t>
      </w:r>
    </w:p>
    <w:p w14:paraId="034C1601">
      <w:pPr>
        <w:adjustRightInd w:val="0"/>
        <w:snapToGrid w:val="0"/>
        <w:spacing w:line="400" w:lineRule="exact"/>
        <w:ind w:firstLine="482" w:firstLineChars="200"/>
        <w:outlineLvl w:val="1"/>
        <w:rPr>
          <w:rFonts w:hAnsi="宋体" w:cs="宋体"/>
          <w:b/>
          <w:bCs/>
          <w:color w:val="auto"/>
          <w:sz w:val="24"/>
          <w:szCs w:val="24"/>
          <w:highlight w:val="none"/>
        </w:rPr>
      </w:pPr>
      <w:r>
        <w:rPr>
          <w:rFonts w:hint="eastAsia" w:hAnsi="宋体" w:cs="宋体"/>
          <w:b/>
          <w:color w:val="auto"/>
          <w:sz w:val="24"/>
          <w:szCs w:val="24"/>
          <w:highlight w:val="none"/>
        </w:rPr>
        <w:t>十、签订地点</w:t>
      </w:r>
    </w:p>
    <w:p w14:paraId="32AC5F62">
      <w:pPr>
        <w:adjustRightInd w:val="0"/>
        <w:snapToGrid w:val="0"/>
        <w:spacing w:line="400" w:lineRule="exact"/>
        <w:ind w:firstLine="480" w:firstLineChars="200"/>
        <w:rPr>
          <w:rFonts w:hAnsi="宋体" w:cs="宋体"/>
          <w:bCs/>
          <w:color w:val="auto"/>
          <w:sz w:val="24"/>
          <w:szCs w:val="24"/>
          <w:highlight w:val="none"/>
        </w:rPr>
      </w:pPr>
      <w:r>
        <w:rPr>
          <w:rFonts w:hint="eastAsia" w:hAnsi="宋体" w:cs="宋体"/>
          <w:bCs/>
          <w:color w:val="auto"/>
          <w:sz w:val="24"/>
          <w:szCs w:val="24"/>
          <w:highlight w:val="none"/>
        </w:rPr>
        <w:t>本合同在</w:t>
      </w:r>
      <w:r>
        <w:rPr>
          <w:rFonts w:hint="eastAsia" w:hAnsi="宋体" w:cs="宋体"/>
          <w:bCs/>
          <w:color w:val="auto"/>
          <w:sz w:val="24"/>
          <w:szCs w:val="24"/>
          <w:highlight w:val="none"/>
          <w:u w:val="single"/>
        </w:rPr>
        <w:t xml:space="preserve">            </w:t>
      </w:r>
      <w:r>
        <w:rPr>
          <w:rFonts w:hint="eastAsia" w:hAnsi="宋体" w:cs="宋体"/>
          <w:bCs/>
          <w:color w:val="auto"/>
          <w:sz w:val="24"/>
          <w:szCs w:val="24"/>
          <w:highlight w:val="none"/>
        </w:rPr>
        <w:t>签订。</w:t>
      </w:r>
    </w:p>
    <w:p w14:paraId="3AC62607">
      <w:pPr>
        <w:adjustRightInd w:val="0"/>
        <w:snapToGrid w:val="0"/>
        <w:spacing w:line="400" w:lineRule="exact"/>
        <w:ind w:firstLine="482" w:firstLineChars="200"/>
        <w:outlineLvl w:val="1"/>
        <w:rPr>
          <w:rFonts w:hAnsi="宋体" w:cs="宋体"/>
          <w:b/>
          <w:bCs/>
          <w:color w:val="auto"/>
          <w:sz w:val="24"/>
          <w:szCs w:val="24"/>
          <w:highlight w:val="none"/>
        </w:rPr>
      </w:pPr>
      <w:r>
        <w:rPr>
          <w:rFonts w:hint="eastAsia" w:hAnsi="宋体" w:cs="宋体"/>
          <w:b/>
          <w:color w:val="auto"/>
          <w:sz w:val="24"/>
          <w:szCs w:val="24"/>
          <w:highlight w:val="none"/>
        </w:rPr>
        <w:t>十一、补充协议</w:t>
      </w:r>
    </w:p>
    <w:p w14:paraId="1ABAB683">
      <w:pPr>
        <w:adjustRightInd w:val="0"/>
        <w:snapToGrid w:val="0"/>
        <w:spacing w:line="400" w:lineRule="exact"/>
        <w:ind w:firstLine="480" w:firstLineChars="200"/>
        <w:rPr>
          <w:rFonts w:hAnsi="宋体" w:cs="宋体"/>
          <w:b/>
          <w:bCs/>
          <w:color w:val="auto"/>
          <w:sz w:val="24"/>
          <w:szCs w:val="24"/>
          <w:highlight w:val="none"/>
        </w:rPr>
      </w:pPr>
      <w:r>
        <w:rPr>
          <w:rFonts w:hint="eastAsia" w:hAnsi="宋体" w:cs="宋体"/>
          <w:bCs/>
          <w:color w:val="auto"/>
          <w:sz w:val="24"/>
          <w:szCs w:val="24"/>
          <w:highlight w:val="none"/>
        </w:rPr>
        <w:t>合同未尽事宜，合同当事人另行签订补充协议，补充协议是合同的组成部分。</w:t>
      </w:r>
    </w:p>
    <w:p w14:paraId="4046080F">
      <w:pPr>
        <w:adjustRightInd w:val="0"/>
        <w:snapToGrid w:val="0"/>
        <w:spacing w:line="400" w:lineRule="exact"/>
        <w:ind w:firstLine="482" w:firstLineChars="200"/>
        <w:outlineLvl w:val="1"/>
        <w:rPr>
          <w:rFonts w:hAnsi="宋体" w:cs="宋体"/>
          <w:b/>
          <w:bCs/>
          <w:color w:val="auto"/>
          <w:sz w:val="24"/>
          <w:szCs w:val="24"/>
          <w:highlight w:val="none"/>
        </w:rPr>
      </w:pPr>
      <w:r>
        <w:rPr>
          <w:rFonts w:hint="eastAsia" w:hAnsi="宋体" w:cs="宋体"/>
          <w:b/>
          <w:color w:val="auto"/>
          <w:sz w:val="24"/>
          <w:szCs w:val="24"/>
          <w:highlight w:val="none"/>
        </w:rPr>
        <w:t>十二、合同生效</w:t>
      </w:r>
    </w:p>
    <w:p w14:paraId="08BCCDB1">
      <w:pPr>
        <w:adjustRightInd w:val="0"/>
        <w:snapToGrid w:val="0"/>
        <w:spacing w:line="400" w:lineRule="exact"/>
        <w:ind w:firstLine="480" w:firstLineChars="200"/>
        <w:rPr>
          <w:rFonts w:hAnsi="宋体" w:cs="宋体"/>
          <w:bCs/>
          <w:color w:val="auto"/>
          <w:sz w:val="24"/>
          <w:szCs w:val="24"/>
          <w:highlight w:val="none"/>
        </w:rPr>
      </w:pPr>
      <w:r>
        <w:rPr>
          <w:rFonts w:hint="eastAsia" w:hAnsi="宋体" w:cs="宋体"/>
          <w:bCs/>
          <w:color w:val="auto"/>
          <w:sz w:val="24"/>
          <w:szCs w:val="24"/>
          <w:highlight w:val="none"/>
        </w:rPr>
        <w:t>本合同自</w:t>
      </w:r>
      <w:r>
        <w:rPr>
          <w:rFonts w:hint="eastAsia" w:hAnsi="宋体" w:cs="宋体"/>
          <w:bCs/>
          <w:color w:val="auto"/>
          <w:sz w:val="24"/>
          <w:szCs w:val="24"/>
          <w:highlight w:val="none"/>
          <w:u w:val="single"/>
        </w:rPr>
        <w:t xml:space="preserve">   双方签字并盖章后       </w:t>
      </w:r>
      <w:r>
        <w:rPr>
          <w:rFonts w:hint="eastAsia" w:hAnsi="宋体" w:cs="宋体"/>
          <w:bCs/>
          <w:color w:val="auto"/>
          <w:sz w:val="24"/>
          <w:szCs w:val="24"/>
          <w:highlight w:val="none"/>
        </w:rPr>
        <w:t>生效。</w:t>
      </w:r>
    </w:p>
    <w:p w14:paraId="2EA1DCAE">
      <w:pPr>
        <w:adjustRightInd w:val="0"/>
        <w:snapToGrid w:val="0"/>
        <w:spacing w:line="400" w:lineRule="exact"/>
        <w:ind w:firstLine="482" w:firstLineChars="200"/>
        <w:outlineLvl w:val="1"/>
        <w:rPr>
          <w:rFonts w:hAnsi="宋体" w:cs="宋体"/>
          <w:b/>
          <w:bCs/>
          <w:color w:val="auto"/>
          <w:sz w:val="24"/>
          <w:szCs w:val="24"/>
          <w:highlight w:val="none"/>
        </w:rPr>
      </w:pPr>
      <w:r>
        <w:rPr>
          <w:rFonts w:hint="eastAsia" w:hAnsi="宋体" w:cs="宋体"/>
          <w:b/>
          <w:color w:val="auto"/>
          <w:sz w:val="24"/>
          <w:szCs w:val="24"/>
          <w:highlight w:val="none"/>
        </w:rPr>
        <w:t>十三、合同份数</w:t>
      </w:r>
    </w:p>
    <w:p w14:paraId="4E670EC8">
      <w:pPr>
        <w:adjustRightInd w:val="0"/>
        <w:snapToGrid w:val="0"/>
        <w:spacing w:line="400" w:lineRule="exact"/>
        <w:ind w:firstLine="480" w:firstLineChars="200"/>
        <w:rPr>
          <w:rFonts w:hAnsi="宋体" w:cs="宋体"/>
          <w:bCs/>
          <w:color w:val="auto"/>
          <w:sz w:val="24"/>
          <w:szCs w:val="24"/>
          <w:highlight w:val="none"/>
        </w:rPr>
      </w:pPr>
      <w:r>
        <w:rPr>
          <w:rFonts w:hint="eastAsia" w:hAnsi="宋体" w:cs="宋体"/>
          <w:bCs/>
          <w:color w:val="auto"/>
          <w:sz w:val="24"/>
          <w:szCs w:val="24"/>
          <w:highlight w:val="none"/>
        </w:rPr>
        <w:t>本合同一式</w:t>
      </w:r>
      <w:r>
        <w:rPr>
          <w:rFonts w:hint="eastAsia" w:hAnsi="宋体" w:cs="宋体"/>
          <w:bCs/>
          <w:color w:val="auto"/>
          <w:sz w:val="24"/>
          <w:szCs w:val="24"/>
          <w:highlight w:val="none"/>
          <w:u w:val="single"/>
        </w:rPr>
        <w:t xml:space="preserve">   壹拾贰   </w:t>
      </w:r>
      <w:r>
        <w:rPr>
          <w:rFonts w:hint="eastAsia" w:hAnsi="宋体" w:cs="宋体"/>
          <w:bCs/>
          <w:color w:val="auto"/>
          <w:sz w:val="24"/>
          <w:szCs w:val="24"/>
          <w:highlight w:val="none"/>
        </w:rPr>
        <w:t>份，均具有同等法律效力，发包人执</w:t>
      </w:r>
      <w:r>
        <w:rPr>
          <w:rFonts w:hint="eastAsia" w:hAnsi="宋体" w:cs="宋体"/>
          <w:bCs/>
          <w:color w:val="auto"/>
          <w:sz w:val="24"/>
          <w:szCs w:val="24"/>
          <w:highlight w:val="none"/>
          <w:u w:val="single"/>
        </w:rPr>
        <w:t xml:space="preserve">  捌  </w:t>
      </w:r>
      <w:r>
        <w:rPr>
          <w:rFonts w:hint="eastAsia" w:hAnsi="宋体" w:cs="宋体"/>
          <w:bCs/>
          <w:color w:val="auto"/>
          <w:sz w:val="24"/>
          <w:szCs w:val="24"/>
          <w:highlight w:val="none"/>
        </w:rPr>
        <w:t>份，承包人执</w:t>
      </w:r>
      <w:r>
        <w:rPr>
          <w:rFonts w:hint="eastAsia" w:hAnsi="宋体" w:cs="宋体"/>
          <w:bCs/>
          <w:color w:val="auto"/>
          <w:sz w:val="24"/>
          <w:szCs w:val="24"/>
          <w:highlight w:val="none"/>
          <w:u w:val="single"/>
        </w:rPr>
        <w:t xml:space="preserve">  肆  </w:t>
      </w:r>
      <w:r>
        <w:rPr>
          <w:rFonts w:hint="eastAsia" w:hAnsi="宋体" w:cs="宋体"/>
          <w:bCs/>
          <w:color w:val="auto"/>
          <w:sz w:val="24"/>
          <w:szCs w:val="24"/>
          <w:highlight w:val="none"/>
        </w:rPr>
        <w:t>份。</w:t>
      </w:r>
    </w:p>
    <w:p w14:paraId="59D6EBC1">
      <w:pPr>
        <w:adjustRightInd w:val="0"/>
        <w:snapToGrid w:val="0"/>
        <w:spacing w:line="400" w:lineRule="exact"/>
        <w:rPr>
          <w:rFonts w:hAnsi="宋体" w:cs="宋体"/>
          <w:bCs/>
          <w:color w:val="auto"/>
          <w:sz w:val="24"/>
          <w:szCs w:val="24"/>
          <w:highlight w:val="none"/>
        </w:rPr>
      </w:pPr>
    </w:p>
    <w:p w14:paraId="0F8C84CC">
      <w:pPr>
        <w:adjustRightInd w:val="0"/>
        <w:snapToGrid w:val="0"/>
        <w:spacing w:line="400" w:lineRule="exact"/>
        <w:rPr>
          <w:rFonts w:hAnsi="宋体" w:cs="宋体"/>
          <w:bCs/>
          <w:color w:val="auto"/>
          <w:sz w:val="24"/>
          <w:szCs w:val="24"/>
          <w:highlight w:val="none"/>
        </w:rPr>
      </w:pPr>
    </w:p>
    <w:p w14:paraId="2591A25A">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发包人：  (公章)                    承包人：  (公章)</w:t>
      </w:r>
    </w:p>
    <w:p w14:paraId="73E99D89">
      <w:pPr>
        <w:adjustRightInd w:val="0"/>
        <w:snapToGrid w:val="0"/>
        <w:spacing w:line="400" w:lineRule="exact"/>
        <w:ind w:firstLine="480" w:firstLineChars="200"/>
        <w:rPr>
          <w:rFonts w:hAnsi="宋体" w:cs="宋体"/>
          <w:bCs/>
          <w:color w:val="auto"/>
          <w:sz w:val="24"/>
          <w:szCs w:val="24"/>
          <w:highlight w:val="none"/>
        </w:rPr>
      </w:pPr>
      <w:r>
        <w:rPr>
          <w:rFonts w:hint="eastAsia" w:hAnsi="宋体" w:cs="宋体"/>
          <w:color w:val="auto"/>
          <w:sz w:val="24"/>
          <w:szCs w:val="24"/>
          <w:highlight w:val="none"/>
        </w:rPr>
        <w:t>法定代表人或其委托代理人：          法定代表人或其委托代理人：</w:t>
      </w:r>
    </w:p>
    <w:p w14:paraId="73331F2A">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（签字）                           （签字）</w:t>
      </w:r>
    </w:p>
    <w:p w14:paraId="5090750F">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组织机构代码：</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组织机构代码：</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4E4DAF20">
      <w:pPr>
        <w:adjustRightInd w:val="0"/>
        <w:snapToGrid w:val="0"/>
        <w:spacing w:line="400" w:lineRule="exact"/>
        <w:ind w:firstLine="480" w:firstLineChars="200"/>
        <w:rPr>
          <w:rFonts w:hAnsi="宋体" w:cs="宋体"/>
          <w:color w:val="auto"/>
          <w:sz w:val="24"/>
          <w:szCs w:val="24"/>
          <w:highlight w:val="none"/>
          <w:u w:val="single"/>
        </w:rPr>
      </w:pPr>
      <w:r>
        <w:rPr>
          <w:rFonts w:hint="eastAsia" w:hAnsi="宋体" w:cs="宋体"/>
          <w:color w:val="auto"/>
          <w:sz w:val="24"/>
          <w:szCs w:val="24"/>
          <w:highlight w:val="none"/>
        </w:rPr>
        <w:t>地  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地  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78E43859">
      <w:pPr>
        <w:adjustRightInd w:val="0"/>
        <w:snapToGrid w:val="0"/>
        <w:spacing w:line="400" w:lineRule="exact"/>
        <w:ind w:firstLine="480" w:firstLineChars="200"/>
        <w:rPr>
          <w:rFonts w:hAnsi="宋体" w:cs="宋体"/>
          <w:color w:val="auto"/>
          <w:sz w:val="24"/>
          <w:szCs w:val="24"/>
          <w:highlight w:val="none"/>
          <w:u w:val="single"/>
        </w:rPr>
      </w:pPr>
      <w:r>
        <w:rPr>
          <w:rFonts w:hint="eastAsia" w:hAnsi="宋体" w:cs="宋体"/>
          <w:color w:val="auto"/>
          <w:sz w:val="24"/>
          <w:szCs w:val="24"/>
          <w:highlight w:val="none"/>
        </w:rPr>
        <w:t>邮政编码：</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邮政编码：</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08CCB6CD">
      <w:pPr>
        <w:adjustRightInd w:val="0"/>
        <w:snapToGrid w:val="0"/>
        <w:spacing w:line="400" w:lineRule="exact"/>
        <w:ind w:firstLine="480" w:firstLineChars="200"/>
        <w:rPr>
          <w:rFonts w:hAnsi="宋体" w:cs="宋体"/>
          <w:color w:val="auto"/>
          <w:sz w:val="24"/>
          <w:szCs w:val="24"/>
          <w:highlight w:val="none"/>
          <w:u w:val="single"/>
        </w:rPr>
      </w:pPr>
      <w:r>
        <w:rPr>
          <w:rFonts w:hint="eastAsia" w:hAnsi="宋体" w:cs="宋体"/>
          <w:color w:val="auto"/>
          <w:sz w:val="24"/>
          <w:szCs w:val="24"/>
          <w:highlight w:val="none"/>
        </w:rPr>
        <w:t>法定代表人：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法定代表人：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6E80E0BE">
      <w:pPr>
        <w:adjustRightInd w:val="0"/>
        <w:snapToGrid w:val="0"/>
        <w:spacing w:line="400" w:lineRule="exact"/>
        <w:ind w:firstLine="480" w:firstLineChars="200"/>
        <w:rPr>
          <w:rFonts w:hAnsi="宋体" w:cs="宋体"/>
          <w:color w:val="auto"/>
          <w:sz w:val="24"/>
          <w:szCs w:val="24"/>
          <w:highlight w:val="none"/>
          <w:u w:val="single"/>
        </w:rPr>
      </w:pPr>
      <w:r>
        <w:rPr>
          <w:rFonts w:hint="eastAsia" w:hAnsi="宋体" w:cs="宋体"/>
          <w:color w:val="auto"/>
          <w:sz w:val="24"/>
          <w:szCs w:val="24"/>
          <w:highlight w:val="none"/>
        </w:rPr>
        <w:t>委托代理人：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委托代理人：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729233C6">
      <w:pPr>
        <w:adjustRightInd w:val="0"/>
        <w:snapToGrid w:val="0"/>
        <w:spacing w:line="400" w:lineRule="exact"/>
        <w:ind w:firstLine="480" w:firstLineChars="200"/>
        <w:rPr>
          <w:rFonts w:hAnsi="宋体" w:cs="宋体"/>
          <w:color w:val="auto"/>
          <w:sz w:val="24"/>
          <w:szCs w:val="24"/>
          <w:highlight w:val="none"/>
          <w:u w:val="single"/>
        </w:rPr>
      </w:pPr>
      <w:r>
        <w:rPr>
          <w:rFonts w:hint="eastAsia" w:hAnsi="宋体" w:cs="宋体"/>
          <w:color w:val="auto"/>
          <w:sz w:val="24"/>
          <w:szCs w:val="24"/>
          <w:highlight w:val="none"/>
        </w:rPr>
        <w:t>电  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电  话：</w:t>
      </w:r>
      <w:r>
        <w:rPr>
          <w:rFonts w:hint="eastAsia" w:hAnsi="宋体" w:cs="宋体"/>
          <w:color w:val="auto"/>
          <w:sz w:val="24"/>
          <w:szCs w:val="24"/>
          <w:highlight w:val="none"/>
          <w:u w:val="single"/>
        </w:rPr>
        <w:t xml:space="preserve">       </w:t>
      </w:r>
      <w:r>
        <w:rPr>
          <w:rFonts w:hint="eastAsia" w:hAnsi="宋体" w:cs="宋体"/>
          <w:color w:val="auto"/>
          <w:sz w:val="24"/>
          <w:szCs w:val="24"/>
          <w:highlight w:val="none"/>
        </w:rPr>
        <w:t xml:space="preserve">     </w:t>
      </w:r>
    </w:p>
    <w:p w14:paraId="2AFC7E83">
      <w:pPr>
        <w:adjustRightInd w:val="0"/>
        <w:snapToGrid w:val="0"/>
        <w:spacing w:line="400" w:lineRule="exact"/>
        <w:ind w:firstLine="480" w:firstLineChars="200"/>
        <w:rPr>
          <w:rFonts w:hAnsi="宋体" w:cs="宋体"/>
          <w:color w:val="auto"/>
          <w:sz w:val="24"/>
          <w:szCs w:val="24"/>
          <w:highlight w:val="none"/>
          <w:u w:val="single"/>
        </w:rPr>
      </w:pPr>
      <w:r>
        <w:rPr>
          <w:rFonts w:hint="eastAsia" w:hAnsi="宋体" w:cs="宋体"/>
          <w:color w:val="auto"/>
          <w:sz w:val="24"/>
          <w:szCs w:val="24"/>
          <w:highlight w:val="none"/>
        </w:rPr>
        <w:t>传  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传  真：</w:t>
      </w:r>
      <w:r>
        <w:rPr>
          <w:rFonts w:hint="eastAsia" w:hAnsi="宋体" w:cs="宋体"/>
          <w:color w:val="auto"/>
          <w:sz w:val="24"/>
          <w:szCs w:val="24"/>
          <w:highlight w:val="none"/>
          <w:u w:val="single"/>
        </w:rPr>
        <w:t xml:space="preserve">       </w:t>
      </w:r>
      <w:r>
        <w:rPr>
          <w:rFonts w:hint="eastAsia" w:hAnsi="宋体" w:cs="宋体"/>
          <w:color w:val="auto"/>
          <w:sz w:val="24"/>
          <w:szCs w:val="24"/>
          <w:highlight w:val="none"/>
        </w:rPr>
        <w:t xml:space="preserve">     </w:t>
      </w:r>
    </w:p>
    <w:p w14:paraId="0A1ABE6A">
      <w:pPr>
        <w:adjustRightInd w:val="0"/>
        <w:snapToGrid w:val="0"/>
        <w:spacing w:line="400" w:lineRule="exact"/>
        <w:ind w:firstLine="480" w:firstLineChars="200"/>
        <w:rPr>
          <w:rFonts w:hAnsi="宋体" w:cs="宋体"/>
          <w:color w:val="auto"/>
          <w:sz w:val="24"/>
          <w:szCs w:val="24"/>
          <w:highlight w:val="none"/>
          <w:u w:val="single"/>
        </w:rPr>
      </w:pPr>
      <w:r>
        <w:rPr>
          <w:rFonts w:hint="eastAsia" w:hAnsi="宋体" w:cs="宋体"/>
          <w:color w:val="auto"/>
          <w:sz w:val="24"/>
          <w:szCs w:val="24"/>
          <w:highlight w:val="none"/>
        </w:rPr>
        <w:t>电子信箱：</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电子信箱：</w:t>
      </w:r>
      <w:r>
        <w:rPr>
          <w:rFonts w:hint="eastAsia" w:hAnsi="宋体" w:cs="宋体"/>
          <w:color w:val="auto"/>
          <w:sz w:val="24"/>
          <w:szCs w:val="24"/>
          <w:highlight w:val="none"/>
          <w:u w:val="single"/>
        </w:rPr>
        <w:t xml:space="preserve">        </w:t>
      </w:r>
    </w:p>
    <w:p w14:paraId="104236CE">
      <w:pPr>
        <w:adjustRightInd w:val="0"/>
        <w:snapToGrid w:val="0"/>
        <w:spacing w:line="400" w:lineRule="exact"/>
        <w:ind w:firstLine="480" w:firstLineChars="200"/>
        <w:rPr>
          <w:rFonts w:hAnsi="宋体" w:cs="宋体"/>
          <w:color w:val="auto"/>
          <w:sz w:val="24"/>
          <w:szCs w:val="24"/>
          <w:highlight w:val="none"/>
          <w:u w:val="single"/>
        </w:rPr>
      </w:pPr>
      <w:r>
        <w:rPr>
          <w:rFonts w:hint="eastAsia" w:hAnsi="宋体" w:cs="宋体"/>
          <w:color w:val="auto"/>
          <w:sz w:val="24"/>
          <w:szCs w:val="24"/>
          <w:highlight w:val="none"/>
        </w:rPr>
        <w:t>开户银行：</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开户银行：</w:t>
      </w:r>
      <w:r>
        <w:rPr>
          <w:rFonts w:hint="eastAsia" w:hAnsi="宋体" w:cs="宋体"/>
          <w:color w:val="auto"/>
          <w:sz w:val="24"/>
          <w:szCs w:val="24"/>
          <w:highlight w:val="none"/>
          <w:u w:val="single"/>
        </w:rPr>
        <w:t xml:space="preserve">        </w:t>
      </w:r>
    </w:p>
    <w:p w14:paraId="15CAB2D0">
      <w:pPr>
        <w:adjustRightInd w:val="0"/>
        <w:snapToGrid w:val="0"/>
        <w:spacing w:line="40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账  号：</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账  号：</w:t>
      </w:r>
      <w:r>
        <w:rPr>
          <w:rFonts w:hint="eastAsia" w:hAnsi="宋体" w:cs="宋体"/>
          <w:color w:val="auto"/>
          <w:sz w:val="24"/>
          <w:szCs w:val="24"/>
          <w:highlight w:val="none"/>
          <w:u w:val="single"/>
        </w:rPr>
        <w:t xml:space="preserve">        </w:t>
      </w:r>
    </w:p>
    <w:p w14:paraId="27913FA1">
      <w:pPr>
        <w:spacing w:line="400" w:lineRule="exact"/>
        <w:rPr>
          <w:rFonts w:hAnsi="宋体"/>
          <w:color w:val="auto"/>
          <w:sz w:val="24"/>
          <w:szCs w:val="24"/>
          <w:highlight w:val="none"/>
        </w:rPr>
      </w:pPr>
    </w:p>
    <w:p w14:paraId="2284A541">
      <w:pPr>
        <w:pStyle w:val="33"/>
        <w:spacing w:line="400" w:lineRule="exact"/>
        <w:rPr>
          <w:color w:val="auto"/>
          <w:highlight w:val="none"/>
        </w:rPr>
      </w:pPr>
    </w:p>
    <w:p w14:paraId="14041065">
      <w:pPr>
        <w:pStyle w:val="33"/>
        <w:spacing w:line="400" w:lineRule="exact"/>
        <w:rPr>
          <w:color w:val="auto"/>
          <w:highlight w:val="none"/>
        </w:rPr>
      </w:pPr>
    </w:p>
    <w:p w14:paraId="19B52AD4">
      <w:pPr>
        <w:pStyle w:val="33"/>
        <w:spacing w:line="400" w:lineRule="exact"/>
        <w:rPr>
          <w:color w:val="auto"/>
          <w:highlight w:val="none"/>
        </w:rPr>
      </w:pPr>
    </w:p>
    <w:p w14:paraId="35553536">
      <w:pPr>
        <w:pStyle w:val="33"/>
        <w:spacing w:line="400" w:lineRule="exact"/>
        <w:jc w:val="center"/>
        <w:rPr>
          <w:b/>
          <w:bCs/>
          <w:color w:val="auto"/>
          <w:sz w:val="32"/>
          <w:szCs w:val="32"/>
          <w:highlight w:val="none"/>
        </w:rPr>
      </w:pPr>
      <w:r>
        <w:rPr>
          <w:b/>
          <w:bCs/>
          <w:color w:val="auto"/>
          <w:sz w:val="32"/>
          <w:szCs w:val="32"/>
          <w:highlight w:val="none"/>
        </w:rPr>
        <w:br w:type="page"/>
      </w:r>
      <w:r>
        <w:rPr>
          <w:b/>
          <w:bCs/>
          <w:color w:val="auto"/>
          <w:sz w:val="32"/>
          <w:szCs w:val="32"/>
          <w:highlight w:val="none"/>
        </w:rPr>
        <w:t>第二部分  通用条款（略)</w:t>
      </w:r>
    </w:p>
    <w:p w14:paraId="3B831293">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 一般约定</w:t>
      </w:r>
    </w:p>
    <w:p w14:paraId="23A78C43">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 词语定义与解释</w:t>
      </w:r>
    </w:p>
    <w:p w14:paraId="77CA5ACA">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 语言文字</w:t>
      </w:r>
    </w:p>
    <w:p w14:paraId="505C8F2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 法律</w:t>
      </w:r>
    </w:p>
    <w:p w14:paraId="7DDE53D3">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 标准和规范</w:t>
      </w:r>
    </w:p>
    <w:p w14:paraId="25D8E73D">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 合同文件的优先顺序</w:t>
      </w:r>
    </w:p>
    <w:p w14:paraId="14157D1F">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 图纸和承包人文件</w:t>
      </w:r>
    </w:p>
    <w:p w14:paraId="22B694FA">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 联络</w:t>
      </w:r>
    </w:p>
    <w:p w14:paraId="161D563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 严禁贿赂</w:t>
      </w:r>
    </w:p>
    <w:p w14:paraId="56496198">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 化石、文物</w:t>
      </w:r>
    </w:p>
    <w:p w14:paraId="1BB66F47">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 交通运输</w:t>
      </w:r>
    </w:p>
    <w:p w14:paraId="657B5E00">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 知识产权</w:t>
      </w:r>
    </w:p>
    <w:p w14:paraId="3BB76581">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2. 发包人</w:t>
      </w:r>
    </w:p>
    <w:p w14:paraId="0708CB42">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 许可或批准</w:t>
      </w:r>
    </w:p>
    <w:p w14:paraId="281423A0">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 发包人代表</w:t>
      </w:r>
    </w:p>
    <w:p w14:paraId="5296BD33">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 发包人人员</w:t>
      </w:r>
    </w:p>
    <w:p w14:paraId="326A76EE">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 施工现场、施工条件和基础资料的提供</w:t>
      </w:r>
    </w:p>
    <w:p w14:paraId="6A5A3F8E">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2.5 资金来源证明及支付担保</w:t>
      </w:r>
    </w:p>
    <w:p w14:paraId="3463A72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2.6 支付合同价款</w:t>
      </w:r>
    </w:p>
    <w:p w14:paraId="201DA566">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2.7 组织竣工验收</w:t>
      </w:r>
    </w:p>
    <w:p w14:paraId="1768A9E4">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2.8 现场统一管理协议</w:t>
      </w:r>
    </w:p>
    <w:p w14:paraId="5E10DD68">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3. 承包人</w:t>
      </w:r>
    </w:p>
    <w:p w14:paraId="2C117CC6">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 承包人的一般义务</w:t>
      </w:r>
    </w:p>
    <w:p w14:paraId="3BE08406">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 项目负责人</w:t>
      </w:r>
    </w:p>
    <w:p w14:paraId="53F87B52">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 承包人人员</w:t>
      </w:r>
    </w:p>
    <w:p w14:paraId="5D019A45">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 承包人现场查勘</w:t>
      </w:r>
    </w:p>
    <w:p w14:paraId="0165472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 分包</w:t>
      </w:r>
    </w:p>
    <w:p w14:paraId="07D9A81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3.6 工程照管与成品、半成品保护</w:t>
      </w:r>
    </w:p>
    <w:p w14:paraId="6BCFC0CA">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3.7 履约担保</w:t>
      </w:r>
    </w:p>
    <w:p w14:paraId="4E15291D">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 联合体</w:t>
      </w:r>
    </w:p>
    <w:p w14:paraId="496C761C">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4. 监理人</w:t>
      </w:r>
    </w:p>
    <w:p w14:paraId="618B7DC7">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4.1 监理人的一般规定</w:t>
      </w:r>
    </w:p>
    <w:p w14:paraId="7618DAEA">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4.2 监理人员</w:t>
      </w:r>
    </w:p>
    <w:p w14:paraId="7B519351">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4.3 监理人的指示</w:t>
      </w:r>
    </w:p>
    <w:p w14:paraId="5F83F09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4.4 商定或确定</w:t>
      </w:r>
    </w:p>
    <w:p w14:paraId="6D09E884">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5. 工程质量</w:t>
      </w:r>
    </w:p>
    <w:p w14:paraId="05CD691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 质量要求</w:t>
      </w:r>
    </w:p>
    <w:p w14:paraId="5DD9A2DB">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 质量保证措施</w:t>
      </w:r>
    </w:p>
    <w:p w14:paraId="58BCE74F">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 隐蔽工程检查</w:t>
      </w:r>
    </w:p>
    <w:p w14:paraId="1DC7E0CF">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5.4 不合格工程的处理</w:t>
      </w:r>
    </w:p>
    <w:p w14:paraId="2706A5B0">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5.5 质量争议检测</w:t>
      </w:r>
    </w:p>
    <w:p w14:paraId="7BC1B591">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6. 安全文明施工与环境保护</w:t>
      </w:r>
    </w:p>
    <w:p w14:paraId="1BA3345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 安全文明施工</w:t>
      </w:r>
    </w:p>
    <w:p w14:paraId="1EA7B03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6.2 职业健康</w:t>
      </w:r>
    </w:p>
    <w:p w14:paraId="6DEA72E8">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6.3 环境保护</w:t>
      </w:r>
    </w:p>
    <w:p w14:paraId="5DF7E0D6">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7. 工期和进度</w:t>
      </w:r>
    </w:p>
    <w:p w14:paraId="3BE9BA58">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7.1 施工组织设计</w:t>
      </w:r>
    </w:p>
    <w:p w14:paraId="4F122A61">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7.2 施工进度计划</w:t>
      </w:r>
    </w:p>
    <w:p w14:paraId="44EA05E4">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7.3 开工</w:t>
      </w:r>
    </w:p>
    <w:p w14:paraId="1D58A4CA">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7.4 测量放线</w:t>
      </w:r>
    </w:p>
    <w:p w14:paraId="40F1E3F7">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7.5 工期延误</w:t>
      </w:r>
    </w:p>
    <w:p w14:paraId="18421557">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7.6 不利物质条件</w:t>
      </w:r>
    </w:p>
    <w:p w14:paraId="5383472B">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7.7 异常恶劣的气候条件</w:t>
      </w:r>
    </w:p>
    <w:p w14:paraId="294016E6">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 暂停施工</w:t>
      </w:r>
    </w:p>
    <w:p w14:paraId="47648B9C">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7.9 提前竣工</w:t>
      </w:r>
    </w:p>
    <w:p w14:paraId="60A621D3">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8. 材料与设备</w:t>
      </w:r>
    </w:p>
    <w:p w14:paraId="74192DAC">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8.1 发包人供应材料与工程设备</w:t>
      </w:r>
    </w:p>
    <w:p w14:paraId="2556723C">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8.2 承包人采购材料与工程设备</w:t>
      </w:r>
    </w:p>
    <w:p w14:paraId="0CDBD18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8.3 材料与工程设备的接收与拒收</w:t>
      </w:r>
    </w:p>
    <w:p w14:paraId="5B93E5A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8.4 材料与工程设备的保管与使用</w:t>
      </w:r>
    </w:p>
    <w:p w14:paraId="01A011E5">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 禁止使用不合格的材料和工程设备</w:t>
      </w:r>
    </w:p>
    <w:p w14:paraId="63726D50">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 样品</w:t>
      </w:r>
    </w:p>
    <w:p w14:paraId="2FAEB385">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 材料与工程设备的替代</w:t>
      </w:r>
    </w:p>
    <w:p w14:paraId="3646877A">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 施工设备和临时设施</w:t>
      </w:r>
    </w:p>
    <w:p w14:paraId="2214CFB7">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8.9 材料与设备专用要求</w:t>
      </w:r>
    </w:p>
    <w:p w14:paraId="4B6905B9">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9. 试验与检验</w:t>
      </w:r>
    </w:p>
    <w:p w14:paraId="54DD96B4">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 试验设备与试验人员</w:t>
      </w:r>
    </w:p>
    <w:p w14:paraId="69FFC547">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9.2 取样</w:t>
      </w:r>
    </w:p>
    <w:p w14:paraId="0793C5CA">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9.3 材料、工程设备和工程的试验和检验</w:t>
      </w:r>
    </w:p>
    <w:p w14:paraId="1A168E37">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9.4 现场工艺试验</w:t>
      </w:r>
    </w:p>
    <w:p w14:paraId="6E622FC8">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10. 变更</w:t>
      </w:r>
    </w:p>
    <w:p w14:paraId="2C67B4C3">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10.1 变更的范围</w:t>
      </w:r>
    </w:p>
    <w:p w14:paraId="1BAE4EF1">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10.2 变更权</w:t>
      </w:r>
    </w:p>
    <w:p w14:paraId="712B16ED">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10.3 变更程序</w:t>
      </w:r>
    </w:p>
    <w:p w14:paraId="5C78F2EA">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 变更估价</w:t>
      </w:r>
    </w:p>
    <w:p w14:paraId="017D6780">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10.5 承包人的合理化建议</w:t>
      </w:r>
    </w:p>
    <w:p w14:paraId="2168CDE7">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10.6 变更引起的工期调整</w:t>
      </w:r>
    </w:p>
    <w:p w14:paraId="1F59DBF4">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10.7 暂估价</w:t>
      </w:r>
    </w:p>
    <w:p w14:paraId="706324DC">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10.8 暂列金额</w:t>
      </w:r>
    </w:p>
    <w:p w14:paraId="3C3EDBB1">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10.9 计日工</w:t>
      </w:r>
    </w:p>
    <w:p w14:paraId="4EEF9AC6">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11. 价格调整</w:t>
      </w:r>
    </w:p>
    <w:p w14:paraId="38BE427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 市场价格波动引起的调整</w:t>
      </w:r>
    </w:p>
    <w:p w14:paraId="32032E75">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 法律变化引起的调整</w:t>
      </w:r>
    </w:p>
    <w:p w14:paraId="668B4EE9">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12. 合同价格、计量与支付</w:t>
      </w:r>
    </w:p>
    <w:p w14:paraId="4551F442">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12.1 合同价格形式</w:t>
      </w:r>
    </w:p>
    <w:p w14:paraId="251138E0">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12.2 预付款</w:t>
      </w:r>
    </w:p>
    <w:p w14:paraId="6EFD9FC6">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 计量</w:t>
      </w:r>
    </w:p>
    <w:p w14:paraId="2F3F6521">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 工程进度款支付</w:t>
      </w:r>
    </w:p>
    <w:p w14:paraId="301AFB94">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12.5 支付账户</w:t>
      </w:r>
    </w:p>
    <w:p w14:paraId="4C2AD8B3">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13. 验收和工程试车</w:t>
      </w:r>
    </w:p>
    <w:p w14:paraId="63188C27">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13.1 分部分项工程验收</w:t>
      </w:r>
    </w:p>
    <w:p w14:paraId="53D7649F">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 竣工验收</w:t>
      </w:r>
    </w:p>
    <w:p w14:paraId="5393247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 工程试车</w:t>
      </w:r>
    </w:p>
    <w:p w14:paraId="54E2C58A">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13.4 提前交付单位工程的验收</w:t>
      </w:r>
    </w:p>
    <w:p w14:paraId="5C502BFB">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13.5 施工期运行</w:t>
      </w:r>
    </w:p>
    <w:p w14:paraId="41F543EE">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 竣工退场</w:t>
      </w:r>
    </w:p>
    <w:p w14:paraId="0DC93FBF">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14. 竣工结算</w:t>
      </w:r>
    </w:p>
    <w:p w14:paraId="5DC2B177">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 竣工结算申请</w:t>
      </w:r>
    </w:p>
    <w:p w14:paraId="66C7694F">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竣工结算审核</w:t>
      </w:r>
    </w:p>
    <w:p w14:paraId="420CFDCD">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14.3 甩项竣工协议</w:t>
      </w:r>
    </w:p>
    <w:p w14:paraId="2F5CD5EB">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 最终结清</w:t>
      </w:r>
    </w:p>
    <w:p w14:paraId="21C2B2EB">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15. 缺陷责任与保修</w:t>
      </w:r>
    </w:p>
    <w:p w14:paraId="29690981">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15.1 工程保修的原则</w:t>
      </w:r>
    </w:p>
    <w:p w14:paraId="25ED191B">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 缺陷责任期</w:t>
      </w:r>
    </w:p>
    <w:p w14:paraId="5F9DB138">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15.3 质量保证金</w:t>
      </w:r>
    </w:p>
    <w:p w14:paraId="18EE72AE">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 保修</w:t>
      </w:r>
    </w:p>
    <w:p w14:paraId="3F5A7317">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16. 违约</w:t>
      </w:r>
    </w:p>
    <w:p w14:paraId="53E33D47">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 发包人违约</w:t>
      </w:r>
    </w:p>
    <w:p w14:paraId="37A51CA2">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 承包人违约</w:t>
      </w:r>
    </w:p>
    <w:p w14:paraId="6ACD0D8D">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16.3 第三人造成的违约</w:t>
      </w:r>
    </w:p>
    <w:p w14:paraId="030D6134">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17. 不可抗力</w:t>
      </w:r>
    </w:p>
    <w:p w14:paraId="7EF5EDB8">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 不可抗力的确认</w:t>
      </w:r>
    </w:p>
    <w:p w14:paraId="12B146BD">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不可抗力的通知</w:t>
      </w:r>
    </w:p>
    <w:p w14:paraId="0E87E0A5">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 不可抗力后果的承担</w:t>
      </w:r>
    </w:p>
    <w:p w14:paraId="5C4E079C">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17.4 因不可抗力解除合同</w:t>
      </w:r>
    </w:p>
    <w:p w14:paraId="6B62E045">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18. 保险</w:t>
      </w:r>
    </w:p>
    <w:p w14:paraId="6CF68ACB">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18.1 工程保险</w:t>
      </w:r>
    </w:p>
    <w:p w14:paraId="132C7360">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18.2 工伤保险</w:t>
      </w:r>
    </w:p>
    <w:p w14:paraId="25523B5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18.3 其他保险</w:t>
      </w:r>
    </w:p>
    <w:p w14:paraId="77CAE9A2">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18.4 持续保险</w:t>
      </w:r>
    </w:p>
    <w:p w14:paraId="3818815A">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18.5 保险凭证</w:t>
      </w:r>
    </w:p>
    <w:p w14:paraId="0CC3B4D2">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18.6 未按约定投保的补救</w:t>
      </w:r>
    </w:p>
    <w:p w14:paraId="19E8DA4F">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18.7 通知义务</w:t>
      </w:r>
    </w:p>
    <w:p w14:paraId="1B9AAA1F">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19. 索赔</w:t>
      </w:r>
    </w:p>
    <w:p w14:paraId="49178321">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19.1 承包人的索赔</w:t>
      </w:r>
    </w:p>
    <w:p w14:paraId="6C17D5A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19.2 对承包人索赔的处理</w:t>
      </w:r>
    </w:p>
    <w:p w14:paraId="3E8DD75A">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19.3 发包人的索赔</w:t>
      </w:r>
    </w:p>
    <w:p w14:paraId="1A4B339C">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19.4 对发包人索赔的处理</w:t>
      </w:r>
    </w:p>
    <w:p w14:paraId="3710BDF0">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19.5 提出索赔的期限</w:t>
      </w:r>
    </w:p>
    <w:p w14:paraId="010949F9">
      <w:pPr>
        <w:autoSpaceDE w:val="0"/>
        <w:autoSpaceDN w:val="0"/>
        <w:adjustRightInd w:val="0"/>
        <w:spacing w:line="40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20. 争议解决</w:t>
      </w:r>
    </w:p>
    <w:p w14:paraId="30D50B6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20.1 和解</w:t>
      </w:r>
    </w:p>
    <w:p w14:paraId="1B4CDDC9">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20.2 调解</w:t>
      </w:r>
    </w:p>
    <w:p w14:paraId="536799DA">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 争议评审</w:t>
      </w:r>
    </w:p>
    <w:p w14:paraId="4DCDC45E">
      <w:pPr>
        <w:autoSpaceDE w:val="0"/>
        <w:autoSpaceDN w:val="0"/>
        <w:adjustRightInd w:val="0"/>
        <w:spacing w:line="4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20.4 仲裁或诉讼</w:t>
      </w:r>
    </w:p>
    <w:p w14:paraId="3FABEC61">
      <w:pPr>
        <w:autoSpaceDE w:val="0"/>
        <w:autoSpaceDN w:val="0"/>
        <w:adjustRightInd w:val="0"/>
        <w:spacing w:line="400" w:lineRule="exact"/>
        <w:ind w:firstLine="480" w:firstLineChars="200"/>
        <w:jc w:val="left"/>
        <w:rPr>
          <w:rFonts w:hAnsi="宋体"/>
          <w:color w:val="auto"/>
          <w:kern w:val="0"/>
          <w:sz w:val="21"/>
          <w:szCs w:val="21"/>
          <w:highlight w:val="none"/>
        </w:rPr>
      </w:pPr>
      <w:r>
        <w:rPr>
          <w:rFonts w:hint="eastAsia" w:ascii="宋体" w:hAnsi="宋体" w:eastAsia="宋体" w:cs="宋体"/>
          <w:color w:val="auto"/>
          <w:kern w:val="0"/>
          <w:sz w:val="24"/>
          <w:szCs w:val="24"/>
          <w:highlight w:val="none"/>
        </w:rPr>
        <w:t>20.5 争议解决条款效力</w:t>
      </w:r>
    </w:p>
    <w:p w14:paraId="3016AEF8">
      <w:pPr>
        <w:pStyle w:val="2"/>
        <w:jc w:val="center"/>
        <w:rPr>
          <w:rFonts w:hAnsi="Courier New"/>
          <w:color w:val="auto"/>
          <w:kern w:val="2"/>
          <w:sz w:val="32"/>
          <w:szCs w:val="32"/>
          <w:highlight w:val="none"/>
        </w:rPr>
      </w:pPr>
      <w:r>
        <w:rPr>
          <w:color w:val="auto"/>
          <w:highlight w:val="none"/>
        </w:rPr>
        <w:br w:type="page"/>
      </w:r>
      <w:r>
        <w:rPr>
          <w:rFonts w:hint="eastAsia" w:hAnsi="Courier New"/>
          <w:color w:val="auto"/>
          <w:kern w:val="2"/>
          <w:sz w:val="32"/>
          <w:szCs w:val="32"/>
          <w:highlight w:val="none"/>
        </w:rPr>
        <w:t>第三部分专用合同条款</w:t>
      </w:r>
    </w:p>
    <w:p w14:paraId="5D5930C5">
      <w:pPr>
        <w:pStyle w:val="6"/>
        <w:spacing w:line="360" w:lineRule="auto"/>
        <w:rPr>
          <w:rFonts w:ascii="宋体" w:hAnsi="宋体"/>
          <w:color w:val="auto"/>
          <w:sz w:val="24"/>
          <w:szCs w:val="24"/>
          <w:highlight w:val="none"/>
        </w:rPr>
      </w:pPr>
      <w:bookmarkStart w:id="399" w:name="_Toc351203633"/>
      <w:bookmarkEnd w:id="399"/>
      <w:bookmarkStart w:id="400" w:name="_Toc351203652"/>
      <w:r>
        <w:rPr>
          <w:rFonts w:hint="eastAsia" w:ascii="宋体" w:hAnsi="宋体"/>
          <w:color w:val="auto"/>
          <w:sz w:val="24"/>
          <w:szCs w:val="24"/>
          <w:highlight w:val="none"/>
        </w:rPr>
        <w:t>1</w:t>
      </w:r>
      <w:bookmarkEnd w:id="400"/>
      <w:bookmarkStart w:id="401" w:name="_Toc297120456"/>
      <w:bookmarkEnd w:id="401"/>
      <w:bookmarkStart w:id="402" w:name="_Toc292559361"/>
      <w:bookmarkEnd w:id="402"/>
      <w:bookmarkStart w:id="403" w:name="_Toc296347155"/>
      <w:bookmarkEnd w:id="403"/>
      <w:bookmarkStart w:id="404" w:name="_Toc296944495"/>
      <w:bookmarkEnd w:id="404"/>
      <w:bookmarkStart w:id="405" w:name="_Toc296503156"/>
      <w:bookmarkEnd w:id="405"/>
      <w:bookmarkStart w:id="406" w:name="_Toc296891196"/>
      <w:bookmarkEnd w:id="406"/>
      <w:bookmarkStart w:id="407" w:name="_Toc292559866"/>
      <w:bookmarkEnd w:id="407"/>
      <w:bookmarkStart w:id="408" w:name="_Toc296890984"/>
      <w:bookmarkEnd w:id="408"/>
      <w:bookmarkStart w:id="409" w:name="_Toc296346657"/>
      <w:bookmarkEnd w:id="409"/>
      <w:bookmarkStart w:id="410" w:name="_Toc297048342"/>
      <w:r>
        <w:rPr>
          <w:rFonts w:hint="eastAsia" w:ascii="宋体" w:hAnsi="宋体"/>
          <w:color w:val="auto"/>
          <w:sz w:val="24"/>
          <w:szCs w:val="24"/>
          <w:highlight w:val="none"/>
        </w:rPr>
        <w:t>. 一般约定</w:t>
      </w:r>
      <w:bookmarkEnd w:id="410"/>
    </w:p>
    <w:p w14:paraId="4DEC043A">
      <w:pPr>
        <w:spacing w:line="360" w:lineRule="auto"/>
        <w:rPr>
          <w:rFonts w:hAnsi="宋体"/>
          <w:b/>
          <w:bCs/>
          <w:color w:val="auto"/>
          <w:sz w:val="24"/>
          <w:szCs w:val="24"/>
          <w:highlight w:val="none"/>
        </w:rPr>
      </w:pPr>
      <w:r>
        <w:rPr>
          <w:rFonts w:hint="eastAsia" w:hAnsi="宋体"/>
          <w:b/>
          <w:bCs/>
          <w:color w:val="auto"/>
          <w:sz w:val="24"/>
          <w:szCs w:val="24"/>
          <w:highlight w:val="none"/>
        </w:rPr>
        <w:t>1.1 词语定义</w:t>
      </w:r>
    </w:p>
    <w:p w14:paraId="00EEDC3B">
      <w:pPr>
        <w:spacing w:line="360" w:lineRule="auto"/>
        <w:rPr>
          <w:rFonts w:hAnsi="宋体"/>
          <w:color w:val="auto"/>
          <w:kern w:val="0"/>
          <w:sz w:val="24"/>
          <w:szCs w:val="24"/>
          <w:highlight w:val="none"/>
        </w:rPr>
      </w:pPr>
      <w:r>
        <w:rPr>
          <w:rFonts w:hint="eastAsia" w:hAnsi="宋体"/>
          <w:color w:val="auto"/>
          <w:kern w:val="0"/>
          <w:sz w:val="24"/>
          <w:szCs w:val="24"/>
          <w:highlight w:val="none"/>
        </w:rPr>
        <w:t>1.1.1合同</w:t>
      </w:r>
    </w:p>
    <w:p w14:paraId="1B6BF206">
      <w:pPr>
        <w:spacing w:line="360" w:lineRule="auto"/>
        <w:rPr>
          <w:rFonts w:hAnsi="宋体"/>
          <w:color w:val="auto"/>
          <w:kern w:val="0"/>
          <w:sz w:val="24"/>
          <w:szCs w:val="24"/>
          <w:highlight w:val="none"/>
        </w:rPr>
      </w:pPr>
      <w:r>
        <w:rPr>
          <w:rFonts w:hint="eastAsia" w:hAnsi="宋体"/>
          <w:color w:val="auto"/>
          <w:kern w:val="0"/>
          <w:sz w:val="24"/>
          <w:szCs w:val="24"/>
          <w:highlight w:val="none"/>
        </w:rPr>
        <w:t>1.1.1.10其他合同文件包括：</w:t>
      </w:r>
    </w:p>
    <w:p w14:paraId="3DCE7851">
      <w:pPr>
        <w:spacing w:line="360" w:lineRule="auto"/>
        <w:rPr>
          <w:rFonts w:hAnsi="宋体"/>
          <w:b/>
          <w:bCs/>
          <w:color w:val="auto"/>
          <w:sz w:val="24"/>
          <w:szCs w:val="24"/>
          <w:highlight w:val="none"/>
          <w:u w:val="single"/>
        </w:rPr>
      </w:pPr>
      <w:r>
        <w:rPr>
          <w:rFonts w:hint="eastAsia" w:hAnsi="宋体"/>
          <w:b/>
          <w:bCs/>
          <w:color w:val="auto"/>
          <w:kern w:val="0"/>
          <w:sz w:val="24"/>
          <w:szCs w:val="24"/>
          <w:highlight w:val="none"/>
          <w:u w:val="single"/>
        </w:rPr>
        <w:t>施工组织设计：</w:t>
      </w:r>
      <w:r>
        <w:rPr>
          <w:rFonts w:hint="eastAsia" w:hAnsi="宋体"/>
          <w:b/>
          <w:bCs/>
          <w:color w:val="auto"/>
          <w:sz w:val="24"/>
          <w:szCs w:val="24"/>
          <w:highlight w:val="none"/>
          <w:u w:val="single"/>
        </w:rPr>
        <w:t>施工组织</w:t>
      </w:r>
      <w:r>
        <w:rPr>
          <w:color w:val="auto"/>
          <w:highlight w:val="none"/>
        </w:rPr>
        <w:fldChar w:fldCharType="begin"/>
      </w:r>
      <w:r>
        <w:rPr>
          <w:color w:val="auto"/>
          <w:highlight w:val="none"/>
        </w:rPr>
        <w:instrText xml:space="preserve"> HYPERLINK "http://baike.baidu.com/view/14417.htm" </w:instrText>
      </w:r>
      <w:r>
        <w:rPr>
          <w:color w:val="auto"/>
          <w:highlight w:val="none"/>
        </w:rPr>
        <w:fldChar w:fldCharType="separate"/>
      </w:r>
      <w:r>
        <w:rPr>
          <w:rFonts w:hint="eastAsia" w:hAnsi="宋体"/>
          <w:b/>
          <w:bCs/>
          <w:color w:val="auto"/>
          <w:sz w:val="24"/>
          <w:szCs w:val="24"/>
          <w:highlight w:val="none"/>
          <w:u w:val="single"/>
        </w:rPr>
        <w:t>设计</w:t>
      </w:r>
      <w:r>
        <w:rPr>
          <w:rFonts w:hint="eastAsia" w:hAnsi="宋体"/>
          <w:b/>
          <w:bCs/>
          <w:color w:val="auto"/>
          <w:sz w:val="24"/>
          <w:szCs w:val="24"/>
          <w:highlight w:val="none"/>
          <w:u w:val="single"/>
        </w:rPr>
        <w:fldChar w:fldCharType="end"/>
      </w:r>
      <w:r>
        <w:rPr>
          <w:rFonts w:hint="eastAsia" w:hAnsi="宋体"/>
          <w:b/>
          <w:bCs/>
          <w:color w:val="auto"/>
          <w:sz w:val="24"/>
          <w:szCs w:val="24"/>
          <w:highlight w:val="none"/>
          <w:u w:val="single"/>
        </w:rPr>
        <w:t>是用来指导</w:t>
      </w:r>
      <w:r>
        <w:rPr>
          <w:color w:val="auto"/>
          <w:highlight w:val="none"/>
        </w:rPr>
        <w:fldChar w:fldCharType="begin"/>
      </w:r>
      <w:r>
        <w:rPr>
          <w:color w:val="auto"/>
          <w:highlight w:val="none"/>
        </w:rPr>
        <w:instrText xml:space="preserve"> HYPERLINK "http://baike.baidu.com/view/1094820.htm" </w:instrText>
      </w:r>
      <w:r>
        <w:rPr>
          <w:color w:val="auto"/>
          <w:highlight w:val="none"/>
        </w:rPr>
        <w:fldChar w:fldCharType="separate"/>
      </w:r>
      <w:r>
        <w:rPr>
          <w:rFonts w:hint="eastAsia" w:hAnsi="宋体"/>
          <w:b/>
          <w:bCs/>
          <w:color w:val="auto"/>
          <w:sz w:val="24"/>
          <w:szCs w:val="24"/>
          <w:highlight w:val="none"/>
          <w:u w:val="single"/>
        </w:rPr>
        <w:t>施工项目</w:t>
      </w:r>
      <w:r>
        <w:rPr>
          <w:rFonts w:hint="eastAsia" w:hAnsi="宋体"/>
          <w:b/>
          <w:bCs/>
          <w:color w:val="auto"/>
          <w:sz w:val="24"/>
          <w:szCs w:val="24"/>
          <w:highlight w:val="none"/>
          <w:u w:val="single"/>
        </w:rPr>
        <w:fldChar w:fldCharType="end"/>
      </w:r>
      <w:r>
        <w:rPr>
          <w:rFonts w:hint="eastAsia" w:hAnsi="宋体"/>
          <w:b/>
          <w:bCs/>
          <w:color w:val="auto"/>
          <w:sz w:val="24"/>
          <w:szCs w:val="24"/>
          <w:highlight w:val="none"/>
          <w:u w:val="single"/>
        </w:rPr>
        <w:t>全过程各项活动的技术、经济和组织的综合性文件。</w:t>
      </w:r>
    </w:p>
    <w:p w14:paraId="497C4D9D">
      <w:pPr>
        <w:spacing w:line="360" w:lineRule="auto"/>
        <w:rPr>
          <w:rFonts w:hAnsi="宋体"/>
          <w:color w:val="auto"/>
          <w:sz w:val="24"/>
          <w:szCs w:val="24"/>
          <w:highlight w:val="none"/>
        </w:rPr>
      </w:pPr>
      <w:r>
        <w:rPr>
          <w:rFonts w:hint="eastAsia" w:hAnsi="宋体"/>
          <w:color w:val="auto"/>
          <w:sz w:val="24"/>
          <w:szCs w:val="24"/>
          <w:highlight w:val="none"/>
        </w:rPr>
        <w:t>1.1.2 合同当事人及其他相关方</w:t>
      </w:r>
    </w:p>
    <w:p w14:paraId="6A91D825">
      <w:pPr>
        <w:spacing w:line="360" w:lineRule="auto"/>
        <w:rPr>
          <w:rFonts w:hAnsi="宋体"/>
          <w:color w:val="auto"/>
          <w:sz w:val="24"/>
          <w:szCs w:val="24"/>
          <w:highlight w:val="none"/>
        </w:rPr>
      </w:pPr>
      <w:r>
        <w:rPr>
          <w:rFonts w:hint="eastAsia" w:hAnsi="宋体"/>
          <w:color w:val="auto"/>
          <w:sz w:val="24"/>
          <w:szCs w:val="24"/>
          <w:highlight w:val="none"/>
        </w:rPr>
        <w:t>1.1.2.4监理人：</w:t>
      </w:r>
    </w:p>
    <w:p w14:paraId="7A03ABBD">
      <w:pPr>
        <w:spacing w:line="360" w:lineRule="auto"/>
        <w:rPr>
          <w:rFonts w:hAnsi="宋体"/>
          <w:color w:val="auto"/>
          <w:sz w:val="24"/>
          <w:szCs w:val="24"/>
          <w:highlight w:val="none"/>
          <w:u w:val="single"/>
        </w:rPr>
      </w:pPr>
      <w:r>
        <w:rPr>
          <w:rFonts w:hint="eastAsia" w:hAnsi="宋体"/>
          <w:color w:val="auto"/>
          <w:sz w:val="24"/>
          <w:szCs w:val="24"/>
          <w:highlight w:val="none"/>
        </w:rPr>
        <w:t>名    称：</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54A4713B">
      <w:pPr>
        <w:spacing w:line="360" w:lineRule="auto"/>
        <w:rPr>
          <w:rFonts w:hAnsi="宋体"/>
          <w:color w:val="auto"/>
          <w:sz w:val="24"/>
          <w:szCs w:val="24"/>
          <w:highlight w:val="none"/>
        </w:rPr>
      </w:pPr>
      <w:r>
        <w:rPr>
          <w:rFonts w:hint="eastAsia" w:hAnsi="宋体"/>
          <w:color w:val="auto"/>
          <w:sz w:val="24"/>
          <w:szCs w:val="24"/>
          <w:highlight w:val="none"/>
        </w:rPr>
        <w:t>资质类别和等级：</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05DF0F4D">
      <w:pPr>
        <w:spacing w:line="360" w:lineRule="auto"/>
        <w:rPr>
          <w:rFonts w:hAnsi="宋体"/>
          <w:color w:val="auto"/>
          <w:sz w:val="24"/>
          <w:szCs w:val="24"/>
          <w:highlight w:val="none"/>
        </w:rPr>
      </w:pPr>
      <w:r>
        <w:rPr>
          <w:rFonts w:hint="eastAsia" w:hAnsi="宋体"/>
          <w:color w:val="auto"/>
          <w:sz w:val="24"/>
          <w:szCs w:val="24"/>
          <w:highlight w:val="none"/>
        </w:rPr>
        <w:t>联系电话：</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772F1925">
      <w:pPr>
        <w:spacing w:line="360" w:lineRule="auto"/>
        <w:rPr>
          <w:rFonts w:hAnsi="宋体"/>
          <w:color w:val="auto"/>
          <w:sz w:val="24"/>
          <w:szCs w:val="24"/>
          <w:highlight w:val="none"/>
        </w:rPr>
      </w:pPr>
      <w:r>
        <w:rPr>
          <w:rFonts w:hint="eastAsia" w:hAnsi="宋体"/>
          <w:color w:val="auto"/>
          <w:sz w:val="24"/>
          <w:szCs w:val="24"/>
          <w:highlight w:val="none"/>
        </w:rPr>
        <w:t>电子信箱：</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1FCC31A3">
      <w:pPr>
        <w:spacing w:line="360" w:lineRule="auto"/>
        <w:rPr>
          <w:rFonts w:hAnsi="宋体"/>
          <w:color w:val="auto"/>
          <w:sz w:val="24"/>
          <w:szCs w:val="24"/>
          <w:highlight w:val="none"/>
        </w:rPr>
      </w:pPr>
      <w:r>
        <w:rPr>
          <w:rFonts w:hint="eastAsia" w:hAnsi="宋体"/>
          <w:color w:val="auto"/>
          <w:sz w:val="24"/>
          <w:szCs w:val="24"/>
          <w:highlight w:val="none"/>
        </w:rPr>
        <w:t>通信地址：</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1A01025C">
      <w:pPr>
        <w:spacing w:line="360" w:lineRule="auto"/>
        <w:rPr>
          <w:rFonts w:hAnsi="宋体"/>
          <w:color w:val="auto"/>
          <w:sz w:val="24"/>
          <w:szCs w:val="24"/>
          <w:highlight w:val="none"/>
        </w:rPr>
      </w:pPr>
      <w:r>
        <w:rPr>
          <w:rFonts w:hint="eastAsia" w:hAnsi="宋体"/>
          <w:color w:val="auto"/>
          <w:sz w:val="24"/>
          <w:szCs w:val="24"/>
          <w:highlight w:val="none"/>
        </w:rPr>
        <w:t>1.1.2.5 设计人：</w:t>
      </w:r>
    </w:p>
    <w:p w14:paraId="63665748">
      <w:pPr>
        <w:spacing w:line="360" w:lineRule="auto"/>
        <w:rPr>
          <w:rFonts w:hAnsi="宋体"/>
          <w:color w:val="auto"/>
          <w:sz w:val="24"/>
          <w:szCs w:val="24"/>
          <w:highlight w:val="none"/>
        </w:rPr>
      </w:pPr>
      <w:r>
        <w:rPr>
          <w:rFonts w:hint="eastAsia" w:hAnsi="宋体"/>
          <w:color w:val="auto"/>
          <w:sz w:val="24"/>
          <w:szCs w:val="24"/>
          <w:highlight w:val="none"/>
        </w:rPr>
        <w:t>名    称：</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11F53A03">
      <w:pPr>
        <w:spacing w:line="360" w:lineRule="auto"/>
        <w:rPr>
          <w:rFonts w:hAnsi="宋体"/>
          <w:color w:val="auto"/>
          <w:sz w:val="24"/>
          <w:szCs w:val="24"/>
          <w:highlight w:val="none"/>
        </w:rPr>
      </w:pPr>
      <w:r>
        <w:rPr>
          <w:rFonts w:hint="eastAsia" w:hAnsi="宋体"/>
          <w:color w:val="auto"/>
          <w:sz w:val="24"/>
          <w:szCs w:val="24"/>
          <w:highlight w:val="none"/>
        </w:rPr>
        <w:t>资质类别和等级：</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37803D69">
      <w:pPr>
        <w:spacing w:line="360" w:lineRule="auto"/>
        <w:rPr>
          <w:rFonts w:hAnsi="宋体"/>
          <w:color w:val="auto"/>
          <w:sz w:val="24"/>
          <w:szCs w:val="24"/>
          <w:highlight w:val="none"/>
        </w:rPr>
      </w:pPr>
      <w:r>
        <w:rPr>
          <w:rFonts w:hint="eastAsia" w:hAnsi="宋体"/>
          <w:color w:val="auto"/>
          <w:sz w:val="24"/>
          <w:szCs w:val="24"/>
          <w:highlight w:val="none"/>
        </w:rPr>
        <w:t>联系电话：</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7A25D8D0">
      <w:pPr>
        <w:spacing w:line="360" w:lineRule="auto"/>
        <w:rPr>
          <w:rFonts w:hAnsi="宋体"/>
          <w:color w:val="auto"/>
          <w:sz w:val="24"/>
          <w:szCs w:val="24"/>
          <w:highlight w:val="none"/>
        </w:rPr>
      </w:pPr>
      <w:r>
        <w:rPr>
          <w:rFonts w:hint="eastAsia" w:hAnsi="宋体"/>
          <w:color w:val="auto"/>
          <w:sz w:val="24"/>
          <w:szCs w:val="24"/>
          <w:highlight w:val="none"/>
        </w:rPr>
        <w:t>电子信箱：</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3FA7D96D">
      <w:pPr>
        <w:spacing w:line="360" w:lineRule="auto"/>
        <w:rPr>
          <w:rFonts w:hAnsi="宋体"/>
          <w:color w:val="auto"/>
          <w:sz w:val="24"/>
          <w:szCs w:val="24"/>
          <w:highlight w:val="none"/>
        </w:rPr>
      </w:pPr>
      <w:r>
        <w:rPr>
          <w:rFonts w:hint="eastAsia" w:hAnsi="宋体"/>
          <w:color w:val="auto"/>
          <w:sz w:val="24"/>
          <w:szCs w:val="24"/>
          <w:highlight w:val="none"/>
        </w:rPr>
        <w:t>通信地址：</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12A8C4C2">
      <w:pPr>
        <w:spacing w:line="360" w:lineRule="auto"/>
        <w:rPr>
          <w:rFonts w:hAnsi="宋体"/>
          <w:color w:val="auto"/>
          <w:sz w:val="24"/>
          <w:szCs w:val="24"/>
          <w:highlight w:val="none"/>
        </w:rPr>
      </w:pPr>
      <w:r>
        <w:rPr>
          <w:rFonts w:hint="eastAsia" w:hAnsi="宋体"/>
          <w:color w:val="auto"/>
          <w:sz w:val="24"/>
          <w:szCs w:val="24"/>
          <w:highlight w:val="none"/>
        </w:rPr>
        <w:t>1.1.3 工程和设备</w:t>
      </w:r>
    </w:p>
    <w:p w14:paraId="63EA9E8B">
      <w:pPr>
        <w:spacing w:line="360" w:lineRule="auto"/>
        <w:rPr>
          <w:rFonts w:hAnsi="宋体"/>
          <w:color w:val="auto"/>
          <w:sz w:val="24"/>
          <w:szCs w:val="24"/>
          <w:highlight w:val="none"/>
        </w:rPr>
      </w:pPr>
      <w:r>
        <w:rPr>
          <w:rFonts w:hint="eastAsia" w:hAnsi="宋体"/>
          <w:color w:val="auto"/>
          <w:sz w:val="24"/>
          <w:szCs w:val="24"/>
          <w:highlight w:val="none"/>
        </w:rPr>
        <w:t>1.1.3.7 作为施工现场组成部分的其他场所包括：。</w:t>
      </w:r>
    </w:p>
    <w:p w14:paraId="1C512594">
      <w:pPr>
        <w:spacing w:line="360" w:lineRule="auto"/>
        <w:rPr>
          <w:rFonts w:hAnsi="宋体"/>
          <w:color w:val="auto"/>
          <w:kern w:val="0"/>
          <w:sz w:val="24"/>
          <w:szCs w:val="24"/>
          <w:highlight w:val="none"/>
        </w:rPr>
      </w:pPr>
      <w:r>
        <w:rPr>
          <w:rFonts w:hint="eastAsia" w:hAnsi="宋体"/>
          <w:color w:val="auto"/>
          <w:kern w:val="0"/>
          <w:sz w:val="24"/>
          <w:szCs w:val="24"/>
          <w:highlight w:val="none"/>
        </w:rPr>
        <w:t>1.1.3.9 永久占地包括</w:t>
      </w:r>
      <w:r>
        <w:rPr>
          <w:rFonts w:hint="eastAsia" w:hAnsi="宋体"/>
          <w:color w:val="auto"/>
          <w:kern w:val="0"/>
          <w:sz w:val="24"/>
          <w:szCs w:val="24"/>
          <w:highlight w:val="none"/>
          <w:u w:val="single"/>
        </w:rPr>
        <w:t xml:space="preserve">   /  </w:t>
      </w:r>
      <w:r>
        <w:rPr>
          <w:rFonts w:hint="eastAsia" w:hAnsi="宋体"/>
          <w:color w:val="auto"/>
          <w:sz w:val="24"/>
          <w:szCs w:val="24"/>
          <w:highlight w:val="none"/>
        </w:rPr>
        <w:t>。</w:t>
      </w:r>
    </w:p>
    <w:p w14:paraId="178F56A2">
      <w:pPr>
        <w:spacing w:line="360" w:lineRule="auto"/>
        <w:rPr>
          <w:rFonts w:hAnsi="宋体"/>
          <w:color w:val="auto"/>
          <w:sz w:val="24"/>
          <w:szCs w:val="24"/>
          <w:highlight w:val="none"/>
        </w:rPr>
      </w:pPr>
      <w:r>
        <w:rPr>
          <w:rFonts w:hint="eastAsia" w:hAnsi="宋体"/>
          <w:color w:val="auto"/>
          <w:kern w:val="0"/>
          <w:sz w:val="24"/>
          <w:szCs w:val="24"/>
          <w:highlight w:val="none"/>
        </w:rPr>
        <w:t>1.1.3.10 临时占地包括：</w:t>
      </w:r>
      <w:r>
        <w:rPr>
          <w:rFonts w:hint="eastAsia" w:hAnsi="宋体"/>
          <w:color w:val="auto"/>
          <w:kern w:val="0"/>
          <w:sz w:val="24"/>
          <w:szCs w:val="24"/>
          <w:highlight w:val="none"/>
          <w:u w:val="single"/>
        </w:rPr>
        <w:t xml:space="preserve">   /  </w:t>
      </w:r>
      <w:r>
        <w:rPr>
          <w:rFonts w:hint="eastAsia" w:hAnsi="宋体"/>
          <w:color w:val="auto"/>
          <w:sz w:val="24"/>
          <w:szCs w:val="24"/>
          <w:highlight w:val="none"/>
        </w:rPr>
        <w:t>。</w:t>
      </w:r>
    </w:p>
    <w:p w14:paraId="62937E09">
      <w:pPr>
        <w:spacing w:line="360" w:lineRule="auto"/>
        <w:rPr>
          <w:rFonts w:hAnsi="宋体"/>
          <w:b/>
          <w:bCs/>
          <w:color w:val="auto"/>
          <w:sz w:val="24"/>
          <w:szCs w:val="24"/>
          <w:highlight w:val="none"/>
        </w:rPr>
      </w:pPr>
      <w:r>
        <w:rPr>
          <w:rFonts w:hint="eastAsia" w:hAnsi="宋体"/>
          <w:b/>
          <w:bCs/>
          <w:color w:val="auto"/>
          <w:sz w:val="24"/>
          <w:szCs w:val="24"/>
          <w:highlight w:val="none"/>
        </w:rPr>
        <w:t xml:space="preserve">1.3法律 </w:t>
      </w:r>
    </w:p>
    <w:p w14:paraId="7F3D0DD9">
      <w:pPr>
        <w:spacing w:line="360" w:lineRule="auto"/>
        <w:rPr>
          <w:rFonts w:hAnsi="宋体"/>
          <w:color w:val="auto"/>
          <w:sz w:val="24"/>
          <w:szCs w:val="24"/>
          <w:highlight w:val="none"/>
        </w:rPr>
      </w:pPr>
      <w:r>
        <w:rPr>
          <w:rFonts w:hint="eastAsia" w:hAnsi="宋体"/>
          <w:color w:val="auto"/>
          <w:sz w:val="24"/>
          <w:szCs w:val="24"/>
          <w:highlight w:val="none"/>
        </w:rPr>
        <w:t>适用于合同的其他规范性文件：</w:t>
      </w:r>
    </w:p>
    <w:p w14:paraId="31BC8E1E">
      <w:pPr>
        <w:pStyle w:val="33"/>
        <w:spacing w:line="360" w:lineRule="auto"/>
        <w:ind w:right="32"/>
        <w:rPr>
          <w:rFonts w:hAnsi="宋体"/>
          <w:color w:val="auto"/>
          <w:sz w:val="24"/>
          <w:szCs w:val="24"/>
          <w:highlight w:val="none"/>
          <w:u w:val="single"/>
        </w:rPr>
      </w:pPr>
      <w:r>
        <w:rPr>
          <w:rFonts w:hint="eastAsia" w:hAnsi="宋体"/>
          <w:color w:val="auto"/>
          <w:sz w:val="24"/>
          <w:szCs w:val="24"/>
          <w:highlight w:val="none"/>
          <w:u w:val="single"/>
        </w:rPr>
        <w:t>（1）《杭州市建设工程工程量清单计价实施细则》</w:t>
      </w:r>
    </w:p>
    <w:p w14:paraId="1908FE72">
      <w:pPr>
        <w:pStyle w:val="33"/>
        <w:spacing w:line="360" w:lineRule="auto"/>
        <w:ind w:right="32"/>
        <w:rPr>
          <w:rFonts w:hAnsi="宋体"/>
          <w:color w:val="auto"/>
          <w:sz w:val="24"/>
          <w:szCs w:val="24"/>
          <w:highlight w:val="none"/>
          <w:u w:val="single"/>
        </w:rPr>
      </w:pPr>
      <w:r>
        <w:rPr>
          <w:rFonts w:hint="eastAsia" w:hAnsi="宋体"/>
          <w:color w:val="auto"/>
          <w:sz w:val="24"/>
          <w:szCs w:val="24"/>
          <w:highlight w:val="none"/>
          <w:u w:val="single"/>
        </w:rPr>
        <w:t>（2）《关于进一步加强建筑施工领域企业安全生产工作的实施意见》的通知 （杭建工发〔2011〕130 号）</w:t>
      </w:r>
    </w:p>
    <w:p w14:paraId="5FF3F729">
      <w:pPr>
        <w:pStyle w:val="33"/>
        <w:spacing w:line="360" w:lineRule="auto"/>
        <w:ind w:right="32"/>
        <w:rPr>
          <w:rFonts w:hAnsi="宋体"/>
          <w:color w:val="auto"/>
          <w:sz w:val="24"/>
          <w:szCs w:val="24"/>
          <w:highlight w:val="none"/>
          <w:u w:val="single"/>
        </w:rPr>
      </w:pPr>
      <w:r>
        <w:rPr>
          <w:rFonts w:hint="eastAsia" w:hAnsi="宋体"/>
          <w:color w:val="auto"/>
          <w:sz w:val="24"/>
          <w:szCs w:val="24"/>
          <w:highlight w:val="none"/>
          <w:u w:val="single"/>
        </w:rPr>
        <w:t>（3）《关于进一步加强建设工程安全质量物联网管理应用平台建设的通知》（杭建工发【2012】426号）</w:t>
      </w:r>
    </w:p>
    <w:p w14:paraId="4FD80F25">
      <w:pPr>
        <w:pStyle w:val="33"/>
        <w:spacing w:line="360" w:lineRule="auto"/>
        <w:ind w:right="32"/>
        <w:rPr>
          <w:rFonts w:hAnsi="宋体"/>
          <w:color w:val="auto"/>
          <w:sz w:val="24"/>
          <w:szCs w:val="24"/>
          <w:highlight w:val="none"/>
          <w:u w:val="single"/>
        </w:rPr>
      </w:pPr>
      <w:r>
        <w:rPr>
          <w:rFonts w:hint="eastAsia" w:hAnsi="宋体"/>
          <w:color w:val="auto"/>
          <w:sz w:val="24"/>
          <w:szCs w:val="24"/>
          <w:highlight w:val="none"/>
          <w:u w:val="single"/>
        </w:rPr>
        <w:t>（4）《杭州市人民政府办公厅关于印发杭州市建设工程推广应用预拌砂浆管理办法的通知》（杭政办函（2011）32号）</w:t>
      </w:r>
    </w:p>
    <w:p w14:paraId="5F9B36CC">
      <w:pPr>
        <w:pStyle w:val="33"/>
        <w:spacing w:line="360" w:lineRule="auto"/>
        <w:ind w:right="32"/>
        <w:rPr>
          <w:rFonts w:hAnsi="宋体"/>
          <w:color w:val="auto"/>
          <w:sz w:val="24"/>
          <w:szCs w:val="24"/>
          <w:highlight w:val="none"/>
          <w:u w:val="single"/>
        </w:rPr>
      </w:pPr>
      <w:r>
        <w:rPr>
          <w:rFonts w:hint="eastAsia" w:hAnsi="宋体"/>
          <w:color w:val="auto"/>
          <w:sz w:val="24"/>
          <w:szCs w:val="24"/>
          <w:highlight w:val="none"/>
          <w:u w:val="single"/>
        </w:rPr>
        <w:t>（5）《关于落实建筑工棚安装空调事宜的通知》（ 杭建工发【 2011 】 237 号）</w:t>
      </w:r>
    </w:p>
    <w:p w14:paraId="38AB5622">
      <w:pPr>
        <w:pStyle w:val="33"/>
        <w:spacing w:line="360" w:lineRule="auto"/>
        <w:ind w:right="32"/>
        <w:rPr>
          <w:rFonts w:hAnsi="宋体"/>
          <w:color w:val="auto"/>
          <w:sz w:val="24"/>
          <w:szCs w:val="24"/>
          <w:highlight w:val="none"/>
          <w:u w:val="single"/>
        </w:rPr>
      </w:pPr>
      <w:r>
        <w:rPr>
          <w:rFonts w:hint="eastAsia" w:hAnsi="宋体"/>
          <w:color w:val="auto"/>
          <w:sz w:val="24"/>
          <w:szCs w:val="24"/>
          <w:highlight w:val="none"/>
          <w:u w:val="single"/>
        </w:rPr>
        <w:t>（6）《关于进一步加强杭州市建设工程市场 要素价格动态管理的指导意见》（杭建市发〔2018〕579号）</w:t>
      </w:r>
    </w:p>
    <w:p w14:paraId="59DC9499">
      <w:pPr>
        <w:pStyle w:val="33"/>
        <w:spacing w:line="360" w:lineRule="auto"/>
        <w:ind w:right="32"/>
        <w:rPr>
          <w:rFonts w:hAnsi="宋体"/>
          <w:color w:val="auto"/>
          <w:sz w:val="24"/>
          <w:szCs w:val="24"/>
          <w:highlight w:val="none"/>
          <w:u w:val="single"/>
        </w:rPr>
      </w:pPr>
      <w:r>
        <w:rPr>
          <w:rFonts w:hint="eastAsia" w:hAnsi="宋体"/>
          <w:color w:val="auto"/>
          <w:sz w:val="24"/>
          <w:szCs w:val="24"/>
          <w:highlight w:val="none"/>
          <w:u w:val="single"/>
        </w:rPr>
        <w:t>（7）《关于进一步明确杭州市建设工程优质工程增加费计取规定的通知》（杭建市【2012 】240号）</w:t>
      </w:r>
    </w:p>
    <w:p w14:paraId="16B09133">
      <w:pPr>
        <w:pStyle w:val="33"/>
        <w:spacing w:line="360" w:lineRule="auto"/>
        <w:ind w:right="32"/>
        <w:rPr>
          <w:rFonts w:hAnsi="宋体"/>
          <w:color w:val="auto"/>
          <w:sz w:val="24"/>
          <w:szCs w:val="24"/>
          <w:highlight w:val="none"/>
          <w:u w:val="single"/>
        </w:rPr>
      </w:pPr>
      <w:r>
        <w:rPr>
          <w:rFonts w:hint="eastAsia" w:hAnsi="宋体"/>
          <w:color w:val="auto"/>
          <w:sz w:val="24"/>
          <w:szCs w:val="24"/>
          <w:highlight w:val="none"/>
          <w:u w:val="single"/>
        </w:rPr>
        <w:t>（8 ）新工艺、新技术的约定： /</w:t>
      </w:r>
    </w:p>
    <w:p w14:paraId="7D2FDCAC">
      <w:pPr>
        <w:pStyle w:val="33"/>
        <w:spacing w:line="360" w:lineRule="auto"/>
        <w:ind w:right="32"/>
        <w:rPr>
          <w:rFonts w:hAnsi="宋体"/>
          <w:color w:val="auto"/>
          <w:sz w:val="24"/>
          <w:szCs w:val="24"/>
          <w:highlight w:val="none"/>
          <w:u w:val="single"/>
        </w:rPr>
      </w:pPr>
      <w:r>
        <w:rPr>
          <w:rFonts w:hint="eastAsia" w:hAnsi="宋体"/>
          <w:color w:val="auto"/>
          <w:sz w:val="24"/>
          <w:szCs w:val="24"/>
          <w:highlight w:val="none"/>
          <w:u w:val="single"/>
        </w:rPr>
        <w:t>（9 ）其他：《杭州市建筑市场管理若干规定》（杭州市人民政府令第 277 号）、《杭州市建设工程文明施工管理规定》（杭州市人民政府令第 278 号）、《杭州市政府投资项目概算管理办法（试行）》（杭发改投资 [2013]422号）、《杭州市政府投资项目工程 变更管理暂行办法》（杭财建 [2013]1246号） 、《关于明确市本级财政投资项目优质工程增加费计取规定的通知》（杭财建 [2013]687号）、《杭州市建设工程施工安全管理条例》（杭州市人民代表大会常务委员会公告第40号）。</w:t>
      </w:r>
    </w:p>
    <w:p w14:paraId="05159B29">
      <w:pPr>
        <w:spacing w:line="360" w:lineRule="auto"/>
        <w:rPr>
          <w:rFonts w:hAnsi="宋体"/>
          <w:b/>
          <w:bCs/>
          <w:color w:val="auto"/>
          <w:sz w:val="24"/>
          <w:szCs w:val="24"/>
          <w:highlight w:val="none"/>
        </w:rPr>
      </w:pPr>
      <w:r>
        <w:rPr>
          <w:rFonts w:hint="eastAsia" w:hAnsi="宋体"/>
          <w:b/>
          <w:bCs/>
          <w:color w:val="auto"/>
          <w:sz w:val="24"/>
          <w:szCs w:val="24"/>
          <w:highlight w:val="none"/>
        </w:rPr>
        <w:t>1.4 标准和规范</w:t>
      </w:r>
    </w:p>
    <w:p w14:paraId="3957A2BD">
      <w:pPr>
        <w:spacing w:line="360" w:lineRule="auto"/>
        <w:rPr>
          <w:rFonts w:hAnsi="宋体"/>
          <w:b/>
          <w:bCs/>
          <w:color w:val="auto"/>
          <w:sz w:val="24"/>
          <w:szCs w:val="24"/>
          <w:highlight w:val="none"/>
        </w:rPr>
      </w:pPr>
      <w:r>
        <w:rPr>
          <w:rFonts w:hint="eastAsia" w:hAnsi="宋体"/>
          <w:color w:val="auto"/>
          <w:sz w:val="24"/>
          <w:szCs w:val="24"/>
          <w:highlight w:val="none"/>
        </w:rPr>
        <w:t>1.4.1适用于工程的标准规范包括：</w:t>
      </w:r>
      <w:r>
        <w:rPr>
          <w:rFonts w:hint="eastAsia" w:hAnsi="宋体"/>
          <w:b/>
          <w:bCs/>
          <w:color w:val="auto"/>
          <w:sz w:val="24"/>
          <w:szCs w:val="24"/>
          <w:highlight w:val="none"/>
          <w:u w:val="single"/>
        </w:rPr>
        <w:t>按通用条款约定</w:t>
      </w:r>
      <w:r>
        <w:rPr>
          <w:rFonts w:hint="eastAsia" w:hAnsi="宋体"/>
          <w:b/>
          <w:bCs/>
          <w:color w:val="auto"/>
          <w:sz w:val="24"/>
          <w:szCs w:val="24"/>
          <w:highlight w:val="none"/>
        </w:rPr>
        <w:t xml:space="preserve">；     </w:t>
      </w:r>
    </w:p>
    <w:p w14:paraId="40121132">
      <w:pPr>
        <w:spacing w:line="360" w:lineRule="auto"/>
        <w:rPr>
          <w:rFonts w:hAnsi="宋体"/>
          <w:color w:val="auto"/>
          <w:kern w:val="0"/>
          <w:sz w:val="24"/>
          <w:szCs w:val="24"/>
          <w:highlight w:val="none"/>
        </w:rPr>
      </w:pPr>
      <w:r>
        <w:rPr>
          <w:rFonts w:hint="eastAsia" w:hAnsi="宋体"/>
          <w:color w:val="auto"/>
          <w:kern w:val="0"/>
          <w:sz w:val="24"/>
          <w:szCs w:val="24"/>
          <w:highlight w:val="none"/>
        </w:rPr>
        <w:t>1.4.2 发包人提供国外标准、规范的名称：</w:t>
      </w:r>
      <w:r>
        <w:rPr>
          <w:rFonts w:hint="eastAsia" w:hAnsi="宋体"/>
          <w:color w:val="auto"/>
          <w:kern w:val="0"/>
          <w:sz w:val="24"/>
          <w:szCs w:val="24"/>
          <w:highlight w:val="none"/>
          <w:u w:val="single"/>
        </w:rPr>
        <w:t>/</w:t>
      </w:r>
      <w:r>
        <w:rPr>
          <w:rFonts w:hint="eastAsia" w:hAnsi="宋体"/>
          <w:color w:val="auto"/>
          <w:kern w:val="0"/>
          <w:sz w:val="24"/>
          <w:szCs w:val="24"/>
          <w:highlight w:val="none"/>
        </w:rPr>
        <w:t>；</w:t>
      </w:r>
    </w:p>
    <w:p w14:paraId="05C92915">
      <w:pPr>
        <w:spacing w:line="360" w:lineRule="auto"/>
        <w:rPr>
          <w:rFonts w:hAnsi="宋体"/>
          <w:color w:val="auto"/>
          <w:kern w:val="0"/>
          <w:sz w:val="24"/>
          <w:szCs w:val="24"/>
          <w:highlight w:val="none"/>
        </w:rPr>
      </w:pPr>
      <w:r>
        <w:rPr>
          <w:rFonts w:hint="eastAsia" w:hAnsi="宋体"/>
          <w:color w:val="auto"/>
          <w:kern w:val="0"/>
          <w:sz w:val="24"/>
          <w:szCs w:val="24"/>
          <w:highlight w:val="none"/>
        </w:rPr>
        <w:t>发包人提供国外标准、规范的份数：</w:t>
      </w:r>
      <w:r>
        <w:rPr>
          <w:rFonts w:hint="eastAsia" w:hAnsi="宋体"/>
          <w:color w:val="auto"/>
          <w:kern w:val="0"/>
          <w:sz w:val="24"/>
          <w:szCs w:val="24"/>
          <w:highlight w:val="none"/>
          <w:u w:val="single"/>
        </w:rPr>
        <w:t>/</w:t>
      </w:r>
      <w:r>
        <w:rPr>
          <w:rFonts w:hint="eastAsia" w:hAnsi="宋体"/>
          <w:color w:val="auto"/>
          <w:kern w:val="0"/>
          <w:sz w:val="24"/>
          <w:szCs w:val="24"/>
          <w:highlight w:val="none"/>
        </w:rPr>
        <w:t>；</w:t>
      </w:r>
    </w:p>
    <w:p w14:paraId="381DA7BF">
      <w:pPr>
        <w:spacing w:line="360" w:lineRule="auto"/>
        <w:rPr>
          <w:rFonts w:hAnsi="宋体"/>
          <w:color w:val="auto"/>
          <w:sz w:val="24"/>
          <w:szCs w:val="24"/>
          <w:highlight w:val="none"/>
        </w:rPr>
      </w:pPr>
      <w:r>
        <w:rPr>
          <w:rFonts w:hint="eastAsia" w:hAnsi="宋体"/>
          <w:color w:val="auto"/>
          <w:kern w:val="0"/>
          <w:sz w:val="24"/>
          <w:szCs w:val="24"/>
          <w:highlight w:val="none"/>
        </w:rPr>
        <w:t>发包人提供国外标准、规范的名称：</w:t>
      </w:r>
      <w:r>
        <w:rPr>
          <w:rFonts w:hint="eastAsia" w:hAnsi="宋体"/>
          <w:color w:val="auto"/>
          <w:kern w:val="0"/>
          <w:sz w:val="24"/>
          <w:szCs w:val="24"/>
          <w:highlight w:val="none"/>
          <w:u w:val="single"/>
        </w:rPr>
        <w:t xml:space="preserve">/   </w:t>
      </w:r>
      <w:r>
        <w:rPr>
          <w:rFonts w:hint="eastAsia" w:hAnsi="宋体"/>
          <w:color w:val="auto"/>
          <w:kern w:val="0"/>
          <w:sz w:val="24"/>
          <w:szCs w:val="24"/>
          <w:highlight w:val="none"/>
        </w:rPr>
        <w:t>。</w:t>
      </w:r>
    </w:p>
    <w:p w14:paraId="17984432">
      <w:pPr>
        <w:spacing w:line="360" w:lineRule="auto"/>
        <w:rPr>
          <w:rFonts w:hAnsi="宋体"/>
          <w:color w:val="auto"/>
          <w:sz w:val="24"/>
          <w:szCs w:val="24"/>
          <w:highlight w:val="none"/>
        </w:rPr>
      </w:pPr>
      <w:r>
        <w:rPr>
          <w:rFonts w:hint="eastAsia" w:hAnsi="宋体"/>
          <w:color w:val="auto"/>
          <w:sz w:val="24"/>
          <w:szCs w:val="24"/>
          <w:highlight w:val="none"/>
        </w:rPr>
        <w:t>1.4.3发包人对工程的技术标准和功能要求的特殊要求：</w:t>
      </w:r>
      <w:r>
        <w:rPr>
          <w:rFonts w:hint="eastAsia" w:hAnsi="宋体"/>
          <w:color w:val="auto"/>
          <w:sz w:val="24"/>
          <w:szCs w:val="24"/>
          <w:highlight w:val="none"/>
          <w:u w:val="single"/>
        </w:rPr>
        <w:t>本工程按现行国家相应规范施工</w:t>
      </w:r>
      <w:r>
        <w:rPr>
          <w:rFonts w:hint="eastAsia" w:hAnsi="宋体"/>
          <w:color w:val="auto"/>
          <w:sz w:val="24"/>
          <w:szCs w:val="24"/>
          <w:highlight w:val="none"/>
        </w:rPr>
        <w:t>。</w:t>
      </w:r>
    </w:p>
    <w:p w14:paraId="5236B03D">
      <w:pPr>
        <w:spacing w:line="360" w:lineRule="auto"/>
        <w:rPr>
          <w:rFonts w:hAnsi="宋体"/>
          <w:b/>
          <w:bCs/>
          <w:color w:val="auto"/>
          <w:sz w:val="24"/>
          <w:szCs w:val="24"/>
          <w:highlight w:val="none"/>
        </w:rPr>
      </w:pPr>
      <w:r>
        <w:rPr>
          <w:rFonts w:hint="eastAsia" w:hAnsi="宋体"/>
          <w:b/>
          <w:bCs/>
          <w:color w:val="auto"/>
          <w:sz w:val="24"/>
          <w:szCs w:val="24"/>
          <w:highlight w:val="none"/>
        </w:rPr>
        <w:t>1.5 合同文件的优先顺序</w:t>
      </w:r>
    </w:p>
    <w:p w14:paraId="1D7D414A">
      <w:pPr>
        <w:spacing w:line="360" w:lineRule="auto"/>
        <w:rPr>
          <w:rFonts w:hAnsi="宋体"/>
          <w:color w:val="auto"/>
          <w:sz w:val="24"/>
          <w:szCs w:val="24"/>
          <w:highlight w:val="none"/>
        </w:rPr>
      </w:pPr>
      <w:r>
        <w:rPr>
          <w:rFonts w:hint="eastAsia" w:hAnsi="宋体"/>
          <w:color w:val="auto"/>
          <w:sz w:val="24"/>
          <w:szCs w:val="24"/>
          <w:highlight w:val="none"/>
        </w:rPr>
        <w:t>合同文件组成及优先顺序为：</w:t>
      </w:r>
    </w:p>
    <w:p w14:paraId="7FA9A181">
      <w:pPr>
        <w:numPr>
          <w:ilvl w:val="0"/>
          <w:numId w:val="7"/>
        </w:numPr>
        <w:autoSpaceDE w:val="0"/>
        <w:autoSpaceDN w:val="0"/>
        <w:adjustRightInd w:val="0"/>
        <w:spacing w:line="360" w:lineRule="auto"/>
        <w:jc w:val="left"/>
        <w:rPr>
          <w:rFonts w:hAnsi="宋体"/>
          <w:b/>
          <w:bCs/>
          <w:color w:val="auto"/>
          <w:kern w:val="0"/>
          <w:sz w:val="24"/>
          <w:szCs w:val="24"/>
          <w:highlight w:val="none"/>
          <w:u w:val="single"/>
        </w:rPr>
      </w:pPr>
      <w:r>
        <w:rPr>
          <w:rFonts w:hint="eastAsia" w:hAnsi="宋体"/>
          <w:b/>
          <w:bCs/>
          <w:color w:val="auto"/>
          <w:kern w:val="0"/>
          <w:sz w:val="24"/>
          <w:szCs w:val="24"/>
          <w:highlight w:val="none"/>
          <w:u w:val="single"/>
        </w:rPr>
        <w:t>合同协议书；</w:t>
      </w:r>
    </w:p>
    <w:p w14:paraId="63CBFC49">
      <w:pPr>
        <w:numPr>
          <w:ilvl w:val="0"/>
          <w:numId w:val="7"/>
        </w:numPr>
        <w:autoSpaceDE w:val="0"/>
        <w:autoSpaceDN w:val="0"/>
        <w:adjustRightInd w:val="0"/>
        <w:spacing w:line="360" w:lineRule="auto"/>
        <w:jc w:val="left"/>
        <w:rPr>
          <w:rFonts w:hAnsi="宋体"/>
          <w:b/>
          <w:bCs/>
          <w:color w:val="auto"/>
          <w:kern w:val="0"/>
          <w:sz w:val="24"/>
          <w:szCs w:val="24"/>
          <w:highlight w:val="none"/>
          <w:u w:val="single"/>
        </w:rPr>
      </w:pPr>
      <w:r>
        <w:rPr>
          <w:rFonts w:hint="eastAsia" w:hAnsi="宋体"/>
          <w:b/>
          <w:bCs/>
          <w:color w:val="auto"/>
          <w:kern w:val="0"/>
          <w:sz w:val="24"/>
          <w:szCs w:val="24"/>
          <w:highlight w:val="none"/>
          <w:u w:val="single"/>
        </w:rPr>
        <w:t>专用合同条款及其附件；</w:t>
      </w:r>
    </w:p>
    <w:p w14:paraId="32628DB8">
      <w:pPr>
        <w:autoSpaceDE w:val="0"/>
        <w:autoSpaceDN w:val="0"/>
        <w:adjustRightInd w:val="0"/>
        <w:spacing w:line="360" w:lineRule="auto"/>
        <w:jc w:val="left"/>
        <w:rPr>
          <w:rFonts w:hAnsi="宋体"/>
          <w:b/>
          <w:bCs/>
          <w:color w:val="auto"/>
          <w:kern w:val="0"/>
          <w:sz w:val="24"/>
          <w:szCs w:val="24"/>
          <w:highlight w:val="none"/>
          <w:u w:val="none"/>
        </w:rPr>
      </w:pPr>
      <w:r>
        <w:rPr>
          <w:rFonts w:hint="eastAsia" w:hAnsi="宋体"/>
          <w:b/>
          <w:bCs/>
          <w:color w:val="auto"/>
          <w:kern w:val="0"/>
          <w:sz w:val="24"/>
          <w:szCs w:val="24"/>
          <w:highlight w:val="none"/>
          <w:u w:val="none"/>
        </w:rPr>
        <w:t>（3）</w:t>
      </w:r>
      <w:r>
        <w:rPr>
          <w:rFonts w:hint="eastAsia" w:hAnsi="宋体"/>
          <w:b/>
          <w:bCs/>
          <w:color w:val="auto"/>
          <w:kern w:val="0"/>
          <w:sz w:val="24"/>
          <w:szCs w:val="24"/>
          <w:highlight w:val="none"/>
          <w:u w:val="single"/>
        </w:rPr>
        <w:t>通用合同条款；</w:t>
      </w:r>
    </w:p>
    <w:p w14:paraId="2FA01048">
      <w:pPr>
        <w:autoSpaceDE w:val="0"/>
        <w:autoSpaceDN w:val="0"/>
        <w:adjustRightInd w:val="0"/>
        <w:spacing w:line="360" w:lineRule="auto"/>
        <w:jc w:val="left"/>
        <w:rPr>
          <w:rFonts w:hAnsi="宋体"/>
          <w:b/>
          <w:bCs/>
          <w:color w:val="auto"/>
          <w:kern w:val="0"/>
          <w:sz w:val="24"/>
          <w:szCs w:val="24"/>
          <w:highlight w:val="none"/>
          <w:u w:val="single"/>
        </w:rPr>
      </w:pPr>
      <w:r>
        <w:rPr>
          <w:rFonts w:hint="eastAsia" w:hAnsi="宋体"/>
          <w:b/>
          <w:bCs/>
          <w:color w:val="auto"/>
          <w:kern w:val="0"/>
          <w:sz w:val="24"/>
          <w:szCs w:val="24"/>
          <w:highlight w:val="none"/>
          <w:u w:val="single"/>
        </w:rPr>
        <w:t>（4）中标通知书（或项目发承包基本情况表）；</w:t>
      </w:r>
    </w:p>
    <w:p w14:paraId="29C54FFE">
      <w:pPr>
        <w:spacing w:line="360" w:lineRule="auto"/>
        <w:rPr>
          <w:rFonts w:hAnsi="宋体"/>
          <w:b/>
          <w:bCs/>
          <w:color w:val="auto"/>
          <w:kern w:val="0"/>
          <w:sz w:val="24"/>
          <w:szCs w:val="24"/>
          <w:highlight w:val="none"/>
          <w:u w:val="single"/>
        </w:rPr>
      </w:pPr>
      <w:r>
        <w:rPr>
          <w:rFonts w:hint="eastAsia" w:hAnsi="宋体"/>
          <w:b/>
          <w:bCs/>
          <w:color w:val="auto"/>
          <w:kern w:val="0"/>
          <w:sz w:val="24"/>
          <w:szCs w:val="24"/>
          <w:highlight w:val="none"/>
          <w:u w:val="single"/>
        </w:rPr>
        <w:t>（5投标函及其附录（如果有）；</w:t>
      </w:r>
    </w:p>
    <w:p w14:paraId="78E3053B">
      <w:pPr>
        <w:spacing w:line="360" w:lineRule="auto"/>
        <w:rPr>
          <w:rFonts w:hAnsi="宋体"/>
          <w:b/>
          <w:bCs/>
          <w:color w:val="auto"/>
          <w:kern w:val="0"/>
          <w:sz w:val="24"/>
          <w:szCs w:val="24"/>
          <w:highlight w:val="none"/>
          <w:u w:val="single"/>
        </w:rPr>
      </w:pPr>
      <w:r>
        <w:rPr>
          <w:rFonts w:hint="eastAsia" w:hAnsi="宋体"/>
          <w:b/>
          <w:bCs/>
          <w:color w:val="auto"/>
          <w:kern w:val="0"/>
          <w:sz w:val="24"/>
          <w:szCs w:val="24"/>
          <w:highlight w:val="none"/>
          <w:u w:val="single"/>
        </w:rPr>
        <w:t>（6）技术标准和要求；</w:t>
      </w:r>
    </w:p>
    <w:p w14:paraId="41B55C41">
      <w:pPr>
        <w:spacing w:line="360" w:lineRule="auto"/>
        <w:rPr>
          <w:rFonts w:hAnsi="宋体"/>
          <w:b/>
          <w:bCs/>
          <w:color w:val="auto"/>
          <w:kern w:val="0"/>
          <w:sz w:val="24"/>
          <w:szCs w:val="24"/>
          <w:highlight w:val="none"/>
          <w:u w:val="single"/>
        </w:rPr>
      </w:pPr>
      <w:r>
        <w:rPr>
          <w:rFonts w:hint="eastAsia" w:hAnsi="宋体"/>
          <w:b/>
          <w:bCs/>
          <w:color w:val="auto"/>
          <w:kern w:val="0"/>
          <w:sz w:val="24"/>
          <w:szCs w:val="24"/>
          <w:highlight w:val="none"/>
          <w:u w:val="single"/>
        </w:rPr>
        <w:t>（7）图纸；</w:t>
      </w:r>
    </w:p>
    <w:p w14:paraId="540130AF">
      <w:pPr>
        <w:spacing w:line="360" w:lineRule="auto"/>
        <w:rPr>
          <w:rFonts w:hAnsi="宋体"/>
          <w:b/>
          <w:bCs/>
          <w:color w:val="auto"/>
          <w:kern w:val="0"/>
          <w:sz w:val="24"/>
          <w:szCs w:val="24"/>
          <w:highlight w:val="none"/>
          <w:u w:val="single"/>
        </w:rPr>
      </w:pPr>
      <w:r>
        <w:rPr>
          <w:rFonts w:hint="eastAsia" w:hAnsi="宋体"/>
          <w:b/>
          <w:bCs/>
          <w:color w:val="auto"/>
          <w:kern w:val="0"/>
          <w:sz w:val="24"/>
          <w:szCs w:val="24"/>
          <w:highlight w:val="none"/>
          <w:u w:val="single"/>
        </w:rPr>
        <w:t>（8）已标价工程量清单或预算书；</w:t>
      </w:r>
    </w:p>
    <w:p w14:paraId="4E3206E7">
      <w:pPr>
        <w:spacing w:line="360" w:lineRule="auto"/>
        <w:rPr>
          <w:rFonts w:hAnsi="宋体"/>
          <w:b/>
          <w:bCs/>
          <w:color w:val="auto"/>
          <w:kern w:val="0"/>
          <w:sz w:val="24"/>
          <w:szCs w:val="24"/>
          <w:highlight w:val="none"/>
          <w:u w:val="single"/>
        </w:rPr>
      </w:pPr>
      <w:r>
        <w:rPr>
          <w:rFonts w:hint="eastAsia" w:hAnsi="宋体"/>
          <w:b/>
          <w:bCs/>
          <w:color w:val="auto"/>
          <w:kern w:val="0"/>
          <w:sz w:val="24"/>
          <w:szCs w:val="24"/>
          <w:highlight w:val="none"/>
          <w:u w:val="single"/>
        </w:rPr>
        <w:t>（9）其他合同文件：</w:t>
      </w:r>
    </w:p>
    <w:p w14:paraId="4F42E243">
      <w:pPr>
        <w:spacing w:line="360" w:lineRule="auto"/>
        <w:rPr>
          <w:rFonts w:hAnsi="宋体"/>
          <w:b/>
          <w:bCs/>
          <w:color w:val="auto"/>
          <w:kern w:val="0"/>
          <w:sz w:val="24"/>
          <w:szCs w:val="24"/>
          <w:highlight w:val="none"/>
          <w:u w:val="single"/>
        </w:rPr>
      </w:pPr>
      <w:r>
        <w:rPr>
          <w:rFonts w:hint="eastAsia" w:hAnsi="宋体"/>
          <w:b/>
          <w:bCs/>
          <w:color w:val="auto"/>
          <w:kern w:val="0"/>
          <w:sz w:val="24"/>
          <w:szCs w:val="24"/>
          <w:highlight w:val="none"/>
          <w:u w:val="single"/>
        </w:rPr>
        <w:t>①施工组织设计；</w:t>
      </w:r>
    </w:p>
    <w:p w14:paraId="5F857243">
      <w:pPr>
        <w:spacing w:line="360" w:lineRule="auto"/>
        <w:rPr>
          <w:rFonts w:hAnsi="宋体"/>
          <w:b/>
          <w:bCs/>
          <w:color w:val="auto"/>
          <w:kern w:val="0"/>
          <w:sz w:val="24"/>
          <w:szCs w:val="24"/>
          <w:highlight w:val="none"/>
        </w:rPr>
      </w:pPr>
      <w:r>
        <w:rPr>
          <w:rFonts w:hint="eastAsia" w:hAnsi="宋体"/>
          <w:b/>
          <w:bCs/>
          <w:color w:val="auto"/>
          <w:kern w:val="0"/>
          <w:sz w:val="24"/>
          <w:szCs w:val="24"/>
          <w:highlight w:val="none"/>
          <w:u w:val="single"/>
        </w:rPr>
        <w:t>②其他：</w:t>
      </w:r>
      <w:r>
        <w:rPr>
          <w:rFonts w:hint="eastAsia" w:hAnsi="宋体"/>
          <w:b/>
          <w:bCs/>
          <w:color w:val="auto"/>
          <w:sz w:val="24"/>
          <w:szCs w:val="24"/>
          <w:highlight w:val="none"/>
          <w:u w:val="single"/>
          <w:lang w:eastAsia="zh-CN"/>
        </w:rPr>
        <w:t>磋商文件</w:t>
      </w:r>
      <w:r>
        <w:rPr>
          <w:rFonts w:hint="eastAsia" w:hAnsi="宋体"/>
          <w:b/>
          <w:bCs/>
          <w:color w:val="auto"/>
          <w:sz w:val="24"/>
          <w:szCs w:val="24"/>
          <w:highlight w:val="none"/>
          <w:u w:val="single"/>
        </w:rPr>
        <w:t>及招标答疑。</w:t>
      </w:r>
    </w:p>
    <w:p w14:paraId="4A34291A">
      <w:pPr>
        <w:spacing w:line="360" w:lineRule="auto"/>
        <w:rPr>
          <w:rFonts w:hAnsi="宋体"/>
          <w:b/>
          <w:bCs/>
          <w:color w:val="auto"/>
          <w:sz w:val="24"/>
          <w:szCs w:val="24"/>
          <w:highlight w:val="none"/>
        </w:rPr>
      </w:pPr>
      <w:r>
        <w:rPr>
          <w:rFonts w:hint="eastAsia" w:hAnsi="宋体"/>
          <w:b/>
          <w:bCs/>
          <w:color w:val="auto"/>
          <w:sz w:val="24"/>
          <w:szCs w:val="24"/>
          <w:highlight w:val="none"/>
        </w:rPr>
        <w:t>1.6 图纸和承包人文件</w:t>
      </w:r>
      <w:r>
        <w:rPr>
          <w:rFonts w:hint="eastAsia" w:hAnsi="宋体"/>
          <w:b/>
          <w:bCs/>
          <w:color w:val="auto"/>
          <w:sz w:val="24"/>
          <w:szCs w:val="24"/>
          <w:highlight w:val="none"/>
        </w:rPr>
        <w:tab/>
      </w:r>
    </w:p>
    <w:p w14:paraId="0942631D">
      <w:pPr>
        <w:spacing w:line="360" w:lineRule="auto"/>
        <w:rPr>
          <w:rFonts w:hAnsi="宋体"/>
          <w:color w:val="auto"/>
          <w:sz w:val="24"/>
          <w:szCs w:val="24"/>
          <w:highlight w:val="none"/>
        </w:rPr>
      </w:pPr>
      <w:r>
        <w:rPr>
          <w:rFonts w:hint="eastAsia" w:hAnsi="宋体"/>
          <w:color w:val="auto"/>
          <w:sz w:val="24"/>
          <w:szCs w:val="24"/>
          <w:highlight w:val="none"/>
        </w:rPr>
        <w:t>1.6.1 图纸的提供</w:t>
      </w:r>
    </w:p>
    <w:p w14:paraId="644B1F5A">
      <w:pPr>
        <w:spacing w:line="360" w:lineRule="auto"/>
        <w:rPr>
          <w:rFonts w:hAnsi="宋体"/>
          <w:color w:val="auto"/>
          <w:sz w:val="24"/>
          <w:szCs w:val="24"/>
          <w:highlight w:val="none"/>
          <w:u w:val="single"/>
        </w:rPr>
      </w:pPr>
      <w:r>
        <w:rPr>
          <w:rFonts w:hint="eastAsia" w:hAnsi="宋体"/>
          <w:color w:val="auto"/>
          <w:sz w:val="24"/>
          <w:szCs w:val="24"/>
          <w:highlight w:val="none"/>
        </w:rPr>
        <w:t>发包人向承包人提供图纸的期限：</w:t>
      </w:r>
      <w:r>
        <w:rPr>
          <w:rFonts w:hint="eastAsia" w:hAnsi="宋体"/>
          <w:color w:val="auto"/>
          <w:sz w:val="24"/>
          <w:szCs w:val="24"/>
          <w:highlight w:val="none"/>
          <w:u w:val="single"/>
        </w:rPr>
        <w:t>开工前7天内提供；</w:t>
      </w:r>
    </w:p>
    <w:p w14:paraId="2978D07B">
      <w:pPr>
        <w:spacing w:line="360" w:lineRule="auto"/>
        <w:rPr>
          <w:rFonts w:hAnsi="宋体"/>
          <w:color w:val="auto"/>
          <w:sz w:val="24"/>
          <w:szCs w:val="24"/>
          <w:highlight w:val="none"/>
          <w:u w:val="single"/>
        </w:rPr>
      </w:pPr>
      <w:r>
        <w:rPr>
          <w:rFonts w:hint="eastAsia" w:hAnsi="宋体"/>
          <w:color w:val="auto"/>
          <w:sz w:val="24"/>
          <w:szCs w:val="24"/>
          <w:highlight w:val="none"/>
        </w:rPr>
        <w:t>发包人向承包人提供图纸的数量：</w:t>
      </w:r>
      <w:r>
        <w:rPr>
          <w:rFonts w:hint="eastAsia" w:hAnsi="宋体"/>
          <w:color w:val="auto"/>
          <w:sz w:val="24"/>
          <w:szCs w:val="24"/>
          <w:highlight w:val="none"/>
          <w:u w:val="single"/>
        </w:rPr>
        <w:t>肆套（包括制作竣工图的原始施工图），如承包人额外需要提供施工图纸的，则额外增加的施工图纸的制作费由承包人承担；</w:t>
      </w:r>
    </w:p>
    <w:p w14:paraId="459201B4">
      <w:pPr>
        <w:spacing w:line="360" w:lineRule="auto"/>
        <w:rPr>
          <w:rFonts w:hAnsi="宋体"/>
          <w:color w:val="auto"/>
          <w:sz w:val="24"/>
          <w:szCs w:val="24"/>
          <w:highlight w:val="none"/>
          <w:u w:val="single"/>
        </w:rPr>
      </w:pPr>
      <w:r>
        <w:rPr>
          <w:rFonts w:hint="eastAsia" w:hAnsi="宋体"/>
          <w:color w:val="auto"/>
          <w:sz w:val="24"/>
          <w:szCs w:val="24"/>
          <w:highlight w:val="none"/>
        </w:rPr>
        <w:t>发包人向承包人提供图纸的内容：</w:t>
      </w:r>
      <w:r>
        <w:rPr>
          <w:rFonts w:hint="eastAsia" w:hAnsi="宋体"/>
          <w:color w:val="auto"/>
          <w:sz w:val="24"/>
          <w:szCs w:val="24"/>
          <w:highlight w:val="none"/>
          <w:u w:val="single"/>
        </w:rPr>
        <w:t>本工程施工图及地质勘察资料。</w:t>
      </w:r>
    </w:p>
    <w:p w14:paraId="17F1AE2F">
      <w:pPr>
        <w:spacing w:line="360" w:lineRule="auto"/>
        <w:rPr>
          <w:rFonts w:hAnsi="宋体"/>
          <w:color w:val="auto"/>
          <w:sz w:val="24"/>
          <w:szCs w:val="24"/>
          <w:highlight w:val="none"/>
        </w:rPr>
      </w:pPr>
      <w:r>
        <w:rPr>
          <w:rFonts w:hint="eastAsia" w:hAnsi="宋体"/>
          <w:color w:val="auto"/>
          <w:sz w:val="24"/>
          <w:szCs w:val="24"/>
          <w:highlight w:val="none"/>
        </w:rPr>
        <w:t>1.6.4 承包人文件</w:t>
      </w:r>
    </w:p>
    <w:p w14:paraId="18184861">
      <w:pPr>
        <w:pStyle w:val="23"/>
        <w:spacing w:line="360" w:lineRule="auto"/>
        <w:rPr>
          <w:rFonts w:hAnsi="宋体"/>
          <w:color w:val="auto"/>
          <w:sz w:val="24"/>
          <w:szCs w:val="24"/>
          <w:highlight w:val="none"/>
          <w:u w:val="single"/>
        </w:rPr>
      </w:pPr>
      <w:r>
        <w:rPr>
          <w:rFonts w:hint="eastAsia" w:hAnsi="宋体"/>
          <w:color w:val="auto"/>
          <w:sz w:val="24"/>
          <w:szCs w:val="24"/>
          <w:highlight w:val="none"/>
        </w:rPr>
        <w:t>需要由承包人提供的文件，包括：</w:t>
      </w:r>
      <w:r>
        <w:rPr>
          <w:rFonts w:hint="eastAsia" w:hAnsi="宋体"/>
          <w:color w:val="auto"/>
          <w:sz w:val="24"/>
          <w:szCs w:val="24"/>
          <w:highlight w:val="none"/>
          <w:u w:val="single"/>
        </w:rPr>
        <w:t>实施性施工组织设计；</w:t>
      </w:r>
    </w:p>
    <w:p w14:paraId="3B39440B">
      <w:pPr>
        <w:spacing w:line="360" w:lineRule="auto"/>
        <w:rPr>
          <w:rFonts w:hAnsi="宋体"/>
          <w:color w:val="auto"/>
          <w:sz w:val="24"/>
          <w:szCs w:val="24"/>
          <w:highlight w:val="none"/>
        </w:rPr>
      </w:pPr>
      <w:r>
        <w:rPr>
          <w:rFonts w:hint="eastAsia" w:hAnsi="宋体"/>
          <w:color w:val="auto"/>
          <w:sz w:val="24"/>
          <w:szCs w:val="24"/>
          <w:highlight w:val="none"/>
        </w:rPr>
        <w:t>承包人提供的文件的期限为：</w:t>
      </w:r>
      <w:r>
        <w:rPr>
          <w:rFonts w:hint="eastAsia" w:hAnsi="宋体"/>
          <w:color w:val="auto"/>
          <w:sz w:val="24"/>
          <w:szCs w:val="24"/>
          <w:highlight w:val="none"/>
          <w:u w:val="single"/>
        </w:rPr>
        <w:t>接到发包人指令7天内；</w:t>
      </w:r>
    </w:p>
    <w:p w14:paraId="5AFE2560">
      <w:pPr>
        <w:spacing w:line="360" w:lineRule="auto"/>
        <w:rPr>
          <w:rFonts w:hAnsi="宋体"/>
          <w:color w:val="auto"/>
          <w:sz w:val="24"/>
          <w:szCs w:val="24"/>
          <w:highlight w:val="none"/>
        </w:rPr>
      </w:pPr>
      <w:r>
        <w:rPr>
          <w:rFonts w:hint="eastAsia" w:hAnsi="宋体"/>
          <w:color w:val="auto"/>
          <w:sz w:val="24"/>
          <w:szCs w:val="24"/>
          <w:highlight w:val="none"/>
        </w:rPr>
        <w:t>承包人提供的文件的数量为：</w:t>
      </w:r>
      <w:r>
        <w:rPr>
          <w:rFonts w:hint="eastAsia" w:hAnsi="宋体"/>
          <w:color w:val="auto"/>
          <w:sz w:val="24"/>
          <w:szCs w:val="24"/>
          <w:highlight w:val="none"/>
          <w:u w:val="single"/>
        </w:rPr>
        <w:t>由发包人按需要求提供；</w:t>
      </w:r>
    </w:p>
    <w:p w14:paraId="6DAB44D5">
      <w:pPr>
        <w:spacing w:line="360" w:lineRule="auto"/>
        <w:rPr>
          <w:rFonts w:hAnsi="宋体"/>
          <w:color w:val="auto"/>
          <w:sz w:val="24"/>
          <w:szCs w:val="24"/>
          <w:highlight w:val="none"/>
        </w:rPr>
      </w:pPr>
      <w:r>
        <w:rPr>
          <w:rFonts w:hint="eastAsia" w:hAnsi="宋体"/>
          <w:color w:val="auto"/>
          <w:sz w:val="24"/>
          <w:szCs w:val="24"/>
          <w:highlight w:val="none"/>
        </w:rPr>
        <w:t>承包人提供的文件的形式为：</w:t>
      </w:r>
      <w:r>
        <w:rPr>
          <w:rFonts w:hint="eastAsia" w:hAnsi="宋体"/>
          <w:color w:val="auto"/>
          <w:sz w:val="24"/>
          <w:szCs w:val="24"/>
          <w:highlight w:val="none"/>
          <w:u w:val="single"/>
        </w:rPr>
        <w:t>纸质投标文件、电子稿投标文件，其余书面形式；</w:t>
      </w:r>
    </w:p>
    <w:p w14:paraId="22F62B28">
      <w:pPr>
        <w:spacing w:line="360" w:lineRule="auto"/>
        <w:rPr>
          <w:rFonts w:hAnsi="宋体"/>
          <w:color w:val="auto"/>
          <w:sz w:val="24"/>
          <w:szCs w:val="24"/>
          <w:highlight w:val="none"/>
        </w:rPr>
      </w:pPr>
      <w:r>
        <w:rPr>
          <w:rFonts w:hint="eastAsia" w:hAnsi="宋体"/>
          <w:color w:val="auto"/>
          <w:sz w:val="24"/>
          <w:szCs w:val="24"/>
          <w:highlight w:val="none"/>
        </w:rPr>
        <w:t>发包人审批承包人文件的期限：</w:t>
      </w:r>
      <w:r>
        <w:rPr>
          <w:rFonts w:hint="eastAsia" w:hAnsi="宋体"/>
          <w:color w:val="auto"/>
          <w:sz w:val="24"/>
          <w:szCs w:val="24"/>
          <w:highlight w:val="none"/>
          <w:u w:val="single"/>
        </w:rPr>
        <w:t>7天内</w:t>
      </w:r>
      <w:r>
        <w:rPr>
          <w:rFonts w:hint="eastAsia" w:hAnsi="宋体"/>
          <w:color w:val="auto"/>
          <w:sz w:val="24"/>
          <w:szCs w:val="24"/>
          <w:highlight w:val="none"/>
        </w:rPr>
        <w:t>。</w:t>
      </w:r>
    </w:p>
    <w:p w14:paraId="3BAACE8D">
      <w:pPr>
        <w:spacing w:line="360" w:lineRule="auto"/>
        <w:rPr>
          <w:rFonts w:hAnsi="宋体"/>
          <w:color w:val="auto"/>
          <w:sz w:val="24"/>
          <w:szCs w:val="24"/>
          <w:highlight w:val="none"/>
        </w:rPr>
      </w:pPr>
      <w:r>
        <w:rPr>
          <w:rFonts w:hint="eastAsia" w:hAnsi="宋体"/>
          <w:color w:val="auto"/>
          <w:sz w:val="24"/>
          <w:szCs w:val="24"/>
          <w:highlight w:val="none"/>
        </w:rPr>
        <w:t>1.6.5 现场图纸准备</w:t>
      </w:r>
    </w:p>
    <w:p w14:paraId="646AB308">
      <w:pPr>
        <w:pStyle w:val="23"/>
        <w:spacing w:line="360" w:lineRule="auto"/>
        <w:rPr>
          <w:rFonts w:hAnsi="宋体"/>
          <w:color w:val="auto"/>
          <w:sz w:val="24"/>
          <w:szCs w:val="24"/>
          <w:highlight w:val="none"/>
        </w:rPr>
      </w:pPr>
      <w:r>
        <w:rPr>
          <w:rFonts w:hint="eastAsia" w:hAnsi="宋体"/>
          <w:color w:val="auto"/>
          <w:sz w:val="24"/>
          <w:szCs w:val="24"/>
          <w:highlight w:val="none"/>
        </w:rPr>
        <w:t>关于现场图纸准备的约定：</w:t>
      </w:r>
      <w:r>
        <w:rPr>
          <w:rFonts w:hint="eastAsia" w:hAnsi="宋体"/>
          <w:color w:val="auto"/>
          <w:sz w:val="24"/>
          <w:szCs w:val="24"/>
          <w:highlight w:val="none"/>
          <w:u w:val="single"/>
        </w:rPr>
        <w:t>竣工图费用由承包商自行承担包含在合同价内，标准图集由承包人自备。</w:t>
      </w:r>
    </w:p>
    <w:p w14:paraId="34B8682F">
      <w:pPr>
        <w:spacing w:line="360" w:lineRule="auto"/>
        <w:rPr>
          <w:rFonts w:hAnsi="宋体"/>
          <w:b/>
          <w:bCs/>
          <w:color w:val="auto"/>
          <w:sz w:val="24"/>
          <w:szCs w:val="24"/>
          <w:highlight w:val="none"/>
        </w:rPr>
      </w:pPr>
      <w:r>
        <w:rPr>
          <w:rFonts w:hint="eastAsia" w:hAnsi="宋体"/>
          <w:b/>
          <w:bCs/>
          <w:color w:val="auto"/>
          <w:sz w:val="24"/>
          <w:szCs w:val="24"/>
          <w:highlight w:val="none"/>
        </w:rPr>
        <w:t>1.7 联络</w:t>
      </w:r>
    </w:p>
    <w:p w14:paraId="12CACECD">
      <w:pPr>
        <w:spacing w:line="360" w:lineRule="auto"/>
        <w:rPr>
          <w:rFonts w:hAnsi="宋体"/>
          <w:color w:val="auto"/>
          <w:kern w:val="0"/>
          <w:sz w:val="24"/>
          <w:szCs w:val="24"/>
          <w:highlight w:val="none"/>
        </w:rPr>
      </w:pPr>
      <w:r>
        <w:rPr>
          <w:rFonts w:hint="eastAsia" w:hAnsi="宋体"/>
          <w:color w:val="auto"/>
          <w:kern w:val="0"/>
          <w:sz w:val="24"/>
          <w:szCs w:val="24"/>
          <w:highlight w:val="none"/>
        </w:rPr>
        <w:t>1.7.1发包人和承包人应当在</w:t>
      </w:r>
      <w:r>
        <w:rPr>
          <w:rFonts w:hint="eastAsia" w:hAnsi="宋体"/>
          <w:color w:val="auto"/>
          <w:sz w:val="24"/>
          <w:szCs w:val="24"/>
          <w:highlight w:val="none"/>
          <w:u w:val="single"/>
        </w:rPr>
        <w:t>7</w:t>
      </w:r>
      <w:r>
        <w:rPr>
          <w:rFonts w:hint="eastAsia" w:hAnsi="宋体"/>
          <w:color w:val="auto"/>
          <w:kern w:val="0"/>
          <w:sz w:val="24"/>
          <w:szCs w:val="24"/>
          <w:highlight w:val="none"/>
        </w:rPr>
        <w:t>天内将与合同有关的通知、批准、证明、证书、指示、指令、要求、请求、同意、意见、确定和决定等书面函件送达对方当事人。</w:t>
      </w:r>
    </w:p>
    <w:p w14:paraId="689119AC">
      <w:pPr>
        <w:spacing w:line="360" w:lineRule="auto"/>
        <w:rPr>
          <w:rFonts w:hAnsi="宋体"/>
          <w:color w:val="auto"/>
          <w:kern w:val="0"/>
          <w:sz w:val="24"/>
          <w:szCs w:val="24"/>
          <w:highlight w:val="none"/>
          <w:u w:val="single"/>
        </w:rPr>
      </w:pPr>
      <w:r>
        <w:rPr>
          <w:rFonts w:hint="eastAsia" w:hAnsi="宋体"/>
          <w:color w:val="auto"/>
          <w:kern w:val="0"/>
          <w:sz w:val="24"/>
          <w:szCs w:val="24"/>
          <w:highlight w:val="none"/>
        </w:rPr>
        <w:t>1.7.2 发包人接收文件的地点：</w:t>
      </w:r>
      <w:r>
        <w:rPr>
          <w:rFonts w:hint="eastAsia" w:hAnsi="宋体"/>
          <w:color w:val="auto"/>
          <w:sz w:val="24"/>
          <w:szCs w:val="24"/>
          <w:highlight w:val="none"/>
          <w:u w:val="single"/>
        </w:rPr>
        <w:t xml:space="preserve">                           </w:t>
      </w:r>
    </w:p>
    <w:p w14:paraId="03981C16">
      <w:pPr>
        <w:spacing w:line="360" w:lineRule="auto"/>
        <w:rPr>
          <w:rFonts w:hAnsi="宋体"/>
          <w:color w:val="auto"/>
          <w:kern w:val="0"/>
          <w:sz w:val="24"/>
          <w:szCs w:val="24"/>
          <w:highlight w:val="none"/>
        </w:rPr>
      </w:pPr>
      <w:r>
        <w:rPr>
          <w:rFonts w:hint="eastAsia" w:hAnsi="宋体"/>
          <w:color w:val="auto"/>
          <w:kern w:val="0"/>
          <w:sz w:val="24"/>
          <w:szCs w:val="24"/>
          <w:highlight w:val="none"/>
        </w:rPr>
        <w:t>发包人指定的接收人为：</w:t>
      </w:r>
      <w:r>
        <w:rPr>
          <w:rFonts w:hint="eastAsia" w:hAnsi="宋体"/>
          <w:color w:val="auto"/>
          <w:sz w:val="24"/>
          <w:szCs w:val="24"/>
          <w:highlight w:val="none"/>
          <w:u w:val="single"/>
        </w:rPr>
        <w:t xml:space="preserve">                                               </w:t>
      </w:r>
      <w:r>
        <w:rPr>
          <w:rFonts w:hint="eastAsia" w:hAnsi="宋体"/>
          <w:color w:val="auto"/>
          <w:kern w:val="0"/>
          <w:sz w:val="24"/>
          <w:szCs w:val="24"/>
          <w:highlight w:val="none"/>
        </w:rPr>
        <w:t>。</w:t>
      </w:r>
    </w:p>
    <w:p w14:paraId="573E8CAD">
      <w:pPr>
        <w:spacing w:line="360" w:lineRule="auto"/>
        <w:rPr>
          <w:rFonts w:hAnsi="宋体"/>
          <w:color w:val="auto"/>
          <w:kern w:val="0"/>
          <w:sz w:val="24"/>
          <w:szCs w:val="24"/>
          <w:highlight w:val="none"/>
        </w:rPr>
      </w:pPr>
      <w:r>
        <w:rPr>
          <w:rFonts w:hint="eastAsia" w:hAnsi="宋体"/>
          <w:color w:val="auto"/>
          <w:kern w:val="0"/>
          <w:sz w:val="24"/>
          <w:szCs w:val="24"/>
          <w:highlight w:val="none"/>
        </w:rPr>
        <w:t>承包人接收文件的地点：</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55FF6ACD">
      <w:pPr>
        <w:spacing w:line="360" w:lineRule="auto"/>
        <w:rPr>
          <w:rFonts w:hAnsi="宋体"/>
          <w:color w:val="auto"/>
          <w:kern w:val="0"/>
          <w:sz w:val="24"/>
          <w:szCs w:val="24"/>
          <w:highlight w:val="none"/>
        </w:rPr>
      </w:pPr>
      <w:r>
        <w:rPr>
          <w:rFonts w:hint="eastAsia" w:hAnsi="宋体"/>
          <w:color w:val="auto"/>
          <w:kern w:val="0"/>
          <w:sz w:val="24"/>
          <w:szCs w:val="24"/>
          <w:highlight w:val="none"/>
        </w:rPr>
        <w:t>承包人指定的接收人为：</w:t>
      </w:r>
      <w:r>
        <w:rPr>
          <w:rFonts w:hint="eastAsia" w:hAnsi="宋体" w:cs="Arial Unicode MS"/>
          <w:color w:val="auto"/>
          <w:sz w:val="24"/>
          <w:szCs w:val="24"/>
          <w:highlight w:val="none"/>
          <w:u w:val="single"/>
        </w:rPr>
        <w:t>项目负责人</w:t>
      </w:r>
      <w:r>
        <w:rPr>
          <w:rFonts w:hint="eastAsia" w:hAnsi="宋体"/>
          <w:color w:val="auto"/>
          <w:kern w:val="0"/>
          <w:sz w:val="24"/>
          <w:szCs w:val="24"/>
          <w:highlight w:val="none"/>
          <w:u w:val="single"/>
        </w:rPr>
        <w:t>。</w:t>
      </w:r>
    </w:p>
    <w:p w14:paraId="5D8E7B1C">
      <w:pPr>
        <w:spacing w:line="360" w:lineRule="auto"/>
        <w:rPr>
          <w:rFonts w:hAnsi="宋体"/>
          <w:color w:val="auto"/>
          <w:kern w:val="0"/>
          <w:sz w:val="24"/>
          <w:szCs w:val="24"/>
          <w:highlight w:val="none"/>
        </w:rPr>
      </w:pPr>
      <w:r>
        <w:rPr>
          <w:rFonts w:hint="eastAsia" w:hAnsi="宋体"/>
          <w:color w:val="auto"/>
          <w:kern w:val="0"/>
          <w:sz w:val="24"/>
          <w:szCs w:val="24"/>
          <w:highlight w:val="none"/>
        </w:rPr>
        <w:t>监理人接收文件的地点：</w:t>
      </w:r>
      <w:r>
        <w:rPr>
          <w:rFonts w:hint="eastAsia" w:hAnsi="宋体"/>
          <w:color w:val="auto"/>
          <w:sz w:val="24"/>
          <w:szCs w:val="24"/>
          <w:highlight w:val="none"/>
          <w:u w:val="single"/>
        </w:rPr>
        <w:t>与监理人协商确定</w:t>
      </w:r>
      <w:r>
        <w:rPr>
          <w:rFonts w:hint="eastAsia" w:hAnsi="宋体"/>
          <w:color w:val="auto"/>
          <w:kern w:val="0"/>
          <w:sz w:val="24"/>
          <w:szCs w:val="24"/>
          <w:highlight w:val="none"/>
          <w:u w:val="single"/>
        </w:rPr>
        <w:t>；</w:t>
      </w:r>
    </w:p>
    <w:p w14:paraId="0F27111C">
      <w:pPr>
        <w:spacing w:line="360" w:lineRule="auto"/>
        <w:rPr>
          <w:rFonts w:hAnsi="宋体"/>
          <w:color w:val="auto"/>
          <w:kern w:val="0"/>
          <w:sz w:val="24"/>
          <w:szCs w:val="24"/>
          <w:highlight w:val="none"/>
        </w:rPr>
      </w:pPr>
      <w:r>
        <w:rPr>
          <w:rFonts w:hint="eastAsia" w:hAnsi="宋体"/>
          <w:color w:val="auto"/>
          <w:kern w:val="0"/>
          <w:sz w:val="24"/>
          <w:szCs w:val="24"/>
          <w:highlight w:val="none"/>
        </w:rPr>
        <w:t>监理人指定的接收人为：</w:t>
      </w:r>
      <w:r>
        <w:rPr>
          <w:rFonts w:hint="eastAsia" w:hAnsi="宋体"/>
          <w:color w:val="auto"/>
          <w:kern w:val="0"/>
          <w:sz w:val="24"/>
          <w:szCs w:val="24"/>
          <w:highlight w:val="none"/>
          <w:u w:val="single"/>
        </w:rPr>
        <w:t>与监理人协商确定。</w:t>
      </w:r>
    </w:p>
    <w:p w14:paraId="48C05433">
      <w:pPr>
        <w:spacing w:line="360" w:lineRule="auto"/>
        <w:rPr>
          <w:rFonts w:hAnsi="宋体"/>
          <w:b/>
          <w:bCs/>
          <w:color w:val="auto"/>
          <w:sz w:val="24"/>
          <w:szCs w:val="24"/>
          <w:highlight w:val="none"/>
        </w:rPr>
      </w:pPr>
      <w:r>
        <w:rPr>
          <w:rFonts w:hint="eastAsia" w:hAnsi="宋体"/>
          <w:b/>
          <w:bCs/>
          <w:color w:val="auto"/>
          <w:sz w:val="24"/>
          <w:szCs w:val="24"/>
          <w:highlight w:val="none"/>
        </w:rPr>
        <w:t>1.10 交通运输</w:t>
      </w:r>
    </w:p>
    <w:p w14:paraId="43867122">
      <w:pPr>
        <w:spacing w:line="360" w:lineRule="auto"/>
        <w:rPr>
          <w:rFonts w:hAnsi="宋体"/>
          <w:color w:val="auto"/>
          <w:sz w:val="24"/>
          <w:szCs w:val="24"/>
          <w:highlight w:val="none"/>
        </w:rPr>
      </w:pPr>
      <w:r>
        <w:rPr>
          <w:rFonts w:hint="eastAsia" w:hAnsi="宋体"/>
          <w:color w:val="auto"/>
          <w:sz w:val="24"/>
          <w:szCs w:val="24"/>
          <w:highlight w:val="none"/>
        </w:rPr>
        <w:t>1</w:t>
      </w:r>
      <w:bookmarkStart w:id="411" w:name="_Toc303539100"/>
      <w:bookmarkEnd w:id="411"/>
      <w:bookmarkStart w:id="412" w:name="_Toc318581155"/>
      <w:bookmarkEnd w:id="412"/>
      <w:bookmarkStart w:id="413" w:name="_Toc304295521"/>
      <w:bookmarkEnd w:id="413"/>
      <w:bookmarkStart w:id="414" w:name="_Toc312677986"/>
      <w:bookmarkEnd w:id="414"/>
      <w:bookmarkStart w:id="415" w:name="_Toc300934943"/>
      <w:r>
        <w:rPr>
          <w:rFonts w:hint="eastAsia" w:hAnsi="宋体"/>
          <w:color w:val="auto"/>
          <w:sz w:val="24"/>
          <w:szCs w:val="24"/>
          <w:highlight w:val="none"/>
        </w:rPr>
        <w:t>.10.1 出入现场的权利</w:t>
      </w:r>
      <w:bookmarkEnd w:id="415"/>
    </w:p>
    <w:p w14:paraId="1BFCF71B">
      <w:pPr>
        <w:spacing w:line="360" w:lineRule="auto"/>
        <w:rPr>
          <w:rFonts w:hAnsi="宋体"/>
          <w:color w:val="auto"/>
          <w:sz w:val="24"/>
          <w:szCs w:val="24"/>
          <w:highlight w:val="none"/>
          <w:u w:val="single"/>
        </w:rPr>
      </w:pPr>
      <w:r>
        <w:rPr>
          <w:rFonts w:hint="eastAsia" w:hAnsi="宋体"/>
          <w:color w:val="auto"/>
          <w:sz w:val="24"/>
          <w:szCs w:val="24"/>
          <w:highlight w:val="none"/>
        </w:rPr>
        <w:t>关于出入现场的权利的约定：</w:t>
      </w:r>
      <w:r>
        <w:rPr>
          <w:rFonts w:hint="eastAsia" w:hAnsi="宋体"/>
          <w:color w:val="auto"/>
          <w:sz w:val="24"/>
          <w:szCs w:val="24"/>
          <w:highlight w:val="none"/>
          <w:u w:val="single"/>
        </w:rPr>
        <w:t>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6137FF67">
      <w:pPr>
        <w:spacing w:line="360" w:lineRule="auto"/>
        <w:rPr>
          <w:rFonts w:hAnsi="宋体"/>
          <w:color w:val="auto"/>
          <w:sz w:val="24"/>
          <w:szCs w:val="24"/>
          <w:highlight w:val="none"/>
        </w:rPr>
      </w:pPr>
      <w:r>
        <w:rPr>
          <w:rFonts w:hint="eastAsia" w:hAnsi="宋体"/>
          <w:color w:val="auto"/>
          <w:sz w:val="24"/>
          <w:szCs w:val="24"/>
          <w:highlight w:val="none"/>
          <w:u w:val="single"/>
        </w:rPr>
        <w:t>承包人应在订立合同前查勘施工现场，并根据工程规模及技术参数合理预见工程施工所需的进出施工现场的方式、手段、路径等。因承包人未合理预见所增加的费用和（或）延误的工期由承包人承担。</w:t>
      </w:r>
    </w:p>
    <w:p w14:paraId="4BED69AC">
      <w:pPr>
        <w:spacing w:line="360" w:lineRule="auto"/>
        <w:rPr>
          <w:rFonts w:hAnsi="宋体"/>
          <w:color w:val="auto"/>
          <w:sz w:val="24"/>
          <w:szCs w:val="24"/>
          <w:highlight w:val="none"/>
        </w:rPr>
      </w:pPr>
      <w:r>
        <w:rPr>
          <w:rFonts w:hint="eastAsia" w:hAnsi="宋体"/>
          <w:color w:val="auto"/>
          <w:sz w:val="24"/>
          <w:szCs w:val="24"/>
          <w:highlight w:val="none"/>
        </w:rPr>
        <w:t>1</w:t>
      </w:r>
      <w:bookmarkStart w:id="416" w:name="_Toc304295522"/>
      <w:bookmarkEnd w:id="416"/>
      <w:bookmarkStart w:id="417" w:name="_Toc318581156"/>
      <w:bookmarkEnd w:id="417"/>
      <w:bookmarkStart w:id="418" w:name="_Toc300934944"/>
      <w:bookmarkEnd w:id="418"/>
      <w:bookmarkStart w:id="419" w:name="_Toc312677987"/>
      <w:bookmarkEnd w:id="419"/>
      <w:bookmarkStart w:id="420" w:name="_Toc303539101"/>
      <w:r>
        <w:rPr>
          <w:rFonts w:hint="eastAsia" w:hAnsi="宋体"/>
          <w:color w:val="auto"/>
          <w:sz w:val="24"/>
          <w:szCs w:val="24"/>
          <w:highlight w:val="none"/>
        </w:rPr>
        <w:t>.10.3 场内交通</w:t>
      </w:r>
      <w:bookmarkEnd w:id="420"/>
    </w:p>
    <w:p w14:paraId="4E41D678">
      <w:pPr>
        <w:spacing w:line="360" w:lineRule="auto"/>
        <w:rPr>
          <w:rFonts w:hAnsi="宋体"/>
          <w:color w:val="auto"/>
          <w:kern w:val="0"/>
          <w:sz w:val="24"/>
          <w:szCs w:val="24"/>
          <w:highlight w:val="none"/>
          <w:u w:val="single"/>
        </w:rPr>
      </w:pPr>
      <w:r>
        <w:rPr>
          <w:rFonts w:hint="eastAsia" w:hAnsi="宋体"/>
          <w:color w:val="auto"/>
          <w:kern w:val="0"/>
          <w:sz w:val="24"/>
          <w:szCs w:val="24"/>
          <w:highlight w:val="none"/>
        </w:rPr>
        <w:t>关于场外交通和场内交通的边界的约定：</w:t>
      </w:r>
      <w:r>
        <w:rPr>
          <w:rFonts w:hint="eastAsia" w:hAnsi="宋体"/>
          <w:color w:val="auto"/>
          <w:sz w:val="24"/>
          <w:szCs w:val="24"/>
          <w:highlight w:val="none"/>
          <w:u w:val="single"/>
        </w:rPr>
        <w:t>/；</w:t>
      </w:r>
    </w:p>
    <w:p w14:paraId="4F0D5E31">
      <w:pPr>
        <w:spacing w:line="360" w:lineRule="auto"/>
        <w:rPr>
          <w:rFonts w:hAnsi="宋体"/>
          <w:color w:val="auto"/>
          <w:sz w:val="24"/>
          <w:szCs w:val="24"/>
          <w:highlight w:val="none"/>
          <w:u w:val="single"/>
        </w:rPr>
      </w:pPr>
      <w:r>
        <w:rPr>
          <w:rFonts w:hint="eastAsia" w:hAnsi="宋体"/>
          <w:color w:val="auto"/>
          <w:kern w:val="0"/>
          <w:sz w:val="24"/>
          <w:szCs w:val="24"/>
          <w:highlight w:val="none"/>
        </w:rPr>
        <w:t>关于发包人向承包人免费提供满足工程施工需要的场内道路和交通设施的约定</w:t>
      </w:r>
      <w:r>
        <w:rPr>
          <w:rFonts w:hint="eastAsia" w:hAnsi="宋体"/>
          <w:color w:val="auto"/>
          <w:sz w:val="24"/>
          <w:szCs w:val="24"/>
          <w:highlight w:val="none"/>
        </w:rPr>
        <w:t>：</w:t>
      </w:r>
      <w:bookmarkStart w:id="421" w:name="_Toc318581157"/>
      <w:bookmarkEnd w:id="421"/>
      <w:r>
        <w:rPr>
          <w:rFonts w:hint="eastAsia" w:hAnsi="宋体"/>
          <w:color w:val="auto"/>
          <w:sz w:val="24"/>
          <w:szCs w:val="24"/>
          <w:highlight w:val="none"/>
          <w:u w:val="single"/>
        </w:rPr>
        <w:t>/</w:t>
      </w:r>
    </w:p>
    <w:p w14:paraId="0FA1600E">
      <w:pPr>
        <w:spacing w:line="360" w:lineRule="auto"/>
        <w:rPr>
          <w:rFonts w:hAnsi="宋体"/>
          <w:color w:val="auto"/>
          <w:sz w:val="24"/>
          <w:szCs w:val="24"/>
          <w:highlight w:val="none"/>
        </w:rPr>
      </w:pPr>
      <w:r>
        <w:rPr>
          <w:rFonts w:hint="eastAsia" w:hAnsi="宋体"/>
          <w:color w:val="auto"/>
          <w:sz w:val="24"/>
          <w:szCs w:val="24"/>
          <w:highlight w:val="none"/>
        </w:rPr>
        <w:t>1.10.4超大件和超重件的运输</w:t>
      </w:r>
    </w:p>
    <w:p w14:paraId="6B0BF3E3">
      <w:pPr>
        <w:spacing w:line="360" w:lineRule="auto"/>
        <w:rPr>
          <w:rFonts w:hAnsi="宋体"/>
          <w:color w:val="auto"/>
          <w:sz w:val="24"/>
          <w:szCs w:val="24"/>
          <w:highlight w:val="none"/>
        </w:rPr>
      </w:pPr>
      <w:r>
        <w:rPr>
          <w:rFonts w:hint="eastAsia" w:hAnsi="宋体"/>
          <w:color w:val="auto"/>
          <w:sz w:val="24"/>
          <w:szCs w:val="24"/>
          <w:highlight w:val="none"/>
        </w:rPr>
        <w:t>运输超大件或超重件所需的道路和桥梁临时加固改造费用和其他有关费用由</w:t>
      </w:r>
      <w:r>
        <w:rPr>
          <w:rFonts w:hint="eastAsia" w:hAnsi="宋体"/>
          <w:color w:val="auto"/>
          <w:sz w:val="24"/>
          <w:szCs w:val="24"/>
          <w:highlight w:val="none"/>
          <w:u w:val="single"/>
        </w:rPr>
        <w:t>承包人</w:t>
      </w:r>
      <w:r>
        <w:rPr>
          <w:rFonts w:hint="eastAsia" w:hAnsi="宋体"/>
          <w:color w:val="auto"/>
          <w:sz w:val="24"/>
          <w:szCs w:val="24"/>
          <w:highlight w:val="none"/>
        </w:rPr>
        <w:t>承担。</w:t>
      </w:r>
    </w:p>
    <w:p w14:paraId="43585B39">
      <w:pPr>
        <w:spacing w:line="360" w:lineRule="auto"/>
        <w:rPr>
          <w:rFonts w:hAnsi="宋体"/>
          <w:color w:val="auto"/>
          <w:sz w:val="24"/>
          <w:szCs w:val="24"/>
          <w:highlight w:val="none"/>
          <w:u w:val="single"/>
        </w:rPr>
      </w:pPr>
      <w:r>
        <w:rPr>
          <w:rFonts w:hint="eastAsia" w:hAnsi="宋体"/>
          <w:b/>
          <w:bCs/>
          <w:color w:val="auto"/>
          <w:sz w:val="24"/>
          <w:szCs w:val="24"/>
          <w:highlight w:val="none"/>
        </w:rPr>
        <w:t>本工程的超大件：</w:t>
      </w:r>
      <w:r>
        <w:rPr>
          <w:rFonts w:hint="eastAsia" w:hAnsi="宋体"/>
          <w:color w:val="auto"/>
          <w:sz w:val="24"/>
          <w:szCs w:val="24"/>
          <w:highlight w:val="none"/>
          <w:u w:val="single"/>
        </w:rPr>
        <w:t>/</w:t>
      </w:r>
    </w:p>
    <w:p w14:paraId="15F4068F">
      <w:pPr>
        <w:spacing w:line="360" w:lineRule="auto"/>
        <w:rPr>
          <w:rFonts w:hAnsi="宋体"/>
          <w:color w:val="auto"/>
          <w:sz w:val="24"/>
          <w:szCs w:val="24"/>
          <w:highlight w:val="none"/>
          <w:u w:val="single"/>
        </w:rPr>
      </w:pPr>
      <w:r>
        <w:rPr>
          <w:rFonts w:hint="eastAsia" w:hAnsi="宋体"/>
          <w:b/>
          <w:bCs/>
          <w:color w:val="auto"/>
          <w:sz w:val="24"/>
          <w:szCs w:val="24"/>
          <w:highlight w:val="none"/>
        </w:rPr>
        <w:t>本工程的超重件：</w:t>
      </w:r>
      <w:r>
        <w:rPr>
          <w:rFonts w:hint="eastAsia" w:hAnsi="宋体"/>
          <w:color w:val="auto"/>
          <w:sz w:val="24"/>
          <w:szCs w:val="24"/>
          <w:highlight w:val="none"/>
          <w:u w:val="single"/>
        </w:rPr>
        <w:t>/</w:t>
      </w:r>
    </w:p>
    <w:p w14:paraId="7D59AB41">
      <w:pPr>
        <w:spacing w:line="360" w:lineRule="auto"/>
        <w:rPr>
          <w:rFonts w:hAnsi="宋体"/>
          <w:b/>
          <w:bCs/>
          <w:color w:val="auto"/>
          <w:sz w:val="24"/>
          <w:szCs w:val="24"/>
          <w:highlight w:val="none"/>
        </w:rPr>
      </w:pPr>
      <w:r>
        <w:rPr>
          <w:rFonts w:hint="eastAsia" w:hAnsi="宋体"/>
          <w:b/>
          <w:bCs/>
          <w:color w:val="auto"/>
          <w:sz w:val="24"/>
          <w:szCs w:val="24"/>
          <w:highlight w:val="none"/>
        </w:rPr>
        <w:t>1.11 知识产权</w:t>
      </w:r>
    </w:p>
    <w:p w14:paraId="50C3121B">
      <w:pPr>
        <w:spacing w:line="360" w:lineRule="auto"/>
        <w:rPr>
          <w:rFonts w:hAnsi="宋体"/>
          <w:color w:val="auto"/>
          <w:sz w:val="24"/>
          <w:szCs w:val="24"/>
          <w:highlight w:val="none"/>
        </w:rPr>
      </w:pPr>
      <w:r>
        <w:rPr>
          <w:rFonts w:hint="eastAsia" w:hAnsi="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hAnsi="宋体"/>
          <w:color w:val="auto"/>
          <w:sz w:val="24"/>
          <w:szCs w:val="24"/>
          <w:highlight w:val="none"/>
          <w:u w:val="single"/>
        </w:rPr>
        <w:t>发包人</w:t>
      </w:r>
      <w:r>
        <w:rPr>
          <w:rFonts w:hint="eastAsia" w:hAnsi="宋体"/>
          <w:color w:val="auto"/>
          <w:sz w:val="24"/>
          <w:szCs w:val="24"/>
          <w:highlight w:val="none"/>
        </w:rPr>
        <w:t>。</w:t>
      </w:r>
    </w:p>
    <w:p w14:paraId="00A8CB77">
      <w:pPr>
        <w:spacing w:line="360" w:lineRule="auto"/>
        <w:rPr>
          <w:rFonts w:hAnsi="宋体"/>
          <w:color w:val="auto"/>
          <w:sz w:val="24"/>
          <w:szCs w:val="24"/>
          <w:highlight w:val="none"/>
          <w:u w:val="single"/>
        </w:rPr>
      </w:pPr>
      <w:r>
        <w:rPr>
          <w:rFonts w:hint="eastAsia" w:hAnsi="宋体"/>
          <w:color w:val="auto"/>
          <w:sz w:val="24"/>
          <w:szCs w:val="24"/>
          <w:highlight w:val="none"/>
        </w:rPr>
        <w:t>关于发包人提供的上述文件的使用限制的要求：</w:t>
      </w:r>
      <w:r>
        <w:rPr>
          <w:rFonts w:hint="eastAsia" w:hAnsi="宋体"/>
          <w:color w:val="auto"/>
          <w:spacing w:val="-5"/>
          <w:sz w:val="24"/>
          <w:szCs w:val="24"/>
          <w:highlight w:val="none"/>
          <w:u w:val="single"/>
        </w:rPr>
        <w:t>按</w:t>
      </w:r>
      <w:r>
        <w:rPr>
          <w:rFonts w:hint="eastAsia" w:hAnsi="宋体"/>
          <w:color w:val="auto"/>
          <w:sz w:val="24"/>
          <w:szCs w:val="24"/>
          <w:highlight w:val="none"/>
          <w:u w:val="single"/>
        </w:rPr>
        <w:t>《通用</w:t>
      </w:r>
      <w:r>
        <w:rPr>
          <w:rFonts w:hint="eastAsia" w:hAnsi="宋体"/>
          <w:color w:val="auto"/>
          <w:spacing w:val="-5"/>
          <w:sz w:val="24"/>
          <w:szCs w:val="24"/>
          <w:highlight w:val="none"/>
          <w:u w:val="single"/>
        </w:rPr>
        <w:t>合</w:t>
      </w:r>
      <w:r>
        <w:rPr>
          <w:rFonts w:hint="eastAsia" w:hAnsi="宋体"/>
          <w:color w:val="auto"/>
          <w:sz w:val="24"/>
          <w:szCs w:val="24"/>
          <w:highlight w:val="none"/>
          <w:u w:val="single"/>
        </w:rPr>
        <w:t>同条款</w:t>
      </w:r>
      <w:r>
        <w:rPr>
          <w:rFonts w:hint="eastAsia" w:hAnsi="宋体"/>
          <w:color w:val="auto"/>
          <w:spacing w:val="-5"/>
          <w:sz w:val="24"/>
          <w:szCs w:val="24"/>
          <w:highlight w:val="none"/>
          <w:u w:val="single"/>
        </w:rPr>
        <w:t>》</w:t>
      </w:r>
      <w:r>
        <w:rPr>
          <w:rFonts w:hint="eastAsia" w:hAnsi="宋体"/>
          <w:color w:val="auto"/>
          <w:sz w:val="24"/>
          <w:szCs w:val="24"/>
          <w:highlight w:val="none"/>
          <w:u w:val="single"/>
        </w:rPr>
        <w:t>条执</w:t>
      </w:r>
      <w:r>
        <w:rPr>
          <w:rFonts w:hint="eastAsia" w:hAnsi="宋体"/>
          <w:color w:val="auto"/>
          <w:spacing w:val="-5"/>
          <w:sz w:val="24"/>
          <w:szCs w:val="24"/>
          <w:highlight w:val="none"/>
          <w:u w:val="single"/>
        </w:rPr>
        <w:t>行</w:t>
      </w:r>
      <w:r>
        <w:rPr>
          <w:rFonts w:hint="eastAsia" w:hAnsi="宋体"/>
          <w:color w:val="auto"/>
          <w:sz w:val="24"/>
          <w:szCs w:val="24"/>
          <w:highlight w:val="none"/>
          <w:u w:val="single"/>
        </w:rPr>
        <w:t xml:space="preserve">。 </w:t>
      </w:r>
    </w:p>
    <w:p w14:paraId="3F4D3435">
      <w:pPr>
        <w:spacing w:line="360" w:lineRule="auto"/>
        <w:rPr>
          <w:rFonts w:hAnsi="宋体"/>
          <w:color w:val="auto"/>
          <w:sz w:val="24"/>
          <w:szCs w:val="24"/>
          <w:highlight w:val="none"/>
          <w:u w:val="single"/>
        </w:rPr>
      </w:pPr>
      <w:r>
        <w:rPr>
          <w:rFonts w:hint="eastAsia" w:hAnsi="宋体"/>
          <w:color w:val="auto"/>
          <w:sz w:val="24"/>
          <w:szCs w:val="24"/>
          <w:highlight w:val="none"/>
        </w:rPr>
        <w:t>1.11.2 关于承包人为实施工程所编制文件的著作权的归属：</w:t>
      </w:r>
      <w:r>
        <w:rPr>
          <w:rFonts w:hint="eastAsia" w:hAnsi="宋体"/>
          <w:color w:val="auto"/>
          <w:spacing w:val="-5"/>
          <w:sz w:val="24"/>
          <w:szCs w:val="24"/>
          <w:highlight w:val="none"/>
          <w:u w:val="single"/>
        </w:rPr>
        <w:t>按</w:t>
      </w:r>
      <w:r>
        <w:rPr>
          <w:rFonts w:hint="eastAsia" w:hAnsi="宋体"/>
          <w:color w:val="auto"/>
          <w:sz w:val="24"/>
          <w:szCs w:val="24"/>
          <w:highlight w:val="none"/>
          <w:u w:val="single"/>
        </w:rPr>
        <w:t>《通用</w:t>
      </w:r>
      <w:r>
        <w:rPr>
          <w:rFonts w:hint="eastAsia" w:hAnsi="宋体"/>
          <w:color w:val="auto"/>
          <w:spacing w:val="-5"/>
          <w:sz w:val="24"/>
          <w:szCs w:val="24"/>
          <w:highlight w:val="none"/>
          <w:u w:val="single"/>
        </w:rPr>
        <w:t>合</w:t>
      </w:r>
      <w:r>
        <w:rPr>
          <w:rFonts w:hint="eastAsia" w:hAnsi="宋体"/>
          <w:color w:val="auto"/>
          <w:sz w:val="24"/>
          <w:szCs w:val="24"/>
          <w:highlight w:val="none"/>
          <w:u w:val="single"/>
        </w:rPr>
        <w:t>同条款</w:t>
      </w:r>
      <w:r>
        <w:rPr>
          <w:rFonts w:hint="eastAsia" w:hAnsi="宋体"/>
          <w:color w:val="auto"/>
          <w:spacing w:val="-5"/>
          <w:sz w:val="24"/>
          <w:szCs w:val="24"/>
          <w:highlight w:val="none"/>
          <w:u w:val="single"/>
        </w:rPr>
        <w:t>》</w:t>
      </w:r>
      <w:r>
        <w:rPr>
          <w:rFonts w:hint="eastAsia" w:hAnsi="宋体"/>
          <w:color w:val="auto"/>
          <w:sz w:val="24"/>
          <w:szCs w:val="24"/>
          <w:highlight w:val="none"/>
          <w:u w:val="single"/>
        </w:rPr>
        <w:t>条执</w:t>
      </w:r>
      <w:r>
        <w:rPr>
          <w:rFonts w:hint="eastAsia" w:hAnsi="宋体"/>
          <w:color w:val="auto"/>
          <w:spacing w:val="-5"/>
          <w:sz w:val="24"/>
          <w:szCs w:val="24"/>
          <w:highlight w:val="none"/>
          <w:u w:val="single"/>
        </w:rPr>
        <w:t>行</w:t>
      </w:r>
      <w:r>
        <w:rPr>
          <w:rFonts w:hint="eastAsia" w:hAnsi="宋体"/>
          <w:color w:val="auto"/>
          <w:sz w:val="24"/>
          <w:szCs w:val="24"/>
          <w:highlight w:val="none"/>
          <w:u w:val="single"/>
        </w:rPr>
        <w:t xml:space="preserve">。 </w:t>
      </w:r>
    </w:p>
    <w:p w14:paraId="6B7C963F">
      <w:pPr>
        <w:spacing w:line="360" w:lineRule="auto"/>
        <w:rPr>
          <w:rFonts w:hAnsi="宋体"/>
          <w:color w:val="auto"/>
          <w:sz w:val="24"/>
          <w:szCs w:val="24"/>
          <w:highlight w:val="none"/>
          <w:u w:val="single"/>
        </w:rPr>
      </w:pPr>
      <w:r>
        <w:rPr>
          <w:rFonts w:hint="eastAsia" w:hAnsi="宋体"/>
          <w:color w:val="auto"/>
          <w:sz w:val="24"/>
          <w:szCs w:val="24"/>
          <w:highlight w:val="none"/>
        </w:rPr>
        <w:t>关于承包人提供的上述文件的使用限制的要求：</w:t>
      </w:r>
      <w:r>
        <w:rPr>
          <w:rFonts w:hint="eastAsia" w:hAnsi="宋体"/>
          <w:color w:val="auto"/>
          <w:spacing w:val="-5"/>
          <w:sz w:val="24"/>
          <w:szCs w:val="24"/>
          <w:highlight w:val="none"/>
          <w:u w:val="single"/>
        </w:rPr>
        <w:t>按</w:t>
      </w:r>
      <w:r>
        <w:rPr>
          <w:rFonts w:hint="eastAsia" w:hAnsi="宋体"/>
          <w:color w:val="auto"/>
          <w:sz w:val="24"/>
          <w:szCs w:val="24"/>
          <w:highlight w:val="none"/>
          <w:u w:val="single"/>
        </w:rPr>
        <w:t>《通用</w:t>
      </w:r>
      <w:r>
        <w:rPr>
          <w:rFonts w:hint="eastAsia" w:hAnsi="宋体"/>
          <w:color w:val="auto"/>
          <w:spacing w:val="-5"/>
          <w:sz w:val="24"/>
          <w:szCs w:val="24"/>
          <w:highlight w:val="none"/>
          <w:u w:val="single"/>
        </w:rPr>
        <w:t>合</w:t>
      </w:r>
      <w:r>
        <w:rPr>
          <w:rFonts w:hint="eastAsia" w:hAnsi="宋体"/>
          <w:color w:val="auto"/>
          <w:sz w:val="24"/>
          <w:szCs w:val="24"/>
          <w:highlight w:val="none"/>
          <w:u w:val="single"/>
        </w:rPr>
        <w:t>同条款</w:t>
      </w:r>
      <w:r>
        <w:rPr>
          <w:rFonts w:hint="eastAsia" w:hAnsi="宋体"/>
          <w:color w:val="auto"/>
          <w:spacing w:val="-5"/>
          <w:sz w:val="24"/>
          <w:szCs w:val="24"/>
          <w:highlight w:val="none"/>
          <w:u w:val="single"/>
        </w:rPr>
        <w:t>》</w:t>
      </w:r>
      <w:r>
        <w:rPr>
          <w:rFonts w:hint="eastAsia" w:hAnsi="宋体"/>
          <w:color w:val="auto"/>
          <w:sz w:val="24"/>
          <w:szCs w:val="24"/>
          <w:highlight w:val="none"/>
          <w:u w:val="single"/>
        </w:rPr>
        <w:t>条执</w:t>
      </w:r>
      <w:r>
        <w:rPr>
          <w:rFonts w:hint="eastAsia" w:hAnsi="宋体"/>
          <w:color w:val="auto"/>
          <w:spacing w:val="-5"/>
          <w:sz w:val="24"/>
          <w:szCs w:val="24"/>
          <w:highlight w:val="none"/>
          <w:u w:val="single"/>
        </w:rPr>
        <w:t>行</w:t>
      </w:r>
      <w:r>
        <w:rPr>
          <w:rFonts w:hint="eastAsia" w:hAnsi="宋体"/>
          <w:color w:val="auto"/>
          <w:sz w:val="24"/>
          <w:szCs w:val="24"/>
          <w:highlight w:val="none"/>
          <w:u w:val="single"/>
        </w:rPr>
        <w:t xml:space="preserve">。 </w:t>
      </w:r>
    </w:p>
    <w:p w14:paraId="07C36C4D">
      <w:pPr>
        <w:spacing w:line="360" w:lineRule="auto"/>
        <w:rPr>
          <w:rFonts w:hAnsi="宋体"/>
          <w:b/>
          <w:bCs/>
          <w:color w:val="auto"/>
          <w:sz w:val="24"/>
          <w:szCs w:val="24"/>
          <w:highlight w:val="none"/>
        </w:rPr>
      </w:pPr>
      <w:r>
        <w:rPr>
          <w:rFonts w:hint="eastAsia" w:hAnsi="宋体"/>
          <w:color w:val="auto"/>
          <w:sz w:val="24"/>
          <w:szCs w:val="24"/>
          <w:highlight w:val="none"/>
        </w:rPr>
        <w:t>1.11.4 承包人在施工过程中所采用的专利、专有技术、技术秘密的使用费的承担方式：</w:t>
      </w:r>
      <w:r>
        <w:rPr>
          <w:rFonts w:hint="eastAsia" w:hAnsi="宋体"/>
          <w:b/>
          <w:bCs/>
          <w:color w:val="auto"/>
          <w:sz w:val="24"/>
          <w:szCs w:val="24"/>
          <w:highlight w:val="none"/>
          <w:u w:val="single"/>
        </w:rPr>
        <w:t xml:space="preserve">（除发包人指明外）承包人在施工过程中所采用的专利、专有技术、技术秘密的使用费均已包含在合同价款内  </w:t>
      </w:r>
      <w:r>
        <w:rPr>
          <w:rFonts w:hint="eastAsia" w:hAnsi="宋体"/>
          <w:b/>
          <w:bCs/>
          <w:color w:val="auto"/>
          <w:sz w:val="24"/>
          <w:szCs w:val="24"/>
          <w:highlight w:val="none"/>
        </w:rPr>
        <w:t xml:space="preserve"> 。</w:t>
      </w:r>
    </w:p>
    <w:p w14:paraId="40E6AFEB">
      <w:pPr>
        <w:spacing w:line="360" w:lineRule="auto"/>
        <w:rPr>
          <w:rFonts w:hAnsi="宋体"/>
          <w:b/>
          <w:bCs/>
          <w:color w:val="auto"/>
          <w:sz w:val="24"/>
          <w:szCs w:val="24"/>
          <w:highlight w:val="none"/>
        </w:rPr>
      </w:pPr>
      <w:r>
        <w:rPr>
          <w:rFonts w:hint="eastAsia" w:hAnsi="宋体"/>
          <w:b/>
          <w:bCs/>
          <w:color w:val="auto"/>
          <w:sz w:val="24"/>
          <w:szCs w:val="24"/>
          <w:highlight w:val="none"/>
        </w:rPr>
        <w:t>1.13工程量清单错误的修正</w:t>
      </w:r>
    </w:p>
    <w:p w14:paraId="1AAD8FBF">
      <w:pPr>
        <w:spacing w:line="360" w:lineRule="auto"/>
        <w:rPr>
          <w:rFonts w:hAnsi="宋体"/>
          <w:color w:val="auto"/>
          <w:kern w:val="0"/>
          <w:sz w:val="24"/>
          <w:szCs w:val="24"/>
          <w:highlight w:val="none"/>
        </w:rPr>
      </w:pPr>
      <w:r>
        <w:rPr>
          <w:rFonts w:hint="eastAsia" w:hAnsi="宋体"/>
          <w:color w:val="auto"/>
          <w:sz w:val="24"/>
          <w:szCs w:val="24"/>
          <w:highlight w:val="none"/>
        </w:rPr>
        <w:t>出现工程量清单错误时，是否调整合同价格：</w:t>
      </w:r>
      <w:r>
        <w:rPr>
          <w:rFonts w:hint="eastAsia" w:hAnsi="宋体"/>
          <w:color w:val="auto"/>
          <w:sz w:val="24"/>
          <w:szCs w:val="24"/>
          <w:highlight w:val="none"/>
          <w:u w:val="single"/>
        </w:rPr>
        <w:t>是。</w:t>
      </w:r>
    </w:p>
    <w:p w14:paraId="71DA6475">
      <w:pPr>
        <w:spacing w:line="360" w:lineRule="auto"/>
        <w:rPr>
          <w:rFonts w:hAnsi="宋体"/>
          <w:color w:val="auto"/>
          <w:sz w:val="24"/>
          <w:szCs w:val="24"/>
          <w:highlight w:val="none"/>
        </w:rPr>
      </w:pPr>
      <w:r>
        <w:rPr>
          <w:rFonts w:hint="eastAsia" w:hAnsi="宋体"/>
          <w:color w:val="auto"/>
          <w:sz w:val="24"/>
          <w:szCs w:val="24"/>
          <w:highlight w:val="none"/>
        </w:rPr>
        <w:t>允许调整合同价格的工程量偏差范围：</w:t>
      </w:r>
      <w:r>
        <w:rPr>
          <w:rFonts w:hint="eastAsia" w:hAnsi="宋体"/>
          <w:color w:val="auto"/>
          <w:sz w:val="24"/>
          <w:szCs w:val="24"/>
          <w:highlight w:val="none"/>
          <w:u w:val="single"/>
        </w:rPr>
        <w:t>按合同条款10.4.1执行；</w:t>
      </w:r>
      <w:bookmarkStart w:id="422" w:name="_Toc351203634"/>
      <w:bookmarkEnd w:id="422"/>
    </w:p>
    <w:p w14:paraId="797CDCF3">
      <w:pPr>
        <w:spacing w:line="360" w:lineRule="auto"/>
        <w:rPr>
          <w:rFonts w:hAnsi="宋体"/>
          <w:b/>
          <w:bCs/>
          <w:color w:val="auto"/>
          <w:sz w:val="24"/>
          <w:szCs w:val="24"/>
          <w:highlight w:val="none"/>
          <w:u w:val="single"/>
        </w:rPr>
      </w:pPr>
      <w:r>
        <w:rPr>
          <w:rFonts w:hint="eastAsia" w:hAnsi="宋体"/>
          <w:color w:val="auto"/>
          <w:sz w:val="24"/>
          <w:szCs w:val="24"/>
          <w:highlight w:val="none"/>
        </w:rPr>
        <w:t>调整合同价格的</w:t>
      </w:r>
      <w:r>
        <w:rPr>
          <w:rFonts w:hint="eastAsia" w:hAnsi="宋体"/>
          <w:color w:val="auto"/>
          <w:kern w:val="0"/>
          <w:sz w:val="24"/>
          <w:szCs w:val="24"/>
          <w:highlight w:val="none"/>
        </w:rPr>
        <w:t>修正时间：</w:t>
      </w:r>
      <w:r>
        <w:rPr>
          <w:rFonts w:hint="eastAsia" w:hAnsi="宋体"/>
          <w:color w:val="auto"/>
          <w:sz w:val="24"/>
          <w:szCs w:val="24"/>
          <w:highlight w:val="none"/>
          <w:u w:val="single"/>
        </w:rPr>
        <w:t>按本合同专用条款执行。</w:t>
      </w:r>
    </w:p>
    <w:p w14:paraId="76B5B554">
      <w:pPr>
        <w:spacing w:line="360" w:lineRule="auto"/>
        <w:rPr>
          <w:rFonts w:hAnsi="宋体"/>
          <w:b/>
          <w:bCs/>
          <w:color w:val="auto"/>
          <w:sz w:val="24"/>
          <w:szCs w:val="24"/>
          <w:highlight w:val="none"/>
        </w:rPr>
      </w:pPr>
      <w:r>
        <w:rPr>
          <w:rFonts w:hint="eastAsia" w:hAnsi="宋体"/>
          <w:b/>
          <w:bCs/>
          <w:color w:val="auto"/>
          <w:sz w:val="24"/>
          <w:szCs w:val="24"/>
          <w:highlight w:val="none"/>
        </w:rPr>
        <w:t>2</w:t>
      </w:r>
      <w:bookmarkStart w:id="423" w:name="_Toc296891197"/>
      <w:bookmarkEnd w:id="423"/>
      <w:bookmarkStart w:id="424" w:name="_Toc296346658"/>
      <w:bookmarkEnd w:id="424"/>
      <w:bookmarkStart w:id="425" w:name="_Toc296944496"/>
      <w:bookmarkEnd w:id="425"/>
      <w:bookmarkStart w:id="426" w:name="_Toc292559867"/>
      <w:bookmarkEnd w:id="426"/>
      <w:bookmarkStart w:id="427" w:name="_Toc292559362"/>
      <w:bookmarkEnd w:id="427"/>
      <w:bookmarkStart w:id="428" w:name="_Toc297048343"/>
      <w:bookmarkEnd w:id="428"/>
      <w:bookmarkStart w:id="429" w:name="_Toc296890985"/>
      <w:bookmarkEnd w:id="429"/>
      <w:bookmarkStart w:id="430" w:name="_Toc296503157"/>
      <w:bookmarkEnd w:id="430"/>
      <w:bookmarkStart w:id="431" w:name="_Toc296347156"/>
      <w:bookmarkEnd w:id="431"/>
      <w:bookmarkStart w:id="432" w:name="_Toc297120457"/>
      <w:r>
        <w:rPr>
          <w:rFonts w:hint="eastAsia" w:hAnsi="宋体"/>
          <w:b/>
          <w:bCs/>
          <w:color w:val="auto"/>
          <w:sz w:val="24"/>
          <w:szCs w:val="24"/>
          <w:highlight w:val="none"/>
        </w:rPr>
        <w:t>. 发包人</w:t>
      </w:r>
      <w:bookmarkEnd w:id="432"/>
    </w:p>
    <w:p w14:paraId="11052DE4">
      <w:pPr>
        <w:spacing w:line="360" w:lineRule="auto"/>
        <w:rPr>
          <w:rFonts w:hAnsi="宋体"/>
          <w:b/>
          <w:bCs/>
          <w:color w:val="auto"/>
          <w:sz w:val="24"/>
          <w:szCs w:val="24"/>
          <w:highlight w:val="none"/>
        </w:rPr>
      </w:pPr>
      <w:r>
        <w:rPr>
          <w:rFonts w:hint="eastAsia" w:hAnsi="宋体"/>
          <w:b/>
          <w:bCs/>
          <w:color w:val="auto"/>
          <w:sz w:val="24"/>
          <w:szCs w:val="24"/>
          <w:highlight w:val="none"/>
        </w:rPr>
        <w:t>发包人应根据工程所需配备发包人代表，同时配备1-2名相关人员到岗履职。</w:t>
      </w:r>
    </w:p>
    <w:p w14:paraId="555A5F93">
      <w:pPr>
        <w:spacing w:line="360" w:lineRule="auto"/>
        <w:rPr>
          <w:rFonts w:hAnsi="宋体"/>
          <w:b/>
          <w:bCs/>
          <w:color w:val="auto"/>
          <w:sz w:val="24"/>
          <w:szCs w:val="24"/>
          <w:highlight w:val="none"/>
        </w:rPr>
      </w:pPr>
      <w:r>
        <w:rPr>
          <w:rFonts w:hint="eastAsia" w:hAnsi="宋体"/>
          <w:b/>
          <w:bCs/>
          <w:color w:val="auto"/>
          <w:sz w:val="24"/>
          <w:szCs w:val="24"/>
          <w:highlight w:val="none"/>
        </w:rPr>
        <w:t>2.2 发包人代表</w:t>
      </w:r>
    </w:p>
    <w:p w14:paraId="6AF5C358">
      <w:pPr>
        <w:spacing w:line="360" w:lineRule="auto"/>
        <w:rPr>
          <w:rFonts w:hAnsi="宋体"/>
          <w:color w:val="auto"/>
          <w:sz w:val="24"/>
          <w:szCs w:val="24"/>
          <w:highlight w:val="none"/>
        </w:rPr>
      </w:pPr>
      <w:r>
        <w:rPr>
          <w:rFonts w:hint="eastAsia" w:hAnsi="宋体"/>
          <w:color w:val="auto"/>
          <w:sz w:val="24"/>
          <w:szCs w:val="24"/>
          <w:highlight w:val="none"/>
        </w:rPr>
        <w:t>发包人代表</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564DB322">
      <w:pPr>
        <w:spacing w:line="360" w:lineRule="auto"/>
        <w:rPr>
          <w:rFonts w:hAnsi="宋体"/>
          <w:color w:val="auto"/>
          <w:sz w:val="24"/>
          <w:szCs w:val="24"/>
          <w:highlight w:val="none"/>
        </w:rPr>
      </w:pPr>
      <w:r>
        <w:rPr>
          <w:rFonts w:hint="eastAsia" w:hAnsi="宋体"/>
          <w:color w:val="auto"/>
          <w:sz w:val="24"/>
          <w:szCs w:val="24"/>
          <w:highlight w:val="none"/>
        </w:rPr>
        <w:t>姓    名：</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435531FE">
      <w:pPr>
        <w:spacing w:line="360" w:lineRule="auto"/>
        <w:rPr>
          <w:rFonts w:hAnsi="宋体"/>
          <w:color w:val="auto"/>
          <w:sz w:val="24"/>
          <w:szCs w:val="24"/>
          <w:highlight w:val="none"/>
        </w:rPr>
      </w:pPr>
      <w:r>
        <w:rPr>
          <w:rFonts w:hint="eastAsia" w:hAnsi="宋体"/>
          <w:color w:val="auto"/>
          <w:sz w:val="24"/>
          <w:szCs w:val="24"/>
          <w:highlight w:val="none"/>
        </w:rPr>
        <w:t>身份证号：</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2145A56F">
      <w:pPr>
        <w:spacing w:line="360" w:lineRule="auto"/>
        <w:rPr>
          <w:rFonts w:hAnsi="宋体"/>
          <w:color w:val="auto"/>
          <w:sz w:val="24"/>
          <w:szCs w:val="24"/>
          <w:highlight w:val="none"/>
        </w:rPr>
      </w:pPr>
      <w:r>
        <w:rPr>
          <w:rFonts w:hint="eastAsia" w:hAnsi="宋体"/>
          <w:color w:val="auto"/>
          <w:sz w:val="24"/>
          <w:szCs w:val="24"/>
          <w:highlight w:val="none"/>
        </w:rPr>
        <w:t>职    务：</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18D45FE3">
      <w:pPr>
        <w:spacing w:line="360" w:lineRule="auto"/>
        <w:rPr>
          <w:rFonts w:hAnsi="宋体"/>
          <w:color w:val="auto"/>
          <w:sz w:val="24"/>
          <w:szCs w:val="24"/>
          <w:highlight w:val="none"/>
        </w:rPr>
      </w:pPr>
      <w:r>
        <w:rPr>
          <w:rFonts w:hint="eastAsia" w:hAnsi="宋体"/>
          <w:color w:val="auto"/>
          <w:sz w:val="24"/>
          <w:szCs w:val="24"/>
          <w:highlight w:val="none"/>
        </w:rPr>
        <w:t>联系电话：</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3C39EB97">
      <w:pPr>
        <w:spacing w:line="360" w:lineRule="auto"/>
        <w:rPr>
          <w:rFonts w:hAnsi="宋体"/>
          <w:color w:val="auto"/>
          <w:sz w:val="24"/>
          <w:szCs w:val="24"/>
          <w:highlight w:val="none"/>
        </w:rPr>
      </w:pPr>
      <w:r>
        <w:rPr>
          <w:rFonts w:hint="eastAsia" w:hAnsi="宋体"/>
          <w:color w:val="auto"/>
          <w:sz w:val="24"/>
          <w:szCs w:val="24"/>
          <w:highlight w:val="none"/>
        </w:rPr>
        <w:t>电子信箱：</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6F9E61A5">
      <w:pPr>
        <w:spacing w:line="360" w:lineRule="auto"/>
        <w:rPr>
          <w:rFonts w:hAnsi="宋体"/>
          <w:color w:val="auto"/>
          <w:sz w:val="24"/>
          <w:szCs w:val="24"/>
          <w:highlight w:val="none"/>
        </w:rPr>
      </w:pPr>
      <w:r>
        <w:rPr>
          <w:rFonts w:hint="eastAsia" w:hAnsi="宋体"/>
          <w:color w:val="auto"/>
          <w:sz w:val="24"/>
          <w:szCs w:val="24"/>
          <w:highlight w:val="none"/>
        </w:rPr>
        <w:t>通信地址：</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00102292">
      <w:pPr>
        <w:pStyle w:val="23"/>
        <w:spacing w:line="360" w:lineRule="auto"/>
        <w:rPr>
          <w:rFonts w:hAnsi="宋体"/>
          <w:color w:val="auto"/>
          <w:sz w:val="24"/>
          <w:szCs w:val="24"/>
          <w:highlight w:val="none"/>
          <w:u w:val="single"/>
        </w:rPr>
      </w:pPr>
      <w:r>
        <w:rPr>
          <w:rFonts w:hint="eastAsia" w:hAnsi="宋体"/>
          <w:color w:val="auto"/>
          <w:sz w:val="24"/>
          <w:szCs w:val="24"/>
          <w:highlight w:val="none"/>
        </w:rPr>
        <w:t>发包人对发包人代表的授权范围如下：</w:t>
      </w:r>
      <w:r>
        <w:rPr>
          <w:rFonts w:hint="eastAsia" w:hAnsi="宋体"/>
          <w:color w:val="auto"/>
          <w:sz w:val="24"/>
          <w:szCs w:val="24"/>
          <w:highlight w:val="none"/>
          <w:u w:val="single"/>
        </w:rPr>
        <w:t>负责处理合同履行过程中与发包人有关的具体事宜</w:t>
      </w:r>
    </w:p>
    <w:p w14:paraId="68333B59">
      <w:pPr>
        <w:spacing w:line="360" w:lineRule="auto"/>
        <w:rPr>
          <w:rFonts w:hAnsi="宋体"/>
          <w:b/>
          <w:bCs/>
          <w:color w:val="auto"/>
          <w:sz w:val="24"/>
          <w:szCs w:val="24"/>
          <w:highlight w:val="none"/>
        </w:rPr>
      </w:pPr>
      <w:r>
        <w:rPr>
          <w:rFonts w:hint="eastAsia" w:hAnsi="宋体"/>
          <w:b/>
          <w:bCs/>
          <w:color w:val="auto"/>
          <w:sz w:val="24"/>
          <w:szCs w:val="24"/>
          <w:highlight w:val="none"/>
        </w:rPr>
        <w:t>2.4 施工现场、施工条件和基础资料的提供</w:t>
      </w:r>
    </w:p>
    <w:p w14:paraId="55A2993A">
      <w:pPr>
        <w:spacing w:line="360" w:lineRule="auto"/>
        <w:rPr>
          <w:rFonts w:hAnsi="宋体"/>
          <w:color w:val="auto"/>
          <w:sz w:val="24"/>
          <w:szCs w:val="24"/>
          <w:highlight w:val="none"/>
        </w:rPr>
      </w:pPr>
      <w:r>
        <w:rPr>
          <w:rFonts w:hint="eastAsia" w:hAnsi="宋体"/>
          <w:color w:val="auto"/>
          <w:sz w:val="24"/>
          <w:szCs w:val="24"/>
          <w:highlight w:val="none"/>
        </w:rPr>
        <w:t>2.4.1 提供施工现场</w:t>
      </w:r>
    </w:p>
    <w:p w14:paraId="4F5C8022">
      <w:pPr>
        <w:spacing w:line="360" w:lineRule="auto"/>
        <w:rPr>
          <w:rFonts w:hAnsi="宋体"/>
          <w:color w:val="auto"/>
          <w:kern w:val="0"/>
          <w:sz w:val="24"/>
          <w:szCs w:val="24"/>
          <w:highlight w:val="none"/>
        </w:rPr>
      </w:pPr>
      <w:r>
        <w:rPr>
          <w:rFonts w:hint="eastAsia" w:hAnsi="宋体"/>
          <w:color w:val="auto"/>
          <w:sz w:val="24"/>
          <w:szCs w:val="24"/>
          <w:highlight w:val="none"/>
        </w:rPr>
        <w:t>关于发包人移交施工现场的期限要求</w:t>
      </w:r>
      <w:r>
        <w:rPr>
          <w:rFonts w:hint="eastAsia" w:hAnsi="宋体"/>
          <w:color w:val="auto"/>
          <w:kern w:val="0"/>
          <w:sz w:val="24"/>
          <w:szCs w:val="24"/>
          <w:highlight w:val="none"/>
        </w:rPr>
        <w:t>：</w:t>
      </w:r>
      <w:r>
        <w:rPr>
          <w:rFonts w:hint="eastAsia" w:hAnsi="宋体"/>
          <w:color w:val="auto"/>
          <w:sz w:val="24"/>
          <w:szCs w:val="24"/>
          <w:highlight w:val="none"/>
          <w:u w:val="single"/>
        </w:rPr>
        <w:t>开工前7天内</w:t>
      </w:r>
      <w:r>
        <w:rPr>
          <w:rFonts w:hint="eastAsia" w:hAnsi="宋体"/>
          <w:color w:val="auto"/>
          <w:kern w:val="0"/>
          <w:sz w:val="24"/>
          <w:szCs w:val="24"/>
          <w:highlight w:val="none"/>
          <w:u w:val="single"/>
        </w:rPr>
        <w:t>。</w:t>
      </w:r>
    </w:p>
    <w:p w14:paraId="52971B2A">
      <w:pPr>
        <w:spacing w:line="360" w:lineRule="auto"/>
        <w:rPr>
          <w:rFonts w:hAnsi="宋体"/>
          <w:color w:val="auto"/>
          <w:sz w:val="24"/>
          <w:szCs w:val="24"/>
          <w:highlight w:val="none"/>
        </w:rPr>
      </w:pPr>
      <w:r>
        <w:rPr>
          <w:rFonts w:hint="eastAsia" w:hAnsi="宋体"/>
          <w:color w:val="auto"/>
          <w:sz w:val="24"/>
          <w:szCs w:val="24"/>
          <w:highlight w:val="none"/>
        </w:rPr>
        <w:t>2.4.2 提供施工条件</w:t>
      </w:r>
    </w:p>
    <w:p w14:paraId="44300B01">
      <w:pPr>
        <w:spacing w:line="360" w:lineRule="auto"/>
        <w:rPr>
          <w:rFonts w:hAnsi="宋体"/>
          <w:color w:val="auto"/>
          <w:sz w:val="24"/>
          <w:szCs w:val="24"/>
          <w:highlight w:val="none"/>
          <w:u w:val="single"/>
        </w:rPr>
      </w:pPr>
      <w:r>
        <w:rPr>
          <w:rFonts w:hint="eastAsia" w:hAnsi="宋体"/>
          <w:color w:val="auto"/>
          <w:sz w:val="24"/>
          <w:szCs w:val="24"/>
          <w:highlight w:val="none"/>
        </w:rPr>
        <w:t>关于发包人应负责提供施工所需要的条件，包括：</w:t>
      </w:r>
      <w:r>
        <w:rPr>
          <w:rFonts w:hint="eastAsia" w:hAnsi="宋体"/>
          <w:color w:val="auto"/>
          <w:sz w:val="24"/>
          <w:szCs w:val="24"/>
          <w:highlight w:val="none"/>
          <w:u w:val="single"/>
        </w:rPr>
        <w:t>无</w:t>
      </w:r>
    </w:p>
    <w:p w14:paraId="4EA071F8">
      <w:pPr>
        <w:spacing w:line="360" w:lineRule="auto"/>
        <w:rPr>
          <w:rFonts w:hAnsi="宋体"/>
          <w:b/>
          <w:bCs/>
          <w:color w:val="auto"/>
          <w:sz w:val="24"/>
          <w:szCs w:val="24"/>
          <w:highlight w:val="none"/>
        </w:rPr>
      </w:pPr>
      <w:r>
        <w:rPr>
          <w:rFonts w:hint="eastAsia" w:hAnsi="宋体"/>
          <w:b/>
          <w:bCs/>
          <w:color w:val="auto"/>
          <w:sz w:val="24"/>
          <w:szCs w:val="24"/>
          <w:highlight w:val="none"/>
        </w:rPr>
        <w:t>2.5 资金来源证明及支付担保</w:t>
      </w:r>
    </w:p>
    <w:p w14:paraId="3C221435">
      <w:pPr>
        <w:spacing w:line="360" w:lineRule="auto"/>
        <w:rPr>
          <w:rFonts w:hAnsi="宋体"/>
          <w:color w:val="auto"/>
          <w:sz w:val="24"/>
          <w:szCs w:val="24"/>
          <w:highlight w:val="none"/>
          <w:u w:val="single"/>
        </w:rPr>
      </w:pPr>
      <w:r>
        <w:rPr>
          <w:rFonts w:hint="eastAsia" w:hAnsi="宋体"/>
          <w:color w:val="auto"/>
          <w:sz w:val="24"/>
          <w:szCs w:val="24"/>
          <w:highlight w:val="none"/>
        </w:rPr>
        <w:t>发包人提供资金来源证明的期限要求：</w:t>
      </w:r>
      <w:r>
        <w:rPr>
          <w:rFonts w:hint="eastAsia" w:hAnsi="宋体"/>
          <w:color w:val="auto"/>
          <w:sz w:val="24"/>
          <w:szCs w:val="24"/>
          <w:highlight w:val="none"/>
          <w:u w:val="single"/>
        </w:rPr>
        <w:t xml:space="preserve">    / 。</w:t>
      </w:r>
    </w:p>
    <w:p w14:paraId="53F5C08C">
      <w:pPr>
        <w:spacing w:line="360" w:lineRule="auto"/>
        <w:rPr>
          <w:rFonts w:hAnsi="宋体"/>
          <w:color w:val="auto"/>
          <w:sz w:val="24"/>
          <w:szCs w:val="24"/>
          <w:highlight w:val="none"/>
        </w:rPr>
      </w:pPr>
      <w:r>
        <w:rPr>
          <w:rFonts w:hint="eastAsia" w:hAnsi="宋体"/>
          <w:color w:val="auto"/>
          <w:sz w:val="24"/>
          <w:szCs w:val="24"/>
          <w:highlight w:val="none"/>
        </w:rPr>
        <w:t>发包人是否提供支付担保：</w:t>
      </w:r>
      <w:r>
        <w:rPr>
          <w:rFonts w:hint="eastAsia" w:hAnsi="宋体"/>
          <w:color w:val="auto"/>
          <w:sz w:val="24"/>
          <w:szCs w:val="24"/>
          <w:highlight w:val="none"/>
          <w:u w:val="single"/>
        </w:rPr>
        <w:t>是</w:t>
      </w:r>
      <w:r>
        <w:rPr>
          <w:rFonts w:hint="eastAsia" w:hAnsi="宋体"/>
          <w:color w:val="auto"/>
          <w:sz w:val="24"/>
          <w:szCs w:val="24"/>
          <w:highlight w:val="none"/>
        </w:rPr>
        <w:t>。</w:t>
      </w:r>
    </w:p>
    <w:p w14:paraId="72FC5014">
      <w:pPr>
        <w:spacing w:line="360" w:lineRule="auto"/>
        <w:rPr>
          <w:rFonts w:hAnsi="宋体"/>
          <w:color w:val="auto"/>
          <w:sz w:val="24"/>
          <w:szCs w:val="24"/>
          <w:highlight w:val="none"/>
        </w:rPr>
      </w:pPr>
      <w:r>
        <w:rPr>
          <w:rFonts w:hint="eastAsia" w:hAnsi="宋体"/>
          <w:color w:val="auto"/>
          <w:sz w:val="24"/>
          <w:szCs w:val="24"/>
          <w:highlight w:val="none"/>
        </w:rPr>
        <w:t>发包人提供支付担保的形式：</w:t>
      </w:r>
      <w:r>
        <w:rPr>
          <w:rFonts w:hint="eastAsia" w:hAnsi="宋体"/>
          <w:color w:val="auto"/>
          <w:sz w:val="24"/>
          <w:szCs w:val="24"/>
          <w:highlight w:val="none"/>
          <w:u w:val="single"/>
        </w:rPr>
        <w:t>保函</w:t>
      </w:r>
      <w:r>
        <w:rPr>
          <w:rFonts w:hint="eastAsia" w:hAnsi="宋体"/>
          <w:color w:val="auto"/>
          <w:sz w:val="24"/>
          <w:szCs w:val="24"/>
          <w:highlight w:val="none"/>
        </w:rPr>
        <w:t>。</w:t>
      </w:r>
    </w:p>
    <w:p w14:paraId="12A2C427">
      <w:pPr>
        <w:pStyle w:val="6"/>
        <w:spacing w:line="360" w:lineRule="auto"/>
        <w:rPr>
          <w:rFonts w:ascii="宋体" w:hAnsi="宋体"/>
          <w:color w:val="auto"/>
          <w:sz w:val="24"/>
          <w:szCs w:val="24"/>
          <w:highlight w:val="none"/>
        </w:rPr>
      </w:pPr>
      <w:bookmarkStart w:id="433" w:name="_Toc351203635"/>
      <w:bookmarkEnd w:id="433"/>
      <w:r>
        <w:rPr>
          <w:rFonts w:hint="eastAsia" w:ascii="宋体" w:hAnsi="宋体"/>
          <w:color w:val="auto"/>
          <w:sz w:val="24"/>
          <w:szCs w:val="24"/>
          <w:highlight w:val="none"/>
        </w:rPr>
        <w:t>3</w:t>
      </w:r>
      <w:bookmarkStart w:id="434" w:name="_Toc296347157"/>
      <w:bookmarkEnd w:id="434"/>
      <w:bookmarkStart w:id="435" w:name="_Toc296503158"/>
      <w:bookmarkEnd w:id="435"/>
      <w:bookmarkStart w:id="436" w:name="_Toc296346659"/>
      <w:bookmarkEnd w:id="436"/>
      <w:bookmarkStart w:id="437" w:name="_Toc297120458"/>
      <w:bookmarkEnd w:id="437"/>
      <w:bookmarkStart w:id="438" w:name="_Toc292559363"/>
      <w:bookmarkEnd w:id="438"/>
      <w:bookmarkStart w:id="439" w:name="_Toc296890986"/>
      <w:bookmarkEnd w:id="439"/>
      <w:bookmarkStart w:id="440" w:name="_Toc296891198"/>
      <w:bookmarkEnd w:id="440"/>
      <w:bookmarkStart w:id="441" w:name="_Toc292559868"/>
      <w:bookmarkEnd w:id="441"/>
      <w:bookmarkStart w:id="442" w:name="_Toc297048344"/>
      <w:bookmarkEnd w:id="442"/>
      <w:bookmarkStart w:id="443" w:name="_Toc296944497"/>
      <w:r>
        <w:rPr>
          <w:rFonts w:hint="eastAsia" w:ascii="宋体" w:hAnsi="宋体"/>
          <w:color w:val="auto"/>
          <w:sz w:val="24"/>
          <w:szCs w:val="24"/>
          <w:highlight w:val="none"/>
        </w:rPr>
        <w:t>. 承包人</w:t>
      </w:r>
      <w:bookmarkEnd w:id="443"/>
    </w:p>
    <w:p w14:paraId="62588051">
      <w:pPr>
        <w:spacing w:line="360" w:lineRule="auto"/>
        <w:rPr>
          <w:rFonts w:hAnsi="宋体"/>
          <w:b/>
          <w:bCs/>
          <w:color w:val="auto"/>
          <w:sz w:val="24"/>
          <w:szCs w:val="24"/>
          <w:highlight w:val="none"/>
        </w:rPr>
      </w:pPr>
      <w:r>
        <w:rPr>
          <w:rFonts w:hint="eastAsia" w:hAnsi="宋体"/>
          <w:b/>
          <w:bCs/>
          <w:color w:val="auto"/>
          <w:sz w:val="24"/>
          <w:szCs w:val="24"/>
          <w:highlight w:val="none"/>
        </w:rPr>
        <w:t>3.1 承包人的一般义务</w:t>
      </w:r>
    </w:p>
    <w:p w14:paraId="0789B3E9">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kern w:val="0"/>
          <w:sz w:val="24"/>
          <w:szCs w:val="24"/>
          <w:highlight w:val="none"/>
        </w:rPr>
        <w:t>（5）</w:t>
      </w:r>
      <w:r>
        <w:rPr>
          <w:rFonts w:hint="eastAsia" w:hAnsi="宋体"/>
          <w:color w:val="auto"/>
          <w:sz w:val="24"/>
          <w:szCs w:val="24"/>
          <w:highlight w:val="none"/>
        </w:rPr>
        <w:t>承包人提交的竣工资料的内容：</w:t>
      </w:r>
      <w:r>
        <w:rPr>
          <w:rFonts w:hint="eastAsia" w:hAnsi="宋体"/>
          <w:color w:val="auto"/>
          <w:sz w:val="24"/>
          <w:szCs w:val="24"/>
          <w:highlight w:val="none"/>
          <w:u w:val="single"/>
        </w:rPr>
        <w:t>竣工文字资料、竣工图（含电子版）、竣工测量成果、隐蔽工程影像资料</w:t>
      </w:r>
      <w:r>
        <w:rPr>
          <w:rFonts w:hint="eastAsia" w:hAnsi="宋体"/>
          <w:color w:val="auto"/>
          <w:sz w:val="24"/>
          <w:szCs w:val="24"/>
          <w:highlight w:val="none"/>
        </w:rPr>
        <w:t>。</w:t>
      </w:r>
    </w:p>
    <w:p w14:paraId="1AE305B5">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承包人需要提交的竣工资料套数：</w:t>
      </w:r>
      <w:r>
        <w:rPr>
          <w:rFonts w:hint="eastAsia" w:hAnsi="宋体"/>
          <w:color w:val="auto"/>
          <w:sz w:val="24"/>
          <w:szCs w:val="24"/>
          <w:highlight w:val="none"/>
          <w:u w:val="single"/>
        </w:rPr>
        <w:t>竣工文字资料 4 套、竣工图 4 套（电子版2 份）</w:t>
      </w:r>
      <w:r>
        <w:rPr>
          <w:rFonts w:hint="eastAsia" w:hAnsi="宋体"/>
          <w:color w:val="auto"/>
          <w:sz w:val="24"/>
          <w:szCs w:val="24"/>
          <w:highlight w:val="none"/>
        </w:rPr>
        <w:t>。</w:t>
      </w:r>
    </w:p>
    <w:p w14:paraId="6C35F92B">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承包人提交的竣工资料的费用承担：</w:t>
      </w:r>
      <w:r>
        <w:rPr>
          <w:rFonts w:hint="eastAsia" w:hAnsi="宋体"/>
          <w:color w:val="auto"/>
          <w:sz w:val="24"/>
          <w:szCs w:val="24"/>
          <w:highlight w:val="none"/>
          <w:u w:val="single"/>
        </w:rPr>
        <w:t xml:space="preserve">由承包人承担   </w:t>
      </w:r>
      <w:r>
        <w:rPr>
          <w:rFonts w:hint="eastAsia" w:hAnsi="宋体"/>
          <w:color w:val="auto"/>
          <w:sz w:val="24"/>
          <w:szCs w:val="24"/>
          <w:highlight w:val="none"/>
        </w:rPr>
        <w:t>。</w:t>
      </w:r>
    </w:p>
    <w:p w14:paraId="7544D5D8">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承包人提交的竣工资料移交时间：</w:t>
      </w:r>
      <w:r>
        <w:rPr>
          <w:rFonts w:hint="eastAsia" w:hAnsi="宋体"/>
          <w:color w:val="auto"/>
          <w:sz w:val="24"/>
          <w:szCs w:val="24"/>
          <w:highlight w:val="none"/>
          <w:u w:val="single"/>
        </w:rPr>
        <w:t>竣工验收合格之日起28天内</w:t>
      </w:r>
      <w:r>
        <w:rPr>
          <w:rFonts w:hint="eastAsia" w:hAnsi="宋体"/>
          <w:color w:val="auto"/>
          <w:sz w:val="24"/>
          <w:szCs w:val="24"/>
          <w:highlight w:val="none"/>
        </w:rPr>
        <w:t>。</w:t>
      </w:r>
    </w:p>
    <w:p w14:paraId="471A8300">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承包人提交的竣工资料形式要求：</w:t>
      </w:r>
      <w:r>
        <w:rPr>
          <w:rFonts w:hint="eastAsia" w:hAnsi="宋体"/>
          <w:color w:val="auto"/>
          <w:sz w:val="24"/>
          <w:szCs w:val="24"/>
          <w:highlight w:val="none"/>
          <w:u w:val="single"/>
        </w:rPr>
        <w:t>按《建设工程文件归档整理规范》（GB/T50328-2001）和杭州市城建档案馆进档要求</w:t>
      </w:r>
      <w:r>
        <w:rPr>
          <w:rFonts w:hint="eastAsia" w:hAnsi="宋体"/>
          <w:color w:val="auto"/>
          <w:sz w:val="24"/>
          <w:szCs w:val="24"/>
          <w:highlight w:val="none"/>
        </w:rPr>
        <w:t>。</w:t>
      </w:r>
    </w:p>
    <w:p w14:paraId="2781A88C">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kern w:val="0"/>
          <w:sz w:val="24"/>
          <w:szCs w:val="24"/>
          <w:highlight w:val="none"/>
        </w:rPr>
        <w:t>（6）承包人应履行的其他义务：</w:t>
      </w:r>
      <w:r>
        <w:rPr>
          <w:rFonts w:hint="eastAsia" w:hAnsi="宋体"/>
          <w:color w:val="auto"/>
          <w:kern w:val="0"/>
          <w:sz w:val="24"/>
          <w:szCs w:val="24"/>
          <w:highlight w:val="none"/>
          <w:u w:val="single"/>
        </w:rPr>
        <w:t xml:space="preserve">           </w:t>
      </w:r>
    </w:p>
    <w:p w14:paraId="130781D4">
      <w:pPr>
        <w:adjustRightInd w:val="0"/>
        <w:snapToGrid w:val="0"/>
        <w:spacing w:line="360" w:lineRule="auto"/>
        <w:rPr>
          <w:rFonts w:hAnsi="宋体"/>
          <w:color w:val="auto"/>
          <w:sz w:val="24"/>
          <w:szCs w:val="24"/>
          <w:highlight w:val="none"/>
        </w:rPr>
      </w:pPr>
      <w:r>
        <w:rPr>
          <w:rFonts w:hint="eastAsia" w:hAnsi="宋体"/>
          <w:color w:val="auto"/>
          <w:sz w:val="24"/>
          <w:szCs w:val="24"/>
          <w:highlight w:val="none"/>
        </w:rPr>
        <w:t>3.2 项目负责人</w:t>
      </w:r>
    </w:p>
    <w:p w14:paraId="5007E612">
      <w:pPr>
        <w:adjustRightInd w:val="0"/>
        <w:snapToGrid w:val="0"/>
        <w:spacing w:line="360" w:lineRule="auto"/>
        <w:rPr>
          <w:rFonts w:hAnsi="宋体"/>
          <w:color w:val="auto"/>
          <w:sz w:val="24"/>
          <w:szCs w:val="24"/>
          <w:highlight w:val="none"/>
        </w:rPr>
      </w:pPr>
      <w:r>
        <w:rPr>
          <w:rFonts w:hint="eastAsia" w:hAnsi="宋体"/>
          <w:color w:val="auto"/>
          <w:kern w:val="0"/>
          <w:sz w:val="24"/>
          <w:szCs w:val="24"/>
          <w:highlight w:val="none"/>
        </w:rPr>
        <w:t xml:space="preserve">3.2.1 </w:t>
      </w:r>
      <w:r>
        <w:rPr>
          <w:rFonts w:hint="eastAsia" w:hAnsi="宋体"/>
          <w:color w:val="auto"/>
          <w:sz w:val="24"/>
          <w:szCs w:val="24"/>
          <w:highlight w:val="none"/>
        </w:rPr>
        <w:t>项目负责人：</w:t>
      </w:r>
    </w:p>
    <w:p w14:paraId="4F48BD08">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姓    名：</w:t>
      </w:r>
      <w:r>
        <w:rPr>
          <w:rFonts w:hint="eastAsia" w:hAnsi="宋体"/>
          <w:color w:val="auto"/>
          <w:sz w:val="24"/>
          <w:szCs w:val="24"/>
          <w:highlight w:val="none"/>
          <w:u w:val="single"/>
        </w:rPr>
        <w:t>         </w:t>
      </w:r>
      <w:r>
        <w:rPr>
          <w:rFonts w:hint="eastAsia" w:hAnsi="宋体"/>
          <w:color w:val="auto"/>
          <w:sz w:val="24"/>
          <w:szCs w:val="24"/>
          <w:highlight w:val="none"/>
        </w:rPr>
        <w:t>；</w:t>
      </w:r>
    </w:p>
    <w:p w14:paraId="0C1E8547">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身份证号：</w:t>
      </w:r>
      <w:r>
        <w:rPr>
          <w:rFonts w:hint="eastAsia" w:hAnsi="宋体"/>
          <w:color w:val="auto"/>
          <w:sz w:val="24"/>
          <w:szCs w:val="24"/>
          <w:highlight w:val="none"/>
          <w:u w:val="single"/>
        </w:rPr>
        <w:t>         </w:t>
      </w:r>
      <w:r>
        <w:rPr>
          <w:rFonts w:hint="eastAsia" w:hAnsi="宋体"/>
          <w:color w:val="auto"/>
          <w:sz w:val="24"/>
          <w:szCs w:val="24"/>
          <w:highlight w:val="none"/>
        </w:rPr>
        <w:t>；</w:t>
      </w:r>
    </w:p>
    <w:p w14:paraId="0C17DCFB">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建造师执业资格等级：</w:t>
      </w:r>
      <w:r>
        <w:rPr>
          <w:rFonts w:hint="eastAsia" w:hAnsi="宋体"/>
          <w:color w:val="auto"/>
          <w:sz w:val="24"/>
          <w:szCs w:val="24"/>
          <w:highlight w:val="none"/>
          <w:u w:val="single"/>
        </w:rPr>
        <w:t>   </w:t>
      </w:r>
      <w:r>
        <w:rPr>
          <w:rFonts w:hint="eastAsia" w:hAnsi="宋体"/>
          <w:color w:val="auto"/>
          <w:sz w:val="24"/>
          <w:szCs w:val="24"/>
          <w:highlight w:val="none"/>
        </w:rPr>
        <w:t>；</w:t>
      </w:r>
    </w:p>
    <w:p w14:paraId="097FAB43">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建造师注册证书号：</w:t>
      </w:r>
      <w:r>
        <w:rPr>
          <w:rFonts w:hint="eastAsia" w:hAnsi="宋体"/>
          <w:color w:val="auto"/>
          <w:sz w:val="24"/>
          <w:szCs w:val="24"/>
          <w:highlight w:val="none"/>
          <w:u w:val="single"/>
        </w:rPr>
        <w:t> </w:t>
      </w:r>
      <w:r>
        <w:rPr>
          <w:rFonts w:hint="eastAsia" w:hAnsi="宋体"/>
          <w:color w:val="auto"/>
          <w:sz w:val="24"/>
          <w:szCs w:val="24"/>
          <w:highlight w:val="none"/>
        </w:rPr>
        <w:t>；</w:t>
      </w:r>
    </w:p>
    <w:p w14:paraId="0C39E188">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建造师执业印章号：</w:t>
      </w:r>
      <w:r>
        <w:rPr>
          <w:rFonts w:hint="eastAsia" w:hAnsi="宋体"/>
          <w:color w:val="auto"/>
          <w:sz w:val="24"/>
          <w:szCs w:val="24"/>
          <w:highlight w:val="none"/>
          <w:u w:val="single"/>
        </w:rPr>
        <w:t> </w:t>
      </w:r>
      <w:r>
        <w:rPr>
          <w:rFonts w:hint="eastAsia" w:hAnsi="宋体"/>
          <w:color w:val="auto"/>
          <w:sz w:val="24"/>
          <w:szCs w:val="24"/>
          <w:highlight w:val="none"/>
        </w:rPr>
        <w:t>；</w:t>
      </w:r>
    </w:p>
    <w:p w14:paraId="7682AFF8">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安全生产考核合格证书号：</w:t>
      </w:r>
      <w:r>
        <w:rPr>
          <w:rFonts w:hint="eastAsia" w:hAnsi="宋体"/>
          <w:color w:val="auto"/>
          <w:sz w:val="24"/>
          <w:szCs w:val="24"/>
          <w:highlight w:val="none"/>
          <w:u w:val="single"/>
        </w:rPr>
        <w:t> </w:t>
      </w:r>
      <w:r>
        <w:rPr>
          <w:rFonts w:hint="eastAsia" w:hAnsi="宋体"/>
          <w:color w:val="auto"/>
          <w:sz w:val="24"/>
          <w:szCs w:val="24"/>
          <w:highlight w:val="none"/>
        </w:rPr>
        <w:t>；</w:t>
      </w:r>
    </w:p>
    <w:p w14:paraId="07B60D64">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联系电话：</w:t>
      </w:r>
      <w:r>
        <w:rPr>
          <w:rFonts w:hint="eastAsia" w:hAnsi="宋体"/>
          <w:color w:val="auto"/>
          <w:sz w:val="24"/>
          <w:szCs w:val="24"/>
          <w:highlight w:val="none"/>
          <w:u w:val="single"/>
        </w:rPr>
        <w:t>         </w:t>
      </w:r>
      <w:r>
        <w:rPr>
          <w:rFonts w:hint="eastAsia" w:hAnsi="宋体"/>
          <w:color w:val="auto"/>
          <w:sz w:val="24"/>
          <w:szCs w:val="24"/>
          <w:highlight w:val="none"/>
        </w:rPr>
        <w:t>；</w:t>
      </w:r>
    </w:p>
    <w:p w14:paraId="010E183F">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电子信箱：</w:t>
      </w:r>
      <w:r>
        <w:rPr>
          <w:rFonts w:hint="eastAsia" w:hAnsi="宋体"/>
          <w:color w:val="auto"/>
          <w:sz w:val="24"/>
          <w:szCs w:val="24"/>
          <w:highlight w:val="none"/>
          <w:u w:val="single"/>
        </w:rPr>
        <w:t>         </w:t>
      </w:r>
      <w:r>
        <w:rPr>
          <w:rFonts w:hint="eastAsia" w:hAnsi="宋体"/>
          <w:color w:val="auto"/>
          <w:sz w:val="24"/>
          <w:szCs w:val="24"/>
          <w:highlight w:val="none"/>
        </w:rPr>
        <w:t>；</w:t>
      </w:r>
    </w:p>
    <w:p w14:paraId="7C34898D">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通信地址：</w:t>
      </w:r>
      <w:r>
        <w:rPr>
          <w:rFonts w:hint="eastAsia" w:hAnsi="宋体"/>
          <w:color w:val="auto"/>
          <w:sz w:val="24"/>
          <w:szCs w:val="24"/>
          <w:highlight w:val="none"/>
          <w:u w:val="single"/>
        </w:rPr>
        <w:t>         </w:t>
      </w:r>
      <w:r>
        <w:rPr>
          <w:rFonts w:hint="eastAsia" w:hAnsi="宋体"/>
          <w:color w:val="auto"/>
          <w:sz w:val="24"/>
          <w:szCs w:val="24"/>
          <w:highlight w:val="none"/>
        </w:rPr>
        <w:t>；</w:t>
      </w:r>
    </w:p>
    <w:p w14:paraId="5D8852D3">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承包人对项目负责人的授权范围如下：</w:t>
      </w:r>
      <w:r>
        <w:rPr>
          <w:rFonts w:hint="eastAsia" w:hAnsi="宋体"/>
          <w:color w:val="auto"/>
          <w:sz w:val="24"/>
          <w:szCs w:val="24"/>
          <w:highlight w:val="none"/>
          <w:u w:val="single"/>
        </w:rPr>
        <w:t>全面负责本工程的质量、安全、工期及成本控制</w:t>
      </w:r>
      <w:r>
        <w:rPr>
          <w:rFonts w:hint="eastAsia" w:hAnsi="宋体"/>
          <w:color w:val="auto"/>
          <w:sz w:val="24"/>
          <w:szCs w:val="24"/>
          <w:highlight w:val="none"/>
        </w:rPr>
        <w:t>。</w:t>
      </w:r>
    </w:p>
    <w:p w14:paraId="6FD12527">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kern w:val="0"/>
          <w:sz w:val="24"/>
          <w:szCs w:val="24"/>
          <w:highlight w:val="none"/>
        </w:rPr>
        <w:t>关于项目负责人每月在施工现场的时间要求：</w:t>
      </w:r>
      <w:r>
        <w:rPr>
          <w:rFonts w:hint="eastAsia" w:hAnsi="宋体"/>
          <w:color w:val="auto"/>
          <w:sz w:val="24"/>
          <w:szCs w:val="24"/>
          <w:highlight w:val="none"/>
          <w:u w:val="single"/>
        </w:rPr>
        <w:t>项目负责人到岗率85％以上(按每月30天，每天工作8小时考勤)，重要施工工序或环节时项目负责人、技术负责人等必须到场，否则扣除履约担保中有关项目班子到岗率的担保金份额。</w:t>
      </w:r>
    </w:p>
    <w:p w14:paraId="757D8076">
      <w:pPr>
        <w:adjustRightInd w:val="0"/>
        <w:snapToGrid w:val="0"/>
        <w:spacing w:line="360" w:lineRule="auto"/>
        <w:ind w:firstLine="480" w:firstLineChars="200"/>
        <w:rPr>
          <w:rFonts w:hAnsi="宋体"/>
          <w:color w:val="auto"/>
          <w:kern w:val="0"/>
          <w:sz w:val="24"/>
          <w:szCs w:val="24"/>
          <w:highlight w:val="none"/>
        </w:rPr>
      </w:pPr>
      <w:r>
        <w:rPr>
          <w:rFonts w:hint="eastAsia" w:hAnsi="宋体"/>
          <w:color w:val="auto"/>
          <w:kern w:val="0"/>
          <w:sz w:val="24"/>
          <w:szCs w:val="24"/>
          <w:highlight w:val="none"/>
        </w:rPr>
        <w:t>承包人未提交劳动合同，以及没有为项目负责人缴纳社会保险证明的违约责任：</w:t>
      </w:r>
      <w:r>
        <w:rPr>
          <w:rFonts w:hint="eastAsia" w:hAnsi="宋体"/>
          <w:color w:val="auto"/>
          <w:sz w:val="24"/>
          <w:szCs w:val="24"/>
          <w:highlight w:val="none"/>
          <w:u w:val="single"/>
        </w:rPr>
        <w:t>发包人有权要求更换项目负责人 ，由此增加的费用和（或）延误的工期由承包人承担，并承担10000元的违约金</w:t>
      </w:r>
      <w:r>
        <w:rPr>
          <w:rFonts w:hint="eastAsia" w:hAnsi="宋体"/>
          <w:color w:val="auto"/>
          <w:sz w:val="24"/>
          <w:szCs w:val="24"/>
          <w:highlight w:val="none"/>
        </w:rPr>
        <w:t>。</w:t>
      </w:r>
    </w:p>
    <w:p w14:paraId="10994969">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kern w:val="0"/>
          <w:sz w:val="24"/>
          <w:szCs w:val="24"/>
          <w:highlight w:val="none"/>
        </w:rPr>
        <w:t>项目负责人未经批准，擅自离开施工现场的违约责任：</w:t>
      </w:r>
      <w:r>
        <w:rPr>
          <w:rFonts w:hint="eastAsia" w:hAnsi="宋体"/>
          <w:color w:val="auto"/>
          <w:sz w:val="24"/>
          <w:szCs w:val="24"/>
          <w:highlight w:val="none"/>
          <w:u w:val="single"/>
        </w:rPr>
        <w:t>1000元/次。</w:t>
      </w:r>
    </w:p>
    <w:p w14:paraId="5516541F">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3.2.3 承包人擅自更换项目负责人的违约责任：</w:t>
      </w:r>
    </w:p>
    <w:p w14:paraId="34A790FB">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（1）</w:t>
      </w:r>
      <w:r>
        <w:rPr>
          <w:rFonts w:hint="eastAsia" w:hAnsi="宋体"/>
          <w:color w:val="auto"/>
          <w:sz w:val="24"/>
          <w:szCs w:val="24"/>
          <w:highlight w:val="none"/>
          <w:u w:val="single"/>
        </w:rPr>
        <w:t>承包人确需更换项目负责人的，继任项目负责人注册执业资格、管理经验的约定：需要承包人法人代表到场，更换人员不得低于原项目负责人的注册执业资格、管理经验。承包人更换项目负责人时，应提前 7 天书面通知监理人，并征得发包人书面同意。通知中应当载明继任人员的注册执业资格、管理经验等资料。</w:t>
      </w:r>
    </w:p>
    <w:p w14:paraId="41FC29B3">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kern w:val="0"/>
          <w:sz w:val="24"/>
          <w:szCs w:val="24"/>
          <w:highlight w:val="none"/>
        </w:rPr>
        <w:t>（2）</w:t>
      </w:r>
      <w:r>
        <w:rPr>
          <w:rFonts w:hint="eastAsia" w:hAnsi="宋体"/>
          <w:color w:val="auto"/>
          <w:sz w:val="24"/>
          <w:szCs w:val="24"/>
          <w:highlight w:val="none"/>
        </w:rPr>
        <w:t>承包人擅自更换项目负责人的违约责任：</w:t>
      </w:r>
      <w:r>
        <w:rPr>
          <w:rFonts w:hint="eastAsia" w:hAnsi="宋体"/>
          <w:color w:val="auto"/>
          <w:sz w:val="24"/>
          <w:szCs w:val="24"/>
          <w:highlight w:val="none"/>
          <w:u w:val="single"/>
        </w:rPr>
        <w:t>承包人擅自更换项目负责人的将被视为承包人违约，并按照 5000 元/人·次付给发包人违约金，在当月进度款中扣除。同时要求更换符合条件的项目负责人， 由此引起的费用增加和工期延误责任由承包人承担。.</w:t>
      </w:r>
    </w:p>
    <w:p w14:paraId="07B40BB8">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3.2.4 承包人无正当理由拒绝更换项目负责人的违约责任：</w:t>
      </w:r>
      <w:r>
        <w:rPr>
          <w:rFonts w:hint="eastAsia" w:hAnsi="宋体"/>
          <w:color w:val="auto"/>
          <w:sz w:val="24"/>
          <w:szCs w:val="24"/>
          <w:highlight w:val="none"/>
          <w:u w:val="single"/>
        </w:rPr>
        <w:t>承担10000元违约金，同时发包人有权解除合同.</w:t>
      </w:r>
    </w:p>
    <w:p w14:paraId="5B0029A2">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3.3 承包人人员</w:t>
      </w:r>
    </w:p>
    <w:p w14:paraId="7765823D">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3.3.1 承包人提交项目管理机构及施工现场管理人员安排报告的期限：</w:t>
      </w:r>
      <w:r>
        <w:rPr>
          <w:rFonts w:hint="eastAsia" w:hAnsi="宋体"/>
          <w:color w:val="auto"/>
          <w:sz w:val="24"/>
          <w:szCs w:val="24"/>
          <w:highlight w:val="none"/>
          <w:u w:val="single"/>
        </w:rPr>
        <w:t>中标通知发出书后十日内，每逾期一天按500元/天承担违约金。</w:t>
      </w:r>
    </w:p>
    <w:p w14:paraId="6FB7FF1E">
      <w:pPr>
        <w:adjustRightInd w:val="0"/>
        <w:snapToGrid w:val="0"/>
        <w:spacing w:line="360" w:lineRule="auto"/>
        <w:ind w:firstLine="482" w:firstLineChars="200"/>
        <w:rPr>
          <w:rFonts w:hAnsi="宋体"/>
          <w:b/>
          <w:bCs/>
          <w:color w:val="auto"/>
          <w:sz w:val="24"/>
          <w:szCs w:val="24"/>
          <w:highlight w:val="none"/>
          <w:u w:val="single"/>
        </w:rPr>
      </w:pPr>
      <w:r>
        <w:rPr>
          <w:rFonts w:hint="eastAsia" w:hAnsi="宋体"/>
          <w:b/>
          <w:bCs/>
          <w:color w:val="auto"/>
          <w:sz w:val="24"/>
          <w:szCs w:val="24"/>
          <w:highlight w:val="none"/>
        </w:rPr>
        <w:t>3.3.2 承包人需更换主要施工管理人员的，继任人员的数量、注册执业资格、管理经验的约定：</w:t>
      </w:r>
      <w:r>
        <w:rPr>
          <w:rFonts w:hint="eastAsia" w:hAnsi="宋体"/>
          <w:color w:val="auto"/>
          <w:sz w:val="24"/>
          <w:szCs w:val="24"/>
          <w:highlight w:val="none"/>
          <w:u w:val="single"/>
        </w:rPr>
        <w:t>其数量、注册执业资格、管理经验等都需与投标时管理班子人员资历相当。</w:t>
      </w:r>
    </w:p>
    <w:p w14:paraId="5C43503F">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3.3.3 承包人无正当理由拒绝撤换主要施工管理人员的违约责任：</w:t>
      </w:r>
      <w:r>
        <w:rPr>
          <w:rFonts w:hint="eastAsia" w:hAnsi="宋体"/>
          <w:color w:val="auto"/>
          <w:sz w:val="24"/>
          <w:szCs w:val="24"/>
          <w:highlight w:val="none"/>
          <w:u w:val="single"/>
        </w:rPr>
        <w:t>发包人有权要求承包人撤换工作不负责任、管理不力、贻误工期和造成严重的安全事故和工程质量事故、违法乱纪的工程技术、施工管理人员，承包人应在 24 小时内作出更换，直至发包人满意为止，不得拒绝和拖延， 由此发生的一切费用由承包人承担。承包人拒绝更换的，承包人应向发包人支付违约金 1000 元/ 人次，费用在当月进度款中扣除。当该项违约金金额达到 10 万元的，发包人有权单方解除本合同，由此造成发包人的损失由承包人予以赔偿</w:t>
      </w:r>
      <w:r>
        <w:rPr>
          <w:rFonts w:hint="eastAsia" w:hAnsi="宋体"/>
          <w:color w:val="auto"/>
          <w:sz w:val="24"/>
          <w:szCs w:val="24"/>
          <w:highlight w:val="none"/>
        </w:rPr>
        <w:t>。</w:t>
      </w:r>
    </w:p>
    <w:p w14:paraId="203EBCB5">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3.3.4 承包人主要施工管理人员离开施工现场的批准要求：</w:t>
      </w:r>
      <w:r>
        <w:rPr>
          <w:rFonts w:hint="eastAsia" w:hAnsi="宋体"/>
          <w:color w:val="auto"/>
          <w:sz w:val="24"/>
          <w:szCs w:val="24"/>
          <w:highlight w:val="none"/>
          <w:u w:val="single"/>
        </w:rPr>
        <w:t>按通用条款执行。</w:t>
      </w:r>
    </w:p>
    <w:p w14:paraId="13F3BF4F">
      <w:pPr>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3.3.5承包人擅自更换主要施工管理人员的违约责任：</w:t>
      </w:r>
      <w:r>
        <w:rPr>
          <w:rFonts w:hint="eastAsia" w:hAnsi="宋体"/>
          <w:color w:val="auto"/>
          <w:sz w:val="24"/>
          <w:szCs w:val="24"/>
          <w:highlight w:val="none"/>
          <w:u w:val="single"/>
        </w:rPr>
        <w:t>承包人擅自更换技术负责人、施工员的将被视为承包人违约，并按照 1000 元/人·次付给发包人违约金，在当月进度款中扣除。由此引起的费用增加和工期延误责任由承包人承担。</w:t>
      </w:r>
    </w:p>
    <w:p w14:paraId="13C6B417">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承包人主要施工管理人员擅自离开施工现场的违约责任：</w:t>
      </w:r>
      <w:r>
        <w:rPr>
          <w:rFonts w:hint="eastAsia" w:hAnsi="宋体"/>
          <w:color w:val="auto"/>
          <w:sz w:val="24"/>
          <w:szCs w:val="24"/>
          <w:highlight w:val="none"/>
          <w:u w:val="single"/>
        </w:rPr>
        <w:t>主要施工管理人员在施工期间离岗未经发包人同意，视为主要施工管理人员未到位，若技术负责人、施工员、安全员等主要施工管理人员出勤率不足85%（按每月30天,每天工作8小时考勤），支付违约金人民币 500 元/人·次；质检员、材料员、造价员等其他人员出勤率不足85%（按每月30天,每天工作 8 小时考勤），支付违约金人民币 200 元/人·次，在当月进度款中扣除。由此引起的费用增加和工期延误责任由承包人承担 。具体考核以签到表为准。</w:t>
      </w:r>
    </w:p>
    <w:p w14:paraId="38702B99">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3</w:t>
      </w:r>
      <w:bookmarkStart w:id="444" w:name="_Toc296944498"/>
      <w:bookmarkEnd w:id="444"/>
      <w:bookmarkStart w:id="445" w:name="_Toc296891199"/>
      <w:bookmarkEnd w:id="445"/>
      <w:bookmarkStart w:id="446" w:name="_Toc312677988"/>
      <w:bookmarkEnd w:id="446"/>
      <w:bookmarkStart w:id="447" w:name="_Toc297120459"/>
      <w:bookmarkEnd w:id="447"/>
      <w:bookmarkStart w:id="448" w:name="_Toc292559364"/>
      <w:bookmarkEnd w:id="448"/>
      <w:bookmarkStart w:id="449" w:name="_Toc297123492"/>
      <w:bookmarkEnd w:id="449"/>
      <w:bookmarkStart w:id="450" w:name="_Toc292559869"/>
      <w:bookmarkEnd w:id="450"/>
      <w:bookmarkStart w:id="451" w:name="_Toc296347158"/>
      <w:bookmarkEnd w:id="451"/>
      <w:bookmarkStart w:id="452" w:name="_Toc296503159"/>
      <w:bookmarkEnd w:id="452"/>
      <w:bookmarkStart w:id="453" w:name="_Toc303539102"/>
      <w:bookmarkEnd w:id="453"/>
      <w:bookmarkStart w:id="454" w:name="_Toc297216151"/>
      <w:bookmarkEnd w:id="454"/>
      <w:bookmarkStart w:id="455" w:name="_Toc300934945"/>
      <w:bookmarkEnd w:id="455"/>
      <w:bookmarkStart w:id="456" w:name="_Toc304295523"/>
      <w:bookmarkEnd w:id="456"/>
      <w:bookmarkStart w:id="457" w:name="_Toc296346660"/>
      <w:bookmarkEnd w:id="457"/>
      <w:bookmarkStart w:id="458" w:name="_Toc296890987"/>
      <w:bookmarkEnd w:id="458"/>
      <w:bookmarkStart w:id="459" w:name="_Toc297048345"/>
      <w:r>
        <w:rPr>
          <w:rFonts w:hint="eastAsia" w:hAnsi="宋体"/>
          <w:color w:val="auto"/>
          <w:sz w:val="24"/>
          <w:szCs w:val="24"/>
          <w:highlight w:val="none"/>
        </w:rPr>
        <w:t>.5 分包</w:t>
      </w:r>
      <w:bookmarkEnd w:id="459"/>
    </w:p>
    <w:p w14:paraId="755C5FE6">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3</w:t>
      </w:r>
      <w:bookmarkStart w:id="460" w:name="_Toc312677989"/>
      <w:bookmarkEnd w:id="460"/>
      <w:bookmarkStart w:id="461" w:name="_Toc296891200"/>
      <w:bookmarkEnd w:id="461"/>
      <w:bookmarkStart w:id="462" w:name="_Toc300934946"/>
      <w:bookmarkEnd w:id="462"/>
      <w:bookmarkStart w:id="463" w:name="_Toc296346661"/>
      <w:bookmarkEnd w:id="463"/>
      <w:bookmarkStart w:id="464" w:name="_Toc296944499"/>
      <w:bookmarkEnd w:id="464"/>
      <w:bookmarkStart w:id="465" w:name="_Toc296347159"/>
      <w:bookmarkEnd w:id="465"/>
      <w:bookmarkStart w:id="466" w:name="_Toc297048346"/>
      <w:bookmarkEnd w:id="466"/>
      <w:bookmarkStart w:id="467" w:name="_Toc297123493"/>
      <w:bookmarkEnd w:id="467"/>
      <w:bookmarkStart w:id="468" w:name="_Toc297120460"/>
      <w:bookmarkEnd w:id="468"/>
      <w:bookmarkStart w:id="469" w:name="_Toc318581158"/>
      <w:bookmarkEnd w:id="469"/>
      <w:bookmarkStart w:id="470" w:name="_Toc292559870"/>
      <w:bookmarkEnd w:id="470"/>
      <w:bookmarkStart w:id="471" w:name="_Toc292559365"/>
      <w:bookmarkEnd w:id="471"/>
      <w:bookmarkStart w:id="472" w:name="_Toc296890988"/>
      <w:bookmarkEnd w:id="472"/>
      <w:bookmarkStart w:id="473" w:name="_Toc296503160"/>
      <w:bookmarkEnd w:id="473"/>
      <w:bookmarkStart w:id="474" w:name="_Toc304295524"/>
      <w:bookmarkEnd w:id="474"/>
      <w:bookmarkStart w:id="475" w:name="_Toc303539103"/>
      <w:bookmarkEnd w:id="475"/>
      <w:bookmarkStart w:id="476" w:name="_Toc297216152"/>
      <w:r>
        <w:rPr>
          <w:rFonts w:hint="eastAsia" w:hAnsi="宋体"/>
          <w:color w:val="auto"/>
          <w:sz w:val="24"/>
          <w:szCs w:val="24"/>
          <w:highlight w:val="none"/>
        </w:rPr>
        <w:t>.5.1 分包的一般约定</w:t>
      </w:r>
      <w:bookmarkEnd w:id="476"/>
    </w:p>
    <w:p w14:paraId="62D6BE2F">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禁止分包的工程包括：</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7E1A79A2">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主体结构、关键性工作的范围：</w:t>
      </w:r>
      <w:r>
        <w:rPr>
          <w:rFonts w:hint="eastAsia" w:hAnsi="宋体"/>
          <w:color w:val="auto"/>
          <w:sz w:val="24"/>
          <w:szCs w:val="24"/>
          <w:highlight w:val="none"/>
          <w:u w:val="single"/>
        </w:rPr>
        <w:t xml:space="preserve">  /     </w:t>
      </w:r>
      <w:r>
        <w:rPr>
          <w:rFonts w:hint="eastAsia" w:hAnsi="宋体"/>
          <w:color w:val="auto"/>
          <w:sz w:val="24"/>
          <w:szCs w:val="24"/>
          <w:highlight w:val="none"/>
        </w:rPr>
        <w:t>。</w:t>
      </w:r>
      <w:bookmarkStart w:id="477" w:name="_Toc296346662"/>
      <w:bookmarkEnd w:id="477"/>
      <w:bookmarkStart w:id="478" w:name="_Toc303539104"/>
      <w:bookmarkEnd w:id="478"/>
      <w:bookmarkStart w:id="479" w:name="_Toc296503161"/>
      <w:bookmarkEnd w:id="479"/>
      <w:bookmarkStart w:id="480" w:name="_Toc296347160"/>
      <w:bookmarkEnd w:id="480"/>
      <w:bookmarkStart w:id="481" w:name="_Toc297216153"/>
      <w:bookmarkEnd w:id="481"/>
      <w:bookmarkStart w:id="482" w:name="_Toc297123494"/>
      <w:bookmarkEnd w:id="482"/>
      <w:bookmarkStart w:id="483" w:name="_Toc296890989"/>
      <w:bookmarkEnd w:id="483"/>
      <w:bookmarkStart w:id="484" w:name="_Toc300934947"/>
      <w:bookmarkEnd w:id="484"/>
      <w:bookmarkStart w:id="485" w:name="_Toc296944500"/>
      <w:bookmarkEnd w:id="485"/>
      <w:bookmarkStart w:id="486" w:name="_Toc297120461"/>
      <w:bookmarkEnd w:id="486"/>
      <w:bookmarkStart w:id="487" w:name="_Toc296891201"/>
      <w:bookmarkEnd w:id="487"/>
      <w:bookmarkStart w:id="488" w:name="_Toc297048347"/>
      <w:bookmarkEnd w:id="488"/>
      <w:bookmarkStart w:id="489" w:name="_Toc304295525"/>
      <w:bookmarkEnd w:id="489"/>
    </w:p>
    <w:p w14:paraId="50E4CA82">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3</w:t>
      </w:r>
      <w:bookmarkStart w:id="490" w:name="_Toc318581159"/>
      <w:bookmarkEnd w:id="490"/>
      <w:bookmarkStart w:id="491" w:name="_Toc312677990"/>
      <w:r>
        <w:rPr>
          <w:rFonts w:hint="eastAsia" w:hAnsi="宋体"/>
          <w:color w:val="auto"/>
          <w:sz w:val="24"/>
          <w:szCs w:val="24"/>
          <w:highlight w:val="none"/>
        </w:rPr>
        <w:t>.5.2分包的确定</w:t>
      </w:r>
      <w:bookmarkEnd w:id="491"/>
    </w:p>
    <w:p w14:paraId="398DA471">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允许分包的专业工程包括：</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016FC9BE">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其他关于分包的约定：</w:t>
      </w:r>
      <w:r>
        <w:rPr>
          <w:rFonts w:hint="eastAsia" w:hAnsi="宋体"/>
          <w:color w:val="auto"/>
          <w:sz w:val="24"/>
          <w:szCs w:val="24"/>
          <w:highlight w:val="none"/>
          <w:u w:val="single"/>
        </w:rPr>
        <w:t>未经发包人同意，承包人不得将承包工程的任何部分分包，如发现擅自分包，除立即取消分包人的分包资格外，承包人还应按合同价的1%向发包人支付违约金</w:t>
      </w:r>
      <w:r>
        <w:rPr>
          <w:rFonts w:hint="eastAsia" w:hAnsi="宋体"/>
          <w:color w:val="auto"/>
          <w:sz w:val="24"/>
          <w:szCs w:val="24"/>
          <w:highlight w:val="none"/>
        </w:rPr>
        <w:t>。</w:t>
      </w:r>
    </w:p>
    <w:p w14:paraId="227DB4B0">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3.5.4 分包合同价款</w:t>
      </w:r>
    </w:p>
    <w:p w14:paraId="077B8A93">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关于分包合同价款支付的约定：</w:t>
      </w:r>
      <w:r>
        <w:rPr>
          <w:rFonts w:hint="eastAsia" w:hAnsi="宋体"/>
          <w:b/>
          <w:bCs/>
          <w:color w:val="auto"/>
          <w:sz w:val="24"/>
          <w:szCs w:val="24"/>
          <w:highlight w:val="none"/>
          <w:u w:val="single"/>
        </w:rPr>
        <w:t></w:t>
      </w:r>
      <w:r>
        <w:rPr>
          <w:rFonts w:hint="eastAsia" w:hAnsi="宋体"/>
          <w:color w:val="auto"/>
          <w:sz w:val="24"/>
          <w:szCs w:val="24"/>
          <w:highlight w:val="none"/>
          <w:u w:val="single"/>
        </w:rPr>
        <w:t xml:space="preserve">     /   </w:t>
      </w:r>
      <w:r>
        <w:rPr>
          <w:rFonts w:hint="eastAsia" w:hAnsi="宋体"/>
          <w:b/>
          <w:bCs/>
          <w:color w:val="auto"/>
          <w:sz w:val="24"/>
          <w:szCs w:val="24"/>
          <w:highlight w:val="none"/>
        </w:rPr>
        <w:t>。</w:t>
      </w:r>
    </w:p>
    <w:p w14:paraId="193A63E5">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3.6 工程照管与成品、半成品保护</w:t>
      </w:r>
    </w:p>
    <w:p w14:paraId="1EA0F898">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承包人负责照管工程及工程相关的材料、工程设备的起始时间：</w:t>
      </w:r>
      <w:r>
        <w:rPr>
          <w:rFonts w:hint="eastAsia" w:hAnsi="宋体"/>
          <w:b/>
          <w:bCs/>
          <w:color w:val="auto"/>
          <w:sz w:val="24"/>
          <w:szCs w:val="24"/>
          <w:highlight w:val="none"/>
          <w:u w:val="single"/>
        </w:rPr>
        <w:t>按通用条款执行</w:t>
      </w:r>
      <w:r>
        <w:rPr>
          <w:rFonts w:hint="eastAsia" w:hAnsi="宋体"/>
          <w:color w:val="auto"/>
          <w:sz w:val="24"/>
          <w:szCs w:val="24"/>
          <w:highlight w:val="none"/>
          <w:u w:val="single"/>
        </w:rPr>
        <w:t>。</w:t>
      </w:r>
    </w:p>
    <w:p w14:paraId="59181F79">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3.7 履约担保</w:t>
      </w:r>
    </w:p>
    <w:p w14:paraId="37A1508F">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承包人是否提供履约担保：</w:t>
      </w:r>
      <w:r>
        <w:rPr>
          <w:rFonts w:hint="eastAsia" w:hAnsi="宋体"/>
          <w:color w:val="auto"/>
          <w:sz w:val="24"/>
          <w:szCs w:val="24"/>
          <w:highlight w:val="none"/>
          <w:u w:val="single"/>
        </w:rPr>
        <w:t xml:space="preserve">   是     </w:t>
      </w:r>
      <w:r>
        <w:rPr>
          <w:rFonts w:hint="eastAsia" w:hAnsi="宋体"/>
          <w:color w:val="auto"/>
          <w:sz w:val="24"/>
          <w:szCs w:val="24"/>
          <w:highlight w:val="none"/>
        </w:rPr>
        <w:t>。</w:t>
      </w:r>
    </w:p>
    <w:p w14:paraId="25BB4C51">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承包人提供履约担保的形式、金额及期限的：</w:t>
      </w:r>
      <w:r>
        <w:rPr>
          <w:rFonts w:hint="eastAsia" w:hAnsi="宋体"/>
          <w:color w:val="auto"/>
          <w:sz w:val="24"/>
          <w:szCs w:val="24"/>
          <w:highlight w:val="none"/>
          <w:u w:val="single"/>
        </w:rPr>
        <w:t>承包人在本合同签订后 10 日内提交合同总价</w:t>
      </w:r>
      <w:r>
        <w:rPr>
          <w:rFonts w:hint="eastAsia" w:hAnsi="宋体"/>
          <w:color w:val="auto"/>
          <w:sz w:val="24"/>
          <w:szCs w:val="24"/>
          <w:highlight w:val="none"/>
          <w:u w:val="single"/>
          <w:lang w:val="en-US" w:eastAsia="zh-CN"/>
        </w:rPr>
        <w:t>1</w:t>
      </w:r>
      <w:r>
        <w:rPr>
          <w:rFonts w:hint="eastAsia" w:hAnsi="宋体"/>
          <w:color w:val="auto"/>
          <w:sz w:val="24"/>
          <w:szCs w:val="24"/>
          <w:highlight w:val="none"/>
          <w:u w:val="single"/>
        </w:rPr>
        <w:t>%的履约保证金，上述款项应采用转账或担保公司担保缴纳。履约保函担保期限自提交之日起至合同竣工期90 日历天，若工程延期承包人应及时办理保函延期手续。</w:t>
      </w:r>
    </w:p>
    <w:p w14:paraId="2A46C409">
      <w:pPr>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u w:val="single"/>
        </w:rPr>
        <w:t>履约保证金组成：工程质量占总额的30%，工期占总额的30%，安全、文明施工占总额的30%，项目负责人及班子到岗率占总额的10%</w:t>
      </w:r>
    </w:p>
    <w:p w14:paraId="728039AE">
      <w:pPr>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u w:val="single"/>
        </w:rPr>
        <w:t>质量保证金占30%，发生质量事故视严重程度每发生一起处1万元以上50万元以下罚款，直至扣完全部质量保证金为止。</w:t>
      </w:r>
    </w:p>
    <w:p w14:paraId="02249D40">
      <w:pPr>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u w:val="single"/>
        </w:rPr>
        <w:t>工期保证金占30%，以合同工期为准，因承包人原因导致工期延误，则按照专用条款进行处罚。</w:t>
      </w:r>
    </w:p>
    <w:p w14:paraId="1C4105A4">
      <w:pPr>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u w:val="single"/>
        </w:rPr>
        <w:t>项目负责人及项目班子到位率占10%，项目负责人若不能到位、项目班子的人员资质与数量不符合投标承诺的，按专用条款进行处罚，直至扣完保证金为止。</w:t>
      </w:r>
    </w:p>
    <w:p w14:paraId="3FB4B00A">
      <w:pPr>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u w:val="single"/>
        </w:rPr>
        <w:t>安全文明生产保证金占30%，发生重大安全事故，视严重程度罚没部分或全部保证金</w:t>
      </w:r>
    </w:p>
    <w:p w14:paraId="04058B9C">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u w:val="single"/>
        </w:rPr>
        <w:t>若低于招标风险控制价中标的，承包人在提交履约保证金的同时必须额外提交中标价净值与风险控制价之差额（缴纳形式为银行转账支票），退还方式同履约保证金。</w:t>
      </w:r>
    </w:p>
    <w:p w14:paraId="47DAB53F">
      <w:pPr>
        <w:pStyle w:val="6"/>
        <w:adjustRightInd w:val="0"/>
        <w:snapToGrid w:val="0"/>
        <w:spacing w:before="0" w:after="0" w:line="360" w:lineRule="auto"/>
        <w:rPr>
          <w:rFonts w:ascii="宋体" w:hAnsi="宋体"/>
          <w:b w:val="0"/>
          <w:bCs w:val="0"/>
          <w:color w:val="auto"/>
          <w:sz w:val="24"/>
          <w:szCs w:val="24"/>
          <w:highlight w:val="none"/>
        </w:rPr>
      </w:pPr>
      <w:bookmarkStart w:id="492" w:name="_Toc351203636"/>
      <w:bookmarkEnd w:id="492"/>
      <w:r>
        <w:rPr>
          <w:rFonts w:hint="eastAsia" w:ascii="宋体" w:hAnsi="宋体"/>
          <w:b w:val="0"/>
          <w:bCs w:val="0"/>
          <w:color w:val="auto"/>
          <w:sz w:val="24"/>
          <w:szCs w:val="24"/>
          <w:highlight w:val="none"/>
        </w:rPr>
        <w:t>4</w:t>
      </w:r>
      <w:bookmarkStart w:id="493" w:name="_Toc296944501"/>
      <w:bookmarkEnd w:id="493"/>
      <w:bookmarkStart w:id="494" w:name="_Toc292559871"/>
      <w:bookmarkEnd w:id="494"/>
      <w:bookmarkStart w:id="495" w:name="_Toc297048348"/>
      <w:bookmarkEnd w:id="495"/>
      <w:bookmarkStart w:id="496" w:name="_Toc297120462"/>
      <w:bookmarkEnd w:id="496"/>
      <w:bookmarkStart w:id="497" w:name="_Toc292559366"/>
      <w:bookmarkEnd w:id="497"/>
      <w:bookmarkStart w:id="498" w:name="_Toc296890990"/>
      <w:bookmarkEnd w:id="498"/>
      <w:bookmarkStart w:id="499" w:name="_Toc296347161"/>
      <w:bookmarkEnd w:id="499"/>
      <w:bookmarkStart w:id="500" w:name="_Toc267251413"/>
      <w:bookmarkEnd w:id="500"/>
      <w:bookmarkStart w:id="501" w:name="_Toc296346663"/>
      <w:bookmarkEnd w:id="501"/>
      <w:bookmarkStart w:id="502" w:name="_Toc296891202"/>
      <w:bookmarkEnd w:id="502"/>
      <w:bookmarkStart w:id="503" w:name="_Toc296503162"/>
      <w:r>
        <w:rPr>
          <w:rFonts w:hint="eastAsia" w:ascii="宋体" w:hAnsi="宋体"/>
          <w:b w:val="0"/>
          <w:bCs w:val="0"/>
          <w:color w:val="auto"/>
          <w:sz w:val="24"/>
          <w:szCs w:val="24"/>
          <w:highlight w:val="none"/>
        </w:rPr>
        <w:t>. 监</w:t>
      </w:r>
      <w:bookmarkEnd w:id="503"/>
      <w:r>
        <w:rPr>
          <w:rFonts w:hint="eastAsia" w:ascii="宋体" w:hAnsi="宋体"/>
          <w:b w:val="0"/>
          <w:bCs w:val="0"/>
          <w:color w:val="auto"/>
          <w:sz w:val="24"/>
          <w:szCs w:val="24"/>
          <w:highlight w:val="none"/>
        </w:rPr>
        <w:t>理人</w:t>
      </w:r>
    </w:p>
    <w:p w14:paraId="326EEF09">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4.1监理人的一般规定</w:t>
      </w:r>
    </w:p>
    <w:p w14:paraId="5C28C88C">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关于监理人的监理内容：</w:t>
      </w:r>
      <w:r>
        <w:rPr>
          <w:rFonts w:hint="eastAsia" w:hAnsi="宋体"/>
          <w:color w:val="auto"/>
          <w:sz w:val="24"/>
          <w:szCs w:val="24"/>
          <w:highlight w:val="none"/>
          <w:u w:val="single"/>
        </w:rPr>
        <w:t>依照法律法规、工程建设标准、勘察设计文件及合同，在施工阶段对建设工程质量、进度、造价进行控制，对合同、信息进行管理，对工程建设相关方的关系进行协调，并履行建设工程安全文明生产管理法定职责。</w:t>
      </w:r>
    </w:p>
    <w:p w14:paraId="77D9559B">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关于监理人的监理权限：</w:t>
      </w:r>
      <w:r>
        <w:rPr>
          <w:rFonts w:hint="eastAsia" w:hAnsi="宋体"/>
          <w:color w:val="auto"/>
          <w:sz w:val="24"/>
          <w:szCs w:val="24"/>
          <w:highlight w:val="none"/>
          <w:u w:val="single"/>
        </w:rPr>
        <w:t>见监理合同。</w:t>
      </w:r>
    </w:p>
    <w:p w14:paraId="097CC1CE">
      <w:pPr>
        <w:autoSpaceDE w:val="0"/>
        <w:autoSpaceDN w:val="0"/>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关于监理人在施工现场的办公场所、生活场所的提供和费用承担的约定：</w:t>
      </w:r>
      <w:r>
        <w:rPr>
          <w:rFonts w:hint="eastAsia" w:hAnsi="宋体"/>
          <w:color w:val="auto"/>
          <w:sz w:val="24"/>
          <w:szCs w:val="24"/>
          <w:highlight w:val="none"/>
          <w:u w:val="single"/>
        </w:rPr>
        <w:t>监理人在施工现场的办公场所、生活场所由承包人免费提供，如有其它费用由监理人自行承担。</w:t>
      </w:r>
    </w:p>
    <w:p w14:paraId="45BCD8ED">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4.2 监理人员</w:t>
      </w:r>
    </w:p>
    <w:p w14:paraId="4D6B3779">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总监理工程师：</w:t>
      </w:r>
    </w:p>
    <w:p w14:paraId="6D2A0CC2">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姓    名：</w:t>
      </w:r>
      <w:r>
        <w:rPr>
          <w:rFonts w:hint="eastAsia" w:hAnsi="宋体"/>
          <w:color w:val="auto"/>
          <w:sz w:val="24"/>
          <w:szCs w:val="24"/>
          <w:highlight w:val="none"/>
          <w:u w:val="single"/>
        </w:rPr>
        <w:t>   </w:t>
      </w:r>
      <w:r>
        <w:rPr>
          <w:rFonts w:hint="eastAsia" w:hAnsi="宋体"/>
          <w:color w:val="auto"/>
          <w:sz w:val="24"/>
          <w:szCs w:val="24"/>
          <w:highlight w:val="none"/>
        </w:rPr>
        <w:t>；</w:t>
      </w:r>
    </w:p>
    <w:p w14:paraId="104D8704">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职    务：</w:t>
      </w:r>
      <w:r>
        <w:rPr>
          <w:rFonts w:hint="eastAsia" w:hAnsi="宋体"/>
          <w:color w:val="auto"/>
          <w:sz w:val="24"/>
          <w:szCs w:val="24"/>
          <w:highlight w:val="none"/>
          <w:u w:val="single"/>
        </w:rPr>
        <w:t>   </w:t>
      </w:r>
      <w:r>
        <w:rPr>
          <w:rFonts w:hint="eastAsia" w:hAnsi="宋体"/>
          <w:color w:val="auto"/>
          <w:sz w:val="24"/>
          <w:szCs w:val="24"/>
          <w:highlight w:val="none"/>
        </w:rPr>
        <w:t>；</w:t>
      </w:r>
    </w:p>
    <w:p w14:paraId="7623C4EA">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监理工程师执业资格证书号：</w:t>
      </w:r>
      <w:r>
        <w:rPr>
          <w:rFonts w:hint="eastAsia" w:hAnsi="宋体"/>
          <w:color w:val="auto"/>
          <w:sz w:val="24"/>
          <w:szCs w:val="24"/>
          <w:highlight w:val="none"/>
          <w:u w:val="single"/>
        </w:rPr>
        <w:t> </w:t>
      </w:r>
      <w:r>
        <w:rPr>
          <w:rFonts w:hint="eastAsia" w:hAnsi="宋体"/>
          <w:color w:val="auto"/>
          <w:sz w:val="24"/>
          <w:szCs w:val="24"/>
          <w:highlight w:val="none"/>
        </w:rPr>
        <w:t>；</w:t>
      </w:r>
    </w:p>
    <w:p w14:paraId="0FAADFDA">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联系电话：</w:t>
      </w:r>
      <w:r>
        <w:rPr>
          <w:rFonts w:hint="eastAsia" w:hAnsi="宋体"/>
          <w:color w:val="auto"/>
          <w:sz w:val="24"/>
          <w:szCs w:val="24"/>
          <w:highlight w:val="none"/>
          <w:u w:val="single"/>
        </w:rPr>
        <w:t>   </w:t>
      </w:r>
      <w:r>
        <w:rPr>
          <w:rFonts w:hint="eastAsia" w:hAnsi="宋体"/>
          <w:color w:val="auto"/>
          <w:sz w:val="24"/>
          <w:szCs w:val="24"/>
          <w:highlight w:val="none"/>
        </w:rPr>
        <w:t>；</w:t>
      </w:r>
    </w:p>
    <w:p w14:paraId="4C1E09DF">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电子信箱：</w:t>
      </w:r>
      <w:r>
        <w:rPr>
          <w:rFonts w:hint="eastAsia" w:hAnsi="宋体"/>
          <w:color w:val="auto"/>
          <w:sz w:val="24"/>
          <w:szCs w:val="24"/>
          <w:highlight w:val="none"/>
          <w:u w:val="single"/>
        </w:rPr>
        <w:t>   </w:t>
      </w:r>
      <w:r>
        <w:rPr>
          <w:rFonts w:hint="eastAsia" w:hAnsi="宋体"/>
          <w:color w:val="auto"/>
          <w:sz w:val="24"/>
          <w:szCs w:val="24"/>
          <w:highlight w:val="none"/>
        </w:rPr>
        <w:t>；</w:t>
      </w:r>
    </w:p>
    <w:p w14:paraId="1C9D2866">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通信地址：</w:t>
      </w:r>
      <w:r>
        <w:rPr>
          <w:rFonts w:hint="eastAsia" w:hAnsi="宋体"/>
          <w:color w:val="auto"/>
          <w:sz w:val="24"/>
          <w:szCs w:val="24"/>
          <w:highlight w:val="none"/>
          <w:u w:val="single"/>
        </w:rPr>
        <w:t>   </w:t>
      </w:r>
      <w:r>
        <w:rPr>
          <w:rFonts w:hint="eastAsia" w:hAnsi="宋体"/>
          <w:color w:val="auto"/>
          <w:sz w:val="24"/>
          <w:szCs w:val="24"/>
          <w:highlight w:val="none"/>
        </w:rPr>
        <w:t>；</w:t>
      </w:r>
    </w:p>
    <w:p w14:paraId="3237278A">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关于监理人的其他约定：</w:t>
      </w:r>
      <w:r>
        <w:rPr>
          <w:rFonts w:hint="eastAsia" w:hAnsi="宋体"/>
          <w:color w:val="auto"/>
          <w:sz w:val="24"/>
          <w:szCs w:val="24"/>
          <w:highlight w:val="none"/>
          <w:u w:val="single"/>
        </w:rPr>
        <w:t>   </w:t>
      </w:r>
      <w:r>
        <w:rPr>
          <w:rFonts w:hint="eastAsia" w:hAnsi="宋体"/>
          <w:color w:val="auto"/>
          <w:sz w:val="24"/>
          <w:szCs w:val="24"/>
          <w:highlight w:val="none"/>
        </w:rPr>
        <w:t>。</w:t>
      </w:r>
    </w:p>
    <w:p w14:paraId="3E2DDEAB">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4.4 商定或确定</w:t>
      </w:r>
    </w:p>
    <w:p w14:paraId="11251901">
      <w:pPr>
        <w:adjustRightInd w:val="0"/>
        <w:snapToGrid w:val="0"/>
        <w:spacing w:line="360" w:lineRule="auto"/>
        <w:ind w:firstLine="480" w:firstLineChars="200"/>
        <w:rPr>
          <w:rFonts w:hAnsi="宋体"/>
          <w:color w:val="auto"/>
          <w:sz w:val="24"/>
          <w:szCs w:val="24"/>
          <w:highlight w:val="none"/>
        </w:rPr>
      </w:pPr>
      <w:bookmarkStart w:id="504" w:name="_Toc267251418"/>
      <w:bookmarkEnd w:id="504"/>
      <w:r>
        <w:rPr>
          <w:rFonts w:hint="eastAsia" w:hAnsi="宋体"/>
          <w:color w:val="auto"/>
          <w:sz w:val="24"/>
          <w:szCs w:val="24"/>
          <w:highlight w:val="none"/>
        </w:rPr>
        <w:t>在发包人和承包人不能通过协商达成一致意见时，发包人授权监理人对以下事项进行确定：</w:t>
      </w:r>
    </w:p>
    <w:p w14:paraId="482073AF">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u w:val="single"/>
        </w:rPr>
        <w:t xml:space="preserve">（1） 质量问题；  </w:t>
      </w:r>
    </w:p>
    <w:p w14:paraId="558C67F5">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u w:val="single"/>
        </w:rPr>
        <w:t>（2）  /  ；</w:t>
      </w:r>
    </w:p>
    <w:p w14:paraId="1C01DFB4">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u w:val="single"/>
        </w:rPr>
        <w:t>（3）  /  。</w:t>
      </w:r>
    </w:p>
    <w:p w14:paraId="15DC95B8">
      <w:pPr>
        <w:pStyle w:val="6"/>
        <w:adjustRightInd w:val="0"/>
        <w:snapToGrid w:val="0"/>
        <w:spacing w:before="0" w:after="0" w:line="360" w:lineRule="auto"/>
        <w:rPr>
          <w:rFonts w:ascii="宋体" w:hAnsi="宋体"/>
          <w:b w:val="0"/>
          <w:bCs w:val="0"/>
          <w:color w:val="auto"/>
          <w:sz w:val="24"/>
          <w:szCs w:val="24"/>
          <w:highlight w:val="none"/>
        </w:rPr>
      </w:pPr>
      <w:bookmarkStart w:id="505" w:name="_Toc351203637"/>
      <w:bookmarkEnd w:id="505"/>
      <w:r>
        <w:rPr>
          <w:rFonts w:hint="eastAsia" w:ascii="宋体" w:hAnsi="宋体"/>
          <w:b w:val="0"/>
          <w:bCs w:val="0"/>
          <w:color w:val="auto"/>
          <w:sz w:val="24"/>
          <w:szCs w:val="24"/>
          <w:highlight w:val="none"/>
        </w:rPr>
        <w:t>5</w:t>
      </w:r>
      <w:bookmarkStart w:id="506" w:name="_Toc296891203"/>
      <w:bookmarkEnd w:id="506"/>
      <w:bookmarkStart w:id="507" w:name="_Toc296346664"/>
      <w:bookmarkEnd w:id="507"/>
      <w:bookmarkStart w:id="508" w:name="_Toc292559872"/>
      <w:bookmarkEnd w:id="508"/>
      <w:bookmarkStart w:id="509" w:name="_Toc296890991"/>
      <w:bookmarkEnd w:id="509"/>
      <w:bookmarkStart w:id="510" w:name="_Toc296944502"/>
      <w:bookmarkEnd w:id="510"/>
      <w:bookmarkStart w:id="511" w:name="_Toc292559367"/>
      <w:bookmarkEnd w:id="511"/>
      <w:bookmarkStart w:id="512" w:name="_Toc297048349"/>
      <w:bookmarkEnd w:id="512"/>
      <w:bookmarkStart w:id="513" w:name="_Toc296503163"/>
      <w:bookmarkEnd w:id="513"/>
      <w:bookmarkStart w:id="514" w:name="_Toc296347162"/>
      <w:bookmarkEnd w:id="514"/>
      <w:bookmarkStart w:id="515" w:name="_Toc297120463"/>
      <w:r>
        <w:rPr>
          <w:rFonts w:hint="eastAsia" w:ascii="宋体" w:hAnsi="宋体"/>
          <w:b w:val="0"/>
          <w:bCs w:val="0"/>
          <w:color w:val="auto"/>
          <w:sz w:val="24"/>
          <w:szCs w:val="24"/>
          <w:highlight w:val="none"/>
        </w:rPr>
        <w:t>. 工程质量</w:t>
      </w:r>
      <w:bookmarkEnd w:id="515"/>
    </w:p>
    <w:p w14:paraId="348E784D">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5.1 质量要求</w:t>
      </w:r>
    </w:p>
    <w:p w14:paraId="35B800B1">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5</w:t>
      </w:r>
      <w:bookmarkStart w:id="516" w:name="_Toc304295527"/>
      <w:bookmarkEnd w:id="516"/>
      <w:bookmarkStart w:id="517" w:name="_Toc297123496"/>
      <w:bookmarkEnd w:id="517"/>
      <w:bookmarkStart w:id="518" w:name="_Toc303539106"/>
      <w:bookmarkEnd w:id="518"/>
      <w:bookmarkStart w:id="519" w:name="_Toc297216155"/>
      <w:bookmarkEnd w:id="519"/>
      <w:bookmarkStart w:id="520" w:name="_Toc300934949"/>
      <w:bookmarkEnd w:id="520"/>
      <w:bookmarkStart w:id="521" w:name="_Toc318581164"/>
      <w:bookmarkEnd w:id="521"/>
      <w:bookmarkStart w:id="522" w:name="_Toc312677997"/>
      <w:r>
        <w:rPr>
          <w:rFonts w:hint="eastAsia" w:hAnsi="宋体"/>
          <w:color w:val="auto"/>
          <w:sz w:val="24"/>
          <w:szCs w:val="24"/>
          <w:highlight w:val="none"/>
        </w:rPr>
        <w:t>.1.1 特殊质量标准和要求：</w:t>
      </w:r>
      <w:bookmarkEnd w:id="522"/>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61C2CB42">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关于工程奖项的约定：</w:t>
      </w:r>
      <w:r>
        <w:rPr>
          <w:rFonts w:hint="eastAsia" w:hAnsi="宋体"/>
          <w:color w:val="auto"/>
          <w:sz w:val="24"/>
          <w:szCs w:val="24"/>
          <w:highlight w:val="none"/>
          <w:u w:val="single"/>
        </w:rPr>
        <w:t xml:space="preserve"> / </w:t>
      </w:r>
    </w:p>
    <w:p w14:paraId="6601209C">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5.3 隐蔽工程检查</w:t>
      </w:r>
    </w:p>
    <w:p w14:paraId="22FC3020">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5.3.2承包人提前通知监理人隐蔽工程检查的期限的约定：</w:t>
      </w:r>
      <w:r>
        <w:rPr>
          <w:rFonts w:hint="eastAsia" w:hAnsi="宋体"/>
          <w:color w:val="auto"/>
          <w:sz w:val="24"/>
          <w:szCs w:val="24"/>
          <w:highlight w:val="none"/>
          <w:u w:val="single"/>
        </w:rPr>
        <w:t>承包人应在需要检查前12 小时书面通知发包人、监理人检查，施工期间承包人应严格实行隐蔽工程验收制度，如有未经发包人及监理方验收自行隐蔽，监理工程师和发包人有权要求复验，所有费用由承包方承担。</w:t>
      </w:r>
    </w:p>
    <w:p w14:paraId="34D63614">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监理人不能按时进行检查时，应提前</w:t>
      </w:r>
      <w:r>
        <w:rPr>
          <w:rFonts w:hint="eastAsia" w:hAnsi="宋体"/>
          <w:color w:val="auto"/>
          <w:sz w:val="24"/>
          <w:szCs w:val="24"/>
          <w:highlight w:val="none"/>
          <w:u w:val="single"/>
        </w:rPr>
        <w:t>12</w:t>
      </w:r>
      <w:r>
        <w:rPr>
          <w:rFonts w:hint="eastAsia" w:hAnsi="宋体"/>
          <w:color w:val="auto"/>
          <w:sz w:val="24"/>
          <w:szCs w:val="24"/>
          <w:highlight w:val="none"/>
        </w:rPr>
        <w:t>小时提交书面延期要求。</w:t>
      </w:r>
    </w:p>
    <w:p w14:paraId="53097111">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关于延期最长不得超过：</w:t>
      </w:r>
      <w:r>
        <w:rPr>
          <w:rFonts w:hint="eastAsia" w:hAnsi="宋体"/>
          <w:color w:val="auto"/>
          <w:sz w:val="24"/>
          <w:szCs w:val="24"/>
          <w:highlight w:val="none"/>
          <w:u w:val="single"/>
        </w:rPr>
        <w:t>24</w:t>
      </w:r>
      <w:r>
        <w:rPr>
          <w:rFonts w:hint="eastAsia" w:hAnsi="宋体"/>
          <w:color w:val="auto"/>
          <w:sz w:val="24"/>
          <w:szCs w:val="24"/>
          <w:highlight w:val="none"/>
        </w:rPr>
        <w:t>小时。</w:t>
      </w:r>
    </w:p>
    <w:p w14:paraId="1793F659">
      <w:pPr>
        <w:pStyle w:val="6"/>
        <w:adjustRightInd w:val="0"/>
        <w:snapToGrid w:val="0"/>
        <w:spacing w:before="0" w:after="0" w:line="360" w:lineRule="auto"/>
        <w:rPr>
          <w:rFonts w:ascii="宋体" w:hAnsi="宋体"/>
          <w:b w:val="0"/>
          <w:bCs w:val="0"/>
          <w:color w:val="auto"/>
          <w:sz w:val="24"/>
          <w:szCs w:val="24"/>
          <w:highlight w:val="none"/>
        </w:rPr>
      </w:pPr>
      <w:bookmarkStart w:id="523" w:name="_Toc351203638"/>
      <w:bookmarkEnd w:id="523"/>
      <w:r>
        <w:rPr>
          <w:rFonts w:hint="eastAsia" w:ascii="宋体" w:hAnsi="宋体"/>
          <w:b w:val="0"/>
          <w:bCs w:val="0"/>
          <w:color w:val="auto"/>
          <w:sz w:val="24"/>
          <w:szCs w:val="24"/>
          <w:highlight w:val="none"/>
        </w:rPr>
        <w:t>6. 安全文明施工与环境保护</w:t>
      </w:r>
    </w:p>
    <w:p w14:paraId="05C671AB">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6.1安全文明施工</w:t>
      </w:r>
    </w:p>
    <w:p w14:paraId="0E96C287">
      <w:pPr>
        <w:adjustRightInd w:val="0"/>
        <w:snapToGrid w:val="0"/>
        <w:spacing w:line="360" w:lineRule="auto"/>
        <w:ind w:firstLine="480" w:firstLineChars="200"/>
        <w:jc w:val="left"/>
        <w:rPr>
          <w:rFonts w:hAnsi="宋体"/>
          <w:b/>
          <w:bCs/>
          <w:color w:val="auto"/>
          <w:sz w:val="24"/>
          <w:szCs w:val="24"/>
          <w:highlight w:val="none"/>
          <w:u w:val="single"/>
        </w:rPr>
      </w:pPr>
      <w:r>
        <w:rPr>
          <w:rFonts w:hint="eastAsia" w:hAnsi="宋体"/>
          <w:color w:val="auto"/>
          <w:sz w:val="24"/>
          <w:szCs w:val="24"/>
          <w:highlight w:val="none"/>
        </w:rPr>
        <w:t>6.1.1 项目安全生产的达标目标及相应事项的约定：</w:t>
      </w:r>
      <w:r>
        <w:rPr>
          <w:rFonts w:hint="eastAsia" w:hAnsi="宋体"/>
          <w:b/>
          <w:bCs/>
          <w:color w:val="auto"/>
          <w:sz w:val="24"/>
          <w:szCs w:val="24"/>
          <w:highlight w:val="none"/>
          <w:u w:val="single"/>
        </w:rPr>
        <w:t>施工现场按照《建筑施工安全检查标准》（JGJ59-2011）评定达到“合格”标准。</w:t>
      </w:r>
    </w:p>
    <w:p w14:paraId="43083806">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6.1.4 关于治安保卫的特别约定：</w:t>
      </w:r>
      <w:r>
        <w:rPr>
          <w:rFonts w:hint="eastAsia" w:hAnsi="宋体"/>
          <w:color w:val="auto"/>
          <w:sz w:val="24"/>
          <w:szCs w:val="24"/>
          <w:highlight w:val="none"/>
          <w:u w:val="single"/>
        </w:rPr>
        <w:t>按通用条款。</w:t>
      </w:r>
    </w:p>
    <w:p w14:paraId="76996C75">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关于编制施工场地治安管理计划的约定：</w:t>
      </w:r>
      <w:r>
        <w:rPr>
          <w:rFonts w:hint="eastAsia" w:hAnsi="宋体"/>
          <w:color w:val="auto"/>
          <w:sz w:val="24"/>
          <w:szCs w:val="24"/>
          <w:highlight w:val="none"/>
          <w:u w:val="single"/>
        </w:rPr>
        <w:t>按通用条款。</w:t>
      </w:r>
    </w:p>
    <w:p w14:paraId="388C68D2">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6.1.5 文明施工</w:t>
      </w:r>
    </w:p>
    <w:p w14:paraId="4534EDB3">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合同当事人对文明施工的要求：</w:t>
      </w:r>
    </w:p>
    <w:p w14:paraId="5D894BDD">
      <w:pPr>
        <w:adjustRightInd w:val="0"/>
        <w:snapToGrid w:val="0"/>
        <w:spacing w:line="360" w:lineRule="auto"/>
        <w:ind w:firstLine="482" w:firstLineChars="200"/>
        <w:jc w:val="left"/>
        <w:rPr>
          <w:rFonts w:hAnsi="宋体"/>
          <w:b/>
          <w:bCs/>
          <w:color w:val="auto"/>
          <w:sz w:val="24"/>
          <w:szCs w:val="24"/>
          <w:highlight w:val="none"/>
          <w:u w:val="single"/>
        </w:rPr>
      </w:pPr>
      <w:r>
        <w:rPr>
          <w:rFonts w:hint="eastAsia" w:hAnsi="宋体"/>
          <w:b/>
          <w:bCs/>
          <w:color w:val="auto"/>
          <w:sz w:val="24"/>
          <w:szCs w:val="24"/>
          <w:highlight w:val="none"/>
          <w:u w:val="single"/>
        </w:rPr>
        <w:t>（1）遵守地方政府和有关部门对施工场地交通、环卫、安全和施工噪音等管理规定，并办理相关审批手续</w:t>
      </w:r>
      <w:r>
        <w:rPr>
          <w:rFonts w:hint="eastAsia" w:hAnsi="宋体"/>
          <w:b/>
          <w:bCs/>
          <w:color w:val="auto"/>
          <w:sz w:val="24"/>
          <w:szCs w:val="24"/>
          <w:highlight w:val="none"/>
        </w:rPr>
        <w:t>。</w:t>
      </w:r>
    </w:p>
    <w:p w14:paraId="6266FAAA">
      <w:pPr>
        <w:adjustRightInd w:val="0"/>
        <w:snapToGrid w:val="0"/>
        <w:spacing w:line="360" w:lineRule="auto"/>
        <w:ind w:firstLine="482" w:firstLineChars="200"/>
        <w:jc w:val="left"/>
        <w:rPr>
          <w:rFonts w:hAnsi="宋体"/>
          <w:b/>
          <w:bCs/>
          <w:color w:val="auto"/>
          <w:sz w:val="24"/>
          <w:szCs w:val="24"/>
          <w:highlight w:val="none"/>
        </w:rPr>
      </w:pPr>
      <w:r>
        <w:rPr>
          <w:rFonts w:hint="eastAsia" w:hAnsi="宋体"/>
          <w:b/>
          <w:bCs/>
          <w:color w:val="auto"/>
          <w:sz w:val="24"/>
          <w:szCs w:val="24"/>
          <w:highlight w:val="none"/>
          <w:u w:val="single"/>
        </w:rPr>
        <w:t>（2）承包人应采取有效措施尽量减小尘土和噪音污染，需要进行夜间作业时应经有关部门批准</w:t>
      </w:r>
      <w:r>
        <w:rPr>
          <w:rFonts w:hint="eastAsia" w:hAnsi="宋体"/>
          <w:b/>
          <w:bCs/>
          <w:color w:val="auto"/>
          <w:sz w:val="24"/>
          <w:szCs w:val="24"/>
          <w:highlight w:val="none"/>
        </w:rPr>
        <w:t>。</w:t>
      </w:r>
    </w:p>
    <w:p w14:paraId="4FD0356A">
      <w:pPr>
        <w:adjustRightInd w:val="0"/>
        <w:snapToGrid w:val="0"/>
        <w:spacing w:line="360" w:lineRule="auto"/>
        <w:ind w:firstLine="482" w:firstLineChars="200"/>
        <w:rPr>
          <w:rFonts w:hAnsi="宋体"/>
          <w:color w:val="auto"/>
          <w:sz w:val="24"/>
          <w:szCs w:val="24"/>
          <w:highlight w:val="none"/>
          <w:u w:val="single"/>
        </w:rPr>
      </w:pPr>
      <w:r>
        <w:rPr>
          <w:rFonts w:hint="eastAsia" w:hAnsi="宋体"/>
          <w:b/>
          <w:bCs/>
          <w:color w:val="auto"/>
          <w:sz w:val="24"/>
          <w:szCs w:val="24"/>
          <w:highlight w:val="none"/>
          <w:u w:val="single"/>
        </w:rPr>
        <w:t>（3）其他：</w:t>
      </w:r>
      <w:r>
        <w:rPr>
          <w:rFonts w:hint="eastAsia" w:hAnsi="宋体"/>
          <w:color w:val="auto"/>
          <w:sz w:val="24"/>
          <w:szCs w:val="24"/>
          <w:highlight w:val="none"/>
          <w:u w:val="single"/>
        </w:rPr>
        <w:t>文明施工按杭州市人民政府令第278号文《杭州市建设工程文明施工管理规定》、杭建监总（2003）38号关于实施《杭州市市政建设工地安全生产、文明施工管理实施细则（试行）的通知》及文明工地杭建监总[2011]21号《关于打造“文明工地”创建全国文明城市活动实施方案》、《关于下发&lt;打造“美丽杭州”建设“两美浙江”示范区市政基础设施工程建设保障方案&gt;的通知》(杭建城发[2015]200号)和《关于做好打造“美丽杭州”建设“两美浙江”示范区建设工程环境整治工作的补充通知》(杭建工发[2015]279号)执行，否则若造成工程损失或人身伤害，由承包人承担全部责任及费用。</w:t>
      </w:r>
    </w:p>
    <w:p w14:paraId="0CB8A551">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u w:val="singl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0358656">
      <w:pPr>
        <w:autoSpaceDE w:val="0"/>
        <w:autoSpaceDN w:val="0"/>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u w:val="single"/>
        </w:rPr>
        <w:t>承包人文明施工还需做的其他工作：</w:t>
      </w:r>
    </w:p>
    <w:p w14:paraId="6318275E">
      <w:pPr>
        <w:autoSpaceDE w:val="0"/>
        <w:autoSpaceDN w:val="0"/>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u w:val="single"/>
        </w:rPr>
        <w:t>①所有现场作业人员必须统一着装，后背印有施工企业名称，夜间施工必须穿着反光背心，涉水施工必须穿戴救生衣。</w:t>
      </w:r>
    </w:p>
    <w:p w14:paraId="5ED1A415">
      <w:pPr>
        <w:autoSpaceDE w:val="0"/>
        <w:autoSpaceDN w:val="0"/>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u w:val="single"/>
        </w:rPr>
        <w:t>②围护要求：市政工程工地围档必须按杭建工发[2011]189号《关于市政工程围档整治美化专题会议纪要》内容严格执行。</w:t>
      </w:r>
    </w:p>
    <w:p w14:paraId="15EDA272">
      <w:pPr>
        <w:autoSpaceDE w:val="0"/>
        <w:autoSpaceDN w:val="0"/>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u w:val="single"/>
        </w:rPr>
        <w:t>③施工中产生的废土等必须随挖随运，堆放时间不得超过8小时，堆放期间必须作覆盖处理，报价中必须考虑土方短驳费用。</w:t>
      </w:r>
    </w:p>
    <w:p w14:paraId="7665E2B1">
      <w:pPr>
        <w:autoSpaceDE w:val="0"/>
        <w:autoSpaceDN w:val="0"/>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u w:val="single"/>
        </w:rPr>
        <w:t>④合同签订后2周内，提供土方消纳处置的协议，并完成市容、环保、市政等相关部门的各项手续的办理，并报监理及发包人备案，土方及淤泥外运时应承诺所用自卸车应为密封专用自卸车，并提供与镇及以上政府签订的淤泥倾倒协议，</w:t>
      </w:r>
    </w:p>
    <w:p w14:paraId="231F4852">
      <w:pPr>
        <w:autoSpaceDE w:val="0"/>
        <w:autoSpaceDN w:val="0"/>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u w:val="single"/>
        </w:rPr>
        <w:t>⑤必须在开工前配置不少于6人的文明施工班组24小时常态响应，该班组今后由监理单位进行考核及统一调度。</w:t>
      </w:r>
    </w:p>
    <w:p w14:paraId="79B8FCA2">
      <w:pPr>
        <w:autoSpaceDE w:val="0"/>
        <w:autoSpaceDN w:val="0"/>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u w:val="single"/>
        </w:rPr>
        <w:t>⑥协调好设备及电气安装等配套单位的施工安排，配合做好相关的安全文明施工工作。</w:t>
      </w:r>
    </w:p>
    <w:p w14:paraId="1AC6438C">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u w:val="single"/>
        </w:rPr>
        <w:t>⑦必须配备洒水设备，施工场地进出口配置车辆冲洗设备，保证施工现场无扬尘、进出施工车辆不产生扬尘。</w:t>
      </w:r>
    </w:p>
    <w:p w14:paraId="1455DD8B">
      <w:pPr>
        <w:adjustRightInd w:val="0"/>
        <w:snapToGrid w:val="0"/>
        <w:spacing w:line="360" w:lineRule="auto"/>
        <w:ind w:firstLine="482" w:firstLineChars="200"/>
        <w:jc w:val="left"/>
        <w:rPr>
          <w:rFonts w:hAnsi="宋体"/>
          <w:b/>
          <w:bCs/>
          <w:color w:val="auto"/>
          <w:sz w:val="24"/>
          <w:szCs w:val="24"/>
          <w:highlight w:val="none"/>
          <w:u w:val="single"/>
        </w:rPr>
      </w:pPr>
      <w:r>
        <w:rPr>
          <w:rFonts w:hint="eastAsia" w:hAnsi="宋体"/>
          <w:b/>
          <w:bCs/>
          <w:color w:val="auto"/>
          <w:sz w:val="24"/>
          <w:szCs w:val="24"/>
          <w:highlight w:val="none"/>
          <w:u w:val="single"/>
        </w:rPr>
        <w:t>（4）上述手续办理费用约定如下：由承包人承担，费用包含于投标总价中。</w:t>
      </w:r>
    </w:p>
    <w:p w14:paraId="68CDF851">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6.1.6 关于安全文明施工费支付比例和支付期限的约定，按以下</w:t>
      </w:r>
      <w:r>
        <w:rPr>
          <w:rFonts w:hint="eastAsia" w:hAnsi="宋体"/>
          <w:color w:val="auto"/>
          <w:sz w:val="24"/>
          <w:szCs w:val="24"/>
          <w:highlight w:val="none"/>
          <w:u w:val="single"/>
        </w:rPr>
        <w:t>第（1）种方式</w:t>
      </w:r>
      <w:r>
        <w:rPr>
          <w:rFonts w:hint="eastAsia" w:hAnsi="宋体"/>
          <w:color w:val="auto"/>
          <w:sz w:val="24"/>
          <w:szCs w:val="24"/>
          <w:highlight w:val="none"/>
        </w:rPr>
        <w:t>约定：</w:t>
      </w:r>
    </w:p>
    <w:p w14:paraId="3E2DDD09">
      <w:pPr>
        <w:adjustRightInd w:val="0"/>
        <w:snapToGrid w:val="0"/>
        <w:spacing w:line="360" w:lineRule="auto"/>
        <w:ind w:left="315" w:leftChars="150"/>
        <w:jc w:val="left"/>
        <w:rPr>
          <w:rFonts w:hAnsi="宋体"/>
          <w:b/>
          <w:bCs/>
          <w:color w:val="auto"/>
          <w:kern w:val="0"/>
          <w:sz w:val="24"/>
          <w:szCs w:val="24"/>
          <w:highlight w:val="none"/>
          <w:u w:val="single"/>
        </w:rPr>
      </w:pPr>
      <w:r>
        <w:rPr>
          <w:rFonts w:hint="eastAsia" w:hAnsi="宋体"/>
          <w:b/>
          <w:bCs/>
          <w:color w:val="auto"/>
          <w:kern w:val="0"/>
          <w:sz w:val="24"/>
          <w:szCs w:val="24"/>
          <w:highlight w:val="none"/>
          <w:u w:val="single"/>
        </w:rPr>
        <w:t>（1）发包人应在开工后28天内预付安全文明施工费总额的60%，剩余部分支付按以下方式约定 ：</w:t>
      </w:r>
    </w:p>
    <w:p w14:paraId="567855FB">
      <w:pPr>
        <w:adjustRightInd w:val="0"/>
        <w:snapToGrid w:val="0"/>
        <w:spacing w:line="360" w:lineRule="auto"/>
        <w:ind w:left="315" w:leftChars="150"/>
        <w:jc w:val="left"/>
        <w:rPr>
          <w:rFonts w:hAnsi="宋体"/>
          <w:b/>
          <w:bCs/>
          <w:color w:val="auto"/>
          <w:kern w:val="0"/>
          <w:sz w:val="24"/>
          <w:szCs w:val="24"/>
          <w:highlight w:val="none"/>
          <w:u w:val="single"/>
        </w:rPr>
      </w:pPr>
      <w:r>
        <w:rPr>
          <w:rFonts w:hint="eastAsia" w:hAnsi="宋体"/>
          <w:b/>
          <w:bCs/>
          <w:color w:val="auto"/>
          <w:kern w:val="0"/>
          <w:sz w:val="24"/>
          <w:szCs w:val="24"/>
          <w:highlight w:val="none"/>
          <w:u w:val="single"/>
        </w:rPr>
        <w:t>① 视相关措施的落实情况与进度款同期支付。</w:t>
      </w:r>
    </w:p>
    <w:p w14:paraId="66A12876">
      <w:pPr>
        <w:adjustRightInd w:val="0"/>
        <w:snapToGrid w:val="0"/>
        <w:spacing w:line="360" w:lineRule="auto"/>
        <w:ind w:firstLine="482" w:firstLineChars="200"/>
        <w:jc w:val="left"/>
        <w:rPr>
          <w:rFonts w:hAnsi="宋体"/>
          <w:b/>
          <w:bCs/>
          <w:color w:val="auto"/>
          <w:kern w:val="0"/>
          <w:sz w:val="24"/>
          <w:szCs w:val="24"/>
          <w:highlight w:val="none"/>
          <w:u w:val="single"/>
        </w:rPr>
      </w:pPr>
      <w:r>
        <w:rPr>
          <w:rFonts w:hint="eastAsia" w:hAnsi="宋体"/>
          <w:b/>
          <w:bCs/>
          <w:color w:val="auto"/>
          <w:kern w:val="0"/>
          <w:sz w:val="24"/>
          <w:szCs w:val="24"/>
          <w:highlight w:val="none"/>
          <w:u w:val="single"/>
        </w:rPr>
        <w:t>② 其他                                。</w:t>
      </w:r>
    </w:p>
    <w:p w14:paraId="14397C69">
      <w:pPr>
        <w:adjustRightInd w:val="0"/>
        <w:snapToGrid w:val="0"/>
        <w:spacing w:line="360" w:lineRule="auto"/>
        <w:ind w:firstLine="482" w:firstLineChars="200"/>
        <w:jc w:val="left"/>
        <w:rPr>
          <w:rFonts w:hAnsi="宋体"/>
          <w:b/>
          <w:bCs/>
          <w:color w:val="auto"/>
          <w:sz w:val="24"/>
          <w:szCs w:val="24"/>
          <w:highlight w:val="none"/>
        </w:rPr>
      </w:pPr>
      <w:r>
        <w:rPr>
          <w:rFonts w:hint="eastAsia" w:hAnsi="宋体"/>
          <w:b/>
          <w:bCs/>
          <w:color w:val="auto"/>
          <w:kern w:val="0"/>
          <w:sz w:val="24"/>
          <w:szCs w:val="24"/>
          <w:highlight w:val="none"/>
          <w:u w:val="single"/>
        </w:rPr>
        <w:t xml:space="preserve">（2）其他：/      </w:t>
      </w:r>
      <w:r>
        <w:rPr>
          <w:rFonts w:hint="eastAsia" w:hAnsi="宋体"/>
          <w:b/>
          <w:bCs/>
          <w:color w:val="auto"/>
          <w:kern w:val="0"/>
          <w:sz w:val="24"/>
          <w:szCs w:val="24"/>
          <w:highlight w:val="none"/>
        </w:rPr>
        <w:t>。</w:t>
      </w:r>
    </w:p>
    <w:p w14:paraId="55F8EEEF">
      <w:pPr>
        <w:pStyle w:val="6"/>
        <w:adjustRightInd w:val="0"/>
        <w:snapToGrid w:val="0"/>
        <w:spacing w:before="0" w:after="0" w:line="360" w:lineRule="auto"/>
        <w:rPr>
          <w:rFonts w:ascii="宋体" w:hAnsi="宋体"/>
          <w:b w:val="0"/>
          <w:bCs w:val="0"/>
          <w:color w:val="auto"/>
          <w:sz w:val="24"/>
          <w:szCs w:val="24"/>
          <w:highlight w:val="none"/>
        </w:rPr>
      </w:pPr>
      <w:bookmarkStart w:id="524" w:name="_Toc351203639"/>
      <w:bookmarkEnd w:id="524"/>
      <w:r>
        <w:rPr>
          <w:rFonts w:hint="eastAsia" w:ascii="宋体" w:hAnsi="宋体"/>
          <w:b w:val="0"/>
          <w:bCs w:val="0"/>
          <w:color w:val="auto"/>
          <w:sz w:val="24"/>
          <w:szCs w:val="24"/>
          <w:highlight w:val="none"/>
        </w:rPr>
        <w:t>7. 工期和进度</w:t>
      </w:r>
    </w:p>
    <w:p w14:paraId="703939B3">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7.1 施工组织设计</w:t>
      </w:r>
    </w:p>
    <w:p w14:paraId="5F7ACDC0">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7.1.1 合</w:t>
      </w:r>
      <w:r>
        <w:rPr>
          <w:rFonts w:hint="eastAsia" w:hAnsi="宋体"/>
          <w:color w:val="auto"/>
          <w:kern w:val="0"/>
          <w:sz w:val="24"/>
          <w:szCs w:val="24"/>
          <w:highlight w:val="none"/>
        </w:rPr>
        <w:t>同当事人约定的施工组织设计应包括的其他内容：</w:t>
      </w:r>
      <w:r>
        <w:rPr>
          <w:rFonts w:hint="eastAsia" w:hAnsi="宋体"/>
          <w:color w:val="auto"/>
          <w:sz w:val="24"/>
          <w:szCs w:val="24"/>
          <w:highlight w:val="none"/>
          <w:u w:val="single"/>
        </w:rPr>
        <w:t xml:space="preserve">   /  。</w:t>
      </w:r>
    </w:p>
    <w:p w14:paraId="5DEB1019">
      <w:pPr>
        <w:autoSpaceDE w:val="0"/>
        <w:autoSpaceDN w:val="0"/>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sz w:val="24"/>
          <w:szCs w:val="24"/>
          <w:highlight w:val="none"/>
        </w:rPr>
        <w:t xml:space="preserve">7.1.2 </w:t>
      </w:r>
      <w:r>
        <w:rPr>
          <w:rFonts w:hint="eastAsia" w:hAnsi="宋体"/>
          <w:color w:val="auto"/>
          <w:kern w:val="0"/>
          <w:sz w:val="24"/>
          <w:szCs w:val="24"/>
          <w:highlight w:val="none"/>
        </w:rPr>
        <w:t>施工组织设计的提交和修改</w:t>
      </w:r>
    </w:p>
    <w:p w14:paraId="7DB8F235">
      <w:pPr>
        <w:autoSpaceDE w:val="0"/>
        <w:autoSpaceDN w:val="0"/>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kern w:val="0"/>
          <w:sz w:val="24"/>
          <w:szCs w:val="24"/>
          <w:highlight w:val="none"/>
        </w:rPr>
        <w:t>承包人提交详细施工组织设计的期限的约定：</w:t>
      </w:r>
      <w:r>
        <w:rPr>
          <w:rFonts w:hint="eastAsia" w:hAnsi="宋体"/>
          <w:b/>
          <w:bCs/>
          <w:color w:val="auto"/>
          <w:sz w:val="24"/>
          <w:szCs w:val="24"/>
          <w:highlight w:val="none"/>
          <w:u w:val="single"/>
        </w:rPr>
        <w:t>合同签订后（7）天内提供</w:t>
      </w:r>
      <w:r>
        <w:rPr>
          <w:rFonts w:hint="eastAsia" w:hAnsi="宋体"/>
          <w:b/>
          <w:bCs/>
          <w:color w:val="auto"/>
          <w:kern w:val="0"/>
          <w:sz w:val="24"/>
          <w:szCs w:val="24"/>
          <w:highlight w:val="none"/>
          <w:u w:val="single"/>
        </w:rPr>
        <w:t>详细</w:t>
      </w:r>
      <w:r>
        <w:rPr>
          <w:rFonts w:hint="eastAsia" w:hAnsi="宋体"/>
          <w:b/>
          <w:bCs/>
          <w:color w:val="auto"/>
          <w:sz w:val="24"/>
          <w:szCs w:val="24"/>
          <w:highlight w:val="none"/>
          <w:u w:val="single"/>
        </w:rPr>
        <w:t xml:space="preserve">施工组织设计（施工方案）和进度计划   </w:t>
      </w:r>
      <w:r>
        <w:rPr>
          <w:rFonts w:hint="eastAsia" w:hAnsi="宋体"/>
          <w:b/>
          <w:bCs/>
          <w:color w:val="auto"/>
          <w:sz w:val="24"/>
          <w:szCs w:val="24"/>
          <w:highlight w:val="none"/>
        </w:rPr>
        <w:t>。</w:t>
      </w:r>
    </w:p>
    <w:p w14:paraId="4F4B5962">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发包人和监理人在收到详细的施工组织设计后确认或提出修改意见的期限：</w:t>
      </w:r>
      <w:r>
        <w:rPr>
          <w:rFonts w:hint="eastAsia" w:hAnsi="宋体"/>
          <w:color w:val="auto"/>
          <w:sz w:val="24"/>
          <w:szCs w:val="24"/>
          <w:highlight w:val="none"/>
          <w:u w:val="single"/>
        </w:rPr>
        <w:t xml:space="preserve"> 7天内。</w:t>
      </w:r>
    </w:p>
    <w:p w14:paraId="11645A39">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7</w:t>
      </w:r>
      <w:bookmarkStart w:id="525" w:name="_Toc297216173"/>
      <w:bookmarkEnd w:id="525"/>
      <w:bookmarkStart w:id="526" w:name="_Toc300934966"/>
      <w:bookmarkEnd w:id="526"/>
      <w:bookmarkStart w:id="527" w:name="_Toc312678005"/>
      <w:bookmarkEnd w:id="527"/>
      <w:bookmarkStart w:id="528" w:name="_Toc312677479"/>
      <w:bookmarkEnd w:id="528"/>
      <w:bookmarkStart w:id="529" w:name="_Toc297123514"/>
      <w:bookmarkEnd w:id="529"/>
      <w:bookmarkStart w:id="530" w:name="_Toc304295541"/>
      <w:bookmarkEnd w:id="530"/>
      <w:bookmarkStart w:id="531" w:name="_Toc303539123"/>
      <w:r>
        <w:rPr>
          <w:rFonts w:hint="eastAsia" w:hAnsi="宋体"/>
          <w:color w:val="auto"/>
          <w:sz w:val="24"/>
          <w:szCs w:val="24"/>
          <w:highlight w:val="none"/>
        </w:rPr>
        <w:t>.2 施工进度计划</w:t>
      </w:r>
      <w:bookmarkEnd w:id="531"/>
    </w:p>
    <w:p w14:paraId="0FBCEE73">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7.2.2 施工进度计划的修订</w:t>
      </w:r>
    </w:p>
    <w:p w14:paraId="437A8BFA">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发包人和监理人在收到修订的施工进度计划后确认或提出修改意见的期限：</w:t>
      </w:r>
      <w:r>
        <w:rPr>
          <w:rFonts w:hint="eastAsia" w:hAnsi="宋体"/>
          <w:color w:val="auto"/>
          <w:sz w:val="24"/>
          <w:szCs w:val="24"/>
          <w:highlight w:val="none"/>
          <w:u w:val="single"/>
        </w:rPr>
        <w:t xml:space="preserve"> 7天内。</w:t>
      </w:r>
    </w:p>
    <w:p w14:paraId="51C88A47">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7.3 开工</w:t>
      </w:r>
    </w:p>
    <w:p w14:paraId="23BB00B5">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7.3.1 开工准备</w:t>
      </w:r>
    </w:p>
    <w:p w14:paraId="1C58940A">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关于承包人提交</w:t>
      </w:r>
      <w:r>
        <w:rPr>
          <w:rFonts w:hint="eastAsia" w:hAnsi="宋体"/>
          <w:color w:val="auto"/>
          <w:kern w:val="0"/>
          <w:sz w:val="24"/>
          <w:szCs w:val="24"/>
          <w:highlight w:val="none"/>
        </w:rPr>
        <w:t>工程开工报审表的期限：</w:t>
      </w:r>
      <w:r>
        <w:rPr>
          <w:rFonts w:hint="eastAsia" w:hAnsi="宋体"/>
          <w:b/>
          <w:bCs/>
          <w:color w:val="auto"/>
          <w:sz w:val="24"/>
          <w:szCs w:val="24"/>
          <w:highlight w:val="none"/>
          <w:u w:val="single"/>
        </w:rPr>
        <w:t>合同签订后14天内</w:t>
      </w:r>
      <w:r>
        <w:rPr>
          <w:rFonts w:hint="eastAsia" w:hAnsi="宋体"/>
          <w:color w:val="auto"/>
          <w:sz w:val="24"/>
          <w:szCs w:val="24"/>
          <w:highlight w:val="none"/>
        </w:rPr>
        <w:t>。</w:t>
      </w:r>
    </w:p>
    <w:p w14:paraId="4F5514F6">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关于发包人应完成的其他开工准备工作及期限</w:t>
      </w:r>
      <w:r>
        <w:rPr>
          <w:rFonts w:hint="eastAsia" w:hAnsi="宋体"/>
          <w:color w:val="auto"/>
          <w:sz w:val="24"/>
          <w:szCs w:val="24"/>
          <w:highlight w:val="none"/>
          <w:u w:val="single"/>
        </w:rPr>
        <w:t>合同签订后7天内</w:t>
      </w:r>
      <w:r>
        <w:rPr>
          <w:rFonts w:hint="eastAsia" w:hAnsi="宋体"/>
          <w:color w:val="auto"/>
          <w:sz w:val="24"/>
          <w:szCs w:val="24"/>
          <w:highlight w:val="none"/>
        </w:rPr>
        <w:t>。</w:t>
      </w:r>
    </w:p>
    <w:p w14:paraId="2E786653">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关于承包人应完成的其他开工准备工作及期限：</w:t>
      </w:r>
      <w:r>
        <w:rPr>
          <w:rFonts w:hint="eastAsia" w:hAnsi="宋体"/>
          <w:color w:val="auto"/>
          <w:sz w:val="24"/>
          <w:szCs w:val="24"/>
          <w:highlight w:val="none"/>
          <w:u w:val="single"/>
        </w:rPr>
        <w:t>合同签订后7天内</w:t>
      </w:r>
      <w:r>
        <w:rPr>
          <w:rFonts w:hint="eastAsia" w:hAnsi="宋体"/>
          <w:color w:val="auto"/>
          <w:sz w:val="24"/>
          <w:szCs w:val="24"/>
          <w:highlight w:val="none"/>
        </w:rPr>
        <w:t>。</w:t>
      </w:r>
    </w:p>
    <w:p w14:paraId="646B40C7">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7.3.2开工通知</w:t>
      </w:r>
    </w:p>
    <w:p w14:paraId="40BC9AA0">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因发包人原因造成监理人未能在计划开工日期之日起</w:t>
      </w:r>
      <w:r>
        <w:rPr>
          <w:rFonts w:hint="eastAsia" w:hAnsi="宋体"/>
          <w:color w:val="auto"/>
          <w:sz w:val="24"/>
          <w:szCs w:val="24"/>
          <w:highlight w:val="none"/>
          <w:u w:val="single"/>
        </w:rPr>
        <w:t xml:space="preserve"> 180 </w:t>
      </w:r>
      <w:r>
        <w:rPr>
          <w:rFonts w:hint="eastAsia" w:hAnsi="宋体"/>
          <w:color w:val="auto"/>
          <w:sz w:val="24"/>
          <w:szCs w:val="24"/>
          <w:highlight w:val="none"/>
        </w:rPr>
        <w:t>天内发出开工通知的，承包人有权提出价格调整要求，或者解除合同。</w:t>
      </w:r>
    </w:p>
    <w:p w14:paraId="2CDF8A98">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7.4 测量放线</w:t>
      </w:r>
    </w:p>
    <w:p w14:paraId="1F6CFF62">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7.4.1发包人通过监理人向承包人提供测量基准点、基准线和水准点及其书面资料的期限：</w:t>
      </w:r>
      <w:r>
        <w:rPr>
          <w:rFonts w:hint="eastAsia" w:hAnsi="宋体"/>
          <w:b/>
          <w:bCs/>
          <w:color w:val="auto"/>
          <w:sz w:val="24"/>
          <w:szCs w:val="24"/>
          <w:highlight w:val="none"/>
          <w:u w:val="single"/>
        </w:rPr>
        <w:t>开工日期前7天内</w:t>
      </w:r>
      <w:r>
        <w:rPr>
          <w:rFonts w:hint="eastAsia" w:hAnsi="宋体"/>
          <w:color w:val="auto"/>
          <w:sz w:val="24"/>
          <w:szCs w:val="24"/>
          <w:highlight w:val="none"/>
        </w:rPr>
        <w:t>。</w:t>
      </w:r>
    </w:p>
    <w:p w14:paraId="4F2B6611">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7</w:t>
      </w:r>
      <w:bookmarkStart w:id="532" w:name="_Toc300934968"/>
      <w:bookmarkEnd w:id="532"/>
      <w:bookmarkStart w:id="533" w:name="_Toc312678010"/>
      <w:bookmarkEnd w:id="533"/>
      <w:bookmarkStart w:id="534" w:name="_Toc303539125"/>
      <w:bookmarkEnd w:id="534"/>
      <w:bookmarkStart w:id="535" w:name="_Toc304295546"/>
      <w:bookmarkEnd w:id="535"/>
      <w:bookmarkStart w:id="536" w:name="_Toc297123516"/>
      <w:bookmarkEnd w:id="536"/>
      <w:bookmarkStart w:id="537" w:name="_Toc297216175"/>
      <w:bookmarkEnd w:id="537"/>
      <w:bookmarkStart w:id="538" w:name="_Toc312677484"/>
      <w:r>
        <w:rPr>
          <w:rFonts w:hint="eastAsia" w:hAnsi="宋体"/>
          <w:color w:val="auto"/>
          <w:sz w:val="24"/>
          <w:szCs w:val="24"/>
          <w:highlight w:val="none"/>
        </w:rPr>
        <w:t>.5 工期延误</w:t>
      </w:r>
      <w:bookmarkEnd w:id="538"/>
    </w:p>
    <w:p w14:paraId="74C0B50B">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7.5.1 因发包人原因导致工期延误</w:t>
      </w:r>
    </w:p>
    <w:p w14:paraId="70DC57E6">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（7）因发包人原因导致工期延误的其他情形：</w:t>
      </w:r>
    </w:p>
    <w:p w14:paraId="597BE978">
      <w:pPr>
        <w:adjustRightInd w:val="0"/>
        <w:snapToGrid w:val="0"/>
        <w:spacing w:line="360" w:lineRule="auto"/>
        <w:ind w:firstLine="482" w:firstLineChars="200"/>
        <w:jc w:val="left"/>
        <w:rPr>
          <w:rFonts w:hAnsi="宋体"/>
          <w:b/>
          <w:bCs/>
          <w:color w:val="auto"/>
          <w:sz w:val="24"/>
          <w:szCs w:val="24"/>
          <w:highlight w:val="none"/>
          <w:u w:val="single"/>
        </w:rPr>
      </w:pPr>
      <w:r>
        <w:rPr>
          <w:rFonts w:hint="eastAsia" w:hAnsi="宋体"/>
          <w:b/>
          <w:bCs/>
          <w:color w:val="auto"/>
          <w:sz w:val="24"/>
          <w:szCs w:val="24"/>
          <w:highlight w:val="none"/>
          <w:u w:val="single"/>
        </w:rPr>
        <w:t xml:space="preserve">①重大设计变更引起的工期延误                        </w:t>
      </w:r>
      <w:r>
        <w:rPr>
          <w:rFonts w:hint="eastAsia" w:hAnsi="宋体"/>
          <w:b/>
          <w:bCs/>
          <w:color w:val="auto"/>
          <w:sz w:val="24"/>
          <w:szCs w:val="24"/>
          <w:highlight w:val="none"/>
        </w:rPr>
        <w:t>；</w:t>
      </w:r>
    </w:p>
    <w:p w14:paraId="3D30F6D8">
      <w:pPr>
        <w:adjustRightInd w:val="0"/>
        <w:snapToGrid w:val="0"/>
        <w:spacing w:line="360" w:lineRule="auto"/>
        <w:ind w:firstLine="482" w:firstLineChars="200"/>
        <w:jc w:val="left"/>
        <w:rPr>
          <w:rFonts w:hAnsi="宋体"/>
          <w:b/>
          <w:bCs/>
          <w:color w:val="auto"/>
          <w:sz w:val="24"/>
          <w:szCs w:val="24"/>
          <w:highlight w:val="none"/>
          <w:u w:val="single"/>
        </w:rPr>
      </w:pPr>
      <w:r>
        <w:rPr>
          <w:rFonts w:hint="eastAsia" w:hAnsi="宋体"/>
          <w:b/>
          <w:bCs/>
          <w:color w:val="auto"/>
          <w:sz w:val="24"/>
          <w:szCs w:val="24"/>
          <w:highlight w:val="none"/>
          <w:u w:val="single"/>
        </w:rPr>
        <w:t xml:space="preserve">②工期顺延                                          </w:t>
      </w:r>
      <w:r>
        <w:rPr>
          <w:rFonts w:hint="eastAsia" w:hAnsi="宋体"/>
          <w:b/>
          <w:bCs/>
          <w:color w:val="auto"/>
          <w:sz w:val="24"/>
          <w:szCs w:val="24"/>
          <w:highlight w:val="none"/>
        </w:rPr>
        <w:t>。</w:t>
      </w:r>
    </w:p>
    <w:p w14:paraId="6091EE84">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7</w:t>
      </w:r>
      <w:bookmarkStart w:id="539" w:name="_Toc312678012"/>
      <w:bookmarkEnd w:id="539"/>
      <w:bookmarkStart w:id="540" w:name="_Toc318581169"/>
      <w:bookmarkEnd w:id="540"/>
      <w:bookmarkStart w:id="541" w:name="_Toc300934970"/>
      <w:bookmarkEnd w:id="541"/>
      <w:bookmarkStart w:id="542" w:name="_Toc303539127"/>
      <w:bookmarkEnd w:id="542"/>
      <w:bookmarkStart w:id="543" w:name="_Toc297216177"/>
      <w:bookmarkEnd w:id="543"/>
      <w:bookmarkStart w:id="544" w:name="_Toc312677486"/>
      <w:bookmarkEnd w:id="544"/>
      <w:bookmarkStart w:id="545" w:name="_Toc304295548"/>
      <w:bookmarkEnd w:id="545"/>
      <w:bookmarkStart w:id="546" w:name="_Toc297123518"/>
      <w:r>
        <w:rPr>
          <w:rFonts w:hint="eastAsia" w:hAnsi="宋体"/>
          <w:color w:val="auto"/>
          <w:sz w:val="24"/>
          <w:szCs w:val="24"/>
          <w:highlight w:val="none"/>
        </w:rPr>
        <w:t>.5.2 因承包人原因导致工期延误</w:t>
      </w:r>
      <w:bookmarkEnd w:id="546"/>
    </w:p>
    <w:p w14:paraId="63D17DC2">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因</w:t>
      </w:r>
      <w:bookmarkStart w:id="547" w:name="_Toc318581170"/>
      <w:bookmarkEnd w:id="547"/>
      <w:bookmarkStart w:id="548" w:name="_Toc312678013"/>
      <w:bookmarkEnd w:id="548"/>
      <w:bookmarkStart w:id="549" w:name="_Toc312677487"/>
      <w:r>
        <w:rPr>
          <w:rFonts w:hint="eastAsia" w:hAnsi="宋体"/>
          <w:color w:val="auto"/>
          <w:sz w:val="24"/>
          <w:szCs w:val="24"/>
          <w:highlight w:val="none"/>
        </w:rPr>
        <w:t>承包人原因造成工期延误，逾期竣工违约金的计算方法为：</w:t>
      </w:r>
      <w:bookmarkEnd w:id="549"/>
      <w:r>
        <w:rPr>
          <w:rFonts w:hint="eastAsia" w:hAnsi="宋体"/>
          <w:color w:val="auto"/>
          <w:sz w:val="24"/>
          <w:szCs w:val="24"/>
          <w:highlight w:val="none"/>
          <w:u w:val="single"/>
        </w:rPr>
        <w:t>每逾期1天，每天扣款1000元。</w:t>
      </w:r>
    </w:p>
    <w:p w14:paraId="2F9E2143">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因承包人原因造成工期延误，逾</w:t>
      </w:r>
      <w:bookmarkStart w:id="550" w:name="_Toc312678014"/>
      <w:bookmarkEnd w:id="550"/>
      <w:bookmarkStart w:id="551" w:name="_Toc318581171"/>
      <w:r>
        <w:rPr>
          <w:rFonts w:hint="eastAsia" w:hAnsi="宋体"/>
          <w:color w:val="auto"/>
          <w:sz w:val="24"/>
          <w:szCs w:val="24"/>
          <w:highlight w:val="none"/>
        </w:rPr>
        <w:t>期竣工违约金的上限：</w:t>
      </w:r>
      <w:bookmarkEnd w:id="551"/>
      <w:r>
        <w:rPr>
          <w:rFonts w:hint="eastAsia" w:hAnsi="宋体"/>
          <w:color w:val="auto"/>
          <w:sz w:val="24"/>
          <w:szCs w:val="24"/>
          <w:highlight w:val="none"/>
          <w:u w:val="single"/>
        </w:rPr>
        <w:t>1000元。</w:t>
      </w:r>
    </w:p>
    <w:p w14:paraId="6836C09B">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7</w:t>
      </w:r>
      <w:bookmarkStart w:id="552" w:name="_Toc303539128"/>
      <w:bookmarkEnd w:id="552"/>
      <w:bookmarkStart w:id="553" w:name="_Toc297216178"/>
      <w:bookmarkEnd w:id="553"/>
      <w:bookmarkStart w:id="554" w:name="_Toc297123519"/>
      <w:bookmarkEnd w:id="554"/>
      <w:bookmarkStart w:id="555" w:name="_Toc312678015"/>
      <w:bookmarkEnd w:id="555"/>
      <w:bookmarkStart w:id="556" w:name="_Toc300934971"/>
      <w:bookmarkEnd w:id="556"/>
      <w:bookmarkStart w:id="557" w:name="_Toc304295549"/>
      <w:r>
        <w:rPr>
          <w:rFonts w:hint="eastAsia" w:hAnsi="宋体"/>
          <w:color w:val="auto"/>
          <w:sz w:val="24"/>
          <w:szCs w:val="24"/>
          <w:highlight w:val="none"/>
        </w:rPr>
        <w:t>.6 不</w:t>
      </w:r>
      <w:bookmarkEnd w:id="557"/>
      <w:r>
        <w:rPr>
          <w:rFonts w:hint="eastAsia" w:hAnsi="宋体"/>
          <w:color w:val="auto"/>
          <w:sz w:val="24"/>
          <w:szCs w:val="24"/>
          <w:highlight w:val="none"/>
        </w:rPr>
        <w:t>利物质条件</w:t>
      </w:r>
    </w:p>
    <w:p w14:paraId="72E80184">
      <w:pPr>
        <w:adjustRightInd w:val="0"/>
        <w:snapToGrid w:val="0"/>
        <w:spacing w:line="360" w:lineRule="auto"/>
        <w:ind w:firstLine="480" w:firstLineChars="200"/>
        <w:jc w:val="left"/>
        <w:rPr>
          <w:rFonts w:hAnsi="宋体"/>
          <w:color w:val="auto"/>
          <w:sz w:val="24"/>
          <w:szCs w:val="24"/>
          <w:highlight w:val="none"/>
        </w:rPr>
      </w:pPr>
      <w:bookmarkStart w:id="558" w:name="_Toc297123520"/>
      <w:bookmarkEnd w:id="558"/>
      <w:bookmarkStart w:id="559" w:name="_Toc304295550"/>
      <w:bookmarkEnd w:id="559"/>
      <w:bookmarkStart w:id="560" w:name="_Toc297216179"/>
      <w:bookmarkEnd w:id="560"/>
      <w:bookmarkStart w:id="561" w:name="_Toc303539129"/>
      <w:bookmarkEnd w:id="561"/>
      <w:bookmarkStart w:id="562" w:name="_Toc318581172"/>
      <w:bookmarkEnd w:id="562"/>
      <w:bookmarkStart w:id="563" w:name="_Toc312678016"/>
      <w:bookmarkEnd w:id="563"/>
      <w:bookmarkStart w:id="564" w:name="_Toc300934972"/>
      <w:r>
        <w:rPr>
          <w:rFonts w:hint="eastAsia" w:hAnsi="宋体"/>
          <w:color w:val="auto"/>
          <w:sz w:val="24"/>
          <w:szCs w:val="24"/>
          <w:highlight w:val="none"/>
        </w:rPr>
        <w:t>不利物质条件的其他情形和有关约定：</w:t>
      </w:r>
      <w:bookmarkEnd w:id="564"/>
    </w:p>
    <w:p w14:paraId="1698BA0B">
      <w:pPr>
        <w:adjustRightInd w:val="0"/>
        <w:snapToGrid w:val="0"/>
        <w:spacing w:line="360" w:lineRule="auto"/>
        <w:ind w:firstLine="482" w:firstLineChars="200"/>
        <w:jc w:val="left"/>
        <w:rPr>
          <w:rFonts w:hAnsi="宋体"/>
          <w:b/>
          <w:bCs/>
          <w:color w:val="auto"/>
          <w:sz w:val="24"/>
          <w:szCs w:val="24"/>
          <w:highlight w:val="none"/>
          <w:u w:val="single"/>
        </w:rPr>
      </w:pPr>
      <w:r>
        <w:rPr>
          <w:rFonts w:hint="eastAsia" w:hAnsi="宋体"/>
          <w:b/>
          <w:bCs/>
          <w:color w:val="auto"/>
          <w:sz w:val="24"/>
          <w:szCs w:val="24"/>
          <w:highlight w:val="none"/>
          <w:u w:val="single"/>
        </w:rPr>
        <w:t xml:space="preserve">（1）施工场地周围地下管线                            </w:t>
      </w:r>
      <w:r>
        <w:rPr>
          <w:rFonts w:hint="eastAsia" w:hAnsi="宋体"/>
          <w:b/>
          <w:bCs/>
          <w:color w:val="auto"/>
          <w:sz w:val="24"/>
          <w:szCs w:val="24"/>
          <w:highlight w:val="none"/>
        </w:rPr>
        <w:t>；</w:t>
      </w:r>
    </w:p>
    <w:p w14:paraId="022FDA0D">
      <w:pPr>
        <w:adjustRightInd w:val="0"/>
        <w:snapToGrid w:val="0"/>
        <w:spacing w:line="360" w:lineRule="auto"/>
        <w:ind w:firstLine="482" w:firstLineChars="200"/>
        <w:jc w:val="left"/>
        <w:rPr>
          <w:rFonts w:hAnsi="宋体"/>
          <w:b/>
          <w:bCs/>
          <w:color w:val="auto"/>
          <w:sz w:val="24"/>
          <w:szCs w:val="24"/>
          <w:highlight w:val="none"/>
        </w:rPr>
      </w:pPr>
      <w:r>
        <w:rPr>
          <w:rFonts w:hint="eastAsia" w:hAnsi="宋体"/>
          <w:b/>
          <w:bCs/>
          <w:color w:val="auto"/>
          <w:sz w:val="24"/>
          <w:szCs w:val="24"/>
          <w:highlight w:val="none"/>
          <w:u w:val="single"/>
        </w:rPr>
        <w:t xml:space="preserve">（2）地下障碍物和污染物                              </w:t>
      </w:r>
      <w:r>
        <w:rPr>
          <w:rFonts w:hint="eastAsia" w:hAnsi="宋体"/>
          <w:b/>
          <w:bCs/>
          <w:color w:val="auto"/>
          <w:sz w:val="24"/>
          <w:szCs w:val="24"/>
          <w:highlight w:val="none"/>
        </w:rPr>
        <w:t>；</w:t>
      </w:r>
    </w:p>
    <w:p w14:paraId="1393BF81">
      <w:pPr>
        <w:adjustRightInd w:val="0"/>
        <w:snapToGrid w:val="0"/>
        <w:spacing w:line="360" w:lineRule="auto"/>
        <w:ind w:firstLine="482" w:firstLineChars="200"/>
        <w:jc w:val="left"/>
        <w:rPr>
          <w:rFonts w:hAnsi="宋体"/>
          <w:b/>
          <w:bCs/>
          <w:color w:val="auto"/>
          <w:sz w:val="24"/>
          <w:szCs w:val="24"/>
          <w:highlight w:val="none"/>
          <w:u w:val="single"/>
        </w:rPr>
      </w:pPr>
      <w:r>
        <w:rPr>
          <w:rFonts w:hint="eastAsia" w:hAnsi="宋体"/>
          <w:b/>
          <w:bCs/>
          <w:color w:val="auto"/>
          <w:sz w:val="24"/>
          <w:szCs w:val="24"/>
          <w:highlight w:val="none"/>
          <w:u w:val="single"/>
        </w:rPr>
        <w:t xml:space="preserve">（3）邻近建筑物、构筑物的保护要求                    </w:t>
      </w:r>
      <w:r>
        <w:rPr>
          <w:rFonts w:hint="eastAsia" w:hAnsi="宋体"/>
          <w:b/>
          <w:bCs/>
          <w:color w:val="auto"/>
          <w:sz w:val="24"/>
          <w:szCs w:val="24"/>
          <w:highlight w:val="none"/>
        </w:rPr>
        <w:t>；</w:t>
      </w:r>
    </w:p>
    <w:p w14:paraId="66B952E5">
      <w:pPr>
        <w:adjustRightInd w:val="0"/>
        <w:snapToGrid w:val="0"/>
        <w:spacing w:line="360" w:lineRule="auto"/>
        <w:ind w:firstLine="482" w:firstLineChars="200"/>
        <w:jc w:val="left"/>
        <w:rPr>
          <w:rFonts w:hAnsi="宋体"/>
          <w:b/>
          <w:bCs/>
          <w:color w:val="auto"/>
          <w:sz w:val="24"/>
          <w:szCs w:val="24"/>
          <w:highlight w:val="none"/>
          <w:u w:val="single"/>
        </w:rPr>
      </w:pPr>
      <w:r>
        <w:rPr>
          <w:rFonts w:hint="eastAsia" w:hAnsi="宋体"/>
          <w:b/>
          <w:bCs/>
          <w:color w:val="auto"/>
          <w:sz w:val="24"/>
          <w:szCs w:val="24"/>
          <w:highlight w:val="none"/>
          <w:u w:val="single"/>
        </w:rPr>
        <w:t xml:space="preserve">（4）其他                                            </w:t>
      </w:r>
      <w:r>
        <w:rPr>
          <w:rFonts w:hint="eastAsia" w:hAnsi="宋体"/>
          <w:b/>
          <w:bCs/>
          <w:color w:val="auto"/>
          <w:sz w:val="24"/>
          <w:szCs w:val="24"/>
          <w:highlight w:val="none"/>
        </w:rPr>
        <w:t>。</w:t>
      </w:r>
    </w:p>
    <w:p w14:paraId="204F09CD">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7</w:t>
      </w:r>
      <w:bookmarkStart w:id="565" w:name="_Toc304295551"/>
      <w:bookmarkEnd w:id="565"/>
      <w:bookmarkStart w:id="566" w:name="_Toc303539130"/>
      <w:bookmarkEnd w:id="566"/>
      <w:bookmarkStart w:id="567" w:name="_Toc297123521"/>
      <w:bookmarkEnd w:id="567"/>
      <w:bookmarkStart w:id="568" w:name="_Toc300934973"/>
      <w:bookmarkEnd w:id="568"/>
      <w:bookmarkStart w:id="569" w:name="_Toc297216180"/>
      <w:bookmarkEnd w:id="569"/>
      <w:bookmarkStart w:id="570" w:name="_Toc312678017"/>
      <w:r>
        <w:rPr>
          <w:rFonts w:hint="eastAsia" w:hAnsi="宋体"/>
          <w:color w:val="auto"/>
          <w:sz w:val="24"/>
          <w:szCs w:val="24"/>
          <w:highlight w:val="none"/>
        </w:rPr>
        <w:t>.7异常恶劣的气候条件</w:t>
      </w:r>
      <w:bookmarkEnd w:id="570"/>
    </w:p>
    <w:p w14:paraId="65838995">
      <w:pPr>
        <w:adjustRightInd w:val="0"/>
        <w:snapToGrid w:val="0"/>
        <w:spacing w:line="360" w:lineRule="auto"/>
        <w:ind w:firstLine="480" w:firstLineChars="200"/>
        <w:jc w:val="left"/>
        <w:rPr>
          <w:rFonts w:hAnsi="宋体"/>
          <w:b/>
          <w:bCs/>
          <w:color w:val="auto"/>
          <w:kern w:val="0"/>
          <w:sz w:val="24"/>
          <w:szCs w:val="24"/>
          <w:highlight w:val="none"/>
        </w:rPr>
      </w:pPr>
      <w:r>
        <w:rPr>
          <w:rFonts w:hint="eastAsia" w:hAnsi="宋体"/>
          <w:color w:val="auto"/>
          <w:sz w:val="24"/>
          <w:szCs w:val="24"/>
          <w:highlight w:val="none"/>
        </w:rPr>
        <w:t>发包人和承包人同意以下情形视为异常恶劣的气候条件：</w:t>
      </w:r>
    </w:p>
    <w:p w14:paraId="6BB4A091">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u w:val="single"/>
        </w:rPr>
        <w:t>各种异常恶劣的气候条件承包人需在投标时参考工程所在地历年气候条件综合考虑，含在报价中，需承包人承担。</w:t>
      </w:r>
    </w:p>
    <w:p w14:paraId="74F65CCF">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7.9 提前竣工的奖励</w:t>
      </w:r>
    </w:p>
    <w:p w14:paraId="7344CBD1">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7.9.2提前竣工的奖励：</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2D4B4B07">
      <w:pPr>
        <w:pStyle w:val="6"/>
        <w:adjustRightInd w:val="0"/>
        <w:snapToGrid w:val="0"/>
        <w:spacing w:before="0" w:after="0" w:line="360" w:lineRule="auto"/>
        <w:rPr>
          <w:rFonts w:ascii="宋体" w:hAnsi="宋体"/>
          <w:b w:val="0"/>
          <w:bCs w:val="0"/>
          <w:color w:val="auto"/>
          <w:sz w:val="24"/>
          <w:szCs w:val="24"/>
          <w:highlight w:val="none"/>
        </w:rPr>
      </w:pPr>
      <w:bookmarkStart w:id="571" w:name="_Toc351203640"/>
      <w:bookmarkEnd w:id="571"/>
      <w:r>
        <w:rPr>
          <w:rFonts w:hint="eastAsia" w:ascii="宋体" w:hAnsi="宋体"/>
          <w:b w:val="0"/>
          <w:bCs w:val="0"/>
          <w:color w:val="auto"/>
          <w:sz w:val="24"/>
          <w:szCs w:val="24"/>
          <w:highlight w:val="none"/>
        </w:rPr>
        <w:t>8. 材料与设备</w:t>
      </w:r>
    </w:p>
    <w:p w14:paraId="7EC52B8A">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8</w:t>
      </w:r>
      <w:bookmarkStart w:id="572" w:name="_Toc296503167"/>
      <w:bookmarkEnd w:id="572"/>
      <w:bookmarkStart w:id="573" w:name="_Toc292559877"/>
      <w:bookmarkEnd w:id="573"/>
      <w:bookmarkStart w:id="574" w:name="_Toc296891207"/>
      <w:bookmarkEnd w:id="574"/>
      <w:bookmarkStart w:id="575" w:name="_Toc297120467"/>
      <w:bookmarkEnd w:id="575"/>
      <w:bookmarkStart w:id="576" w:name="_Toc296346668"/>
      <w:bookmarkEnd w:id="576"/>
      <w:bookmarkStart w:id="577" w:name="_Toc267251424"/>
      <w:bookmarkEnd w:id="577"/>
      <w:bookmarkStart w:id="578" w:name="_Toc304295556"/>
      <w:bookmarkEnd w:id="578"/>
      <w:bookmarkStart w:id="579" w:name="_Toc296347166"/>
      <w:bookmarkEnd w:id="579"/>
      <w:bookmarkStart w:id="580" w:name="_Toc312678019"/>
      <w:bookmarkEnd w:id="580"/>
      <w:bookmarkStart w:id="581" w:name="_Toc297048353"/>
      <w:bookmarkEnd w:id="581"/>
      <w:bookmarkStart w:id="582" w:name="_Toc312677493"/>
      <w:bookmarkEnd w:id="582"/>
      <w:bookmarkStart w:id="583" w:name="_Toc296944506"/>
      <w:bookmarkEnd w:id="583"/>
      <w:bookmarkStart w:id="584" w:name="_Toc303539136"/>
      <w:bookmarkEnd w:id="584"/>
      <w:bookmarkStart w:id="585" w:name="_Toc292559372"/>
      <w:bookmarkEnd w:id="585"/>
      <w:bookmarkStart w:id="586" w:name="_Toc280868654"/>
      <w:bookmarkEnd w:id="586"/>
      <w:bookmarkStart w:id="587" w:name="_Toc296890995"/>
      <w:bookmarkEnd w:id="587"/>
      <w:bookmarkStart w:id="588" w:name="_Toc297123527"/>
      <w:bookmarkEnd w:id="588"/>
      <w:bookmarkStart w:id="589" w:name="_Toc300934979"/>
      <w:bookmarkEnd w:id="589"/>
      <w:bookmarkStart w:id="590" w:name="_Toc280868656"/>
      <w:bookmarkEnd w:id="590"/>
      <w:bookmarkStart w:id="591" w:name="_Toc297216186"/>
      <w:bookmarkEnd w:id="591"/>
      <w:bookmarkStart w:id="592" w:name="_Toc280868655"/>
      <w:r>
        <w:rPr>
          <w:rFonts w:hint="eastAsia" w:hAnsi="宋体"/>
          <w:color w:val="auto"/>
          <w:sz w:val="24"/>
          <w:szCs w:val="24"/>
          <w:highlight w:val="none"/>
        </w:rPr>
        <w:t>.4材料与工程设备的保管与使用</w:t>
      </w:r>
      <w:bookmarkEnd w:id="592"/>
    </w:p>
    <w:p w14:paraId="5B19F2A4">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8</w:t>
      </w:r>
      <w:bookmarkStart w:id="593" w:name="_Toc297123528"/>
      <w:bookmarkEnd w:id="593"/>
      <w:bookmarkStart w:id="594" w:name="_Toc312678020"/>
      <w:bookmarkEnd w:id="594"/>
      <w:bookmarkStart w:id="595" w:name="_Toc296347167"/>
      <w:bookmarkEnd w:id="595"/>
      <w:bookmarkStart w:id="596" w:name="_Toc318581173"/>
      <w:bookmarkEnd w:id="596"/>
      <w:bookmarkStart w:id="597" w:name="_Toc292559373"/>
      <w:bookmarkEnd w:id="597"/>
      <w:bookmarkStart w:id="598" w:name="_Toc303539137"/>
      <w:bookmarkEnd w:id="598"/>
      <w:bookmarkStart w:id="599" w:name="_Toc300934980"/>
      <w:bookmarkEnd w:id="599"/>
      <w:bookmarkStart w:id="600" w:name="_Toc296890996"/>
      <w:bookmarkEnd w:id="600"/>
      <w:bookmarkStart w:id="601" w:name="_Toc297048354"/>
      <w:bookmarkEnd w:id="601"/>
      <w:bookmarkStart w:id="602" w:name="_Toc296503168"/>
      <w:bookmarkEnd w:id="602"/>
      <w:bookmarkStart w:id="603" w:name="_Toc296346669"/>
      <w:bookmarkEnd w:id="603"/>
      <w:bookmarkStart w:id="604" w:name="_Toc296944507"/>
      <w:bookmarkEnd w:id="604"/>
      <w:bookmarkStart w:id="605" w:name="_Toc297120468"/>
      <w:bookmarkEnd w:id="605"/>
      <w:bookmarkStart w:id="606" w:name="_Toc297216187"/>
      <w:bookmarkEnd w:id="606"/>
      <w:bookmarkStart w:id="607" w:name="_Toc292559878"/>
      <w:bookmarkEnd w:id="607"/>
      <w:bookmarkStart w:id="608" w:name="_Toc296891208"/>
      <w:bookmarkEnd w:id="608"/>
      <w:bookmarkStart w:id="609" w:name="_Toc312677494"/>
      <w:bookmarkEnd w:id="609"/>
      <w:bookmarkStart w:id="610" w:name="_Toc304295557"/>
      <w:r>
        <w:rPr>
          <w:rFonts w:hint="eastAsia" w:hAnsi="宋体"/>
          <w:color w:val="auto"/>
          <w:sz w:val="24"/>
          <w:szCs w:val="24"/>
          <w:highlight w:val="none"/>
        </w:rPr>
        <w:t>.4.1发包人供应的材料设备的保管费用的承担：</w:t>
      </w:r>
      <w:bookmarkEnd w:id="610"/>
      <w:r>
        <w:rPr>
          <w:rFonts w:hint="eastAsia" w:hAnsi="宋体"/>
          <w:color w:val="auto"/>
          <w:sz w:val="24"/>
          <w:szCs w:val="24"/>
          <w:highlight w:val="none"/>
          <w:u w:val="single"/>
        </w:rPr>
        <w:t>承包人承担</w:t>
      </w:r>
      <w:r>
        <w:rPr>
          <w:rFonts w:hint="eastAsia" w:hAnsi="宋体"/>
          <w:color w:val="auto"/>
          <w:sz w:val="24"/>
          <w:szCs w:val="24"/>
          <w:highlight w:val="none"/>
        </w:rPr>
        <w:t>。</w:t>
      </w:r>
    </w:p>
    <w:p w14:paraId="277313AC">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8.6 样品</w:t>
      </w:r>
    </w:p>
    <w:p w14:paraId="416F9A6E">
      <w:pPr>
        <w:autoSpaceDE w:val="0"/>
        <w:autoSpaceDN w:val="0"/>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8.6.1样品的报送与封存</w:t>
      </w:r>
    </w:p>
    <w:p w14:paraId="2C8A1E10">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kern w:val="0"/>
          <w:sz w:val="24"/>
          <w:szCs w:val="24"/>
          <w:highlight w:val="none"/>
        </w:rPr>
        <w:t>需要承包人报送样品的材料或工程设备，样品的种类、名称、规格、数量要求：</w:t>
      </w:r>
      <w:r>
        <w:rPr>
          <w:rFonts w:hint="eastAsia" w:hAnsi="宋体"/>
          <w:color w:val="auto"/>
          <w:kern w:val="0"/>
          <w:sz w:val="24"/>
          <w:szCs w:val="24"/>
          <w:highlight w:val="none"/>
          <w:u w:val="single"/>
        </w:rPr>
        <w:t>按招标人及相关规定要求</w:t>
      </w:r>
      <w:r>
        <w:rPr>
          <w:rFonts w:hint="eastAsia" w:hAnsi="宋体"/>
          <w:color w:val="auto"/>
          <w:sz w:val="24"/>
          <w:szCs w:val="24"/>
          <w:highlight w:val="none"/>
          <w:u w:val="single"/>
        </w:rPr>
        <w:t>。</w:t>
      </w:r>
    </w:p>
    <w:p w14:paraId="4799BD35">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8.8 施工设备和临时设施</w:t>
      </w:r>
    </w:p>
    <w:p w14:paraId="467961F8">
      <w:pPr>
        <w:autoSpaceDE w:val="0"/>
        <w:autoSpaceDN w:val="0"/>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8.8.1 承包人提供的施工设备和临时设施</w:t>
      </w:r>
    </w:p>
    <w:p w14:paraId="35F46721">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关于修建临时设施费用承担的约定：</w:t>
      </w:r>
      <w:r>
        <w:rPr>
          <w:rFonts w:hint="eastAsia" w:hAnsi="宋体"/>
          <w:color w:val="auto"/>
          <w:sz w:val="24"/>
          <w:szCs w:val="24"/>
          <w:highlight w:val="none"/>
          <w:u w:val="single"/>
        </w:rPr>
        <w:t xml:space="preserve">由承包人自行踏勘解决并承担相应费用 </w:t>
      </w:r>
    </w:p>
    <w:p w14:paraId="638EEB0A">
      <w:pPr>
        <w:pStyle w:val="6"/>
        <w:adjustRightInd w:val="0"/>
        <w:snapToGrid w:val="0"/>
        <w:spacing w:before="0" w:after="0" w:line="360" w:lineRule="auto"/>
        <w:rPr>
          <w:rFonts w:ascii="宋体" w:hAnsi="宋体"/>
          <w:b w:val="0"/>
          <w:bCs w:val="0"/>
          <w:color w:val="auto"/>
          <w:sz w:val="24"/>
          <w:szCs w:val="24"/>
          <w:highlight w:val="none"/>
        </w:rPr>
      </w:pPr>
      <w:bookmarkStart w:id="611" w:name="_Toc351203641"/>
      <w:bookmarkEnd w:id="611"/>
      <w:r>
        <w:rPr>
          <w:rFonts w:hint="eastAsia" w:ascii="宋体" w:hAnsi="宋体"/>
          <w:b w:val="0"/>
          <w:bCs w:val="0"/>
          <w:color w:val="auto"/>
          <w:sz w:val="24"/>
          <w:szCs w:val="24"/>
          <w:highlight w:val="none"/>
        </w:rPr>
        <w:t>9</w:t>
      </w:r>
      <w:bookmarkStart w:id="612" w:name="_Toc296347172"/>
      <w:bookmarkEnd w:id="612"/>
      <w:bookmarkStart w:id="613" w:name="_Toc312678021"/>
      <w:bookmarkEnd w:id="613"/>
      <w:bookmarkStart w:id="614" w:name="_Toc304295559"/>
      <w:bookmarkEnd w:id="614"/>
      <w:bookmarkStart w:id="615" w:name="_Toc292559378"/>
      <w:bookmarkEnd w:id="615"/>
      <w:bookmarkStart w:id="616" w:name="_Toc312677495"/>
      <w:bookmarkEnd w:id="616"/>
      <w:bookmarkStart w:id="617" w:name="_Toc297120473"/>
      <w:bookmarkEnd w:id="617"/>
      <w:bookmarkStart w:id="618" w:name="_Toc296346674"/>
      <w:bookmarkEnd w:id="618"/>
      <w:bookmarkStart w:id="619" w:name="_Toc296944512"/>
      <w:bookmarkEnd w:id="619"/>
      <w:bookmarkStart w:id="620" w:name="_Toc292559883"/>
      <w:bookmarkEnd w:id="620"/>
      <w:bookmarkStart w:id="621" w:name="_Toc296891213"/>
      <w:bookmarkEnd w:id="621"/>
      <w:bookmarkStart w:id="622" w:name="_Toc267251428"/>
      <w:bookmarkEnd w:id="622"/>
      <w:bookmarkStart w:id="623" w:name="_Toc303539139"/>
      <w:bookmarkEnd w:id="623"/>
      <w:bookmarkStart w:id="624" w:name="_Toc296891001"/>
      <w:bookmarkEnd w:id="624"/>
      <w:bookmarkStart w:id="625" w:name="_Toc297216192"/>
      <w:bookmarkEnd w:id="625"/>
      <w:bookmarkStart w:id="626" w:name="_Toc300934982"/>
      <w:bookmarkEnd w:id="626"/>
      <w:bookmarkStart w:id="627" w:name="_Toc297123533"/>
      <w:bookmarkEnd w:id="627"/>
      <w:bookmarkStart w:id="628" w:name="_Toc267251427"/>
      <w:bookmarkEnd w:id="628"/>
      <w:bookmarkStart w:id="629" w:name="_Toc297048359"/>
      <w:bookmarkEnd w:id="629"/>
      <w:bookmarkStart w:id="630" w:name="_Toc296503173"/>
      <w:r>
        <w:rPr>
          <w:rFonts w:hint="eastAsia" w:ascii="宋体" w:hAnsi="宋体"/>
          <w:b w:val="0"/>
          <w:bCs w:val="0"/>
          <w:color w:val="auto"/>
          <w:sz w:val="24"/>
          <w:szCs w:val="24"/>
          <w:highlight w:val="none"/>
        </w:rPr>
        <w:t>. 试验与检验</w:t>
      </w:r>
      <w:bookmarkEnd w:id="630"/>
    </w:p>
    <w:p w14:paraId="750C6675">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9</w:t>
      </w:r>
      <w:bookmarkStart w:id="631" w:name="_Toc312678022"/>
      <w:bookmarkEnd w:id="631"/>
      <w:bookmarkStart w:id="632" w:name="_Toc304295560"/>
      <w:bookmarkEnd w:id="632"/>
      <w:bookmarkStart w:id="633" w:name="_Toc303539140"/>
      <w:bookmarkEnd w:id="633"/>
      <w:bookmarkStart w:id="634" w:name="_Toc297216193"/>
      <w:bookmarkEnd w:id="634"/>
      <w:bookmarkStart w:id="635" w:name="_Toc300934983"/>
      <w:bookmarkEnd w:id="635"/>
      <w:bookmarkStart w:id="636" w:name="_Toc312677496"/>
      <w:bookmarkEnd w:id="636"/>
      <w:bookmarkStart w:id="637" w:name="_Toc297123534"/>
      <w:r>
        <w:rPr>
          <w:rFonts w:hint="eastAsia" w:hAnsi="宋体"/>
          <w:color w:val="auto"/>
          <w:sz w:val="24"/>
          <w:szCs w:val="24"/>
          <w:highlight w:val="none"/>
        </w:rPr>
        <w:t>.1试验设备与试验人员</w:t>
      </w:r>
      <w:bookmarkEnd w:id="637"/>
    </w:p>
    <w:p w14:paraId="04F005F5">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9</w:t>
      </w:r>
      <w:bookmarkStart w:id="638" w:name="_Toc297123535"/>
      <w:bookmarkEnd w:id="638"/>
      <w:bookmarkStart w:id="639" w:name="_Toc312677497"/>
      <w:bookmarkEnd w:id="639"/>
      <w:bookmarkStart w:id="640" w:name="_Toc303539141"/>
      <w:bookmarkEnd w:id="640"/>
      <w:bookmarkStart w:id="641" w:name="_Toc300934984"/>
      <w:bookmarkEnd w:id="641"/>
      <w:bookmarkStart w:id="642" w:name="_Toc297216194"/>
      <w:bookmarkEnd w:id="642"/>
      <w:bookmarkStart w:id="643" w:name="_Toc304295561"/>
      <w:bookmarkEnd w:id="643"/>
      <w:bookmarkStart w:id="644" w:name="_Toc312678023"/>
      <w:bookmarkEnd w:id="644"/>
      <w:bookmarkStart w:id="645" w:name="_Toc318581174"/>
      <w:r>
        <w:rPr>
          <w:rFonts w:hint="eastAsia" w:hAnsi="宋体"/>
          <w:color w:val="auto"/>
          <w:sz w:val="24"/>
          <w:szCs w:val="24"/>
          <w:highlight w:val="none"/>
        </w:rPr>
        <w:t>.1.2 试验设备</w:t>
      </w:r>
      <w:bookmarkEnd w:id="645"/>
    </w:p>
    <w:p w14:paraId="1DC2D587">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施工现场需要配置的试验场所：</w:t>
      </w:r>
      <w:bookmarkStart w:id="646" w:name="_Toc303539142"/>
      <w:bookmarkEnd w:id="646"/>
      <w:bookmarkStart w:id="647" w:name="_Toc312677498"/>
      <w:bookmarkEnd w:id="647"/>
      <w:bookmarkStart w:id="648" w:name="_Toc312678024"/>
      <w:bookmarkEnd w:id="648"/>
      <w:bookmarkStart w:id="649" w:name="_Toc300934985"/>
      <w:bookmarkEnd w:id="649"/>
      <w:bookmarkStart w:id="650" w:name="_Toc297216195"/>
      <w:bookmarkEnd w:id="650"/>
      <w:bookmarkStart w:id="651" w:name="_Toc304295562"/>
      <w:bookmarkEnd w:id="651"/>
      <w:bookmarkStart w:id="652" w:name="_Toc297123536"/>
      <w:bookmarkEnd w:id="652"/>
      <w:r>
        <w:rPr>
          <w:rFonts w:hint="eastAsia" w:hAnsi="宋体"/>
          <w:color w:val="auto"/>
          <w:sz w:val="24"/>
          <w:szCs w:val="24"/>
          <w:highlight w:val="none"/>
          <w:u w:val="single"/>
        </w:rPr>
        <w:t>由承包人承担相应费用  。</w:t>
      </w:r>
    </w:p>
    <w:p w14:paraId="3B986F54">
      <w:pPr>
        <w:adjustRightInd w:val="0"/>
        <w:snapToGrid w:val="0"/>
        <w:spacing w:line="360" w:lineRule="auto"/>
        <w:ind w:firstLine="480" w:firstLineChars="200"/>
        <w:rPr>
          <w:rFonts w:hAnsi="宋体"/>
          <w:color w:val="auto"/>
          <w:sz w:val="24"/>
          <w:szCs w:val="24"/>
          <w:highlight w:val="none"/>
          <w:u w:val="single"/>
        </w:rPr>
      </w:pPr>
      <w:r>
        <w:rPr>
          <w:rFonts w:hint="eastAsia" w:hAnsi="宋体"/>
          <w:color w:val="auto"/>
          <w:sz w:val="24"/>
          <w:szCs w:val="24"/>
          <w:highlight w:val="none"/>
        </w:rPr>
        <w:t>工现场需要配备的试验设备：</w:t>
      </w:r>
      <w:r>
        <w:rPr>
          <w:rFonts w:hint="eastAsia" w:hAnsi="宋体"/>
          <w:color w:val="auto"/>
          <w:sz w:val="24"/>
          <w:szCs w:val="24"/>
          <w:highlight w:val="none"/>
          <w:u w:val="single"/>
        </w:rPr>
        <w:t>由承包人承担相应费用   。</w:t>
      </w:r>
    </w:p>
    <w:p w14:paraId="3A235C18">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施工现场需要具备的其他试验条件：</w:t>
      </w:r>
      <w:r>
        <w:rPr>
          <w:rFonts w:hint="eastAsia" w:hAnsi="宋体"/>
          <w:color w:val="auto"/>
          <w:sz w:val="24"/>
          <w:szCs w:val="24"/>
          <w:highlight w:val="none"/>
          <w:u w:val="single"/>
        </w:rPr>
        <w:t>由承包人承担相应费用  。</w:t>
      </w:r>
    </w:p>
    <w:p w14:paraId="6259687A">
      <w:pPr>
        <w:adjustRightInd w:val="0"/>
        <w:snapToGrid w:val="0"/>
        <w:spacing w:line="360" w:lineRule="auto"/>
        <w:ind w:firstLine="480" w:firstLineChars="200"/>
        <w:jc w:val="left"/>
        <w:rPr>
          <w:rFonts w:hAnsi="宋体"/>
          <w:b/>
          <w:bCs/>
          <w:color w:val="auto"/>
          <w:kern w:val="0"/>
          <w:sz w:val="24"/>
          <w:szCs w:val="24"/>
          <w:highlight w:val="none"/>
        </w:rPr>
      </w:pPr>
      <w:r>
        <w:rPr>
          <w:rFonts w:hint="eastAsia" w:hAnsi="宋体"/>
          <w:color w:val="auto"/>
          <w:sz w:val="24"/>
          <w:szCs w:val="24"/>
          <w:highlight w:val="none"/>
        </w:rPr>
        <w:t>9.3</w:t>
      </w:r>
      <w:r>
        <w:rPr>
          <w:rFonts w:hint="eastAsia" w:hAnsi="宋体"/>
          <w:color w:val="auto"/>
          <w:kern w:val="0"/>
          <w:sz w:val="24"/>
          <w:szCs w:val="24"/>
          <w:highlight w:val="none"/>
        </w:rPr>
        <w:t>材料、工程设备和工程的试验和检验</w:t>
      </w:r>
    </w:p>
    <w:p w14:paraId="27C32C03">
      <w:pPr>
        <w:adjustRightInd w:val="0"/>
        <w:snapToGrid w:val="0"/>
        <w:spacing w:line="360" w:lineRule="auto"/>
        <w:ind w:firstLine="482" w:firstLineChars="200"/>
        <w:jc w:val="left"/>
        <w:rPr>
          <w:rFonts w:hAnsi="宋体"/>
          <w:b/>
          <w:bCs/>
          <w:color w:val="auto"/>
          <w:sz w:val="24"/>
          <w:szCs w:val="24"/>
          <w:highlight w:val="none"/>
          <w:u w:val="single"/>
        </w:rPr>
      </w:pPr>
      <w:r>
        <w:rPr>
          <w:rFonts w:hint="eastAsia" w:hAnsi="宋体"/>
          <w:b/>
          <w:bCs/>
          <w:color w:val="auto"/>
          <w:kern w:val="0"/>
          <w:sz w:val="24"/>
          <w:szCs w:val="24"/>
          <w:highlight w:val="none"/>
        </w:rPr>
        <w:t>试验、检测单位资质条件约定：</w:t>
      </w:r>
      <w:r>
        <w:rPr>
          <w:rFonts w:hint="eastAsia" w:hAnsi="宋体"/>
          <w:b/>
          <w:bCs/>
          <w:color w:val="auto"/>
          <w:kern w:val="0"/>
          <w:sz w:val="24"/>
          <w:szCs w:val="24"/>
          <w:highlight w:val="none"/>
          <w:u w:val="single"/>
        </w:rPr>
        <w:t>按杭州市相关规定，并取得监理工程师对检测单位资质条件的认可</w:t>
      </w:r>
    </w:p>
    <w:p w14:paraId="6DD19206">
      <w:pPr>
        <w:adjustRightInd w:val="0"/>
        <w:snapToGrid w:val="0"/>
        <w:spacing w:line="360" w:lineRule="auto"/>
        <w:ind w:firstLine="482" w:firstLineChars="200"/>
        <w:jc w:val="left"/>
        <w:rPr>
          <w:rFonts w:hAnsi="宋体"/>
          <w:b/>
          <w:bCs/>
          <w:color w:val="auto"/>
          <w:sz w:val="24"/>
          <w:szCs w:val="24"/>
          <w:highlight w:val="none"/>
          <w:u w:val="single"/>
        </w:rPr>
      </w:pPr>
      <w:r>
        <w:rPr>
          <w:rFonts w:hint="eastAsia" w:hAnsi="宋体"/>
          <w:b/>
          <w:bCs/>
          <w:color w:val="auto"/>
          <w:kern w:val="0"/>
          <w:sz w:val="24"/>
          <w:szCs w:val="24"/>
          <w:highlight w:val="none"/>
        </w:rPr>
        <w:t>试验、检测单位选择约定：</w:t>
      </w:r>
      <w:r>
        <w:rPr>
          <w:rFonts w:hint="eastAsia" w:hAnsi="宋体"/>
          <w:color w:val="auto"/>
          <w:sz w:val="24"/>
          <w:szCs w:val="24"/>
          <w:highlight w:val="none"/>
          <w:u w:val="single"/>
        </w:rPr>
        <w:t xml:space="preserve">  由承包人委托有资质条件的检测单位 </w:t>
      </w:r>
      <w:r>
        <w:rPr>
          <w:rFonts w:hint="eastAsia" w:hAnsi="宋体"/>
          <w:b/>
          <w:bCs/>
          <w:color w:val="auto"/>
          <w:sz w:val="24"/>
          <w:szCs w:val="24"/>
          <w:highlight w:val="none"/>
        </w:rPr>
        <w:t>；</w:t>
      </w:r>
    </w:p>
    <w:p w14:paraId="05559762">
      <w:pPr>
        <w:adjustRightInd w:val="0"/>
        <w:snapToGrid w:val="0"/>
        <w:spacing w:line="360" w:lineRule="auto"/>
        <w:ind w:firstLine="482" w:firstLineChars="200"/>
        <w:jc w:val="left"/>
        <w:rPr>
          <w:rFonts w:hAnsi="宋体"/>
          <w:b/>
          <w:bCs/>
          <w:color w:val="auto"/>
          <w:sz w:val="24"/>
          <w:szCs w:val="24"/>
          <w:highlight w:val="none"/>
        </w:rPr>
      </w:pPr>
      <w:r>
        <w:rPr>
          <w:rFonts w:hint="eastAsia" w:hAnsi="宋体"/>
          <w:b/>
          <w:bCs/>
          <w:color w:val="auto"/>
          <w:sz w:val="24"/>
          <w:szCs w:val="24"/>
          <w:highlight w:val="none"/>
        </w:rPr>
        <w:t>试验、检测费用约定：</w:t>
      </w:r>
      <w:r>
        <w:rPr>
          <w:rFonts w:hint="eastAsia" w:hAnsi="宋体"/>
          <w:b/>
          <w:bCs/>
          <w:color w:val="auto"/>
          <w:sz w:val="24"/>
          <w:szCs w:val="24"/>
          <w:highlight w:val="none"/>
          <w:u w:val="single"/>
        </w:rPr>
        <w:t>承包人承担，在合同价中包干使用。</w:t>
      </w:r>
    </w:p>
    <w:p w14:paraId="65BDB446">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 xml:space="preserve">9.4 现场工艺试验 </w:t>
      </w:r>
    </w:p>
    <w:p w14:paraId="239303A8">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现场工艺试验的有关约定：</w:t>
      </w:r>
      <w:r>
        <w:rPr>
          <w:rFonts w:hint="eastAsia" w:hAnsi="宋体"/>
          <w:color w:val="auto"/>
          <w:sz w:val="24"/>
          <w:szCs w:val="24"/>
          <w:highlight w:val="none"/>
          <w:u w:val="single"/>
        </w:rPr>
        <w:t>按现行相关规范和设计要求执行</w:t>
      </w:r>
      <w:r>
        <w:rPr>
          <w:rFonts w:hint="eastAsia" w:hAnsi="宋体"/>
          <w:color w:val="auto"/>
          <w:sz w:val="24"/>
          <w:szCs w:val="24"/>
          <w:highlight w:val="none"/>
        </w:rPr>
        <w:t>。</w:t>
      </w:r>
    </w:p>
    <w:p w14:paraId="75F2238B">
      <w:pPr>
        <w:pStyle w:val="6"/>
        <w:adjustRightInd w:val="0"/>
        <w:snapToGrid w:val="0"/>
        <w:spacing w:before="0" w:after="0" w:line="360" w:lineRule="auto"/>
        <w:rPr>
          <w:rFonts w:ascii="宋体" w:hAnsi="宋体"/>
          <w:b w:val="0"/>
          <w:bCs w:val="0"/>
          <w:color w:val="auto"/>
          <w:sz w:val="24"/>
          <w:szCs w:val="24"/>
          <w:highlight w:val="none"/>
        </w:rPr>
      </w:pPr>
      <w:bookmarkStart w:id="653" w:name="_Toc351203642"/>
      <w:bookmarkEnd w:id="653"/>
      <w:r>
        <w:rPr>
          <w:rFonts w:hint="eastAsia" w:ascii="宋体" w:hAnsi="宋体"/>
          <w:b w:val="0"/>
          <w:bCs w:val="0"/>
          <w:color w:val="auto"/>
          <w:sz w:val="24"/>
          <w:szCs w:val="24"/>
          <w:highlight w:val="none"/>
        </w:rPr>
        <w:t>10. 变更</w:t>
      </w:r>
    </w:p>
    <w:p w14:paraId="0CF7D02A">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10.1变更的范围</w:t>
      </w:r>
    </w:p>
    <w:p w14:paraId="02ADEA1E">
      <w:pPr>
        <w:adjustRightInd w:val="0"/>
        <w:snapToGrid w:val="0"/>
        <w:spacing w:line="360" w:lineRule="auto"/>
        <w:ind w:firstLine="480" w:firstLineChars="200"/>
        <w:jc w:val="left"/>
        <w:rPr>
          <w:rFonts w:hAnsi="宋体"/>
          <w:b/>
          <w:bCs/>
          <w:color w:val="auto"/>
          <w:sz w:val="24"/>
          <w:szCs w:val="24"/>
          <w:highlight w:val="none"/>
          <w:u w:val="single"/>
        </w:rPr>
      </w:pPr>
      <w:r>
        <w:rPr>
          <w:rFonts w:hint="eastAsia" w:hAnsi="宋体"/>
          <w:color w:val="auto"/>
          <w:sz w:val="24"/>
          <w:szCs w:val="24"/>
          <w:highlight w:val="none"/>
        </w:rPr>
        <w:t>关于变更的范围的约定：</w:t>
      </w:r>
      <w:r>
        <w:rPr>
          <w:rFonts w:hint="eastAsia" w:hAnsi="宋体"/>
          <w:b/>
          <w:bCs/>
          <w:color w:val="auto"/>
          <w:sz w:val="24"/>
          <w:szCs w:val="24"/>
          <w:highlight w:val="none"/>
          <w:u w:val="single"/>
        </w:rPr>
        <w:t>按通用合同条款执行。</w:t>
      </w:r>
    </w:p>
    <w:p w14:paraId="61D3FB5F">
      <w:pPr>
        <w:adjustRightInd w:val="0"/>
        <w:snapToGrid w:val="0"/>
        <w:spacing w:line="360" w:lineRule="auto"/>
        <w:ind w:firstLine="480" w:firstLineChars="200"/>
        <w:rPr>
          <w:rFonts w:hAnsi="宋体"/>
          <w:color w:val="auto"/>
          <w:sz w:val="24"/>
          <w:szCs w:val="24"/>
          <w:highlight w:val="none"/>
        </w:rPr>
      </w:pPr>
      <w:bookmarkStart w:id="654" w:name="_Toc267251439"/>
      <w:bookmarkEnd w:id="654"/>
      <w:bookmarkStart w:id="655" w:name="_Toc296944533"/>
      <w:bookmarkEnd w:id="655"/>
      <w:bookmarkStart w:id="656" w:name="_Toc292559904"/>
      <w:bookmarkEnd w:id="656"/>
      <w:bookmarkStart w:id="657" w:name="_Toc296891022"/>
      <w:bookmarkEnd w:id="657"/>
      <w:bookmarkStart w:id="658" w:name="_Toc267251440"/>
      <w:bookmarkEnd w:id="658"/>
      <w:bookmarkStart w:id="659" w:name="_Toc312677500"/>
      <w:bookmarkEnd w:id="659"/>
      <w:bookmarkStart w:id="660" w:name="_Toc297048380"/>
      <w:bookmarkEnd w:id="660"/>
      <w:bookmarkStart w:id="661" w:name="_Toc304295567"/>
      <w:bookmarkEnd w:id="661"/>
      <w:bookmarkStart w:id="662" w:name="_Toc312678026"/>
      <w:bookmarkEnd w:id="662"/>
      <w:bookmarkStart w:id="663" w:name="_Toc297123541"/>
      <w:bookmarkEnd w:id="663"/>
      <w:bookmarkStart w:id="664" w:name="_Toc267251442"/>
      <w:bookmarkEnd w:id="664"/>
      <w:bookmarkStart w:id="665" w:name="_Toc297120494"/>
      <w:bookmarkEnd w:id="665"/>
      <w:bookmarkStart w:id="666" w:name="_Toc296503194"/>
      <w:bookmarkEnd w:id="666"/>
      <w:bookmarkStart w:id="667" w:name="_Toc296346695"/>
      <w:bookmarkEnd w:id="667"/>
      <w:bookmarkStart w:id="668" w:name="_Toc267251437"/>
      <w:bookmarkEnd w:id="668"/>
      <w:bookmarkStart w:id="669" w:name="_Toc296347193"/>
      <w:bookmarkEnd w:id="669"/>
      <w:bookmarkStart w:id="670" w:name="_Toc300934990"/>
      <w:bookmarkEnd w:id="670"/>
      <w:bookmarkStart w:id="671" w:name="_Toc267251433"/>
      <w:bookmarkEnd w:id="671"/>
      <w:bookmarkStart w:id="672" w:name="_Toc297216200"/>
      <w:bookmarkEnd w:id="672"/>
      <w:bookmarkStart w:id="673" w:name="_Toc303539147"/>
      <w:bookmarkEnd w:id="673"/>
      <w:bookmarkStart w:id="674" w:name="_Toc267251441"/>
      <w:bookmarkEnd w:id="674"/>
      <w:bookmarkStart w:id="675" w:name="_Toc296891234"/>
      <w:bookmarkEnd w:id="675"/>
      <w:bookmarkStart w:id="676" w:name="_Toc292559399"/>
      <w:bookmarkEnd w:id="676"/>
      <w:bookmarkStart w:id="677" w:name="_Toc267251435"/>
      <w:r>
        <w:rPr>
          <w:rFonts w:hint="eastAsia" w:hAnsi="宋体"/>
          <w:color w:val="auto"/>
          <w:sz w:val="24"/>
          <w:szCs w:val="24"/>
          <w:highlight w:val="none"/>
        </w:rPr>
        <w:t>10.4 变更估价</w:t>
      </w:r>
      <w:bookmarkEnd w:id="677"/>
    </w:p>
    <w:p w14:paraId="1641B2BF">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10.4.1 变更估价原则</w:t>
      </w:r>
    </w:p>
    <w:p w14:paraId="215AD80D">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 xml:space="preserve">关于变更估价的约定: </w:t>
      </w:r>
    </w:p>
    <w:p w14:paraId="363C1202">
      <w:pPr>
        <w:autoSpaceDE w:val="0"/>
        <w:autoSpaceDN w:val="0"/>
        <w:adjustRightInd w:val="0"/>
        <w:snapToGrid w:val="0"/>
        <w:spacing w:line="360" w:lineRule="auto"/>
        <w:ind w:firstLine="482" w:firstLineChars="200"/>
        <w:jc w:val="left"/>
        <w:rPr>
          <w:rFonts w:hAnsi="宋体"/>
          <w:b/>
          <w:bCs/>
          <w:color w:val="auto"/>
          <w:kern w:val="0"/>
          <w:sz w:val="24"/>
          <w:szCs w:val="24"/>
          <w:highlight w:val="none"/>
          <w:u w:val="single"/>
        </w:rPr>
      </w:pPr>
      <w:r>
        <w:rPr>
          <w:rFonts w:hint="eastAsia" w:hAnsi="宋体"/>
          <w:b/>
          <w:bCs/>
          <w:color w:val="auto"/>
          <w:kern w:val="0"/>
          <w:sz w:val="24"/>
          <w:szCs w:val="24"/>
          <w:highlight w:val="none"/>
          <w:u w:val="single"/>
        </w:rPr>
        <w:t>（1）已标价工程量清单或预算书有相同项目的，按照相同项目单价确定。</w:t>
      </w:r>
    </w:p>
    <w:p w14:paraId="1FEE6238">
      <w:pPr>
        <w:autoSpaceDE w:val="0"/>
        <w:autoSpaceDN w:val="0"/>
        <w:adjustRightInd w:val="0"/>
        <w:snapToGrid w:val="0"/>
        <w:spacing w:line="360" w:lineRule="auto"/>
        <w:ind w:firstLine="482" w:firstLineChars="200"/>
        <w:jc w:val="left"/>
        <w:rPr>
          <w:rFonts w:hAnsi="宋体"/>
          <w:b/>
          <w:bCs/>
          <w:color w:val="auto"/>
          <w:kern w:val="0"/>
          <w:sz w:val="24"/>
          <w:szCs w:val="24"/>
          <w:highlight w:val="none"/>
          <w:u w:val="single"/>
        </w:rPr>
      </w:pPr>
      <w:r>
        <w:rPr>
          <w:rFonts w:hint="eastAsia" w:hAnsi="宋体"/>
          <w:b/>
          <w:bCs/>
          <w:color w:val="auto"/>
          <w:kern w:val="0"/>
          <w:sz w:val="24"/>
          <w:szCs w:val="24"/>
          <w:highlight w:val="none"/>
          <w:u w:val="single"/>
        </w:rPr>
        <w:t>（2）已标价工程量清单或预算书中无相同项目，但有类似项目的，参照类似项目的单价确定：清单项目一特征或工程内容变化，不影响其他特征及工程内容价格的，以原单价为基础，仅调整发生变化的子目价格；某种材料（或半成品及成品）等级、标准变化的，清单组合子目不变，仅调整不同的材料价格差（按照最近一个月基期材料信息价调差）。</w:t>
      </w:r>
    </w:p>
    <w:p w14:paraId="7CF755E8">
      <w:pPr>
        <w:autoSpaceDE w:val="0"/>
        <w:autoSpaceDN w:val="0"/>
        <w:adjustRightInd w:val="0"/>
        <w:snapToGrid w:val="0"/>
        <w:spacing w:line="360" w:lineRule="auto"/>
        <w:jc w:val="left"/>
        <w:rPr>
          <w:rFonts w:hAnsi="宋体"/>
          <w:b/>
          <w:bCs/>
          <w:color w:val="auto"/>
          <w:kern w:val="0"/>
          <w:sz w:val="24"/>
          <w:szCs w:val="24"/>
          <w:highlight w:val="none"/>
          <w:u w:val="single"/>
        </w:rPr>
      </w:pPr>
    </w:p>
    <w:p w14:paraId="21110ABC">
      <w:pPr>
        <w:adjustRightInd w:val="0"/>
        <w:snapToGrid w:val="0"/>
        <w:spacing w:line="360" w:lineRule="auto"/>
        <w:ind w:firstLine="480" w:firstLineChars="200"/>
        <w:rPr>
          <w:rFonts w:hAnsi="宋体"/>
          <w:color w:val="auto"/>
          <w:sz w:val="24"/>
          <w:szCs w:val="24"/>
          <w:highlight w:val="none"/>
        </w:rPr>
      </w:pPr>
      <w:bookmarkStart w:id="678" w:name="_Toc297123544"/>
      <w:bookmarkEnd w:id="678"/>
      <w:bookmarkStart w:id="679" w:name="_Toc304295570"/>
      <w:bookmarkEnd w:id="679"/>
      <w:bookmarkStart w:id="680" w:name="_Toc300934993"/>
      <w:bookmarkEnd w:id="680"/>
      <w:bookmarkStart w:id="681" w:name="_Toc296944536"/>
      <w:bookmarkEnd w:id="681"/>
      <w:bookmarkStart w:id="682" w:name="_Toc312678029"/>
      <w:bookmarkEnd w:id="682"/>
      <w:bookmarkStart w:id="683" w:name="_Toc296347196"/>
      <w:bookmarkEnd w:id="683"/>
      <w:bookmarkStart w:id="684" w:name="_Toc303539150"/>
      <w:bookmarkEnd w:id="684"/>
      <w:bookmarkStart w:id="685" w:name="_Toc297216203"/>
      <w:bookmarkEnd w:id="685"/>
      <w:bookmarkStart w:id="686" w:name="_Toc292559402"/>
      <w:bookmarkEnd w:id="686"/>
      <w:bookmarkStart w:id="687" w:name="_Toc297120497"/>
      <w:bookmarkEnd w:id="687"/>
      <w:bookmarkStart w:id="688" w:name="_Toc296891025"/>
      <w:bookmarkEnd w:id="688"/>
      <w:bookmarkStart w:id="689" w:name="_Toc297048383"/>
      <w:bookmarkEnd w:id="689"/>
      <w:bookmarkStart w:id="690" w:name="_Toc312677503"/>
      <w:bookmarkEnd w:id="690"/>
      <w:bookmarkStart w:id="691" w:name="_Toc292559907"/>
      <w:bookmarkEnd w:id="691"/>
      <w:bookmarkStart w:id="692" w:name="_Toc296503197"/>
      <w:bookmarkEnd w:id="692"/>
      <w:bookmarkStart w:id="693" w:name="_Toc296891237"/>
      <w:bookmarkEnd w:id="693"/>
      <w:bookmarkStart w:id="694" w:name="_Toc296346698"/>
      <w:bookmarkEnd w:id="694"/>
      <w:r>
        <w:rPr>
          <w:rFonts w:hint="eastAsia" w:hAnsi="宋体"/>
          <w:color w:val="auto"/>
          <w:sz w:val="24"/>
          <w:szCs w:val="24"/>
          <w:highlight w:val="none"/>
        </w:rPr>
        <w:t>10.5承</w:t>
      </w:r>
      <w:bookmarkStart w:id="695" w:name="_Toc296944542"/>
      <w:bookmarkEnd w:id="695"/>
      <w:bookmarkStart w:id="696" w:name="_Toc296891031"/>
      <w:bookmarkEnd w:id="696"/>
      <w:bookmarkStart w:id="697" w:name="_Toc303539151"/>
      <w:bookmarkEnd w:id="697"/>
      <w:bookmarkStart w:id="698" w:name="_Toc292559913"/>
      <w:bookmarkEnd w:id="698"/>
      <w:bookmarkStart w:id="699" w:name="_Toc297123545"/>
      <w:bookmarkEnd w:id="699"/>
      <w:bookmarkStart w:id="700" w:name="_Toc297048389"/>
      <w:bookmarkEnd w:id="700"/>
      <w:bookmarkStart w:id="701" w:name="_Toc296891243"/>
      <w:bookmarkEnd w:id="701"/>
      <w:bookmarkStart w:id="702" w:name="_Toc296346704"/>
      <w:bookmarkEnd w:id="702"/>
      <w:bookmarkStart w:id="703" w:name="_Toc300934994"/>
      <w:bookmarkEnd w:id="703"/>
      <w:bookmarkStart w:id="704" w:name="_Toc297216204"/>
      <w:bookmarkEnd w:id="704"/>
      <w:bookmarkStart w:id="705" w:name="_Toc296347202"/>
      <w:bookmarkEnd w:id="705"/>
      <w:bookmarkStart w:id="706" w:name="_Toc296503203"/>
      <w:bookmarkEnd w:id="706"/>
      <w:bookmarkStart w:id="707" w:name="_Toc297120503"/>
      <w:bookmarkEnd w:id="707"/>
      <w:bookmarkStart w:id="708" w:name="_Toc292559408"/>
      <w:bookmarkEnd w:id="708"/>
      <w:r>
        <w:rPr>
          <w:rFonts w:hint="eastAsia" w:hAnsi="宋体"/>
          <w:color w:val="auto"/>
          <w:sz w:val="24"/>
          <w:szCs w:val="24"/>
          <w:highlight w:val="none"/>
        </w:rPr>
        <w:t>包人的合理化建议</w:t>
      </w:r>
    </w:p>
    <w:p w14:paraId="26303362">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监理人审查承包人合理化建议的期限：</w:t>
      </w:r>
      <w:r>
        <w:rPr>
          <w:rFonts w:hint="eastAsia" w:hAnsi="宋体"/>
          <w:color w:val="auto"/>
          <w:sz w:val="24"/>
          <w:szCs w:val="24"/>
          <w:highlight w:val="none"/>
          <w:u w:val="single"/>
        </w:rPr>
        <w:t>收到承包人报送后3天内审查完毕并报发包人。</w:t>
      </w:r>
    </w:p>
    <w:p w14:paraId="61374417">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发包人审批承包人合理化建议的期限：</w:t>
      </w:r>
      <w:r>
        <w:rPr>
          <w:rFonts w:hint="eastAsia" w:hAnsi="宋体"/>
          <w:color w:val="auto"/>
          <w:sz w:val="24"/>
          <w:szCs w:val="24"/>
          <w:highlight w:val="none"/>
          <w:u w:val="single"/>
        </w:rPr>
        <w:t>收到监理人报送后7天内审查完毕。</w:t>
      </w:r>
    </w:p>
    <w:p w14:paraId="20E4D058">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承</w:t>
      </w:r>
      <w:bookmarkStart w:id="709" w:name="_Toc297120504"/>
      <w:bookmarkEnd w:id="709"/>
      <w:bookmarkStart w:id="710" w:name="_Toc300934995"/>
      <w:bookmarkEnd w:id="710"/>
      <w:bookmarkStart w:id="711" w:name="_Toc296503204"/>
      <w:bookmarkEnd w:id="711"/>
      <w:bookmarkStart w:id="712" w:name="_Toc296346705"/>
      <w:bookmarkEnd w:id="712"/>
      <w:bookmarkStart w:id="713" w:name="_Toc304295571"/>
      <w:bookmarkEnd w:id="713"/>
      <w:bookmarkStart w:id="714" w:name="_Toc296347203"/>
      <w:bookmarkEnd w:id="714"/>
      <w:bookmarkStart w:id="715" w:name="_Toc303539152"/>
      <w:bookmarkEnd w:id="715"/>
      <w:bookmarkStart w:id="716" w:name="_Toc292559409"/>
      <w:bookmarkEnd w:id="716"/>
      <w:bookmarkStart w:id="717" w:name="_Toc312677504"/>
      <w:bookmarkEnd w:id="717"/>
      <w:bookmarkStart w:id="718" w:name="_Toc296891244"/>
      <w:bookmarkEnd w:id="718"/>
      <w:bookmarkStart w:id="719" w:name="_Toc296944543"/>
      <w:bookmarkEnd w:id="719"/>
      <w:bookmarkStart w:id="720" w:name="_Toc318581175"/>
      <w:bookmarkEnd w:id="720"/>
      <w:bookmarkStart w:id="721" w:name="_Toc297216205"/>
      <w:bookmarkEnd w:id="721"/>
      <w:bookmarkStart w:id="722" w:name="_Toc297123546"/>
      <w:bookmarkEnd w:id="722"/>
      <w:bookmarkStart w:id="723" w:name="_Toc312678030"/>
      <w:bookmarkEnd w:id="723"/>
      <w:bookmarkStart w:id="724" w:name="_Toc296891032"/>
      <w:bookmarkEnd w:id="724"/>
      <w:bookmarkStart w:id="725" w:name="_Toc297048390"/>
      <w:bookmarkEnd w:id="725"/>
      <w:bookmarkStart w:id="726" w:name="_Toc292559914"/>
      <w:r>
        <w:rPr>
          <w:rFonts w:hint="eastAsia" w:hAnsi="宋体"/>
          <w:color w:val="auto"/>
          <w:sz w:val="24"/>
          <w:szCs w:val="24"/>
          <w:highlight w:val="none"/>
        </w:rPr>
        <w:t>包人提出的合理化建议降低了合同价格或者提高了工程经济效益的奖励的方法和金额为：</w:t>
      </w:r>
      <w:bookmarkEnd w:id="726"/>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41265FD3">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w:t>
      </w:r>
      <w:bookmarkStart w:id="727" w:name="_Toc303539154"/>
      <w:bookmarkEnd w:id="727"/>
      <w:bookmarkStart w:id="728" w:name="_Toc296891027"/>
      <w:bookmarkEnd w:id="728"/>
      <w:bookmarkStart w:id="729" w:name="_Toc296944538"/>
      <w:bookmarkEnd w:id="729"/>
      <w:bookmarkStart w:id="730" w:name="_Toc304295574"/>
      <w:bookmarkEnd w:id="730"/>
      <w:bookmarkStart w:id="731" w:name="_Toc296891239"/>
      <w:bookmarkEnd w:id="731"/>
      <w:bookmarkStart w:id="732" w:name="_Toc312677507"/>
      <w:bookmarkEnd w:id="732"/>
      <w:bookmarkStart w:id="733" w:name="_Toc297048385"/>
      <w:bookmarkEnd w:id="733"/>
      <w:bookmarkStart w:id="734" w:name="_Toc312678033"/>
      <w:bookmarkEnd w:id="734"/>
      <w:bookmarkStart w:id="735" w:name="_Toc296347198"/>
      <w:bookmarkEnd w:id="735"/>
      <w:bookmarkStart w:id="736" w:name="_Toc297216207"/>
      <w:bookmarkEnd w:id="736"/>
      <w:bookmarkStart w:id="737" w:name="_Toc300934997"/>
      <w:bookmarkEnd w:id="737"/>
      <w:bookmarkStart w:id="738" w:name="_Toc292559909"/>
      <w:bookmarkEnd w:id="738"/>
      <w:bookmarkStart w:id="739" w:name="_Toc292559404"/>
      <w:bookmarkEnd w:id="739"/>
      <w:bookmarkStart w:id="740" w:name="_Toc297123548"/>
      <w:bookmarkEnd w:id="740"/>
      <w:bookmarkStart w:id="741" w:name="_Toc297120499"/>
      <w:bookmarkEnd w:id="741"/>
      <w:bookmarkStart w:id="742" w:name="_Toc296503199"/>
      <w:bookmarkEnd w:id="742"/>
      <w:bookmarkStart w:id="743" w:name="_Toc296346700"/>
      <w:r>
        <w:rPr>
          <w:rFonts w:hint="eastAsia" w:hAnsi="宋体"/>
          <w:color w:val="auto"/>
          <w:sz w:val="24"/>
          <w:szCs w:val="24"/>
          <w:highlight w:val="none"/>
        </w:rPr>
        <w:t>0.7 暂估价</w:t>
      </w:r>
      <w:bookmarkEnd w:id="743"/>
    </w:p>
    <w:p w14:paraId="7512E60B">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kern w:val="0"/>
          <w:sz w:val="24"/>
          <w:szCs w:val="24"/>
          <w:highlight w:val="none"/>
        </w:rPr>
        <w:t>暂</w:t>
      </w:r>
      <w:bookmarkStart w:id="744" w:name="_Toc312677508"/>
      <w:bookmarkEnd w:id="744"/>
      <w:bookmarkStart w:id="745" w:name="_Toc312678034"/>
      <w:bookmarkEnd w:id="745"/>
      <w:bookmarkStart w:id="746" w:name="_Toc318581176"/>
      <w:r>
        <w:rPr>
          <w:rFonts w:hint="eastAsia" w:hAnsi="宋体"/>
          <w:color w:val="auto"/>
          <w:kern w:val="0"/>
          <w:sz w:val="24"/>
          <w:szCs w:val="24"/>
          <w:highlight w:val="none"/>
        </w:rPr>
        <w:t>估价材料和工程设备的明细详见附件11：《</w:t>
      </w:r>
      <w:bookmarkEnd w:id="746"/>
      <w:r>
        <w:rPr>
          <w:rFonts w:hint="eastAsia" w:hAnsi="宋体"/>
          <w:color w:val="auto"/>
          <w:sz w:val="24"/>
          <w:szCs w:val="24"/>
          <w:highlight w:val="none"/>
        </w:rPr>
        <w:t>暂估价一览表》</w:t>
      </w:r>
      <w:r>
        <w:rPr>
          <w:rFonts w:hint="eastAsia" w:hAnsi="宋体"/>
          <w:color w:val="auto"/>
          <w:kern w:val="0"/>
          <w:sz w:val="24"/>
          <w:szCs w:val="24"/>
          <w:highlight w:val="none"/>
        </w:rPr>
        <w:t>。</w:t>
      </w:r>
    </w:p>
    <w:p w14:paraId="504E5DF3">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w:t>
      </w:r>
      <w:bookmarkStart w:id="747" w:name="_Toc312677509"/>
      <w:bookmarkEnd w:id="747"/>
      <w:bookmarkStart w:id="748" w:name="_Toc318581177"/>
      <w:bookmarkEnd w:id="748"/>
      <w:bookmarkStart w:id="749" w:name="_Toc312678035"/>
      <w:r>
        <w:rPr>
          <w:rFonts w:hint="eastAsia" w:hAnsi="宋体"/>
          <w:color w:val="auto"/>
          <w:sz w:val="24"/>
          <w:szCs w:val="24"/>
          <w:highlight w:val="none"/>
        </w:rPr>
        <w:t>0.7.1 依法必须招标的暂估价项目</w:t>
      </w:r>
      <w:bookmarkEnd w:id="749"/>
    </w:p>
    <w:p w14:paraId="10C01FC7">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对于依法必须招标的暂估价项目的确认和批准采取第</w:t>
      </w:r>
      <w:r>
        <w:rPr>
          <w:rFonts w:hint="eastAsia" w:hAnsi="宋体"/>
          <w:color w:val="auto"/>
          <w:sz w:val="24"/>
          <w:szCs w:val="24"/>
          <w:highlight w:val="none"/>
          <w:u w:val="single"/>
        </w:rPr>
        <w:t xml:space="preserve">   /  </w:t>
      </w:r>
      <w:r>
        <w:rPr>
          <w:rFonts w:hint="eastAsia" w:hAnsi="宋体"/>
          <w:color w:val="auto"/>
          <w:sz w:val="24"/>
          <w:szCs w:val="24"/>
          <w:highlight w:val="none"/>
        </w:rPr>
        <w:t>种方式确定。</w:t>
      </w:r>
    </w:p>
    <w:p w14:paraId="055007E0">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10.7.2 不属于依法必须招标的暂估价项目</w:t>
      </w:r>
    </w:p>
    <w:p w14:paraId="792E0549">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对于不属于依法必须招标的暂估价项目的确认和批准采取第</w:t>
      </w:r>
      <w:r>
        <w:rPr>
          <w:rFonts w:hint="eastAsia" w:hAnsi="宋体"/>
          <w:color w:val="auto"/>
          <w:sz w:val="24"/>
          <w:szCs w:val="24"/>
          <w:highlight w:val="none"/>
          <w:u w:val="single"/>
        </w:rPr>
        <w:t xml:space="preserve">   / </w:t>
      </w:r>
      <w:r>
        <w:rPr>
          <w:rFonts w:hint="eastAsia" w:hAnsi="宋体"/>
          <w:color w:val="auto"/>
          <w:sz w:val="24"/>
          <w:szCs w:val="24"/>
          <w:highlight w:val="none"/>
        </w:rPr>
        <w:t xml:space="preserve"> 种方式确定。</w:t>
      </w:r>
    </w:p>
    <w:p w14:paraId="4292F026">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sz w:val="24"/>
          <w:szCs w:val="24"/>
          <w:highlight w:val="none"/>
        </w:rPr>
        <w:t>第3种方式：</w:t>
      </w:r>
      <w:r>
        <w:rPr>
          <w:rFonts w:hint="eastAsia" w:hAnsi="宋体"/>
          <w:color w:val="auto"/>
          <w:kern w:val="0"/>
          <w:sz w:val="24"/>
          <w:szCs w:val="24"/>
          <w:highlight w:val="none"/>
        </w:rPr>
        <w:t>承包人直接实施的暂估价项目</w:t>
      </w:r>
    </w:p>
    <w:p w14:paraId="1D39B156">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承包人直接实施的暂估价项目的约定：</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67C27C46">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10.8 暂列金额</w:t>
      </w:r>
    </w:p>
    <w:p w14:paraId="5E3C84BE">
      <w:pPr>
        <w:autoSpaceDE w:val="0"/>
        <w:autoSpaceDN w:val="0"/>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kern w:val="0"/>
          <w:sz w:val="24"/>
          <w:szCs w:val="24"/>
          <w:highlight w:val="none"/>
        </w:rPr>
        <w:t>合同当事人关于暂列金额使用的约定：</w:t>
      </w:r>
      <w:r>
        <w:rPr>
          <w:rFonts w:hint="eastAsia" w:hAnsi="宋体"/>
          <w:color w:val="auto"/>
          <w:sz w:val="24"/>
          <w:szCs w:val="24"/>
          <w:highlight w:val="none"/>
          <w:u w:val="single"/>
        </w:rPr>
        <w:t xml:space="preserve">    /     </w:t>
      </w:r>
      <w:r>
        <w:rPr>
          <w:rFonts w:hint="eastAsia" w:hAnsi="宋体"/>
          <w:color w:val="auto"/>
          <w:kern w:val="0"/>
          <w:sz w:val="24"/>
          <w:szCs w:val="24"/>
          <w:highlight w:val="none"/>
        </w:rPr>
        <w:t>。</w:t>
      </w:r>
    </w:p>
    <w:p w14:paraId="6CD63A2D">
      <w:pPr>
        <w:pStyle w:val="6"/>
        <w:adjustRightInd w:val="0"/>
        <w:snapToGrid w:val="0"/>
        <w:spacing w:before="0" w:after="0" w:line="360" w:lineRule="auto"/>
        <w:ind w:left="870" w:leftChars="290" w:hanging="261" w:hangingChars="109"/>
        <w:rPr>
          <w:rFonts w:ascii="宋体" w:hAnsi="宋体"/>
          <w:b w:val="0"/>
          <w:bCs w:val="0"/>
          <w:color w:val="auto"/>
          <w:sz w:val="24"/>
          <w:szCs w:val="24"/>
          <w:highlight w:val="none"/>
        </w:rPr>
      </w:pPr>
      <w:bookmarkStart w:id="750" w:name="_Toc351203643"/>
      <w:bookmarkEnd w:id="750"/>
      <w:r>
        <w:rPr>
          <w:rFonts w:hint="eastAsia" w:ascii="宋体" w:hAnsi="宋体"/>
          <w:b w:val="0"/>
          <w:bCs w:val="0"/>
          <w:color w:val="auto"/>
          <w:sz w:val="24"/>
          <w:szCs w:val="24"/>
          <w:highlight w:val="none"/>
        </w:rPr>
        <w:t>11. 价格调整</w:t>
      </w:r>
    </w:p>
    <w:p w14:paraId="2D174847">
      <w:pPr>
        <w:adjustRightInd w:val="0"/>
        <w:snapToGrid w:val="0"/>
        <w:spacing w:line="360" w:lineRule="auto"/>
        <w:ind w:firstLine="480" w:firstLineChars="200"/>
        <w:rPr>
          <w:rFonts w:hAnsi="宋体"/>
          <w:color w:val="auto"/>
          <w:sz w:val="24"/>
          <w:szCs w:val="24"/>
          <w:highlight w:val="none"/>
        </w:rPr>
      </w:pPr>
      <w:bookmarkStart w:id="751" w:name="_Toc296346702"/>
      <w:bookmarkEnd w:id="751"/>
      <w:bookmarkStart w:id="752" w:name="_Toc297123550"/>
      <w:bookmarkEnd w:id="752"/>
      <w:bookmarkStart w:id="753" w:name="_Toc297216209"/>
      <w:bookmarkEnd w:id="753"/>
      <w:bookmarkStart w:id="754" w:name="_Toc296503201"/>
      <w:bookmarkEnd w:id="754"/>
      <w:bookmarkStart w:id="755" w:name="_Toc296891241"/>
      <w:bookmarkEnd w:id="755"/>
      <w:bookmarkStart w:id="756" w:name="_Toc304295577"/>
      <w:bookmarkEnd w:id="756"/>
      <w:bookmarkStart w:id="757" w:name="_Toc296347200"/>
      <w:bookmarkEnd w:id="757"/>
      <w:bookmarkStart w:id="758" w:name="_Toc297048387"/>
      <w:bookmarkEnd w:id="758"/>
      <w:bookmarkStart w:id="759" w:name="_Toc296944540"/>
      <w:bookmarkEnd w:id="759"/>
      <w:bookmarkStart w:id="760" w:name="_Toc292559406"/>
      <w:bookmarkEnd w:id="760"/>
      <w:bookmarkStart w:id="761" w:name="_Toc296891029"/>
      <w:bookmarkEnd w:id="761"/>
      <w:bookmarkStart w:id="762" w:name="_Toc312678039"/>
      <w:bookmarkEnd w:id="762"/>
      <w:bookmarkStart w:id="763" w:name="_Toc297120501"/>
      <w:bookmarkEnd w:id="763"/>
      <w:bookmarkStart w:id="764" w:name="_Toc300935000"/>
      <w:bookmarkEnd w:id="764"/>
      <w:bookmarkStart w:id="765" w:name="_Toc292559911"/>
      <w:bookmarkEnd w:id="765"/>
      <w:bookmarkStart w:id="766" w:name="_Toc303539157"/>
      <w:r>
        <w:rPr>
          <w:rFonts w:hint="eastAsia" w:hAnsi="宋体"/>
          <w:color w:val="auto"/>
          <w:sz w:val="24"/>
          <w:szCs w:val="24"/>
          <w:highlight w:val="none"/>
        </w:rPr>
        <w:t>11.1 市场价格波动引起的调整</w:t>
      </w:r>
      <w:bookmarkEnd w:id="766"/>
    </w:p>
    <w:p w14:paraId="38815181">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kern w:val="0"/>
          <w:sz w:val="24"/>
          <w:szCs w:val="24"/>
          <w:highlight w:val="none"/>
        </w:rPr>
        <w:t>市场价格波动是否调整合同价格的约定：</w:t>
      </w:r>
      <w:r>
        <w:rPr>
          <w:rFonts w:hint="eastAsia" w:hAnsi="宋体"/>
          <w:color w:val="auto"/>
          <w:sz w:val="24"/>
          <w:szCs w:val="24"/>
          <w:highlight w:val="none"/>
          <w:u w:val="single"/>
        </w:rPr>
        <w:t xml:space="preserve"> 否  </w:t>
      </w:r>
      <w:r>
        <w:rPr>
          <w:rFonts w:hint="eastAsia" w:hAnsi="宋体"/>
          <w:color w:val="auto"/>
          <w:sz w:val="24"/>
          <w:szCs w:val="24"/>
          <w:highlight w:val="none"/>
        </w:rPr>
        <w:t>。</w:t>
      </w:r>
    </w:p>
    <w:p w14:paraId="715AA6EB">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因市场价格波动调整合同价格，采用以下第</w:t>
      </w:r>
      <w:r>
        <w:rPr>
          <w:rFonts w:hint="eastAsia" w:hAnsi="宋体"/>
          <w:color w:val="auto"/>
          <w:sz w:val="24"/>
          <w:szCs w:val="24"/>
          <w:highlight w:val="none"/>
          <w:u w:val="single"/>
        </w:rPr>
        <w:t xml:space="preserve"> / </w:t>
      </w:r>
      <w:r>
        <w:rPr>
          <w:rFonts w:hint="eastAsia" w:hAnsi="宋体"/>
          <w:color w:val="auto"/>
          <w:sz w:val="24"/>
          <w:szCs w:val="24"/>
          <w:highlight w:val="none"/>
        </w:rPr>
        <w:t>种方式对合同价格进行调整：</w:t>
      </w:r>
    </w:p>
    <w:p w14:paraId="5156E8CA">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第1种方式：采用价格指数进行价格调整。</w:t>
      </w:r>
    </w:p>
    <w:p w14:paraId="46C07542">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关于各可调因子、定值和变值权重，以及基本价格指数及其来源的约定：</w:t>
      </w:r>
      <w:r>
        <w:rPr>
          <w:rFonts w:hint="eastAsia" w:hAnsi="宋体"/>
          <w:color w:val="auto"/>
          <w:sz w:val="24"/>
          <w:szCs w:val="24"/>
          <w:highlight w:val="none"/>
          <w:u w:val="single"/>
        </w:rPr>
        <w:t xml:space="preserve">  /  </w:t>
      </w:r>
      <w:r>
        <w:rPr>
          <w:rFonts w:hint="eastAsia" w:hAnsi="宋体"/>
          <w:color w:val="auto"/>
          <w:sz w:val="24"/>
          <w:szCs w:val="24"/>
          <w:highlight w:val="none"/>
        </w:rPr>
        <w:t xml:space="preserve">；  </w:t>
      </w:r>
    </w:p>
    <w:p w14:paraId="69FA70C7">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第2种方式：采用造价信息进行价格调整。</w:t>
      </w:r>
    </w:p>
    <w:p w14:paraId="10680AFC">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（2）关于基准价格的约定：</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33E3EBD6">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hAnsi="宋体"/>
          <w:color w:val="auto"/>
          <w:sz w:val="24"/>
          <w:szCs w:val="24"/>
          <w:highlight w:val="none"/>
          <w:u w:val="single"/>
        </w:rPr>
        <w:t xml:space="preserve"> /  </w:t>
      </w:r>
      <w:r>
        <w:rPr>
          <w:rFonts w:hint="eastAsia" w:hAnsi="宋体"/>
          <w:color w:val="auto"/>
          <w:sz w:val="24"/>
          <w:szCs w:val="24"/>
          <w:highlight w:val="none"/>
        </w:rPr>
        <w:t>%时，或材料单价跌幅以已标价工程量清单或预算书中载明材料单价为基础超过</w:t>
      </w:r>
      <w:r>
        <w:rPr>
          <w:rFonts w:hint="eastAsia" w:hAnsi="宋体"/>
          <w:color w:val="auto"/>
          <w:sz w:val="24"/>
          <w:szCs w:val="24"/>
          <w:highlight w:val="none"/>
          <w:u w:val="single"/>
        </w:rPr>
        <w:t xml:space="preserve">  / </w:t>
      </w:r>
      <w:r>
        <w:rPr>
          <w:rFonts w:hint="eastAsia" w:hAnsi="宋体"/>
          <w:color w:val="auto"/>
          <w:sz w:val="24"/>
          <w:szCs w:val="24"/>
          <w:highlight w:val="none"/>
        </w:rPr>
        <w:t>%时，其超过部分据实调整。</w:t>
      </w:r>
    </w:p>
    <w:p w14:paraId="24BF00C2">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hAnsi="宋体"/>
          <w:color w:val="auto"/>
          <w:sz w:val="24"/>
          <w:szCs w:val="24"/>
          <w:highlight w:val="none"/>
          <w:u w:val="single"/>
        </w:rPr>
        <w:t xml:space="preserve"> /  </w:t>
      </w:r>
      <w:r>
        <w:rPr>
          <w:rFonts w:hint="eastAsia" w:hAnsi="宋体"/>
          <w:color w:val="auto"/>
          <w:sz w:val="24"/>
          <w:szCs w:val="24"/>
          <w:highlight w:val="none"/>
        </w:rPr>
        <w:t>%时，材料单价涨幅以已标价工程量清单或预算书中载明材料单价为基础超过</w:t>
      </w:r>
      <w:r>
        <w:rPr>
          <w:rFonts w:hint="eastAsia" w:hAnsi="宋体"/>
          <w:color w:val="auto"/>
          <w:sz w:val="24"/>
          <w:szCs w:val="24"/>
          <w:highlight w:val="none"/>
          <w:u w:val="single"/>
        </w:rPr>
        <w:t xml:space="preserve"> /  </w:t>
      </w:r>
      <w:r>
        <w:rPr>
          <w:rFonts w:hint="eastAsia" w:hAnsi="宋体"/>
          <w:color w:val="auto"/>
          <w:sz w:val="24"/>
          <w:szCs w:val="24"/>
          <w:highlight w:val="none"/>
        </w:rPr>
        <w:t>%时，其超过部分据实调整。</w:t>
      </w:r>
    </w:p>
    <w:p w14:paraId="2B51D81D">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hAnsi="宋体"/>
          <w:color w:val="auto"/>
          <w:sz w:val="24"/>
          <w:szCs w:val="24"/>
          <w:highlight w:val="none"/>
          <w:u w:val="single"/>
        </w:rPr>
        <w:t xml:space="preserve"> /  </w:t>
      </w:r>
      <w:r>
        <w:rPr>
          <w:rFonts w:hint="eastAsia" w:hAnsi="宋体"/>
          <w:color w:val="auto"/>
          <w:sz w:val="24"/>
          <w:szCs w:val="24"/>
          <w:highlight w:val="none"/>
        </w:rPr>
        <w:t>%时，其超过部分据实调整。</w:t>
      </w:r>
    </w:p>
    <w:p w14:paraId="16637CB9">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第3种方式：采用政策性文件进行价格调整。</w:t>
      </w:r>
    </w:p>
    <w:p w14:paraId="42AFDA57">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政府投资工程因市场价格波动引起的调整按以下第（二）种方式约定执行：</w:t>
      </w:r>
    </w:p>
    <w:p w14:paraId="0697AA9C">
      <w:pPr>
        <w:adjustRightInd w:val="0"/>
        <w:snapToGrid w:val="0"/>
        <w:spacing w:line="360" w:lineRule="auto"/>
        <w:ind w:firstLine="480" w:firstLineChars="200"/>
        <w:jc w:val="left"/>
        <w:rPr>
          <w:rFonts w:hAnsi="宋体"/>
          <w:color w:val="auto"/>
          <w:sz w:val="24"/>
          <w:szCs w:val="24"/>
          <w:highlight w:val="none"/>
        </w:rPr>
      </w:pPr>
      <w:bookmarkStart w:id="767" w:name="_Toc296346706"/>
      <w:bookmarkEnd w:id="767"/>
      <w:bookmarkStart w:id="768" w:name="_Toc300935002"/>
      <w:bookmarkEnd w:id="768"/>
      <w:bookmarkStart w:id="769" w:name="_Toc312678040"/>
      <w:bookmarkEnd w:id="769"/>
      <w:bookmarkStart w:id="770" w:name="_Toc303539159"/>
      <w:bookmarkEnd w:id="770"/>
      <w:bookmarkStart w:id="771" w:name="_Toc297216211"/>
      <w:bookmarkEnd w:id="771"/>
      <w:bookmarkStart w:id="772" w:name="_Toc296891033"/>
      <w:bookmarkEnd w:id="772"/>
      <w:bookmarkStart w:id="773" w:name="_Toc296347204"/>
      <w:bookmarkEnd w:id="773"/>
      <w:bookmarkStart w:id="774" w:name="_Toc296503205"/>
      <w:bookmarkEnd w:id="774"/>
      <w:bookmarkStart w:id="775" w:name="_Toc297123552"/>
      <w:bookmarkEnd w:id="775"/>
      <w:bookmarkStart w:id="776" w:name="_Toc292559410"/>
      <w:bookmarkEnd w:id="776"/>
      <w:bookmarkStart w:id="777" w:name="_Toc292559915"/>
      <w:bookmarkEnd w:id="777"/>
      <w:bookmarkStart w:id="778" w:name="_Toc296891245"/>
      <w:bookmarkEnd w:id="778"/>
      <w:bookmarkStart w:id="779" w:name="_Toc304295579"/>
      <w:bookmarkEnd w:id="779"/>
      <w:bookmarkStart w:id="780" w:name="_Toc351203644"/>
      <w:bookmarkEnd w:id="780"/>
      <w:bookmarkStart w:id="781" w:name="_Toc297120505"/>
      <w:bookmarkEnd w:id="781"/>
      <w:bookmarkStart w:id="782" w:name="_Toc297048391"/>
      <w:bookmarkEnd w:id="782"/>
      <w:bookmarkStart w:id="783" w:name="_Toc296944544"/>
      <w:r>
        <w:rPr>
          <w:rFonts w:hint="eastAsia" w:hAnsi="宋体"/>
          <w:color w:val="auto"/>
          <w:sz w:val="24"/>
          <w:szCs w:val="24"/>
          <w:highlight w:val="none"/>
        </w:rPr>
        <w:t>（一）材料价格在施工期遇异常波动,调整条件及方式参照杭建市《关于进一步加强杭州市建设工程市场 要素价格动态管理的指导意见》（杭建市发〔2018〕579号 ）执行。</w:t>
      </w:r>
      <w:bookmarkEnd w:id="783"/>
    </w:p>
    <w:p w14:paraId="544A16BF">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（二）其他：按《关于进一步加强杭州市建设工程市场 要素价格动态管理的指导意见》（杭建市发〔2018〕579号 ）。因乙方原因拖延工期，如遇材料涨价的，其相应月份的信息价不作为计算平均价的基数。如遇材料跌价的，其相应月份的信息价应作为计算平均价的基数。</w:t>
      </w:r>
    </w:p>
    <w:p w14:paraId="55611EBB">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1、风险范围及幅度的约定</w:t>
      </w:r>
    </w:p>
    <w:p w14:paraId="173F60E8">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（1）人工费的风险幅度（5 %），</w:t>
      </w:r>
    </w:p>
    <w:p w14:paraId="4693A621">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（2）材料价格的风险幅度（ 5 %）。</w:t>
      </w:r>
    </w:p>
    <w:p w14:paraId="59F8944C">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2、材料价款动态调整结算方式采用以下第（3）种方式约定：</w:t>
      </w:r>
    </w:p>
    <w:p w14:paraId="3ACABD44">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（1）按时间进度分段结算</w:t>
      </w:r>
    </w:p>
    <w:p w14:paraId="4E55DEB0">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（2）按工程形象部位(目标)分段结算</w:t>
      </w:r>
    </w:p>
    <w:p w14:paraId="46040EC5">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 xml:space="preserve">（3）竣工后一次性结算     </w:t>
      </w:r>
    </w:p>
    <w:p w14:paraId="69A0396D">
      <w:pPr>
        <w:pStyle w:val="6"/>
        <w:adjustRightInd w:val="0"/>
        <w:snapToGrid w:val="0"/>
        <w:spacing w:before="0" w:after="0" w:line="360" w:lineRule="auto"/>
        <w:rPr>
          <w:rFonts w:ascii="宋体" w:hAnsi="宋体"/>
          <w:color w:val="auto"/>
          <w:sz w:val="24"/>
          <w:szCs w:val="24"/>
          <w:highlight w:val="none"/>
        </w:rPr>
      </w:pPr>
      <w:r>
        <w:rPr>
          <w:rFonts w:hint="eastAsia" w:ascii="宋体" w:hAnsi="宋体"/>
          <w:color w:val="auto"/>
          <w:sz w:val="24"/>
          <w:szCs w:val="24"/>
          <w:highlight w:val="none"/>
        </w:rPr>
        <w:t>12. 合同价格、计量与支付</w:t>
      </w:r>
      <w:bookmarkStart w:id="784" w:name="_Toc267251461"/>
      <w:bookmarkEnd w:id="784"/>
      <w:bookmarkStart w:id="785" w:name="_Toc304295580"/>
      <w:bookmarkEnd w:id="785"/>
      <w:bookmarkStart w:id="786" w:name="_Toc296347205"/>
      <w:bookmarkEnd w:id="786"/>
      <w:bookmarkStart w:id="787" w:name="_Toc297048392"/>
      <w:bookmarkEnd w:id="787"/>
      <w:bookmarkStart w:id="788" w:name="_Toc297120506"/>
      <w:bookmarkEnd w:id="788"/>
      <w:bookmarkStart w:id="789" w:name="_Toc296891246"/>
      <w:bookmarkEnd w:id="789"/>
      <w:bookmarkStart w:id="790" w:name="_Toc296503206"/>
      <w:bookmarkEnd w:id="790"/>
      <w:bookmarkStart w:id="791" w:name="_Toc296891034"/>
      <w:bookmarkEnd w:id="791"/>
      <w:bookmarkStart w:id="792" w:name="_Toc297123553"/>
      <w:bookmarkEnd w:id="792"/>
      <w:bookmarkStart w:id="793" w:name="_Toc292559916"/>
      <w:bookmarkEnd w:id="793"/>
      <w:bookmarkStart w:id="794" w:name="_Toc303539160"/>
      <w:bookmarkEnd w:id="794"/>
      <w:bookmarkStart w:id="795" w:name="_Toc297216212"/>
      <w:bookmarkEnd w:id="795"/>
      <w:bookmarkStart w:id="796" w:name="_Toc312678041"/>
      <w:bookmarkEnd w:id="796"/>
      <w:bookmarkStart w:id="797" w:name="_Toc300935003"/>
      <w:bookmarkEnd w:id="797"/>
      <w:bookmarkStart w:id="798" w:name="_Toc296346707"/>
      <w:bookmarkEnd w:id="798"/>
      <w:bookmarkStart w:id="799" w:name="_Toc292559411"/>
      <w:bookmarkEnd w:id="799"/>
      <w:bookmarkStart w:id="800" w:name="_Toc296944545"/>
      <w:bookmarkEnd w:id="800"/>
    </w:p>
    <w:p w14:paraId="1C0F338E">
      <w:pPr>
        <w:pStyle w:val="6"/>
        <w:adjustRightInd w:val="0"/>
        <w:snapToGrid w:val="0"/>
        <w:spacing w:before="0" w:after="0" w:line="360" w:lineRule="auto"/>
        <w:rPr>
          <w:rFonts w:ascii="宋体" w:hAnsi="宋体"/>
          <w:b w:val="0"/>
          <w:bCs w:val="0"/>
          <w:color w:val="auto"/>
          <w:sz w:val="24"/>
          <w:szCs w:val="24"/>
          <w:highlight w:val="none"/>
        </w:rPr>
      </w:pPr>
      <w:r>
        <w:rPr>
          <w:rFonts w:hint="eastAsia" w:ascii="宋体" w:hAnsi="宋体"/>
          <w:color w:val="auto"/>
          <w:sz w:val="24"/>
          <w:szCs w:val="24"/>
          <w:highlight w:val="none"/>
        </w:rPr>
        <w:t>12.1 合同价格形式</w:t>
      </w:r>
    </w:p>
    <w:p w14:paraId="669A2C29">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1、本合同价款采用固定单价合同方式确定。</w:t>
      </w:r>
    </w:p>
    <w:p w14:paraId="21107EA7">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（1）</w:t>
      </w:r>
      <w:r>
        <w:rPr>
          <w:rFonts w:hint="eastAsia" w:hAnsi="宋体"/>
          <w:b/>
          <w:bCs/>
          <w:color w:val="auto"/>
          <w:sz w:val="24"/>
          <w:szCs w:val="24"/>
          <w:highlight w:val="none"/>
          <w:u w:val="single"/>
        </w:rPr>
        <w:t xml:space="preserve">应由承包人承担的工、料、机、投标编制期或预算书编制期的价格与合同实施期间所发生的市场价格波动。 </w:t>
      </w:r>
    </w:p>
    <w:p w14:paraId="3B5B6706">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（2）</w:t>
      </w:r>
      <w:r>
        <w:rPr>
          <w:rFonts w:hint="eastAsia" w:hAnsi="宋体"/>
          <w:color w:val="auto"/>
          <w:sz w:val="24"/>
          <w:szCs w:val="24"/>
          <w:highlight w:val="none"/>
          <w:u w:val="single"/>
        </w:rPr>
        <w:t>其他：1、必要的技术措施费；2、施工应能预计到的其他费用；3、承包人原因引起的工程量增减、工程变更及相应引起的措施项目费；4、承包人原因造成工期延误的，在延误期内增加的各项费用。</w:t>
      </w:r>
    </w:p>
    <w:p w14:paraId="34170566">
      <w:pPr>
        <w:adjustRightInd w:val="0"/>
        <w:snapToGrid w:val="0"/>
        <w:spacing w:line="360" w:lineRule="auto"/>
        <w:ind w:firstLine="480" w:firstLineChars="200"/>
        <w:jc w:val="left"/>
        <w:rPr>
          <w:rFonts w:hAnsi="宋体"/>
          <w:b/>
          <w:bCs/>
          <w:color w:val="auto"/>
          <w:sz w:val="24"/>
          <w:szCs w:val="24"/>
          <w:highlight w:val="none"/>
          <w:u w:val="single"/>
        </w:rPr>
      </w:pPr>
      <w:r>
        <w:rPr>
          <w:rFonts w:hint="eastAsia" w:hAnsi="宋体"/>
          <w:color w:val="auto"/>
          <w:sz w:val="24"/>
          <w:szCs w:val="24"/>
          <w:highlight w:val="none"/>
        </w:rPr>
        <w:t>风险费用的计算方法：</w:t>
      </w:r>
      <w:r>
        <w:rPr>
          <w:rFonts w:hint="eastAsia" w:hAnsi="宋体"/>
          <w:b/>
          <w:bCs/>
          <w:color w:val="auto"/>
          <w:sz w:val="24"/>
          <w:szCs w:val="24"/>
          <w:highlight w:val="none"/>
          <w:u w:val="single"/>
        </w:rPr>
        <w:t>在编制投标报价时考虑风险幅度自行考虑在综合单价中。</w:t>
      </w:r>
    </w:p>
    <w:p w14:paraId="13632754">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风险范围以外合同价格的调整方法：</w:t>
      </w:r>
    </w:p>
    <w:p w14:paraId="3BCBA6B7">
      <w:pPr>
        <w:adjustRightInd w:val="0"/>
        <w:snapToGrid w:val="0"/>
        <w:spacing w:line="360" w:lineRule="auto"/>
        <w:ind w:firstLine="482" w:firstLineChars="200"/>
        <w:jc w:val="left"/>
        <w:rPr>
          <w:rFonts w:hAnsi="宋体"/>
          <w:b/>
          <w:bCs/>
          <w:color w:val="auto"/>
          <w:sz w:val="24"/>
          <w:szCs w:val="24"/>
          <w:highlight w:val="none"/>
          <w:u w:val="single"/>
        </w:rPr>
      </w:pPr>
      <w:r>
        <w:rPr>
          <w:rFonts w:hint="eastAsia" w:hAnsi="宋体"/>
          <w:b/>
          <w:bCs/>
          <w:color w:val="auto"/>
          <w:sz w:val="24"/>
          <w:szCs w:val="24"/>
          <w:highlight w:val="none"/>
        </w:rPr>
        <w:t>（1）</w:t>
      </w:r>
      <w:r>
        <w:rPr>
          <w:rFonts w:hint="eastAsia" w:hAnsi="宋体"/>
          <w:b/>
          <w:bCs/>
          <w:color w:val="auto"/>
          <w:sz w:val="24"/>
          <w:szCs w:val="24"/>
          <w:highlight w:val="none"/>
          <w:u w:val="single"/>
        </w:rPr>
        <w:t xml:space="preserve">市场价格波动引起的调整按本合同11.1第3种方式的约定计算 </w:t>
      </w:r>
      <w:r>
        <w:rPr>
          <w:rFonts w:hint="eastAsia" w:hAnsi="宋体"/>
          <w:b/>
          <w:bCs/>
          <w:color w:val="auto"/>
          <w:sz w:val="24"/>
          <w:szCs w:val="24"/>
          <w:highlight w:val="none"/>
        </w:rPr>
        <w:t>。</w:t>
      </w:r>
    </w:p>
    <w:p w14:paraId="1341E8B0">
      <w:pPr>
        <w:adjustRightInd w:val="0"/>
        <w:snapToGrid w:val="0"/>
        <w:spacing w:line="360" w:lineRule="auto"/>
        <w:ind w:firstLine="482" w:firstLineChars="200"/>
        <w:jc w:val="left"/>
        <w:rPr>
          <w:rFonts w:hAnsi="宋体"/>
          <w:b/>
          <w:bCs/>
          <w:color w:val="auto"/>
          <w:sz w:val="24"/>
          <w:szCs w:val="24"/>
          <w:highlight w:val="none"/>
          <w:u w:val="single"/>
        </w:rPr>
      </w:pPr>
      <w:r>
        <w:rPr>
          <w:rFonts w:hint="eastAsia" w:hAnsi="宋体"/>
          <w:b/>
          <w:bCs/>
          <w:color w:val="auto"/>
          <w:sz w:val="24"/>
          <w:szCs w:val="24"/>
          <w:highlight w:val="none"/>
        </w:rPr>
        <w:t>（2）</w:t>
      </w:r>
      <w:r>
        <w:rPr>
          <w:rFonts w:hint="eastAsia" w:hAnsi="宋体"/>
          <w:b/>
          <w:bCs/>
          <w:color w:val="auto"/>
          <w:sz w:val="24"/>
          <w:szCs w:val="24"/>
          <w:highlight w:val="none"/>
          <w:u w:val="single"/>
        </w:rPr>
        <w:t>其他： / 。</w:t>
      </w:r>
    </w:p>
    <w:p w14:paraId="23CA8E0D">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2、总价合同。</w:t>
      </w:r>
    </w:p>
    <w:p w14:paraId="359CE2A4">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总价包含的风险范围：</w:t>
      </w:r>
      <w:r>
        <w:rPr>
          <w:rFonts w:hint="eastAsia" w:hAnsi="宋体"/>
          <w:color w:val="auto"/>
          <w:sz w:val="24"/>
          <w:szCs w:val="24"/>
          <w:highlight w:val="none"/>
          <w:u w:val="single"/>
        </w:rPr>
        <w:t xml:space="preserve">    /   </w:t>
      </w:r>
      <w:r>
        <w:rPr>
          <w:rFonts w:hint="eastAsia" w:hAnsi="宋体"/>
          <w:color w:val="auto"/>
          <w:sz w:val="24"/>
          <w:szCs w:val="24"/>
          <w:highlight w:val="none"/>
        </w:rPr>
        <w:t xml:space="preserve">。  </w:t>
      </w:r>
    </w:p>
    <w:p w14:paraId="71BF299B">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风险费用的计算方法：</w:t>
      </w:r>
      <w:r>
        <w:rPr>
          <w:rFonts w:hint="eastAsia" w:hAnsi="宋体"/>
          <w:color w:val="auto"/>
          <w:sz w:val="24"/>
          <w:szCs w:val="24"/>
          <w:highlight w:val="none"/>
          <w:u w:val="single"/>
        </w:rPr>
        <w:t xml:space="preserve">    /   。</w:t>
      </w:r>
    </w:p>
    <w:p w14:paraId="7A1BDAB5">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风险范围以外合同价格的调整方法：</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663E6FEA">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3、其他价格方式：</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297B6537">
      <w:pPr>
        <w:adjustRightInd w:val="0"/>
        <w:snapToGrid w:val="0"/>
        <w:spacing w:line="360" w:lineRule="auto"/>
        <w:ind w:firstLine="480" w:firstLineChars="200"/>
        <w:rPr>
          <w:rFonts w:hAnsi="宋体"/>
          <w:color w:val="auto"/>
          <w:sz w:val="24"/>
          <w:szCs w:val="24"/>
          <w:highlight w:val="none"/>
        </w:rPr>
      </w:pPr>
      <w:bookmarkStart w:id="801" w:name="_Toc297123554"/>
      <w:bookmarkEnd w:id="801"/>
      <w:bookmarkStart w:id="802" w:name="_Toc296347206"/>
      <w:bookmarkEnd w:id="802"/>
      <w:bookmarkStart w:id="803" w:name="_Toc296503207"/>
      <w:bookmarkEnd w:id="803"/>
      <w:bookmarkStart w:id="804" w:name="_Toc304295581"/>
      <w:bookmarkEnd w:id="804"/>
      <w:bookmarkStart w:id="805" w:name="_Toc297120507"/>
      <w:bookmarkEnd w:id="805"/>
      <w:bookmarkStart w:id="806" w:name="_Toc296346708"/>
      <w:bookmarkEnd w:id="806"/>
      <w:bookmarkStart w:id="807" w:name="_Toc296891035"/>
      <w:bookmarkEnd w:id="807"/>
      <w:bookmarkStart w:id="808" w:name="_Toc296944546"/>
      <w:bookmarkEnd w:id="808"/>
      <w:bookmarkStart w:id="809" w:name="_Toc300935004"/>
      <w:bookmarkEnd w:id="809"/>
      <w:bookmarkStart w:id="810" w:name="_Toc292559917"/>
      <w:bookmarkEnd w:id="810"/>
      <w:bookmarkStart w:id="811" w:name="_Toc296891247"/>
      <w:bookmarkEnd w:id="811"/>
      <w:bookmarkStart w:id="812" w:name="_Toc312678042"/>
      <w:bookmarkEnd w:id="812"/>
      <w:bookmarkStart w:id="813" w:name="_Toc297216213"/>
      <w:bookmarkEnd w:id="813"/>
      <w:bookmarkStart w:id="814" w:name="_Toc297048393"/>
      <w:bookmarkEnd w:id="814"/>
      <w:bookmarkStart w:id="815" w:name="_Toc292559412"/>
      <w:bookmarkEnd w:id="815"/>
      <w:bookmarkStart w:id="816" w:name="_Toc303539161"/>
      <w:r>
        <w:rPr>
          <w:rFonts w:hint="eastAsia" w:hAnsi="宋体"/>
          <w:color w:val="auto"/>
          <w:sz w:val="24"/>
          <w:szCs w:val="24"/>
          <w:highlight w:val="none"/>
        </w:rPr>
        <w:t>12.2 预付款</w:t>
      </w:r>
      <w:bookmarkEnd w:id="816"/>
    </w:p>
    <w:p w14:paraId="7691AB7A">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12.2.1 预付款的支付</w:t>
      </w:r>
    </w:p>
    <w:p w14:paraId="0DD0E44A">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预付款支付比例或金额：</w:t>
      </w:r>
      <w:r>
        <w:rPr>
          <w:rFonts w:hint="eastAsia" w:hAnsi="宋体"/>
          <w:color w:val="auto"/>
          <w:sz w:val="24"/>
          <w:szCs w:val="24"/>
          <w:highlight w:val="none"/>
          <w:u w:val="single"/>
        </w:rPr>
        <w:t xml:space="preserve">  </w:t>
      </w:r>
      <w:r>
        <w:rPr>
          <w:rFonts w:hint="eastAsia" w:hAnsi="宋体"/>
          <w:color w:val="auto"/>
          <w:sz w:val="24"/>
          <w:szCs w:val="24"/>
          <w:highlight w:val="none"/>
          <w:u w:val="single"/>
          <w:lang w:val="en-US" w:eastAsia="zh-CN"/>
        </w:rPr>
        <w:t>40</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4A882880">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预付款支付期限：</w:t>
      </w:r>
      <w:r>
        <w:rPr>
          <w:rFonts w:hint="eastAsia" w:hAnsi="宋体"/>
          <w:color w:val="auto"/>
          <w:sz w:val="24"/>
          <w:szCs w:val="24"/>
          <w:highlight w:val="none"/>
          <w:u w:val="single"/>
        </w:rPr>
        <w:t xml:space="preserve">  </w:t>
      </w:r>
      <w:r>
        <w:rPr>
          <w:rFonts w:hint="eastAsia" w:hAnsi="宋体" w:cs="宋体"/>
          <w:color w:val="auto"/>
          <w:sz w:val="24"/>
          <w:highlight w:val="none"/>
          <w:u w:val="single"/>
        </w:rPr>
        <w:t>合同签订并提供履约保证金、开工后呈报财政申请支付预付款，具体时间以财政审核为准</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069366C3">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预付款扣回的方式：</w:t>
      </w:r>
      <w:r>
        <w:rPr>
          <w:rFonts w:hint="eastAsia" w:hAnsi="宋体" w:cs="宋体"/>
          <w:color w:val="auto"/>
          <w:sz w:val="24"/>
          <w:highlight w:val="none"/>
          <w:u w:val="single"/>
        </w:rPr>
        <w:t>在每月（当期）支付工程进度款时同时扣回</w:t>
      </w:r>
      <w:r>
        <w:rPr>
          <w:rFonts w:hint="eastAsia" w:hAnsi="宋体"/>
          <w:color w:val="auto"/>
          <w:sz w:val="24"/>
          <w:szCs w:val="24"/>
          <w:highlight w:val="none"/>
          <w:u w:val="single"/>
        </w:rPr>
        <w:t xml:space="preserve">   </w:t>
      </w:r>
      <w:r>
        <w:rPr>
          <w:rFonts w:hint="eastAsia" w:hAnsi="宋体"/>
          <w:color w:val="auto"/>
          <w:sz w:val="24"/>
          <w:szCs w:val="24"/>
          <w:highlight w:val="none"/>
        </w:rPr>
        <w:t>。</w:t>
      </w:r>
    </w:p>
    <w:p w14:paraId="601D1AD2">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12.2.2 预付款担保</w:t>
      </w:r>
    </w:p>
    <w:p w14:paraId="0AB80333">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承包人提交预付款担保的期限：</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15F412CE">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预付款担保的形式为：</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4DD7F234">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12.3 计量</w:t>
      </w:r>
    </w:p>
    <w:p w14:paraId="640BBC0E">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12.3.1 计量原则</w:t>
      </w:r>
    </w:p>
    <w:p w14:paraId="33B05590">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工程量计算规则：</w:t>
      </w:r>
    </w:p>
    <w:p w14:paraId="17494D4B">
      <w:pPr>
        <w:adjustRightInd w:val="0"/>
        <w:snapToGrid w:val="0"/>
        <w:spacing w:line="360" w:lineRule="auto"/>
        <w:ind w:firstLine="482" w:firstLineChars="200"/>
        <w:jc w:val="left"/>
        <w:rPr>
          <w:rFonts w:hAnsi="宋体"/>
          <w:b/>
          <w:bCs/>
          <w:color w:val="auto"/>
          <w:sz w:val="24"/>
          <w:szCs w:val="24"/>
          <w:highlight w:val="none"/>
          <w:u w:val="single"/>
        </w:rPr>
      </w:pPr>
      <w:r>
        <w:rPr>
          <w:rFonts w:hint="eastAsia" w:hAnsi="宋体"/>
          <w:b/>
          <w:bCs/>
          <w:color w:val="auto"/>
          <w:sz w:val="24"/>
          <w:szCs w:val="24"/>
          <w:highlight w:val="none"/>
        </w:rPr>
        <w:t>（1）</w:t>
      </w:r>
      <w:r>
        <w:rPr>
          <w:rFonts w:hint="eastAsia" w:hAnsi="宋体"/>
          <w:b/>
          <w:bCs/>
          <w:color w:val="auto"/>
          <w:sz w:val="24"/>
          <w:szCs w:val="24"/>
          <w:highlight w:val="none"/>
          <w:u w:val="single"/>
        </w:rPr>
        <w:t xml:space="preserve"> 实行工程量清单计价的工程项目，其工程量的计算规则应按国家标准工程量计算规范及省级行业主管部门颁布的补充规定执行。</w:t>
      </w:r>
    </w:p>
    <w:p w14:paraId="7283B250">
      <w:pPr>
        <w:adjustRightInd w:val="0"/>
        <w:snapToGrid w:val="0"/>
        <w:spacing w:line="360" w:lineRule="auto"/>
        <w:ind w:firstLine="482" w:firstLineChars="200"/>
        <w:jc w:val="left"/>
        <w:rPr>
          <w:rFonts w:hAnsi="宋体"/>
          <w:b/>
          <w:bCs/>
          <w:color w:val="auto"/>
          <w:sz w:val="24"/>
          <w:szCs w:val="24"/>
          <w:highlight w:val="none"/>
          <w:u w:val="single"/>
        </w:rPr>
      </w:pPr>
      <w:r>
        <w:rPr>
          <w:rFonts w:hint="eastAsia" w:hAnsi="宋体"/>
          <w:b/>
          <w:bCs/>
          <w:color w:val="auto"/>
          <w:sz w:val="24"/>
          <w:szCs w:val="24"/>
          <w:highlight w:val="none"/>
        </w:rPr>
        <w:t>（2）</w:t>
      </w:r>
      <w:r>
        <w:rPr>
          <w:rFonts w:hint="eastAsia" w:hAnsi="宋体"/>
          <w:b/>
          <w:bCs/>
          <w:color w:val="auto"/>
          <w:sz w:val="24"/>
          <w:szCs w:val="24"/>
          <w:highlight w:val="none"/>
          <w:u w:val="single"/>
        </w:rPr>
        <w:t>不实行工程量清单计价的工程项目，工程量的计算规则应按省、市行业主管部门颁布的各专业工程定额的工程量计算规则执行。</w:t>
      </w:r>
    </w:p>
    <w:p w14:paraId="1E9324F9">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12.3.2 计量周期</w:t>
      </w:r>
    </w:p>
    <w:p w14:paraId="27AC5AA8">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关于计量周期的约定：</w:t>
      </w:r>
      <w:r>
        <w:rPr>
          <w:rFonts w:hint="eastAsia" w:hAnsi="宋体"/>
          <w:color w:val="auto"/>
          <w:sz w:val="24"/>
          <w:szCs w:val="24"/>
          <w:highlight w:val="none"/>
          <w:u w:val="single"/>
        </w:rPr>
        <w:t>按通用条款。</w:t>
      </w:r>
    </w:p>
    <w:p w14:paraId="3E169FA1">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12.3.3 单价合同的计量</w:t>
      </w:r>
    </w:p>
    <w:p w14:paraId="095B4A1C">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关于单价合同计量的约定：</w:t>
      </w:r>
      <w:r>
        <w:rPr>
          <w:rFonts w:hint="eastAsia" w:hAnsi="宋体"/>
          <w:color w:val="auto"/>
          <w:sz w:val="24"/>
          <w:szCs w:val="24"/>
          <w:highlight w:val="none"/>
          <w:u w:val="single"/>
        </w:rPr>
        <w:t>按通用条款。</w:t>
      </w:r>
    </w:p>
    <w:p w14:paraId="0F0DBEDC">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12.3.4 总价合同的计量</w:t>
      </w:r>
    </w:p>
    <w:p w14:paraId="16DD7CD7">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关于总价合同计量的约定：</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6B01C025">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12.3.5总价合同采用支付分解表计量支付的，是否适用第</w:t>
      </w:r>
      <w:r>
        <w:rPr>
          <w:rFonts w:hint="eastAsia" w:hAnsi="宋体"/>
          <w:color w:val="auto"/>
          <w:kern w:val="0"/>
          <w:sz w:val="24"/>
          <w:szCs w:val="24"/>
          <w:highlight w:val="none"/>
        </w:rPr>
        <w:t xml:space="preserve">12.3.4 </w:t>
      </w:r>
      <w:r>
        <w:rPr>
          <w:rFonts w:hint="eastAsia" w:hAnsi="宋体"/>
          <w:color w:val="auto"/>
          <w:sz w:val="24"/>
          <w:szCs w:val="24"/>
          <w:highlight w:val="none"/>
        </w:rPr>
        <w:t>项</w:t>
      </w:r>
      <w:r>
        <w:rPr>
          <w:rFonts w:hint="eastAsia" w:hAnsi="宋体"/>
          <w:color w:val="auto"/>
          <w:kern w:val="0"/>
          <w:sz w:val="24"/>
          <w:szCs w:val="24"/>
          <w:highlight w:val="none"/>
        </w:rPr>
        <w:t>〔总价合同的计量〕</w:t>
      </w:r>
      <w:r>
        <w:rPr>
          <w:rFonts w:hint="eastAsia" w:hAnsi="宋体"/>
          <w:color w:val="auto"/>
          <w:sz w:val="24"/>
          <w:szCs w:val="24"/>
          <w:highlight w:val="none"/>
        </w:rPr>
        <w:t>约定进行计量：</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309E8756">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12.3.6 其他价格形式合同的计量</w:t>
      </w:r>
    </w:p>
    <w:p w14:paraId="5A5B8F30">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其他价格形式的计量方式和程序：</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5D8F8B27">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12.4 工程进度款支付</w:t>
      </w:r>
    </w:p>
    <w:p w14:paraId="0B79BD21">
      <w:pPr>
        <w:adjustRightInd w:val="0"/>
        <w:snapToGrid w:val="0"/>
        <w:spacing w:line="360" w:lineRule="auto"/>
        <w:ind w:firstLine="480" w:firstLineChars="200"/>
        <w:jc w:val="left"/>
        <w:rPr>
          <w:rFonts w:hAnsi="宋体"/>
          <w:color w:val="auto"/>
          <w:sz w:val="24"/>
          <w:szCs w:val="24"/>
          <w:highlight w:val="none"/>
        </w:rPr>
      </w:pPr>
      <w:bookmarkStart w:id="817" w:name="_Toc297216215"/>
      <w:bookmarkEnd w:id="817"/>
      <w:bookmarkStart w:id="818" w:name="_Toc297120511"/>
      <w:bookmarkEnd w:id="818"/>
      <w:bookmarkStart w:id="819" w:name="_Toc296891039"/>
      <w:bookmarkEnd w:id="819"/>
      <w:bookmarkStart w:id="820" w:name="_Toc303539163"/>
      <w:bookmarkEnd w:id="820"/>
      <w:bookmarkStart w:id="821" w:name="_Toc292559921"/>
      <w:bookmarkEnd w:id="821"/>
      <w:bookmarkStart w:id="822" w:name="_Toc296944550"/>
      <w:bookmarkEnd w:id="822"/>
      <w:bookmarkStart w:id="823" w:name="_Toc296346712"/>
      <w:bookmarkEnd w:id="823"/>
      <w:bookmarkStart w:id="824" w:name="_Toc297048397"/>
      <w:bookmarkEnd w:id="824"/>
      <w:bookmarkStart w:id="825" w:name="_Toc296347210"/>
      <w:bookmarkEnd w:id="825"/>
      <w:bookmarkStart w:id="826" w:name="_Toc297123556"/>
      <w:bookmarkEnd w:id="826"/>
      <w:bookmarkStart w:id="827" w:name="_Toc300935006"/>
      <w:bookmarkEnd w:id="827"/>
      <w:bookmarkStart w:id="828" w:name="_Toc296503211"/>
      <w:bookmarkEnd w:id="828"/>
      <w:bookmarkStart w:id="829" w:name="_Toc292559416"/>
      <w:bookmarkEnd w:id="829"/>
      <w:bookmarkStart w:id="830" w:name="_Toc296891251"/>
      <w:r>
        <w:rPr>
          <w:rFonts w:hint="eastAsia" w:hAnsi="宋体"/>
          <w:color w:val="auto"/>
          <w:sz w:val="24"/>
          <w:szCs w:val="24"/>
          <w:highlight w:val="none"/>
        </w:rPr>
        <w:t>12.4.1 付款周期</w:t>
      </w:r>
      <w:bookmarkEnd w:id="830"/>
    </w:p>
    <w:p w14:paraId="35FC83CB">
      <w:pPr>
        <w:spacing w:line="440" w:lineRule="exact"/>
        <w:ind w:firstLine="480" w:firstLineChars="200"/>
        <w:jc w:val="left"/>
        <w:rPr>
          <w:rFonts w:hAnsi="宋体"/>
          <w:color w:val="auto"/>
          <w:sz w:val="24"/>
          <w:szCs w:val="24"/>
          <w:highlight w:val="none"/>
        </w:rPr>
      </w:pPr>
      <w:r>
        <w:rPr>
          <w:rFonts w:hint="eastAsia" w:hAnsi="宋体"/>
          <w:color w:val="auto"/>
          <w:sz w:val="24"/>
          <w:szCs w:val="24"/>
          <w:highlight w:val="none"/>
        </w:rPr>
        <w:t>关于付款周期的约定：</w:t>
      </w:r>
    </w:p>
    <w:p w14:paraId="07587C65">
      <w:pPr>
        <w:spacing w:line="360" w:lineRule="auto"/>
        <w:ind w:firstLine="480" w:firstLineChars="200"/>
        <w:jc w:val="left"/>
        <w:rPr>
          <w:rFonts w:hint="default" w:hAnsi="宋体" w:eastAsia="宋体"/>
          <w:color w:val="auto"/>
          <w:sz w:val="24"/>
          <w:szCs w:val="24"/>
          <w:highlight w:val="none"/>
          <w:u w:val="single"/>
          <w:lang w:val="en-US" w:eastAsia="zh-CN"/>
        </w:rPr>
      </w:pPr>
      <w:r>
        <w:rPr>
          <w:rFonts w:hint="eastAsia" w:hAnsi="宋体"/>
          <w:color w:val="auto"/>
          <w:sz w:val="24"/>
          <w:szCs w:val="24"/>
          <w:highlight w:val="none"/>
          <w:u w:val="single"/>
        </w:rPr>
        <w:t>（</w:t>
      </w:r>
      <w:r>
        <w:rPr>
          <w:rFonts w:hint="eastAsia" w:hAnsi="宋体"/>
          <w:color w:val="auto"/>
          <w:sz w:val="24"/>
          <w:szCs w:val="24"/>
          <w:highlight w:val="none"/>
          <w:u w:val="single"/>
          <w:lang w:val="en-US" w:eastAsia="zh-CN"/>
        </w:rPr>
        <w:t>1</w:t>
      </w:r>
      <w:r>
        <w:rPr>
          <w:rFonts w:hint="eastAsia" w:hAnsi="宋体"/>
          <w:color w:val="auto"/>
          <w:sz w:val="24"/>
          <w:szCs w:val="24"/>
          <w:highlight w:val="none"/>
          <w:u w:val="single"/>
        </w:rPr>
        <w:t>）</w:t>
      </w:r>
      <w:r>
        <w:rPr>
          <w:rFonts w:hint="eastAsia" w:hAnsi="宋体"/>
          <w:color w:val="auto"/>
          <w:sz w:val="24"/>
          <w:szCs w:val="24"/>
          <w:highlight w:val="none"/>
          <w:u w:val="single"/>
          <w:lang w:val="en-US" w:eastAsia="zh-CN"/>
        </w:rPr>
        <w:t>合同签订提交履约保证金后10天内预付合同款项的40%；</w:t>
      </w:r>
    </w:p>
    <w:p w14:paraId="18576691">
      <w:pPr>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u w:val="single"/>
          <w:lang w:eastAsia="zh-CN"/>
        </w:rPr>
        <w:t>（</w:t>
      </w:r>
      <w:r>
        <w:rPr>
          <w:rFonts w:hint="eastAsia" w:hAnsi="宋体"/>
          <w:color w:val="auto"/>
          <w:sz w:val="24"/>
          <w:szCs w:val="24"/>
          <w:highlight w:val="none"/>
          <w:u w:val="single"/>
          <w:lang w:val="en-US" w:eastAsia="zh-CN"/>
        </w:rPr>
        <w:t>2</w:t>
      </w:r>
      <w:r>
        <w:rPr>
          <w:rFonts w:hint="eastAsia" w:hAnsi="宋体"/>
          <w:color w:val="auto"/>
          <w:sz w:val="24"/>
          <w:szCs w:val="24"/>
          <w:highlight w:val="none"/>
          <w:u w:val="single"/>
          <w:lang w:eastAsia="zh-CN"/>
        </w:rPr>
        <w:t>）</w:t>
      </w:r>
      <w:r>
        <w:rPr>
          <w:rFonts w:hint="eastAsia" w:hAnsi="宋体"/>
          <w:color w:val="auto"/>
          <w:sz w:val="24"/>
          <w:szCs w:val="24"/>
          <w:highlight w:val="none"/>
          <w:u w:val="single"/>
        </w:rPr>
        <w:t>工程竣工经验收合格、资料完成城建归档并提交有效的工程结算审计资料后，凭资料结算审计受理单支付至实际完成合同内的计量款（扣除甩项工程）的8</w:t>
      </w:r>
      <w:r>
        <w:rPr>
          <w:rFonts w:hint="eastAsia" w:hAnsi="宋体"/>
          <w:color w:val="auto"/>
          <w:sz w:val="24"/>
          <w:szCs w:val="24"/>
          <w:highlight w:val="none"/>
          <w:u w:val="single"/>
          <w:lang w:val="en-US" w:eastAsia="zh-CN"/>
        </w:rPr>
        <w:t>5</w:t>
      </w:r>
      <w:r>
        <w:rPr>
          <w:rFonts w:hint="eastAsia" w:hAnsi="宋体"/>
          <w:color w:val="auto"/>
          <w:sz w:val="24"/>
          <w:szCs w:val="24"/>
          <w:highlight w:val="none"/>
          <w:u w:val="single"/>
        </w:rPr>
        <w:t>%（含预付款）；</w:t>
      </w:r>
    </w:p>
    <w:p w14:paraId="21D0A4E1">
      <w:pPr>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u w:val="single"/>
        </w:rPr>
        <w:t>（</w:t>
      </w:r>
      <w:r>
        <w:rPr>
          <w:rFonts w:hint="eastAsia" w:hAnsi="宋体"/>
          <w:color w:val="auto"/>
          <w:sz w:val="24"/>
          <w:szCs w:val="24"/>
          <w:highlight w:val="none"/>
          <w:u w:val="single"/>
          <w:lang w:val="en-US" w:eastAsia="zh-CN"/>
        </w:rPr>
        <w:t>3</w:t>
      </w:r>
      <w:r>
        <w:rPr>
          <w:rFonts w:hint="eastAsia" w:hAnsi="宋体"/>
          <w:color w:val="auto"/>
          <w:sz w:val="24"/>
          <w:szCs w:val="24"/>
          <w:highlight w:val="none"/>
          <w:u w:val="single"/>
        </w:rPr>
        <w:t>）经结算审计后支付至审定金额的98.5%，剩余的1.5%作为工程质量保证金，待质保期满复验合格后无息付清；</w:t>
      </w:r>
    </w:p>
    <w:p w14:paraId="72E39B92">
      <w:pPr>
        <w:adjustRightInd w:val="0"/>
        <w:snapToGrid w:val="0"/>
        <w:spacing w:line="360" w:lineRule="auto"/>
        <w:ind w:left="600"/>
        <w:jc w:val="left"/>
        <w:rPr>
          <w:rFonts w:hAnsi="宋体"/>
          <w:color w:val="auto"/>
          <w:sz w:val="24"/>
          <w:szCs w:val="24"/>
          <w:highlight w:val="none"/>
        </w:rPr>
      </w:pPr>
      <w:r>
        <w:rPr>
          <w:rFonts w:hint="eastAsia" w:hAnsi="宋体"/>
          <w:color w:val="auto"/>
          <w:sz w:val="24"/>
          <w:szCs w:val="24"/>
          <w:highlight w:val="none"/>
        </w:rPr>
        <w:t>12.4.2 进度付款申请单的编制</w:t>
      </w:r>
    </w:p>
    <w:p w14:paraId="66C1F147">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关于进度付款申请单编制的约定：</w:t>
      </w:r>
      <w:r>
        <w:rPr>
          <w:rFonts w:hint="eastAsia" w:hAnsi="宋体"/>
          <w:color w:val="auto"/>
          <w:sz w:val="24"/>
          <w:szCs w:val="24"/>
          <w:highlight w:val="none"/>
          <w:u w:val="single"/>
        </w:rPr>
        <w:t>按照监理和建设单位要求。</w:t>
      </w:r>
    </w:p>
    <w:p w14:paraId="509BC2A3">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12.4.3 进度付款申请单的提交</w:t>
      </w:r>
    </w:p>
    <w:p w14:paraId="0C18CA8C">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（1）单价合同进度付款申请单提交的约定：</w:t>
      </w:r>
      <w:r>
        <w:rPr>
          <w:rFonts w:hint="eastAsia" w:hAnsi="宋体"/>
          <w:color w:val="auto"/>
          <w:sz w:val="24"/>
          <w:szCs w:val="24"/>
          <w:highlight w:val="none"/>
          <w:u w:val="single"/>
        </w:rPr>
        <w:t>施工单位按照合同约定的时间向监理单位提出付款申请单，监理单位核实工程数量并发出工程款支付证书，并联合向建设单位提出付款申请，建设单位依据监理单位的意见支付工程款</w:t>
      </w:r>
      <w:r>
        <w:rPr>
          <w:rFonts w:hint="eastAsia" w:hAnsi="宋体"/>
          <w:color w:val="auto"/>
          <w:sz w:val="24"/>
          <w:szCs w:val="24"/>
          <w:highlight w:val="none"/>
        </w:rPr>
        <w:t>。</w:t>
      </w:r>
    </w:p>
    <w:p w14:paraId="70CA2462">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（2）总价合同进度付款申请单提交的约定：</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71D6CE5C">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（3）其他价格形式合同进度付款申请单提交的约定：</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05961A9F">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12.4.4 进度款审核和支付</w:t>
      </w:r>
    </w:p>
    <w:p w14:paraId="571A9270">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（1）监理人审查并报送发包人的期限</w:t>
      </w:r>
      <w:r>
        <w:rPr>
          <w:rFonts w:hint="eastAsia" w:hAnsi="宋体"/>
          <w:color w:val="auto"/>
          <w:sz w:val="24"/>
          <w:szCs w:val="24"/>
          <w:highlight w:val="none"/>
          <w:u w:val="single"/>
        </w:rPr>
        <w:t>：按通用条款。</w:t>
      </w:r>
    </w:p>
    <w:p w14:paraId="3228D7B1">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发包人完成审批并签发进度款支付证书的期限：</w:t>
      </w:r>
      <w:r>
        <w:rPr>
          <w:rFonts w:hint="eastAsia" w:hAnsi="宋体"/>
          <w:color w:val="auto"/>
          <w:sz w:val="24"/>
          <w:szCs w:val="24"/>
          <w:highlight w:val="none"/>
          <w:u w:val="single"/>
        </w:rPr>
        <w:t>按通用条款。</w:t>
      </w:r>
    </w:p>
    <w:p w14:paraId="64134B7A">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（2）发包人支付进度款的期限：</w:t>
      </w:r>
      <w:r>
        <w:rPr>
          <w:rFonts w:hint="eastAsia" w:hAnsi="宋体"/>
          <w:color w:val="auto"/>
          <w:sz w:val="24"/>
          <w:szCs w:val="24"/>
          <w:highlight w:val="none"/>
          <w:u w:val="single"/>
        </w:rPr>
        <w:t>按通用条款</w:t>
      </w:r>
      <w:r>
        <w:rPr>
          <w:rFonts w:hint="eastAsia" w:hAnsi="宋体"/>
          <w:color w:val="auto"/>
          <w:sz w:val="24"/>
          <w:szCs w:val="24"/>
          <w:highlight w:val="none"/>
        </w:rPr>
        <w:t>。</w:t>
      </w:r>
    </w:p>
    <w:p w14:paraId="197D7A98">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发包人逾期支付进度款的违约金的计算方式：</w:t>
      </w:r>
      <w:r>
        <w:rPr>
          <w:rFonts w:hint="eastAsia" w:hAnsi="宋体"/>
          <w:color w:val="auto"/>
          <w:sz w:val="24"/>
          <w:szCs w:val="24"/>
          <w:highlight w:val="none"/>
          <w:u w:val="single"/>
        </w:rPr>
        <w:t>按通用条款。</w:t>
      </w:r>
    </w:p>
    <w:p w14:paraId="23FDB6B9">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12.4.6 支付分解表的编制</w:t>
      </w:r>
    </w:p>
    <w:p w14:paraId="48C15738">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2、总价合同支付分解表的编制与审批：</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09468A0B">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3、单价合同的总价项目支付分解表的编制与审批：</w:t>
      </w:r>
      <w:r>
        <w:rPr>
          <w:rFonts w:hint="eastAsia" w:hAnsi="宋体"/>
          <w:color w:val="auto"/>
          <w:sz w:val="24"/>
          <w:szCs w:val="24"/>
          <w:highlight w:val="none"/>
          <w:u w:val="single"/>
        </w:rPr>
        <w:t xml:space="preserve">   /    </w:t>
      </w:r>
      <w:r>
        <w:rPr>
          <w:rFonts w:hint="eastAsia" w:hAnsi="宋体"/>
          <w:color w:val="auto"/>
          <w:sz w:val="24"/>
          <w:szCs w:val="24"/>
          <w:highlight w:val="none"/>
        </w:rPr>
        <w:t xml:space="preserve"> 。</w:t>
      </w:r>
    </w:p>
    <w:p w14:paraId="0B9A83DA">
      <w:pPr>
        <w:pStyle w:val="6"/>
        <w:adjustRightInd w:val="0"/>
        <w:snapToGrid w:val="0"/>
        <w:spacing w:before="0" w:after="0" w:line="360" w:lineRule="auto"/>
        <w:rPr>
          <w:rFonts w:ascii="宋体" w:hAnsi="宋体"/>
          <w:b w:val="0"/>
          <w:bCs w:val="0"/>
          <w:color w:val="auto"/>
          <w:sz w:val="24"/>
          <w:szCs w:val="24"/>
          <w:highlight w:val="none"/>
        </w:rPr>
      </w:pPr>
      <w:bookmarkStart w:id="831" w:name="_Toc351203645"/>
      <w:bookmarkEnd w:id="831"/>
      <w:bookmarkStart w:id="832" w:name="_Toc296944558"/>
      <w:bookmarkEnd w:id="832"/>
      <w:bookmarkStart w:id="833" w:name="_Toc304295593"/>
      <w:bookmarkEnd w:id="833"/>
      <w:bookmarkStart w:id="834" w:name="_Toc300935015"/>
      <w:bookmarkEnd w:id="834"/>
      <w:bookmarkStart w:id="835" w:name="_Toc292559929"/>
      <w:bookmarkEnd w:id="835"/>
      <w:bookmarkStart w:id="836" w:name="_Toc297048405"/>
      <w:bookmarkEnd w:id="836"/>
      <w:bookmarkStart w:id="837" w:name="_Toc297216223"/>
      <w:bookmarkEnd w:id="837"/>
      <w:bookmarkStart w:id="838" w:name="_Toc297120519"/>
      <w:bookmarkEnd w:id="838"/>
      <w:bookmarkStart w:id="839" w:name="_Toc312678053"/>
      <w:bookmarkEnd w:id="839"/>
      <w:bookmarkStart w:id="840" w:name="_Toc292559424"/>
      <w:bookmarkEnd w:id="840"/>
      <w:bookmarkStart w:id="841" w:name="_Toc296891259"/>
      <w:bookmarkEnd w:id="841"/>
      <w:bookmarkStart w:id="842" w:name="_Toc303539172"/>
      <w:bookmarkEnd w:id="842"/>
      <w:bookmarkStart w:id="843" w:name="_Toc296891047"/>
      <w:bookmarkEnd w:id="843"/>
      <w:bookmarkStart w:id="844" w:name="_Toc296346720"/>
      <w:bookmarkEnd w:id="844"/>
      <w:bookmarkStart w:id="845" w:name="_Toc296347218"/>
      <w:bookmarkEnd w:id="845"/>
      <w:bookmarkStart w:id="846" w:name="_Toc296503219"/>
      <w:bookmarkEnd w:id="846"/>
      <w:bookmarkStart w:id="847" w:name="_Toc297123564"/>
      <w:r>
        <w:rPr>
          <w:rFonts w:hint="eastAsia" w:ascii="宋体" w:hAnsi="宋体"/>
          <w:b w:val="0"/>
          <w:bCs w:val="0"/>
          <w:color w:val="auto"/>
          <w:sz w:val="24"/>
          <w:szCs w:val="24"/>
          <w:highlight w:val="none"/>
        </w:rPr>
        <w:t>13. 验收和工程试车</w:t>
      </w:r>
      <w:bookmarkEnd w:id="847"/>
    </w:p>
    <w:p w14:paraId="53031FFA">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13.1 分部分项工程验收</w:t>
      </w:r>
    </w:p>
    <w:p w14:paraId="46FB6844">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13.1.2监理人不能按时进行验收时，应提前</w:t>
      </w:r>
      <w:r>
        <w:rPr>
          <w:rFonts w:hint="eastAsia" w:hAnsi="宋体"/>
          <w:color w:val="auto"/>
          <w:sz w:val="24"/>
          <w:szCs w:val="24"/>
          <w:highlight w:val="none"/>
          <w:u w:val="single"/>
        </w:rPr>
        <w:t xml:space="preserve"> 24 </w:t>
      </w:r>
      <w:r>
        <w:rPr>
          <w:rFonts w:hint="eastAsia" w:hAnsi="宋体"/>
          <w:color w:val="auto"/>
          <w:sz w:val="24"/>
          <w:szCs w:val="24"/>
          <w:highlight w:val="none"/>
        </w:rPr>
        <w:t>小时提交书面延期要求。</w:t>
      </w:r>
    </w:p>
    <w:p w14:paraId="09EBF76B">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关于延期最长不得超过：</w:t>
      </w:r>
      <w:r>
        <w:rPr>
          <w:rFonts w:hint="eastAsia" w:hAnsi="宋体"/>
          <w:color w:val="auto"/>
          <w:sz w:val="24"/>
          <w:szCs w:val="24"/>
          <w:highlight w:val="none"/>
          <w:u w:val="single"/>
        </w:rPr>
        <w:t xml:space="preserve">48 </w:t>
      </w:r>
      <w:r>
        <w:rPr>
          <w:rFonts w:hint="eastAsia" w:hAnsi="宋体"/>
          <w:color w:val="auto"/>
          <w:sz w:val="24"/>
          <w:szCs w:val="24"/>
          <w:highlight w:val="none"/>
        </w:rPr>
        <w:t>小时。</w:t>
      </w:r>
      <w:r>
        <w:rPr>
          <w:rFonts w:hint="eastAsia" w:hAnsi="宋体"/>
          <w:color w:val="auto"/>
          <w:sz w:val="24"/>
          <w:szCs w:val="24"/>
          <w:highlight w:val="none"/>
          <w:u w:val="single"/>
        </w:rPr>
        <w:t>施工期间，承包人应严格实行隐蔽工程验收制度，如有未经监理方验收自行隐蔽，监理工程师和发包人有权要求复验，所有费用由承包方承担。</w:t>
      </w:r>
    </w:p>
    <w:p w14:paraId="342526F0">
      <w:pPr>
        <w:adjustRightInd w:val="0"/>
        <w:snapToGrid w:val="0"/>
        <w:spacing w:line="360" w:lineRule="auto"/>
        <w:ind w:firstLine="480" w:firstLineChars="200"/>
        <w:rPr>
          <w:rFonts w:hAnsi="宋体"/>
          <w:color w:val="auto"/>
          <w:sz w:val="24"/>
          <w:szCs w:val="24"/>
          <w:highlight w:val="none"/>
        </w:rPr>
      </w:pPr>
      <w:bookmarkStart w:id="848" w:name="_Toc303539173"/>
      <w:bookmarkEnd w:id="848"/>
      <w:bookmarkStart w:id="849" w:name="_Toc297120523"/>
      <w:bookmarkEnd w:id="849"/>
      <w:bookmarkStart w:id="850" w:name="_Toc296347222"/>
      <w:bookmarkEnd w:id="850"/>
      <w:bookmarkStart w:id="851" w:name="_Toc267251473"/>
      <w:bookmarkEnd w:id="851"/>
      <w:bookmarkStart w:id="852" w:name="_Toc267251470"/>
      <w:bookmarkEnd w:id="852"/>
      <w:bookmarkStart w:id="853" w:name="_Toc296891051"/>
      <w:bookmarkEnd w:id="853"/>
      <w:bookmarkStart w:id="854" w:name="_Toc267251472"/>
      <w:bookmarkEnd w:id="854"/>
      <w:bookmarkStart w:id="855" w:name="_Toc267251471"/>
      <w:bookmarkEnd w:id="855"/>
      <w:bookmarkStart w:id="856" w:name="_Toc292559428"/>
      <w:bookmarkEnd w:id="856"/>
      <w:bookmarkStart w:id="857" w:name="_Toc297048409"/>
      <w:bookmarkEnd w:id="857"/>
      <w:bookmarkStart w:id="858" w:name="_Toc297123565"/>
      <w:bookmarkEnd w:id="858"/>
      <w:bookmarkStart w:id="859" w:name="_Toc296944562"/>
      <w:bookmarkEnd w:id="859"/>
      <w:bookmarkStart w:id="860" w:name="_Toc296503223"/>
      <w:bookmarkEnd w:id="860"/>
      <w:bookmarkStart w:id="861" w:name="_Toc312678056"/>
      <w:bookmarkEnd w:id="861"/>
      <w:bookmarkStart w:id="862" w:name="_Toc300935016"/>
      <w:bookmarkEnd w:id="862"/>
      <w:bookmarkStart w:id="863" w:name="_Toc267251474"/>
      <w:bookmarkEnd w:id="863"/>
      <w:bookmarkStart w:id="864" w:name="_Toc267251476"/>
      <w:bookmarkEnd w:id="864"/>
      <w:bookmarkStart w:id="865" w:name="_Toc297216224"/>
      <w:bookmarkEnd w:id="865"/>
      <w:bookmarkStart w:id="866" w:name="_Toc304295596"/>
      <w:bookmarkEnd w:id="866"/>
      <w:bookmarkStart w:id="867" w:name="_Toc296891263"/>
      <w:bookmarkEnd w:id="867"/>
      <w:bookmarkStart w:id="868" w:name="_Toc296346724"/>
      <w:bookmarkEnd w:id="868"/>
      <w:bookmarkStart w:id="869" w:name="_Toc267251475"/>
      <w:bookmarkEnd w:id="869"/>
      <w:bookmarkStart w:id="870" w:name="_Toc292559933"/>
      <w:r>
        <w:rPr>
          <w:rFonts w:hint="eastAsia" w:hAnsi="宋体"/>
          <w:color w:val="auto"/>
          <w:sz w:val="24"/>
          <w:szCs w:val="24"/>
          <w:highlight w:val="none"/>
        </w:rPr>
        <w:t>13.2 竣工验收</w:t>
      </w:r>
      <w:bookmarkEnd w:id="870"/>
    </w:p>
    <w:p w14:paraId="521C9C84">
      <w:pPr>
        <w:adjustRightInd w:val="0"/>
        <w:snapToGrid w:val="0"/>
        <w:spacing w:line="360" w:lineRule="auto"/>
        <w:ind w:firstLine="480" w:firstLineChars="200"/>
        <w:jc w:val="left"/>
        <w:rPr>
          <w:rFonts w:hAnsi="宋体"/>
          <w:color w:val="auto"/>
          <w:sz w:val="24"/>
          <w:szCs w:val="24"/>
          <w:highlight w:val="none"/>
        </w:rPr>
      </w:pPr>
      <w:bookmarkStart w:id="871" w:name="_Toc280868707"/>
      <w:bookmarkEnd w:id="871"/>
      <w:bookmarkStart w:id="872" w:name="_Toc280868708"/>
      <w:bookmarkEnd w:id="872"/>
      <w:bookmarkStart w:id="873" w:name="_Toc280868705"/>
      <w:bookmarkEnd w:id="873"/>
      <w:bookmarkStart w:id="874" w:name="_Toc280868709"/>
      <w:bookmarkEnd w:id="874"/>
      <w:bookmarkStart w:id="875" w:name="_Toc280868706"/>
      <w:bookmarkEnd w:id="875"/>
      <w:bookmarkStart w:id="876" w:name="_Toc280868704"/>
      <w:bookmarkEnd w:id="876"/>
      <w:r>
        <w:rPr>
          <w:rFonts w:hint="eastAsia" w:hAnsi="宋体"/>
          <w:color w:val="auto"/>
          <w:sz w:val="24"/>
          <w:szCs w:val="24"/>
          <w:highlight w:val="none"/>
        </w:rPr>
        <w:t>13.2.2竣工验收程序</w:t>
      </w:r>
    </w:p>
    <w:p w14:paraId="3FACAD74">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kern w:val="0"/>
          <w:sz w:val="24"/>
          <w:szCs w:val="24"/>
          <w:highlight w:val="none"/>
        </w:rPr>
        <w:t>关于竣工验收程序的约定：</w:t>
      </w:r>
      <w:r>
        <w:rPr>
          <w:rFonts w:hint="eastAsia" w:hAnsi="宋体"/>
          <w:color w:val="auto"/>
          <w:sz w:val="24"/>
          <w:szCs w:val="24"/>
          <w:highlight w:val="none"/>
          <w:u w:val="single"/>
        </w:rPr>
        <w:t>按通用条款，承包人应在合同规定的工程完工后28天内，免费向代建单位提交符合档案馆及其他有关部门要求的竣工图纸和竣工资料（包括数字文档）。如因资料不符合档案馆及其他有关部门的要求，而产生的资料整理费用，由承包人承担</w:t>
      </w:r>
      <w:r>
        <w:rPr>
          <w:rFonts w:hint="eastAsia" w:hAnsi="宋体"/>
          <w:color w:val="auto"/>
          <w:sz w:val="24"/>
          <w:szCs w:val="24"/>
          <w:highlight w:val="none"/>
        </w:rPr>
        <w:t>。</w:t>
      </w:r>
    </w:p>
    <w:p w14:paraId="1130DBC4">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kern w:val="0"/>
          <w:sz w:val="24"/>
          <w:szCs w:val="24"/>
          <w:highlight w:val="none"/>
        </w:rPr>
        <w:t>发包人不按照本项约定组织竣工验收、颁发工程接收证书的违约金的计算方法：</w:t>
      </w:r>
      <w:r>
        <w:rPr>
          <w:rFonts w:hint="eastAsia" w:hAnsi="宋体"/>
          <w:color w:val="auto"/>
          <w:sz w:val="24"/>
          <w:szCs w:val="24"/>
          <w:highlight w:val="none"/>
          <w:u w:val="single"/>
        </w:rPr>
        <w:t>按通用条款执行</w:t>
      </w:r>
      <w:r>
        <w:rPr>
          <w:rFonts w:hint="eastAsia" w:hAnsi="宋体"/>
          <w:color w:val="auto"/>
          <w:sz w:val="24"/>
          <w:szCs w:val="24"/>
          <w:highlight w:val="none"/>
        </w:rPr>
        <w:t>。</w:t>
      </w:r>
    </w:p>
    <w:p w14:paraId="1E2446F6">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13.2.5移交、接收全部与部分工程</w:t>
      </w:r>
    </w:p>
    <w:p w14:paraId="2FC67FCC">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kern w:val="0"/>
          <w:sz w:val="24"/>
          <w:szCs w:val="24"/>
          <w:highlight w:val="none"/>
        </w:rPr>
        <w:t>承包人向发包人移交工程的期限：</w:t>
      </w:r>
      <w:r>
        <w:rPr>
          <w:rFonts w:hint="eastAsia" w:hAnsi="宋体"/>
          <w:color w:val="auto"/>
          <w:sz w:val="24"/>
          <w:szCs w:val="24"/>
          <w:highlight w:val="none"/>
          <w:u w:val="single"/>
        </w:rPr>
        <w:t xml:space="preserve">    /  。</w:t>
      </w:r>
    </w:p>
    <w:p w14:paraId="47C84290">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kern w:val="0"/>
          <w:sz w:val="24"/>
          <w:szCs w:val="24"/>
          <w:highlight w:val="none"/>
        </w:rPr>
        <w:t>发包人未按本合同约定接收全部或部分工程的，违约金的计算方法为：</w:t>
      </w:r>
      <w:r>
        <w:rPr>
          <w:rFonts w:hint="eastAsia" w:hAnsi="宋体"/>
          <w:color w:val="auto"/>
          <w:sz w:val="24"/>
          <w:szCs w:val="24"/>
          <w:highlight w:val="none"/>
          <w:u w:val="single"/>
        </w:rPr>
        <w:t>按通用条款执行。</w:t>
      </w:r>
    </w:p>
    <w:p w14:paraId="6070EC79">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承包人未按时移交工程的，违约金的计算方法为：</w:t>
      </w:r>
      <w:r>
        <w:rPr>
          <w:rFonts w:hint="eastAsia" w:hAnsi="宋体"/>
          <w:color w:val="auto"/>
          <w:sz w:val="24"/>
          <w:szCs w:val="24"/>
          <w:highlight w:val="none"/>
          <w:u w:val="single"/>
        </w:rPr>
        <w:t xml:space="preserve">   /   。</w:t>
      </w:r>
    </w:p>
    <w:p w14:paraId="20028394">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13.3 工程试车</w:t>
      </w:r>
    </w:p>
    <w:p w14:paraId="044F3294">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13.3.1 试车程序</w:t>
      </w:r>
    </w:p>
    <w:p w14:paraId="2A37DD0F">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kern w:val="0"/>
          <w:sz w:val="24"/>
          <w:szCs w:val="24"/>
          <w:highlight w:val="none"/>
        </w:rPr>
        <w:t>工程试车内容：</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24D2E743">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（1）单机无负荷试车费用由</w:t>
      </w:r>
      <w:r>
        <w:rPr>
          <w:rFonts w:hint="eastAsia" w:hAnsi="宋体"/>
          <w:color w:val="auto"/>
          <w:sz w:val="24"/>
          <w:szCs w:val="24"/>
          <w:highlight w:val="none"/>
          <w:u w:val="single"/>
        </w:rPr>
        <w:t xml:space="preserve">    /    </w:t>
      </w:r>
      <w:r>
        <w:rPr>
          <w:rFonts w:hint="eastAsia" w:hAnsi="宋体"/>
          <w:color w:val="auto"/>
          <w:kern w:val="0"/>
          <w:sz w:val="24"/>
          <w:szCs w:val="24"/>
          <w:highlight w:val="none"/>
        </w:rPr>
        <w:t>承担；</w:t>
      </w:r>
    </w:p>
    <w:p w14:paraId="139954ED">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（2）无负荷联动试车费用由</w:t>
      </w:r>
      <w:r>
        <w:rPr>
          <w:rFonts w:hint="eastAsia" w:hAnsi="宋体"/>
          <w:color w:val="auto"/>
          <w:sz w:val="24"/>
          <w:szCs w:val="24"/>
          <w:highlight w:val="none"/>
          <w:u w:val="single"/>
        </w:rPr>
        <w:t xml:space="preserve">    /    </w:t>
      </w:r>
      <w:r>
        <w:rPr>
          <w:rFonts w:hint="eastAsia" w:hAnsi="宋体"/>
          <w:color w:val="auto"/>
          <w:kern w:val="0"/>
          <w:sz w:val="24"/>
          <w:szCs w:val="24"/>
          <w:highlight w:val="none"/>
        </w:rPr>
        <w:t>承担。</w:t>
      </w:r>
    </w:p>
    <w:p w14:paraId="06978EEB">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13.3.3 投料试车</w:t>
      </w:r>
    </w:p>
    <w:p w14:paraId="2195B8E9">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kern w:val="0"/>
          <w:sz w:val="24"/>
          <w:szCs w:val="24"/>
          <w:highlight w:val="none"/>
        </w:rPr>
        <w:t>关于投料试车相关事项的约定：</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67FE6A39">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13.6 竣工退场</w:t>
      </w:r>
    </w:p>
    <w:p w14:paraId="42FADD0B">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13.6.1 竣工退场</w:t>
      </w:r>
    </w:p>
    <w:p w14:paraId="6DA88A6D">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承包人完成竣工退场的期限：</w:t>
      </w:r>
      <w:r>
        <w:rPr>
          <w:rFonts w:hint="eastAsia" w:hAnsi="宋体"/>
          <w:color w:val="auto"/>
          <w:sz w:val="24"/>
          <w:szCs w:val="24"/>
          <w:highlight w:val="none"/>
          <w:u w:val="single"/>
        </w:rPr>
        <w:t>竣工后14天内</w:t>
      </w:r>
      <w:r>
        <w:rPr>
          <w:rFonts w:hint="eastAsia" w:hAnsi="宋体"/>
          <w:color w:val="auto"/>
          <w:kern w:val="0"/>
          <w:sz w:val="24"/>
          <w:szCs w:val="24"/>
          <w:highlight w:val="none"/>
        </w:rPr>
        <w:t>。</w:t>
      </w:r>
    </w:p>
    <w:p w14:paraId="6490ED05">
      <w:pPr>
        <w:pStyle w:val="6"/>
        <w:adjustRightInd w:val="0"/>
        <w:snapToGrid w:val="0"/>
        <w:spacing w:before="0" w:after="0" w:line="360" w:lineRule="auto"/>
        <w:rPr>
          <w:rFonts w:ascii="宋体" w:hAnsi="宋体"/>
          <w:b w:val="0"/>
          <w:bCs w:val="0"/>
          <w:color w:val="auto"/>
          <w:sz w:val="24"/>
          <w:szCs w:val="24"/>
          <w:highlight w:val="none"/>
        </w:rPr>
      </w:pPr>
      <w:bookmarkStart w:id="877" w:name="_Toc351203646"/>
      <w:bookmarkEnd w:id="877"/>
      <w:r>
        <w:rPr>
          <w:rFonts w:hint="eastAsia" w:ascii="宋体" w:hAnsi="宋体"/>
          <w:b w:val="0"/>
          <w:bCs w:val="0"/>
          <w:color w:val="auto"/>
          <w:sz w:val="24"/>
          <w:szCs w:val="24"/>
          <w:highlight w:val="none"/>
        </w:rPr>
        <w:t>14. 竣工结算</w:t>
      </w:r>
    </w:p>
    <w:p w14:paraId="0CE53401">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14.1 竣工付款申请</w:t>
      </w:r>
    </w:p>
    <w:p w14:paraId="7A87580E">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承包人提交竣工付款申请单的期限：</w:t>
      </w:r>
      <w:r>
        <w:rPr>
          <w:rFonts w:hint="eastAsia" w:hAnsi="宋体"/>
          <w:color w:val="auto"/>
          <w:sz w:val="24"/>
          <w:szCs w:val="24"/>
          <w:highlight w:val="none"/>
          <w:u w:val="single"/>
        </w:rPr>
        <w:t>按通用条款。</w:t>
      </w:r>
    </w:p>
    <w:p w14:paraId="51B51090">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竣工付款申请单应包括的内容：</w:t>
      </w:r>
      <w:r>
        <w:rPr>
          <w:rFonts w:hint="eastAsia" w:hAnsi="宋体"/>
          <w:color w:val="auto"/>
          <w:sz w:val="24"/>
          <w:szCs w:val="24"/>
          <w:highlight w:val="none"/>
          <w:u w:val="single"/>
        </w:rPr>
        <w:t>按通用条款。</w:t>
      </w:r>
    </w:p>
    <w:p w14:paraId="67DDD0CB">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14.2 竣工结算审核</w:t>
      </w:r>
    </w:p>
    <w:p w14:paraId="45F5A07A">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u w:val="single"/>
        </w:rPr>
        <w:t>施工单位必须提供完整的审计资料和相应电子文档，经建设单位对资料审查、签章、同意送审后，报送审计单位对竣工结算进行审核。施工单位承担结算审核的超过5%以外的核减额 、核增额部分的审核追加费，追加费按照《浙江省物价局关于进一步完善工程造价咨询服务收费的通知 》（浙价服〔2009〕84号）文件标准计取。</w:t>
      </w:r>
    </w:p>
    <w:p w14:paraId="094639B3">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发包人审批竣工付款申请单的期限：</w:t>
      </w:r>
      <w:r>
        <w:rPr>
          <w:rFonts w:hint="eastAsia" w:hAnsi="宋体"/>
          <w:color w:val="auto"/>
          <w:sz w:val="24"/>
          <w:szCs w:val="24"/>
          <w:highlight w:val="none"/>
          <w:u w:val="single"/>
        </w:rPr>
        <w:t>承包人应在工程竣工验收合格后3个月内提供完整竣工送审结算资料（逾期未报送的按每天1000元处罚）。本工程为政府性投资项目，发包人根据行国家造价管理的有关规定，与承包人办理最终价款结算手续。发包人、审计部门应在竣工验收合格、承包人提供完整结算资料以及具备其它结算条件后及时按有关规定核实承包人递交的结算报告及结算资料，但并不受通用条款所述的时间约束。</w:t>
      </w:r>
    </w:p>
    <w:p w14:paraId="62D5089F">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发包人完成竣工付款的期限：</w:t>
      </w:r>
      <w:r>
        <w:rPr>
          <w:rFonts w:hint="eastAsia" w:hAnsi="宋体"/>
          <w:color w:val="auto"/>
          <w:sz w:val="24"/>
          <w:szCs w:val="24"/>
          <w:highlight w:val="none"/>
          <w:u w:val="single"/>
        </w:rPr>
        <w:t>结算审计完成后一周内付款至合同约定的额度。</w:t>
      </w:r>
    </w:p>
    <w:p w14:paraId="375800F5">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关于竣工付款证书异议部分复核的方式和程序</w:t>
      </w:r>
      <w:r>
        <w:rPr>
          <w:rFonts w:hint="eastAsia" w:hAnsi="宋体"/>
          <w:color w:val="auto"/>
          <w:sz w:val="24"/>
          <w:szCs w:val="24"/>
          <w:highlight w:val="none"/>
          <w:u w:val="single"/>
        </w:rPr>
        <w:t>：按通用条款执行。</w:t>
      </w:r>
    </w:p>
    <w:p w14:paraId="17EB9BDD">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14.4 最终结清</w:t>
      </w:r>
    </w:p>
    <w:p w14:paraId="7CBD6439">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14.4.1 最终结清申请单</w:t>
      </w:r>
    </w:p>
    <w:p w14:paraId="4CB12142">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承包人提交最终结清申请单的份数：</w:t>
      </w:r>
      <w:r>
        <w:rPr>
          <w:rFonts w:hint="eastAsia" w:hAnsi="宋体"/>
          <w:color w:val="auto"/>
          <w:sz w:val="24"/>
          <w:szCs w:val="24"/>
          <w:highlight w:val="none"/>
          <w:u w:val="single"/>
        </w:rPr>
        <w:t>5</w:t>
      </w:r>
      <w:r>
        <w:rPr>
          <w:rFonts w:hint="eastAsia" w:hAnsi="宋体"/>
          <w:color w:val="auto"/>
          <w:sz w:val="24"/>
          <w:szCs w:val="24"/>
          <w:highlight w:val="none"/>
        </w:rPr>
        <w:t xml:space="preserve"> 。</w:t>
      </w:r>
    </w:p>
    <w:p w14:paraId="30F19E45">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承包人提交最终结算申请单的期限：</w:t>
      </w:r>
      <w:r>
        <w:rPr>
          <w:rFonts w:hint="eastAsia" w:hAnsi="宋体"/>
          <w:color w:val="auto"/>
          <w:sz w:val="24"/>
          <w:szCs w:val="24"/>
          <w:highlight w:val="none"/>
          <w:u w:val="single"/>
        </w:rPr>
        <w:t>质量缺陷责任期满后 7 天内。</w:t>
      </w:r>
    </w:p>
    <w:p w14:paraId="3FC665FB">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14.4.2 最终结清证书和支付</w:t>
      </w:r>
    </w:p>
    <w:p w14:paraId="3F3A66EC">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（1）发包人完成最终结清申请单的审批并颁发最终结清证书的期限：</w:t>
      </w:r>
      <w:r>
        <w:rPr>
          <w:rFonts w:hint="eastAsia" w:hAnsi="宋体"/>
          <w:color w:val="auto"/>
          <w:sz w:val="24"/>
          <w:szCs w:val="24"/>
          <w:highlight w:val="none"/>
          <w:u w:val="single"/>
        </w:rPr>
        <w:t>按通用条款。</w:t>
      </w:r>
    </w:p>
    <w:p w14:paraId="1E2F6A97">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（2）发包人完成支付的期限：</w:t>
      </w:r>
      <w:r>
        <w:rPr>
          <w:rFonts w:hint="eastAsia" w:hAnsi="宋体"/>
          <w:color w:val="auto"/>
          <w:sz w:val="24"/>
          <w:szCs w:val="24"/>
          <w:highlight w:val="none"/>
          <w:u w:val="single"/>
        </w:rPr>
        <w:t>按通用条款</w:t>
      </w:r>
      <w:r>
        <w:rPr>
          <w:rFonts w:hint="eastAsia" w:hAnsi="宋体"/>
          <w:color w:val="auto"/>
          <w:kern w:val="0"/>
          <w:sz w:val="24"/>
          <w:szCs w:val="24"/>
          <w:highlight w:val="none"/>
        </w:rPr>
        <w:t>。</w:t>
      </w:r>
    </w:p>
    <w:p w14:paraId="13192436">
      <w:pPr>
        <w:pStyle w:val="6"/>
        <w:adjustRightInd w:val="0"/>
        <w:snapToGrid w:val="0"/>
        <w:spacing w:before="0" w:after="0" w:line="360" w:lineRule="auto"/>
        <w:rPr>
          <w:rFonts w:ascii="宋体" w:hAnsi="宋体"/>
          <w:b w:val="0"/>
          <w:bCs w:val="0"/>
          <w:color w:val="auto"/>
          <w:sz w:val="24"/>
          <w:szCs w:val="24"/>
          <w:highlight w:val="none"/>
        </w:rPr>
      </w:pPr>
      <w:bookmarkStart w:id="878" w:name="_Toc267251501"/>
      <w:bookmarkEnd w:id="878"/>
      <w:bookmarkStart w:id="879" w:name="_Toc267251502"/>
      <w:bookmarkEnd w:id="879"/>
      <w:bookmarkStart w:id="880" w:name="_Toc267251503"/>
      <w:bookmarkEnd w:id="880"/>
      <w:bookmarkStart w:id="881" w:name="_Toc267251507"/>
      <w:bookmarkEnd w:id="881"/>
      <w:bookmarkStart w:id="882" w:name="_Toc267251484"/>
      <w:bookmarkEnd w:id="882"/>
      <w:bookmarkStart w:id="883" w:name="_Toc267251499"/>
      <w:bookmarkEnd w:id="883"/>
      <w:bookmarkStart w:id="884" w:name="_Toc267251504"/>
      <w:bookmarkEnd w:id="884"/>
      <w:bookmarkStart w:id="885" w:name="_Toc267251485"/>
      <w:bookmarkEnd w:id="885"/>
      <w:bookmarkStart w:id="886" w:name="_Toc267251513"/>
      <w:bookmarkEnd w:id="886"/>
      <w:bookmarkStart w:id="887" w:name="_Toc267251496"/>
      <w:bookmarkEnd w:id="887"/>
      <w:bookmarkStart w:id="888" w:name="_Toc267251498"/>
      <w:bookmarkEnd w:id="888"/>
      <w:bookmarkStart w:id="889" w:name="_Toc267251490"/>
      <w:bookmarkEnd w:id="889"/>
      <w:bookmarkStart w:id="890" w:name="_Toc267251508"/>
      <w:bookmarkEnd w:id="890"/>
      <w:bookmarkStart w:id="891" w:name="_Toc267251515"/>
      <w:bookmarkEnd w:id="891"/>
      <w:bookmarkStart w:id="892" w:name="_Toc267251492"/>
      <w:bookmarkEnd w:id="892"/>
      <w:bookmarkStart w:id="893" w:name="_Toc267251482"/>
      <w:bookmarkEnd w:id="893"/>
      <w:bookmarkStart w:id="894" w:name="_Toc267251493"/>
      <w:bookmarkEnd w:id="894"/>
      <w:bookmarkStart w:id="895" w:name="_Toc267251491"/>
      <w:bookmarkEnd w:id="895"/>
      <w:bookmarkStart w:id="896" w:name="_Toc267251486"/>
      <w:bookmarkEnd w:id="896"/>
      <w:bookmarkStart w:id="897" w:name="_Toc267251489"/>
      <w:bookmarkEnd w:id="897"/>
      <w:bookmarkStart w:id="898" w:name="_Toc267251488"/>
      <w:bookmarkEnd w:id="898"/>
      <w:bookmarkStart w:id="899" w:name="_Toc267251514"/>
      <w:bookmarkEnd w:id="899"/>
      <w:bookmarkStart w:id="900" w:name="_Toc267251495"/>
      <w:bookmarkEnd w:id="900"/>
      <w:bookmarkStart w:id="901" w:name="_Toc267251511"/>
      <w:bookmarkEnd w:id="901"/>
      <w:bookmarkStart w:id="902" w:name="_Toc351203647"/>
      <w:bookmarkEnd w:id="902"/>
      <w:bookmarkStart w:id="903" w:name="_Toc267251494"/>
      <w:bookmarkEnd w:id="903"/>
      <w:bookmarkStart w:id="904" w:name="_Toc267251506"/>
      <w:bookmarkEnd w:id="904"/>
      <w:bookmarkStart w:id="905" w:name="_Toc267251483"/>
      <w:bookmarkEnd w:id="905"/>
      <w:bookmarkStart w:id="906" w:name="_Toc267251497"/>
      <w:bookmarkEnd w:id="906"/>
      <w:bookmarkStart w:id="907" w:name="_Toc267251510"/>
      <w:bookmarkEnd w:id="907"/>
      <w:bookmarkStart w:id="908" w:name="_Toc267251509"/>
      <w:r>
        <w:rPr>
          <w:rFonts w:hint="eastAsia" w:ascii="宋体" w:hAnsi="宋体"/>
          <w:b w:val="0"/>
          <w:bCs w:val="0"/>
          <w:color w:val="auto"/>
          <w:sz w:val="24"/>
          <w:szCs w:val="24"/>
          <w:highlight w:val="none"/>
        </w:rPr>
        <w:t>15. 缺陷责任期与保修</w:t>
      </w:r>
      <w:bookmarkEnd w:id="908"/>
    </w:p>
    <w:p w14:paraId="6959FF0B">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15.2缺陷责任期</w:t>
      </w:r>
    </w:p>
    <w:p w14:paraId="76C38EEC">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缺陷责任期的具体期限：</w:t>
      </w:r>
      <w:r>
        <w:rPr>
          <w:rFonts w:hint="eastAsia" w:hAnsi="宋体"/>
          <w:color w:val="auto"/>
          <w:sz w:val="24"/>
          <w:szCs w:val="24"/>
          <w:highlight w:val="none"/>
          <w:u w:val="single"/>
        </w:rPr>
        <w:t>竣工验收合格后 2年。</w:t>
      </w:r>
    </w:p>
    <w:p w14:paraId="15A36C79">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15.3 质量保证金</w:t>
      </w:r>
    </w:p>
    <w:p w14:paraId="3E592D4F">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关于是否扣留质量保证金的约定：</w:t>
      </w:r>
      <w:r>
        <w:rPr>
          <w:rFonts w:hint="eastAsia" w:hAnsi="宋体"/>
          <w:color w:val="auto"/>
          <w:sz w:val="24"/>
          <w:szCs w:val="24"/>
          <w:highlight w:val="none"/>
          <w:u w:val="single"/>
        </w:rPr>
        <w:t>是。</w:t>
      </w:r>
    </w:p>
    <w:p w14:paraId="1A5AF158">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15.3.1 承包人提供质量保证金的方式</w:t>
      </w:r>
    </w:p>
    <w:p w14:paraId="72BF38C7">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质量保证金采用以下第</w:t>
      </w:r>
      <w:r>
        <w:rPr>
          <w:rFonts w:hint="eastAsia" w:hAnsi="宋体"/>
          <w:color w:val="auto"/>
          <w:sz w:val="24"/>
          <w:szCs w:val="24"/>
          <w:highlight w:val="none"/>
          <w:u w:val="single"/>
        </w:rPr>
        <w:t>2</w:t>
      </w:r>
      <w:r>
        <w:rPr>
          <w:rFonts w:hint="eastAsia" w:hAnsi="宋体"/>
          <w:color w:val="auto"/>
          <w:sz w:val="24"/>
          <w:szCs w:val="24"/>
          <w:highlight w:val="none"/>
        </w:rPr>
        <w:t>种方式：</w:t>
      </w:r>
    </w:p>
    <w:p w14:paraId="21412FC3">
      <w:pPr>
        <w:autoSpaceDE w:val="0"/>
        <w:autoSpaceDN w:val="0"/>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（1）质量保证金保函，保证金额为：</w:t>
      </w:r>
      <w:r>
        <w:rPr>
          <w:rFonts w:hint="eastAsia" w:hAnsi="宋体"/>
          <w:color w:val="auto"/>
          <w:kern w:val="0"/>
          <w:sz w:val="24"/>
          <w:szCs w:val="24"/>
          <w:highlight w:val="none"/>
          <w:u w:val="single"/>
        </w:rPr>
        <w:t xml:space="preserve">  / </w:t>
      </w:r>
      <w:r>
        <w:rPr>
          <w:rFonts w:hint="eastAsia" w:hAnsi="宋体"/>
          <w:color w:val="auto"/>
          <w:kern w:val="0"/>
          <w:sz w:val="24"/>
          <w:szCs w:val="24"/>
          <w:highlight w:val="none"/>
        </w:rPr>
        <w:t xml:space="preserve">； </w:t>
      </w:r>
    </w:p>
    <w:p w14:paraId="534DCC48">
      <w:pPr>
        <w:autoSpaceDE w:val="0"/>
        <w:autoSpaceDN w:val="0"/>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（2）</w:t>
      </w:r>
      <w:r>
        <w:rPr>
          <w:rFonts w:hint="eastAsia" w:hAnsi="宋体"/>
          <w:color w:val="auto"/>
          <w:kern w:val="0"/>
          <w:sz w:val="24"/>
          <w:szCs w:val="24"/>
          <w:highlight w:val="none"/>
          <w:u w:val="single"/>
        </w:rPr>
        <w:t>1.5</w:t>
      </w:r>
      <w:r>
        <w:rPr>
          <w:rFonts w:hint="eastAsia" w:hAnsi="宋体"/>
          <w:color w:val="auto"/>
          <w:kern w:val="0"/>
          <w:sz w:val="24"/>
          <w:szCs w:val="24"/>
          <w:highlight w:val="none"/>
        </w:rPr>
        <w:t>%的工程款；</w:t>
      </w:r>
    </w:p>
    <w:p w14:paraId="41750708">
      <w:pPr>
        <w:autoSpaceDE w:val="0"/>
        <w:autoSpaceDN w:val="0"/>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（3）其他方式:</w:t>
      </w:r>
      <w:r>
        <w:rPr>
          <w:rFonts w:hint="eastAsia" w:hAnsi="宋体"/>
          <w:color w:val="auto"/>
          <w:kern w:val="0"/>
          <w:sz w:val="24"/>
          <w:szCs w:val="24"/>
          <w:highlight w:val="none"/>
          <w:u w:val="single"/>
        </w:rPr>
        <w:t xml:space="preserve">      /      </w:t>
      </w:r>
      <w:r>
        <w:rPr>
          <w:rFonts w:hint="eastAsia" w:hAnsi="宋体"/>
          <w:color w:val="auto"/>
          <w:kern w:val="0"/>
          <w:sz w:val="24"/>
          <w:szCs w:val="24"/>
          <w:highlight w:val="none"/>
        </w:rPr>
        <w:t>。</w:t>
      </w:r>
    </w:p>
    <w:p w14:paraId="5362EEEC">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 xml:space="preserve">15.3.2 质量保证金的扣留 </w:t>
      </w:r>
    </w:p>
    <w:p w14:paraId="209EA9DB">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质量保证金的扣留采取以下第</w:t>
      </w:r>
      <w:r>
        <w:rPr>
          <w:rFonts w:hint="eastAsia" w:hAnsi="宋体"/>
          <w:color w:val="auto"/>
          <w:sz w:val="24"/>
          <w:szCs w:val="24"/>
          <w:highlight w:val="none"/>
          <w:u w:val="single"/>
        </w:rPr>
        <w:t>2</w:t>
      </w:r>
      <w:r>
        <w:rPr>
          <w:rFonts w:hint="eastAsia" w:hAnsi="宋体"/>
          <w:color w:val="auto"/>
          <w:sz w:val="24"/>
          <w:szCs w:val="24"/>
          <w:highlight w:val="none"/>
        </w:rPr>
        <w:t>种方式：</w:t>
      </w:r>
    </w:p>
    <w:p w14:paraId="4D8C7528">
      <w:pPr>
        <w:autoSpaceDE w:val="0"/>
        <w:autoSpaceDN w:val="0"/>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（1）在支付工程进度款时逐次扣留，在此情形下，质量保证金的计算基数不包括预付款的支付、扣回以及价格调整的金额；</w:t>
      </w:r>
    </w:p>
    <w:p w14:paraId="1E0275B5">
      <w:pPr>
        <w:autoSpaceDE w:val="0"/>
        <w:autoSpaceDN w:val="0"/>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（2）工程竣工结算时一次性扣留质量保证金；</w:t>
      </w:r>
    </w:p>
    <w:p w14:paraId="3F995A8A">
      <w:pPr>
        <w:autoSpaceDE w:val="0"/>
        <w:autoSpaceDN w:val="0"/>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（3）其他扣留方式:</w:t>
      </w:r>
      <w:r>
        <w:rPr>
          <w:rFonts w:hint="eastAsia" w:hAnsi="宋体"/>
          <w:color w:val="auto"/>
          <w:kern w:val="0"/>
          <w:sz w:val="24"/>
          <w:szCs w:val="24"/>
          <w:highlight w:val="none"/>
          <w:u w:val="single"/>
        </w:rPr>
        <w:t xml:space="preserve">       /   </w:t>
      </w:r>
      <w:r>
        <w:rPr>
          <w:rFonts w:hint="eastAsia" w:hAnsi="宋体"/>
          <w:color w:val="auto"/>
          <w:kern w:val="0"/>
          <w:sz w:val="24"/>
          <w:szCs w:val="24"/>
          <w:highlight w:val="none"/>
        </w:rPr>
        <w:t>。</w:t>
      </w:r>
    </w:p>
    <w:p w14:paraId="3647B040">
      <w:pPr>
        <w:adjustRightInd w:val="0"/>
        <w:snapToGrid w:val="0"/>
        <w:spacing w:line="360" w:lineRule="auto"/>
        <w:ind w:firstLine="480" w:firstLineChars="200"/>
        <w:jc w:val="left"/>
        <w:rPr>
          <w:rFonts w:hAnsi="宋体"/>
          <w:color w:val="auto"/>
          <w:kern w:val="0"/>
          <w:sz w:val="24"/>
          <w:szCs w:val="24"/>
          <w:highlight w:val="none"/>
          <w:u w:val="single"/>
        </w:rPr>
      </w:pPr>
      <w:r>
        <w:rPr>
          <w:rFonts w:hint="eastAsia" w:hAnsi="宋体"/>
          <w:color w:val="auto"/>
          <w:sz w:val="24"/>
          <w:szCs w:val="24"/>
          <w:highlight w:val="none"/>
        </w:rPr>
        <w:t>关于质量保证金的补充约定：</w:t>
      </w:r>
      <w:r>
        <w:rPr>
          <w:rFonts w:hint="eastAsia" w:hAnsi="宋体"/>
          <w:color w:val="auto"/>
          <w:kern w:val="0"/>
          <w:sz w:val="24"/>
          <w:szCs w:val="24"/>
          <w:highlight w:val="none"/>
          <w:u w:val="single"/>
        </w:rPr>
        <w:t>缺陷责任期满30日内付清</w:t>
      </w:r>
      <w:r>
        <w:rPr>
          <w:rFonts w:hint="eastAsia" w:hAnsi="宋体"/>
          <w:color w:val="auto"/>
          <w:kern w:val="0"/>
          <w:sz w:val="24"/>
          <w:szCs w:val="24"/>
          <w:highlight w:val="none"/>
        </w:rPr>
        <w:t>。</w:t>
      </w:r>
    </w:p>
    <w:p w14:paraId="531D9E94">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15.4保修</w:t>
      </w:r>
    </w:p>
    <w:p w14:paraId="396677E2">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15.4.1 保修责任</w:t>
      </w:r>
    </w:p>
    <w:p w14:paraId="5CEAEC1E">
      <w:pPr>
        <w:adjustRightInd w:val="0"/>
        <w:snapToGrid w:val="0"/>
        <w:spacing w:line="360" w:lineRule="auto"/>
        <w:ind w:firstLine="480" w:firstLineChars="200"/>
        <w:jc w:val="left"/>
        <w:rPr>
          <w:rFonts w:hAnsi="宋体"/>
          <w:color w:val="auto"/>
          <w:kern w:val="0"/>
          <w:sz w:val="24"/>
          <w:szCs w:val="24"/>
          <w:highlight w:val="none"/>
          <w:u w:val="single"/>
        </w:rPr>
      </w:pPr>
      <w:r>
        <w:rPr>
          <w:rFonts w:hint="eastAsia" w:hAnsi="宋体"/>
          <w:color w:val="auto"/>
          <w:sz w:val="24"/>
          <w:szCs w:val="24"/>
          <w:highlight w:val="none"/>
        </w:rPr>
        <w:t>工程保修期为：</w:t>
      </w:r>
      <w:r>
        <w:rPr>
          <w:rFonts w:hint="eastAsia" w:hAnsi="宋体"/>
          <w:color w:val="auto"/>
          <w:sz w:val="24"/>
          <w:szCs w:val="24"/>
          <w:highlight w:val="none"/>
          <w:u w:val="single"/>
        </w:rPr>
        <w:t>本工程质量保修期为 2年，质量保修期内发生的因施工原因造成的质量缺陷由承包人负责修理直至消除质量隐患。若在质保期内，承包人明确答复无法修理，发包人将委托第三方进行修理，由此发生的维修费用在承包人的质量保证金内扣除。</w:t>
      </w:r>
      <w:r>
        <w:rPr>
          <w:rFonts w:hint="eastAsia" w:hAnsi="宋体"/>
          <w:color w:val="auto"/>
          <w:kern w:val="0"/>
          <w:sz w:val="24"/>
          <w:szCs w:val="24"/>
          <w:highlight w:val="none"/>
          <w:u w:val="single"/>
        </w:rPr>
        <w:t xml:space="preserve"> </w:t>
      </w:r>
    </w:p>
    <w:p w14:paraId="1B84EB8D">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15.4.3 修复通知</w:t>
      </w:r>
    </w:p>
    <w:p w14:paraId="6B46CCAF">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kern w:val="0"/>
          <w:sz w:val="24"/>
          <w:szCs w:val="24"/>
          <w:highlight w:val="none"/>
        </w:rPr>
        <w:t>承包人收到保修通知并到达工程现场的合理时间：</w:t>
      </w:r>
      <w:r>
        <w:rPr>
          <w:rFonts w:hint="eastAsia" w:hAnsi="宋体"/>
          <w:color w:val="auto"/>
          <w:sz w:val="24"/>
          <w:szCs w:val="24"/>
          <w:highlight w:val="none"/>
          <w:u w:val="single"/>
        </w:rPr>
        <w:t>按本工程质量保修书约定。</w:t>
      </w:r>
    </w:p>
    <w:p w14:paraId="2B5F0245">
      <w:pPr>
        <w:pStyle w:val="6"/>
        <w:adjustRightInd w:val="0"/>
        <w:snapToGrid w:val="0"/>
        <w:spacing w:before="0" w:after="0" w:line="360" w:lineRule="auto"/>
        <w:rPr>
          <w:rFonts w:ascii="宋体" w:hAnsi="宋体"/>
          <w:b w:val="0"/>
          <w:bCs w:val="0"/>
          <w:color w:val="auto"/>
          <w:sz w:val="24"/>
          <w:szCs w:val="24"/>
          <w:highlight w:val="none"/>
        </w:rPr>
      </w:pPr>
      <w:bookmarkStart w:id="909" w:name="_Toc280868718"/>
      <w:bookmarkEnd w:id="909"/>
      <w:bookmarkStart w:id="910" w:name="_Toc351203648"/>
      <w:bookmarkEnd w:id="910"/>
      <w:bookmarkStart w:id="911" w:name="_Toc280868717"/>
      <w:bookmarkEnd w:id="911"/>
      <w:r>
        <w:rPr>
          <w:rFonts w:hint="eastAsia" w:ascii="宋体" w:hAnsi="宋体"/>
          <w:b w:val="0"/>
          <w:bCs w:val="0"/>
          <w:color w:val="auto"/>
          <w:sz w:val="24"/>
          <w:szCs w:val="24"/>
          <w:highlight w:val="none"/>
        </w:rPr>
        <w:t>16. 违约</w:t>
      </w:r>
    </w:p>
    <w:p w14:paraId="2D32E77C">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16.1 发包人违约</w:t>
      </w:r>
    </w:p>
    <w:p w14:paraId="25700B40">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16.1.1发包人违约的情形</w:t>
      </w:r>
    </w:p>
    <w:p w14:paraId="245F075D">
      <w:pPr>
        <w:adjustRightInd w:val="0"/>
        <w:snapToGrid w:val="0"/>
        <w:spacing w:line="360" w:lineRule="auto"/>
        <w:ind w:firstLine="480" w:firstLineChars="200"/>
        <w:jc w:val="left"/>
        <w:rPr>
          <w:rFonts w:hAnsi="宋体"/>
          <w:color w:val="auto"/>
          <w:kern w:val="0"/>
          <w:sz w:val="24"/>
          <w:szCs w:val="24"/>
          <w:highlight w:val="none"/>
          <w:u w:val="single"/>
        </w:rPr>
      </w:pPr>
      <w:r>
        <w:rPr>
          <w:rFonts w:hint="eastAsia" w:hAnsi="宋体"/>
          <w:color w:val="auto"/>
          <w:kern w:val="0"/>
          <w:sz w:val="24"/>
          <w:szCs w:val="24"/>
          <w:highlight w:val="none"/>
        </w:rPr>
        <w:t>发包人违约的其他情形：</w:t>
      </w:r>
      <w:r>
        <w:rPr>
          <w:rFonts w:hint="eastAsia" w:hAnsi="宋体"/>
          <w:color w:val="auto"/>
          <w:sz w:val="24"/>
          <w:szCs w:val="24"/>
          <w:highlight w:val="none"/>
          <w:u w:val="single"/>
        </w:rPr>
        <w:t>按通用条款执行</w:t>
      </w:r>
      <w:r>
        <w:rPr>
          <w:rFonts w:hint="eastAsia" w:hAnsi="宋体"/>
          <w:color w:val="auto"/>
          <w:kern w:val="0"/>
          <w:sz w:val="24"/>
          <w:szCs w:val="24"/>
          <w:highlight w:val="none"/>
        </w:rPr>
        <w:t>。</w:t>
      </w:r>
    </w:p>
    <w:p w14:paraId="7917B76E">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16.1.2 发包人违约的责任</w:t>
      </w:r>
    </w:p>
    <w:p w14:paraId="69A2F8A8">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发包人违约责任的承担方式和计算方法：</w:t>
      </w:r>
    </w:p>
    <w:p w14:paraId="4F3D03AC">
      <w:pPr>
        <w:adjustRightInd w:val="0"/>
        <w:snapToGrid w:val="0"/>
        <w:spacing w:line="360" w:lineRule="auto"/>
        <w:ind w:firstLine="480" w:firstLineChars="200"/>
        <w:jc w:val="left"/>
        <w:rPr>
          <w:rFonts w:hAnsi="宋体"/>
          <w:color w:val="auto"/>
          <w:kern w:val="0"/>
          <w:sz w:val="24"/>
          <w:szCs w:val="24"/>
          <w:highlight w:val="none"/>
          <w:u w:val="single"/>
        </w:rPr>
      </w:pPr>
      <w:r>
        <w:rPr>
          <w:rFonts w:hint="eastAsia" w:hAnsi="宋体"/>
          <w:color w:val="auto"/>
          <w:kern w:val="0"/>
          <w:sz w:val="24"/>
          <w:szCs w:val="24"/>
          <w:highlight w:val="none"/>
        </w:rPr>
        <w:t>（1）因发包人原因未能在计划开工日期前7天内下达开工通知的违约责任：</w:t>
      </w:r>
      <w:r>
        <w:rPr>
          <w:rFonts w:hint="eastAsia" w:hAnsi="宋体"/>
          <w:color w:val="auto"/>
          <w:kern w:val="0"/>
          <w:sz w:val="24"/>
          <w:szCs w:val="24"/>
          <w:highlight w:val="none"/>
          <w:u w:val="single"/>
        </w:rPr>
        <w:t>承担工期延误责任</w:t>
      </w:r>
      <w:r>
        <w:rPr>
          <w:rFonts w:hint="eastAsia" w:hAnsi="宋体"/>
          <w:color w:val="auto"/>
          <w:kern w:val="0"/>
          <w:sz w:val="24"/>
          <w:szCs w:val="24"/>
          <w:highlight w:val="none"/>
        </w:rPr>
        <w:t>。</w:t>
      </w:r>
    </w:p>
    <w:p w14:paraId="06312B4E">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（2）因发包人原因未能按合同约定支付合同价款的违约责任：</w:t>
      </w:r>
      <w:r>
        <w:rPr>
          <w:rFonts w:hint="eastAsia" w:hAnsi="宋体"/>
          <w:color w:val="auto"/>
          <w:sz w:val="24"/>
          <w:szCs w:val="24"/>
          <w:highlight w:val="none"/>
          <w:u w:val="single"/>
        </w:rPr>
        <w:t>按通用条款执行</w:t>
      </w:r>
      <w:r>
        <w:rPr>
          <w:rFonts w:hint="eastAsia" w:hAnsi="宋体"/>
          <w:color w:val="auto"/>
          <w:kern w:val="0"/>
          <w:sz w:val="24"/>
          <w:szCs w:val="24"/>
          <w:highlight w:val="none"/>
        </w:rPr>
        <w:t>。</w:t>
      </w:r>
    </w:p>
    <w:p w14:paraId="3E2D6A66">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（3）发包人违反第10.1款〔变更的范围〕第（2）项约定，自行实施被取消的工作或转由他人实施的违约责任：</w:t>
      </w:r>
      <w:r>
        <w:rPr>
          <w:rFonts w:hint="eastAsia" w:hAnsi="宋体"/>
          <w:color w:val="auto"/>
          <w:sz w:val="24"/>
          <w:szCs w:val="24"/>
          <w:highlight w:val="none"/>
          <w:u w:val="single"/>
        </w:rPr>
        <w:t>按通用条款执行</w:t>
      </w:r>
      <w:r>
        <w:rPr>
          <w:rFonts w:hint="eastAsia" w:hAnsi="宋体"/>
          <w:color w:val="auto"/>
          <w:kern w:val="0"/>
          <w:sz w:val="24"/>
          <w:szCs w:val="24"/>
          <w:highlight w:val="none"/>
          <w:u w:val="single"/>
        </w:rPr>
        <w:t>。</w:t>
      </w:r>
    </w:p>
    <w:p w14:paraId="0DF2D090">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hAnsi="宋体"/>
          <w:color w:val="auto"/>
          <w:kern w:val="0"/>
          <w:sz w:val="24"/>
          <w:szCs w:val="24"/>
          <w:highlight w:val="none"/>
          <w:u w:val="single"/>
        </w:rPr>
        <w:t xml:space="preserve">承担工期延误责任  </w:t>
      </w:r>
      <w:r>
        <w:rPr>
          <w:rFonts w:hint="eastAsia" w:hAnsi="宋体"/>
          <w:color w:val="auto"/>
          <w:kern w:val="0"/>
          <w:sz w:val="24"/>
          <w:szCs w:val="24"/>
          <w:highlight w:val="none"/>
        </w:rPr>
        <w:t>。</w:t>
      </w:r>
    </w:p>
    <w:p w14:paraId="2E0C4292">
      <w:pPr>
        <w:adjustRightInd w:val="0"/>
        <w:snapToGrid w:val="0"/>
        <w:spacing w:line="360" w:lineRule="auto"/>
        <w:ind w:firstLine="480" w:firstLineChars="200"/>
        <w:jc w:val="left"/>
        <w:rPr>
          <w:rFonts w:hAnsi="宋体"/>
          <w:color w:val="auto"/>
          <w:kern w:val="0"/>
          <w:sz w:val="24"/>
          <w:szCs w:val="24"/>
          <w:highlight w:val="none"/>
          <w:u w:val="single"/>
        </w:rPr>
      </w:pPr>
      <w:r>
        <w:rPr>
          <w:rFonts w:hint="eastAsia" w:hAnsi="宋体"/>
          <w:color w:val="auto"/>
          <w:kern w:val="0"/>
          <w:sz w:val="24"/>
          <w:szCs w:val="24"/>
          <w:highlight w:val="none"/>
        </w:rPr>
        <w:t>（5）因发包人违反合同约定造成暂停施工的违约责任：</w:t>
      </w:r>
      <w:r>
        <w:rPr>
          <w:rFonts w:hint="eastAsia" w:hAnsi="宋体"/>
          <w:color w:val="auto"/>
          <w:kern w:val="0"/>
          <w:sz w:val="24"/>
          <w:szCs w:val="24"/>
          <w:highlight w:val="none"/>
          <w:u w:val="single"/>
        </w:rPr>
        <w:t xml:space="preserve">承担工期延误责任 </w:t>
      </w:r>
      <w:r>
        <w:rPr>
          <w:rFonts w:hint="eastAsia" w:hAnsi="宋体"/>
          <w:color w:val="auto"/>
          <w:kern w:val="0"/>
          <w:sz w:val="24"/>
          <w:szCs w:val="24"/>
          <w:highlight w:val="none"/>
        </w:rPr>
        <w:t>。</w:t>
      </w:r>
    </w:p>
    <w:p w14:paraId="38723A02">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（6）发包人无正当理由没有在约定期限内发出复工指示，导致承包人无法复工的违约责任：</w:t>
      </w:r>
      <w:r>
        <w:rPr>
          <w:rFonts w:hint="eastAsia" w:hAnsi="宋体"/>
          <w:color w:val="auto"/>
          <w:kern w:val="0"/>
          <w:sz w:val="24"/>
          <w:szCs w:val="24"/>
          <w:highlight w:val="none"/>
          <w:u w:val="single"/>
        </w:rPr>
        <w:t xml:space="preserve">  承担工期延误责任</w:t>
      </w:r>
      <w:r>
        <w:rPr>
          <w:rFonts w:hint="eastAsia" w:hAnsi="宋体"/>
          <w:color w:val="auto"/>
          <w:kern w:val="0"/>
          <w:sz w:val="24"/>
          <w:szCs w:val="24"/>
          <w:highlight w:val="none"/>
        </w:rPr>
        <w:t>。</w:t>
      </w:r>
    </w:p>
    <w:p w14:paraId="5570A2C9">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（7）其他：</w:t>
      </w:r>
      <w:r>
        <w:rPr>
          <w:rFonts w:hint="eastAsia" w:hAnsi="宋体"/>
          <w:color w:val="auto"/>
          <w:kern w:val="0"/>
          <w:sz w:val="24"/>
          <w:szCs w:val="24"/>
          <w:highlight w:val="none"/>
          <w:u w:val="single"/>
        </w:rPr>
        <w:t xml:space="preserve">       /     </w:t>
      </w:r>
      <w:r>
        <w:rPr>
          <w:rFonts w:hint="eastAsia" w:hAnsi="宋体"/>
          <w:color w:val="auto"/>
          <w:kern w:val="0"/>
          <w:sz w:val="24"/>
          <w:szCs w:val="24"/>
          <w:highlight w:val="none"/>
        </w:rPr>
        <w:t>。</w:t>
      </w:r>
    </w:p>
    <w:p w14:paraId="1663BFEA">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16.1.3 因发包人违约解除合同</w:t>
      </w:r>
    </w:p>
    <w:p w14:paraId="4BE6B9AA">
      <w:pPr>
        <w:autoSpaceDE w:val="0"/>
        <w:autoSpaceDN w:val="0"/>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承包人按16.1.1项〔发包人违约的情形〕约定暂停施工满</w:t>
      </w:r>
      <w:r>
        <w:rPr>
          <w:rFonts w:hint="eastAsia" w:hAnsi="宋体"/>
          <w:color w:val="auto"/>
          <w:kern w:val="0"/>
          <w:sz w:val="24"/>
          <w:szCs w:val="24"/>
          <w:highlight w:val="none"/>
          <w:u w:val="single"/>
        </w:rPr>
        <w:t>28</w:t>
      </w:r>
      <w:r>
        <w:rPr>
          <w:rFonts w:hint="eastAsia" w:hAnsi="宋体"/>
          <w:color w:val="auto"/>
          <w:kern w:val="0"/>
          <w:sz w:val="24"/>
          <w:szCs w:val="24"/>
          <w:highlight w:val="none"/>
        </w:rPr>
        <w:t>天后发包人仍不纠正其违约行为并致使合同目的不能实现的，承包人有权解除合同。</w:t>
      </w:r>
    </w:p>
    <w:p w14:paraId="362CE7C9">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16.2 承包人违约</w:t>
      </w:r>
    </w:p>
    <w:p w14:paraId="63286FB6">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16.2.1 承包人违约的情形</w:t>
      </w:r>
    </w:p>
    <w:p w14:paraId="0E08E2E9">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kern w:val="0"/>
          <w:sz w:val="24"/>
          <w:szCs w:val="24"/>
          <w:highlight w:val="none"/>
        </w:rPr>
        <w:t>承包人违约的其他情形：</w:t>
      </w:r>
      <w:r>
        <w:rPr>
          <w:rFonts w:hint="eastAsia" w:hAnsi="宋体"/>
          <w:color w:val="auto"/>
          <w:sz w:val="24"/>
          <w:szCs w:val="24"/>
          <w:highlight w:val="none"/>
          <w:u w:val="single"/>
        </w:rPr>
        <w:t>因承包人原因工程最终验收结果未达到合格标准，无条件返工，直至验收合格，工期不得顺延；若承包人不返工，发包人有权委托第三方进行返工，费用由承包人承担。</w:t>
      </w:r>
    </w:p>
    <w:p w14:paraId="00B1DB26">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kern w:val="0"/>
          <w:sz w:val="24"/>
          <w:szCs w:val="24"/>
          <w:highlight w:val="none"/>
        </w:rPr>
        <w:t>16.2.2承包人违约的责任</w:t>
      </w:r>
    </w:p>
    <w:p w14:paraId="5540379B">
      <w:pPr>
        <w:adjustRightInd w:val="0"/>
        <w:snapToGrid w:val="0"/>
        <w:spacing w:line="360" w:lineRule="auto"/>
        <w:ind w:firstLine="480" w:firstLineChars="200"/>
        <w:jc w:val="left"/>
        <w:rPr>
          <w:rFonts w:hAnsi="宋体"/>
          <w:color w:val="auto"/>
          <w:kern w:val="0"/>
          <w:sz w:val="24"/>
          <w:szCs w:val="24"/>
          <w:highlight w:val="none"/>
          <w:u w:val="single"/>
        </w:rPr>
      </w:pPr>
      <w:r>
        <w:rPr>
          <w:rFonts w:hint="eastAsia" w:hAnsi="宋体"/>
          <w:color w:val="auto"/>
          <w:kern w:val="0"/>
          <w:sz w:val="24"/>
          <w:szCs w:val="24"/>
          <w:highlight w:val="none"/>
        </w:rPr>
        <w:t>承包人违约责任的承担方式和计算方法：</w:t>
      </w:r>
      <w:r>
        <w:rPr>
          <w:rFonts w:hint="eastAsia" w:hAnsi="宋体"/>
          <w:color w:val="auto"/>
          <w:kern w:val="0"/>
          <w:sz w:val="24"/>
          <w:szCs w:val="24"/>
          <w:highlight w:val="none"/>
          <w:u w:val="single"/>
        </w:rPr>
        <w:t>承担其违约行为而增加的费用和（或）延误的工期，并承担合同所约定的违约金。</w:t>
      </w:r>
    </w:p>
    <w:p w14:paraId="7170A82B">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16.2.3 因承包人违约解除合同</w:t>
      </w:r>
    </w:p>
    <w:p w14:paraId="7FED81F4">
      <w:pPr>
        <w:adjustRightInd w:val="0"/>
        <w:snapToGrid w:val="0"/>
        <w:spacing w:line="360" w:lineRule="auto"/>
        <w:ind w:firstLine="480" w:firstLineChars="200"/>
        <w:jc w:val="left"/>
        <w:rPr>
          <w:rFonts w:hAnsi="宋体"/>
          <w:color w:val="auto"/>
          <w:kern w:val="0"/>
          <w:sz w:val="24"/>
          <w:szCs w:val="24"/>
          <w:highlight w:val="none"/>
          <w:u w:val="single"/>
        </w:rPr>
      </w:pPr>
      <w:r>
        <w:rPr>
          <w:rFonts w:hint="eastAsia" w:hAnsi="宋体"/>
          <w:color w:val="auto"/>
          <w:kern w:val="0"/>
          <w:sz w:val="24"/>
          <w:szCs w:val="24"/>
          <w:highlight w:val="none"/>
        </w:rPr>
        <w:t>关于承包人违约解除合同的特别约定：</w:t>
      </w:r>
      <w:r>
        <w:rPr>
          <w:rFonts w:hint="eastAsia" w:hAnsi="宋体"/>
          <w:color w:val="auto"/>
          <w:kern w:val="0"/>
          <w:sz w:val="24"/>
          <w:szCs w:val="24"/>
          <w:highlight w:val="none"/>
          <w:u w:val="single"/>
        </w:rPr>
        <w:t>按通用条款。</w:t>
      </w:r>
    </w:p>
    <w:p w14:paraId="6AF655CA">
      <w:pPr>
        <w:adjustRightInd w:val="0"/>
        <w:snapToGrid w:val="0"/>
        <w:spacing w:line="360" w:lineRule="auto"/>
        <w:ind w:firstLine="480" w:firstLineChars="200"/>
        <w:rPr>
          <w:rFonts w:hAnsi="宋体"/>
          <w:color w:val="auto"/>
          <w:kern w:val="0"/>
          <w:sz w:val="24"/>
          <w:szCs w:val="24"/>
          <w:highlight w:val="none"/>
        </w:rPr>
      </w:pPr>
      <w:r>
        <w:rPr>
          <w:rFonts w:hint="eastAsia" w:hAnsi="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hAnsi="宋体"/>
          <w:color w:val="auto"/>
          <w:kern w:val="0"/>
          <w:sz w:val="24"/>
          <w:szCs w:val="24"/>
          <w:highlight w:val="none"/>
          <w:u w:val="single"/>
        </w:rPr>
        <w:t>发包人承担承包人</w:t>
      </w:r>
      <w:r>
        <w:rPr>
          <w:rFonts w:ascii="Microsoft Himalaya" w:hAnsi="Microsoft Himalaya" w:cs="Microsoft Himalaya"/>
          <w:color w:val="auto"/>
          <w:kern w:val="0"/>
          <w:sz w:val="24"/>
          <w:szCs w:val="24"/>
          <w:highlight w:val="none"/>
          <w:u w:val="single"/>
          <w:cs/>
          <w:lang w:bidi="bo-CN"/>
        </w:rPr>
        <w:t>ྻ</w:t>
      </w:r>
      <w:r>
        <w:rPr>
          <w:rFonts w:hint="eastAsia" w:hAnsi="宋体"/>
          <w:color w:val="auto"/>
          <w:kern w:val="0"/>
          <w:sz w:val="24"/>
          <w:szCs w:val="24"/>
          <w:highlight w:val="none"/>
          <w:u w:val="single"/>
        </w:rPr>
        <w:t>提供的材料、设备、临时工程的价值，承包人文件和由承包人或以其名义编制的其他文件免费使用</w:t>
      </w:r>
      <w:r>
        <w:rPr>
          <w:rFonts w:hint="eastAsia" w:hAnsi="宋体"/>
          <w:color w:val="auto"/>
          <w:kern w:val="0"/>
          <w:sz w:val="24"/>
          <w:szCs w:val="24"/>
          <w:highlight w:val="none"/>
        </w:rPr>
        <w:t>。</w:t>
      </w:r>
    </w:p>
    <w:p w14:paraId="6854A136">
      <w:pPr>
        <w:pStyle w:val="6"/>
        <w:adjustRightInd w:val="0"/>
        <w:snapToGrid w:val="0"/>
        <w:spacing w:before="0" w:after="0" w:line="360" w:lineRule="auto"/>
        <w:rPr>
          <w:rFonts w:ascii="宋体" w:hAnsi="宋体"/>
          <w:b w:val="0"/>
          <w:bCs w:val="0"/>
          <w:color w:val="auto"/>
          <w:sz w:val="24"/>
          <w:szCs w:val="24"/>
          <w:highlight w:val="none"/>
        </w:rPr>
      </w:pPr>
      <w:bookmarkStart w:id="912" w:name="_Toc351203649"/>
      <w:bookmarkEnd w:id="912"/>
      <w:r>
        <w:rPr>
          <w:rFonts w:hint="eastAsia" w:ascii="宋体" w:hAnsi="宋体"/>
          <w:b w:val="0"/>
          <w:bCs w:val="0"/>
          <w:color w:val="auto"/>
          <w:sz w:val="24"/>
          <w:szCs w:val="24"/>
          <w:highlight w:val="none"/>
        </w:rPr>
        <w:t>17. 不可抗力</w:t>
      </w:r>
    </w:p>
    <w:p w14:paraId="7C71F5D2">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17.1 不可抗力的确认</w:t>
      </w:r>
    </w:p>
    <w:p w14:paraId="37FDD949">
      <w:pPr>
        <w:adjustRightInd w:val="0"/>
        <w:snapToGrid w:val="0"/>
        <w:spacing w:line="360" w:lineRule="auto"/>
        <w:ind w:firstLine="480" w:firstLineChars="200"/>
        <w:jc w:val="left"/>
        <w:rPr>
          <w:rFonts w:hAnsi="宋体"/>
          <w:color w:val="auto"/>
          <w:kern w:val="0"/>
          <w:sz w:val="24"/>
          <w:szCs w:val="24"/>
          <w:highlight w:val="none"/>
          <w:u w:val="single"/>
        </w:rPr>
      </w:pPr>
      <w:r>
        <w:rPr>
          <w:rFonts w:hint="eastAsia" w:hAnsi="宋体"/>
          <w:color w:val="auto"/>
          <w:sz w:val="24"/>
          <w:szCs w:val="24"/>
          <w:highlight w:val="none"/>
        </w:rPr>
        <w:t>除通用合同条款约定的不可抗力事件之外，视为不可抗力的其他情形：</w:t>
      </w:r>
      <w:r>
        <w:rPr>
          <w:rFonts w:hint="eastAsia" w:hAnsi="宋体"/>
          <w:color w:val="auto"/>
          <w:kern w:val="0"/>
          <w:sz w:val="24"/>
          <w:szCs w:val="24"/>
          <w:highlight w:val="none"/>
          <w:u w:val="single"/>
        </w:rPr>
        <w:t xml:space="preserve">   /   。</w:t>
      </w:r>
    </w:p>
    <w:p w14:paraId="67D5A5B1">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17.4 因不可抗力解除合同</w:t>
      </w:r>
    </w:p>
    <w:p w14:paraId="207DBB4B">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合同解除后，发包人应在商定或确定发包人应支付款项后</w:t>
      </w:r>
      <w:r>
        <w:rPr>
          <w:rFonts w:hint="eastAsia" w:hAnsi="宋体"/>
          <w:color w:val="auto"/>
          <w:sz w:val="24"/>
          <w:szCs w:val="24"/>
          <w:highlight w:val="none"/>
          <w:u w:val="single"/>
        </w:rPr>
        <w:t>28</w:t>
      </w:r>
      <w:r>
        <w:rPr>
          <w:rFonts w:hint="eastAsia" w:hAnsi="宋体"/>
          <w:color w:val="auto"/>
          <w:sz w:val="24"/>
          <w:szCs w:val="24"/>
          <w:highlight w:val="none"/>
        </w:rPr>
        <w:t>天内完成款项的支付。</w:t>
      </w:r>
    </w:p>
    <w:p w14:paraId="23132F00">
      <w:pPr>
        <w:pStyle w:val="6"/>
        <w:adjustRightInd w:val="0"/>
        <w:snapToGrid w:val="0"/>
        <w:spacing w:before="0" w:after="0" w:line="360" w:lineRule="auto"/>
        <w:rPr>
          <w:rFonts w:ascii="宋体" w:hAnsi="宋体"/>
          <w:b w:val="0"/>
          <w:bCs w:val="0"/>
          <w:color w:val="auto"/>
          <w:sz w:val="24"/>
          <w:szCs w:val="24"/>
          <w:highlight w:val="none"/>
        </w:rPr>
      </w:pPr>
      <w:bookmarkStart w:id="913" w:name="_Toc351203650"/>
      <w:bookmarkEnd w:id="913"/>
      <w:r>
        <w:rPr>
          <w:rFonts w:hint="eastAsia" w:ascii="宋体" w:hAnsi="宋体"/>
          <w:b w:val="0"/>
          <w:bCs w:val="0"/>
          <w:color w:val="auto"/>
          <w:sz w:val="24"/>
          <w:szCs w:val="24"/>
          <w:highlight w:val="none"/>
        </w:rPr>
        <w:t>18. 保险</w:t>
      </w:r>
    </w:p>
    <w:p w14:paraId="5147EEFF">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18.1 工程保险</w:t>
      </w:r>
    </w:p>
    <w:p w14:paraId="36796264">
      <w:pPr>
        <w:adjustRightInd w:val="0"/>
        <w:snapToGrid w:val="0"/>
        <w:spacing w:line="360" w:lineRule="auto"/>
        <w:ind w:firstLine="480" w:firstLineChars="200"/>
        <w:rPr>
          <w:rFonts w:hAnsi="宋体" w:cs="仿宋"/>
          <w:color w:val="auto"/>
          <w:sz w:val="24"/>
          <w:szCs w:val="24"/>
          <w:highlight w:val="none"/>
          <w:u w:val="single"/>
        </w:rPr>
      </w:pPr>
      <w:r>
        <w:rPr>
          <w:rFonts w:hint="eastAsia" w:hAnsi="宋体"/>
          <w:color w:val="auto"/>
          <w:sz w:val="24"/>
          <w:szCs w:val="24"/>
          <w:highlight w:val="none"/>
        </w:rPr>
        <w:t>关于工程保险的特别约定：</w:t>
      </w:r>
      <w:r>
        <w:rPr>
          <w:rFonts w:hint="eastAsia" w:hAnsi="宋体" w:cs="仿宋"/>
          <w:color w:val="auto"/>
          <w:sz w:val="24"/>
          <w:szCs w:val="24"/>
          <w:highlight w:val="none"/>
          <w:u w:val="single"/>
        </w:rPr>
        <w:t>承包人为建设工程和施工场地内的自有人员设备及第三方生命财产办理保险并支付保险费用（建筑工程一切险及第三者责任险），费用已包含在总价内。承包人若未投保，施工期间所发生的一切与本工程有关的承包人的人员、财产等意外伤害、损失，由承包人承担全部责任和费用，发包人概不负责</w:t>
      </w:r>
      <w:r>
        <w:rPr>
          <w:rFonts w:hint="eastAsia" w:hAnsi="宋体"/>
          <w:color w:val="auto"/>
          <w:sz w:val="24"/>
          <w:szCs w:val="24"/>
          <w:highlight w:val="none"/>
          <w:u w:val="single"/>
        </w:rPr>
        <w:t>。</w:t>
      </w:r>
    </w:p>
    <w:p w14:paraId="67DF0ADA">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18.3 其他保险</w:t>
      </w:r>
    </w:p>
    <w:p w14:paraId="35165E3C">
      <w:pPr>
        <w:adjustRightInd w:val="0"/>
        <w:snapToGrid w:val="0"/>
        <w:spacing w:line="360" w:lineRule="auto"/>
        <w:ind w:firstLine="480" w:firstLineChars="200"/>
        <w:jc w:val="left"/>
        <w:rPr>
          <w:rFonts w:hAnsi="宋体"/>
          <w:color w:val="auto"/>
          <w:kern w:val="0"/>
          <w:sz w:val="24"/>
          <w:szCs w:val="24"/>
          <w:highlight w:val="none"/>
        </w:rPr>
      </w:pPr>
      <w:r>
        <w:rPr>
          <w:rFonts w:hint="eastAsia" w:hAnsi="宋体"/>
          <w:color w:val="auto"/>
          <w:sz w:val="24"/>
          <w:szCs w:val="24"/>
          <w:highlight w:val="none"/>
        </w:rPr>
        <w:t>关于其他保险的约定：</w:t>
      </w:r>
      <w:r>
        <w:rPr>
          <w:rFonts w:hint="eastAsia" w:hAnsi="宋体"/>
          <w:color w:val="auto"/>
          <w:kern w:val="0"/>
          <w:sz w:val="24"/>
          <w:szCs w:val="24"/>
          <w:highlight w:val="none"/>
          <w:u w:val="single"/>
        </w:rPr>
        <w:t>承包人应为其施工现场的全部人员办理意外伤害保险并支付保险费，包括其员工及为履行合同聘请的第三方的人员。所有保险不应免除由于承包人过失造成损失而承担的责任</w:t>
      </w:r>
      <w:r>
        <w:rPr>
          <w:rFonts w:hint="eastAsia" w:hAnsi="宋体"/>
          <w:color w:val="auto"/>
          <w:kern w:val="0"/>
          <w:sz w:val="24"/>
          <w:szCs w:val="24"/>
          <w:highlight w:val="none"/>
        </w:rPr>
        <w:t>。</w:t>
      </w:r>
    </w:p>
    <w:p w14:paraId="06BA1F01">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承包人是否应为其施工设备等办理财产保险：</w:t>
      </w:r>
      <w:r>
        <w:rPr>
          <w:rFonts w:hint="eastAsia" w:hAnsi="宋体"/>
          <w:color w:val="auto"/>
          <w:sz w:val="24"/>
          <w:szCs w:val="24"/>
          <w:highlight w:val="none"/>
          <w:u w:val="single"/>
        </w:rPr>
        <w:t>是。</w:t>
      </w:r>
    </w:p>
    <w:p w14:paraId="0949475D">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18.7 通知义务</w:t>
      </w:r>
    </w:p>
    <w:p w14:paraId="085FD0C2">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kern w:val="0"/>
          <w:sz w:val="24"/>
          <w:szCs w:val="24"/>
          <w:highlight w:val="none"/>
        </w:rPr>
        <w:t>关于变更保险合同时的通知义务的约定：</w:t>
      </w:r>
      <w:r>
        <w:rPr>
          <w:rFonts w:hint="eastAsia" w:hAnsi="宋体"/>
          <w:color w:val="auto"/>
          <w:sz w:val="24"/>
          <w:szCs w:val="24"/>
          <w:highlight w:val="none"/>
          <w:u w:val="single"/>
        </w:rPr>
        <w:t>按通用条款约定</w:t>
      </w:r>
      <w:r>
        <w:rPr>
          <w:rFonts w:hint="eastAsia" w:hAnsi="宋体"/>
          <w:color w:val="auto"/>
          <w:sz w:val="24"/>
          <w:szCs w:val="24"/>
          <w:highlight w:val="none"/>
        </w:rPr>
        <w:t>。</w:t>
      </w:r>
    </w:p>
    <w:p w14:paraId="099D6DD6">
      <w:pPr>
        <w:pStyle w:val="6"/>
        <w:adjustRightInd w:val="0"/>
        <w:snapToGrid w:val="0"/>
        <w:spacing w:before="0" w:after="0" w:line="360" w:lineRule="auto"/>
        <w:rPr>
          <w:rFonts w:ascii="宋体" w:hAnsi="宋体"/>
          <w:b w:val="0"/>
          <w:bCs w:val="0"/>
          <w:color w:val="auto"/>
          <w:sz w:val="24"/>
          <w:szCs w:val="24"/>
          <w:highlight w:val="none"/>
        </w:rPr>
      </w:pPr>
      <w:bookmarkStart w:id="914" w:name="_Toc351203651"/>
      <w:bookmarkEnd w:id="914"/>
      <w:r>
        <w:rPr>
          <w:rFonts w:hint="eastAsia" w:ascii="宋体" w:hAnsi="宋体"/>
          <w:b w:val="0"/>
          <w:bCs w:val="0"/>
          <w:color w:val="auto"/>
          <w:sz w:val="24"/>
          <w:szCs w:val="24"/>
          <w:highlight w:val="none"/>
        </w:rPr>
        <w:t>20. 争议解决</w:t>
      </w:r>
    </w:p>
    <w:p w14:paraId="088142B0">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20.3 争议评审</w:t>
      </w:r>
    </w:p>
    <w:p w14:paraId="42B07BEB">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合同当事人是否同意将工程争议提交争议评审小组决定：</w:t>
      </w:r>
      <w:r>
        <w:rPr>
          <w:rFonts w:hint="eastAsia" w:hAnsi="宋体"/>
          <w:b/>
          <w:bCs/>
          <w:color w:val="auto"/>
          <w:sz w:val="24"/>
          <w:szCs w:val="24"/>
          <w:highlight w:val="none"/>
          <w:u w:val="single"/>
        </w:rPr>
        <w:t>否</w:t>
      </w:r>
      <w:r>
        <w:rPr>
          <w:rFonts w:hint="eastAsia" w:hAnsi="宋体"/>
          <w:color w:val="auto"/>
          <w:sz w:val="24"/>
          <w:szCs w:val="24"/>
          <w:highlight w:val="none"/>
        </w:rPr>
        <w:t xml:space="preserve">。  </w:t>
      </w:r>
    </w:p>
    <w:p w14:paraId="6AF64719">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20.3.1 争议评审小组的确定</w:t>
      </w:r>
    </w:p>
    <w:p w14:paraId="00F69F7B">
      <w:pPr>
        <w:adjustRightInd w:val="0"/>
        <w:snapToGrid w:val="0"/>
        <w:spacing w:line="360" w:lineRule="auto"/>
        <w:ind w:firstLine="480" w:firstLineChars="200"/>
        <w:jc w:val="left"/>
        <w:rPr>
          <w:rFonts w:hAnsi="宋体"/>
          <w:color w:val="auto"/>
          <w:sz w:val="24"/>
          <w:szCs w:val="24"/>
          <w:highlight w:val="none"/>
          <w:u w:val="single"/>
        </w:rPr>
      </w:pPr>
      <w:r>
        <w:rPr>
          <w:rFonts w:hint="eastAsia" w:hAnsi="宋体"/>
          <w:color w:val="auto"/>
          <w:sz w:val="24"/>
          <w:szCs w:val="24"/>
          <w:highlight w:val="none"/>
        </w:rPr>
        <w:t>争议评审小组成员的确定：</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746DEA37">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选定争议评审员的期限：</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1785BB60">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争议评审小组成员的报酬承担方式：</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7BE4D787">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其他事项的约定：</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1F3E52B2">
      <w:pPr>
        <w:autoSpaceDE w:val="0"/>
        <w:autoSpaceDN w:val="0"/>
        <w:adjustRightInd w:val="0"/>
        <w:snapToGrid w:val="0"/>
        <w:spacing w:line="360" w:lineRule="auto"/>
        <w:ind w:firstLine="480" w:firstLineChars="200"/>
        <w:jc w:val="left"/>
        <w:rPr>
          <w:rFonts w:hAnsi="宋体"/>
          <w:color w:val="auto"/>
          <w:kern w:val="0"/>
          <w:sz w:val="24"/>
          <w:szCs w:val="24"/>
          <w:highlight w:val="none"/>
          <w:u w:val="single"/>
        </w:rPr>
      </w:pPr>
      <w:r>
        <w:rPr>
          <w:rFonts w:hint="eastAsia" w:hAnsi="宋体"/>
          <w:color w:val="auto"/>
          <w:kern w:val="0"/>
          <w:sz w:val="24"/>
          <w:szCs w:val="24"/>
          <w:highlight w:val="none"/>
        </w:rPr>
        <w:t>20.3.2 争议评审小组的决定</w:t>
      </w:r>
    </w:p>
    <w:p w14:paraId="03986FBA">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合同当事人关于本项的约定：</w:t>
      </w:r>
      <w:r>
        <w:rPr>
          <w:rFonts w:hint="eastAsia" w:hAnsi="宋体"/>
          <w:color w:val="auto"/>
          <w:sz w:val="24"/>
          <w:szCs w:val="24"/>
          <w:highlight w:val="none"/>
          <w:u w:val="single"/>
        </w:rPr>
        <w:t xml:space="preserve">  /    </w:t>
      </w:r>
      <w:r>
        <w:rPr>
          <w:rFonts w:hint="eastAsia" w:hAnsi="宋体"/>
          <w:color w:val="auto"/>
          <w:sz w:val="24"/>
          <w:szCs w:val="24"/>
          <w:highlight w:val="none"/>
        </w:rPr>
        <w:t>。</w:t>
      </w:r>
    </w:p>
    <w:p w14:paraId="394B20A3">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20.4仲裁或诉讼</w:t>
      </w:r>
    </w:p>
    <w:p w14:paraId="40634174">
      <w:pPr>
        <w:adjustRightInd w:val="0"/>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因合同及合同有关事项发生的争议，双方当事人一致同意提交</w:t>
      </w:r>
      <w:r>
        <w:rPr>
          <w:rFonts w:hint="eastAsia" w:hAnsi="宋体"/>
          <w:b/>
          <w:bCs/>
          <w:color w:val="auto"/>
          <w:sz w:val="24"/>
          <w:szCs w:val="24"/>
          <w:highlight w:val="none"/>
        </w:rPr>
        <w:t>杭州仲裁委员会申请仲裁</w:t>
      </w:r>
      <w:r>
        <w:rPr>
          <w:rFonts w:hint="eastAsia" w:hAnsi="宋体"/>
          <w:color w:val="auto"/>
          <w:sz w:val="24"/>
          <w:szCs w:val="24"/>
          <w:highlight w:val="none"/>
        </w:rPr>
        <w:t>；但双方当事人特别约定下列解决方式中第</w:t>
      </w:r>
      <w:r>
        <w:rPr>
          <w:rFonts w:hint="eastAsia" w:hAnsi="宋体"/>
          <w:color w:val="auto"/>
          <w:sz w:val="24"/>
          <w:szCs w:val="24"/>
          <w:highlight w:val="none"/>
          <w:u w:val="single"/>
        </w:rPr>
        <w:t>2</w:t>
      </w:r>
      <w:r>
        <w:rPr>
          <w:rFonts w:hint="eastAsia" w:hAnsi="宋体"/>
          <w:color w:val="auto"/>
          <w:sz w:val="24"/>
          <w:szCs w:val="24"/>
          <w:highlight w:val="none"/>
        </w:rPr>
        <w:t>种方式解决争议的除外：</w:t>
      </w:r>
    </w:p>
    <w:p w14:paraId="06CC6110">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（1）提交</w:t>
      </w:r>
      <w:r>
        <w:rPr>
          <w:rFonts w:hint="eastAsia" w:hAnsi="宋体"/>
          <w:color w:val="auto"/>
          <w:sz w:val="24"/>
          <w:szCs w:val="24"/>
          <w:highlight w:val="none"/>
          <w:u w:val="single"/>
        </w:rPr>
        <w:t xml:space="preserve"> /  </w:t>
      </w:r>
      <w:r>
        <w:rPr>
          <w:rFonts w:hint="eastAsia" w:hAnsi="宋体"/>
          <w:color w:val="auto"/>
          <w:sz w:val="24"/>
          <w:szCs w:val="24"/>
          <w:highlight w:val="none"/>
        </w:rPr>
        <w:t>仲裁委员会申请仲裁；</w:t>
      </w:r>
    </w:p>
    <w:p w14:paraId="5AB4A458">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（2）依法向</w:t>
      </w:r>
      <w:r>
        <w:rPr>
          <w:rFonts w:hint="eastAsia" w:hAnsi="宋体"/>
          <w:color w:val="auto"/>
          <w:sz w:val="24"/>
          <w:szCs w:val="24"/>
          <w:highlight w:val="none"/>
          <w:u w:val="single"/>
        </w:rPr>
        <w:t>发包人所在地</w:t>
      </w:r>
      <w:r>
        <w:rPr>
          <w:rFonts w:hint="eastAsia" w:hAnsi="宋体"/>
          <w:color w:val="auto"/>
          <w:sz w:val="24"/>
          <w:szCs w:val="24"/>
          <w:highlight w:val="none"/>
        </w:rPr>
        <w:t>人民法院起诉。</w:t>
      </w:r>
    </w:p>
    <w:p w14:paraId="47D587E4">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21．其他补充事项的约定</w:t>
      </w:r>
    </w:p>
    <w:p w14:paraId="2E7245C0">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21.1 合同双方确认，本合同及本合同约定的其它文件组成部分中的各项约定都是通过法定招标过程形成的合法成果，不存在与</w:t>
      </w:r>
      <w:r>
        <w:rPr>
          <w:rFonts w:hint="eastAsia" w:hAnsi="宋体"/>
          <w:color w:val="auto"/>
          <w:sz w:val="24"/>
          <w:szCs w:val="24"/>
          <w:highlight w:val="none"/>
          <w:lang w:eastAsia="zh-CN"/>
        </w:rPr>
        <w:t>磋商文件</w:t>
      </w:r>
      <w:r>
        <w:rPr>
          <w:rFonts w:hint="eastAsia" w:hAnsi="宋体"/>
          <w:color w:val="auto"/>
          <w:sz w:val="24"/>
          <w:szCs w:val="24"/>
          <w:highlight w:val="none"/>
        </w:rPr>
        <w:t>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仪或合同。如果存在或签订背离本合同实质性内容的其他协仪或合同，也不是合同双方真实意思的表示，对合同双方不构成任何合同或法律约束力。</w:t>
      </w:r>
    </w:p>
    <w:p w14:paraId="17CCBB71">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 xml:space="preserve">21.2承包人未按合同约定履行义务，造成工程质量低下、进度迟缓、管理混乱，发包人有权终止合同，没收全部履约保证金，并赔偿发包人因此造成的一切经济损失、依法承担相应的法律责任。对工程实施中出现的质量问题承包人按照发包人的要求无条件地进行限期整改，达到质量要求。因整改造成工期延误、经济损失等均由承包人承担一切责任。 </w:t>
      </w:r>
    </w:p>
    <w:p w14:paraId="33288C12">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 xml:space="preserve">21.3 工程质量标准：以合格的要求进行施工。 </w:t>
      </w:r>
    </w:p>
    <w:p w14:paraId="187B1319">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21.4、监理通知或监理例会连续两次提出相同质量、安全问题，乙方承担质量、安全违约金1000元，连续三次提到相同质量、安全问题，乙承担5000元质量、安全违约金。</w:t>
      </w:r>
    </w:p>
    <w:p w14:paraId="4546993D">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21.5、检查发现监理通知发出后一周内没有回复或隐蔽工程没有回复就隐蔽了，每出现一次乙方承担2000元违约金。</w:t>
      </w:r>
    </w:p>
    <w:p w14:paraId="73BB02E6">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21.6、监理整改通知单提出的问题，施工单位应三天内整改完毕，如三天内没整改到位，每次承担5000元违约金</w:t>
      </w:r>
    </w:p>
    <w:p w14:paraId="2DC7378C">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21.7、施工单位应认真阅读施工图，如施工图有错误，施工单位没提出来，按图施工造成返工，返工费用由甲方承担，但施工单位承担5000元/次的质量违约金。</w:t>
      </w:r>
    </w:p>
    <w:p w14:paraId="63EF6855">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21.8、当零星工程发生签证人工工日、机械台班数量，人工工日、机械台班单价有投标价的执行投标价，机械台班无投标价的执行预算定额单价，人工工日无投标价的执行发生期浙江省造价站发布的施工期间的人工工日指导价。</w:t>
      </w:r>
    </w:p>
    <w:p w14:paraId="20F6D3EE">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21.9、发包人有可能根据工程需要修改施工图或发出指令增加或减少工程量，工程量不论增减多少，承包人均应无条件服从，对因变更增加或减少的工程量，其结算口径按本合同相应条款执行。</w:t>
      </w:r>
    </w:p>
    <w:p w14:paraId="78AF0AD2">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21.10、由发包人或监理召集的例会和其它重要会议，承包人必须按发包人指定人选准时参加，无故缺席或迟到的，发包人有权视情节严重程序处以1000元的罚款，因此导致对会议内容不了解的，其后果由承包人自负。</w:t>
      </w:r>
    </w:p>
    <w:p w14:paraId="79FCAB7F">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21.11、承包人人员在工地现场发生打架、破坏污染建筑单体的行为，发包人将视责任程度每次处以1000-5000元的罚款，对造成的损失由承包人照价赔偿。</w:t>
      </w:r>
    </w:p>
    <w:p w14:paraId="3F08CEC4">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21.12、发包人将按国家和建设行政主管部门的有关规定进行现场管理，若承包人违反国家和建设行政主管部门有关现场管理规定的，发包人有权对承包人在施工中出现的恶意违规及不服从管理等行为进行1000-5000元/次的处罚。</w:t>
      </w:r>
    </w:p>
    <w:p w14:paraId="3F08F05F">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21.13、承包人在施工过程中不论遇到何种困难（发包人原因除外），均不得以任何理由（例如发包人未签证费用）擅自停工或变相停工，否则由此造成的一切后果和经济损失均由承包人承担，同时发包人有权处理3000元/天的处罚。</w:t>
      </w:r>
    </w:p>
    <w:p w14:paraId="34F476DF">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21.14、本合同履行期间，承包人保证不拖欠民工工资，因拖欠民工工资造成的一切后果均由承包人承担，因民工工资纠纷造成媒体曝光按5万元/次处罚，影响发包人正常办公的情况按1万元/次处罚。若发包人因此为承包人垫款支付的，承包人应按发包人垫付款项金额的5%向发包人偿付违约金。</w:t>
      </w:r>
    </w:p>
    <w:p w14:paraId="6370F9AD">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21.15、本工程不得转包、分包或变相转包、分包（发包人同意的除外），一经发现，以承包人违约处理，发包人可终止合同，将承包人清退出场，没收全部履约保证金。</w:t>
      </w:r>
    </w:p>
    <w:p w14:paraId="60511BEF">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21.16、在合同履行过程中，若承包人的施工队伍素质、力量、机械配备、现场施工投入和管理未能履行投标书及询标纪要等相关文件中的承诺，造成现场管理混乱，工程质量、进度、现场文明施工和安全生产达不到预定计划，发包人有权要求其调整充实力量，加强管理，承包人必须接受。当上述措施仍无效或未采取时，以承包人违约论处，发包人可终止本合同，由此引起的工期及损失由承包人负责。</w:t>
      </w:r>
    </w:p>
    <w:p w14:paraId="5391EC35">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21.17、以下可能发生的费用，已包含在合同价内，不再另行计取。</w:t>
      </w:r>
    </w:p>
    <w:p w14:paraId="6E709502">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（1）承包人认为需进一步平整或需铺筑的临时使用的项目等发生的一切费用。</w:t>
      </w:r>
    </w:p>
    <w:p w14:paraId="7A2DDCDD">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（2）机械运杂费：承包人不论实际用于本工程的机械设备是否增加或变动，均不予调整，一次性包死。</w:t>
      </w:r>
    </w:p>
    <w:p w14:paraId="32A5FCA1">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（3）自备发电机、储水设施费用：包括由于停电、停水及施工用水加压而增加的费用。</w:t>
      </w:r>
    </w:p>
    <w:p w14:paraId="430A4BCB">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4）因施工噪音、物体坠落、材料抛散而扰民及影响环境卫生、交通城管、现场文明和施工安全等问题等产生的费用，由承包人和有关管理部门、人员联系，自行解决,因此造成工期延长由承包人负责。如给发包人另行造成额外的经济损失，发包人可从承包人的工程款中扣回。</w:t>
      </w:r>
    </w:p>
    <w:p w14:paraId="6EA65D45">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5）承包人在本工程施工中，与施工有关的一切设施、设备、人员、材料堆场等，必须控制在总平规定范围内，如果超越了该范围而引起的二次搬运及施工场地原因产生的二次搬运费等费用，均已含合同价款内。</w:t>
      </w:r>
    </w:p>
    <w:p w14:paraId="007FAC3D">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（6）凡</w:t>
      </w:r>
      <w:r>
        <w:rPr>
          <w:rFonts w:hint="eastAsia" w:hAnsi="宋体"/>
          <w:color w:val="auto"/>
          <w:sz w:val="24"/>
          <w:szCs w:val="24"/>
          <w:highlight w:val="none"/>
          <w:lang w:eastAsia="zh-CN"/>
        </w:rPr>
        <w:t>磋商文件</w:t>
      </w:r>
      <w:r>
        <w:rPr>
          <w:rFonts w:hint="eastAsia" w:hAnsi="宋体"/>
          <w:color w:val="auto"/>
          <w:sz w:val="24"/>
          <w:szCs w:val="24"/>
          <w:highlight w:val="none"/>
        </w:rPr>
        <w:t>中没明确允许补差或建设管理部门文件没有明确规定由发包人承担的，但实际施工中可能发生的其它管理费（如干扰费、环保费、占道押金等）。</w:t>
      </w:r>
    </w:p>
    <w:p w14:paraId="770A0012">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21.18、对已发生的工程变更承包人必须在发生变更之日起15天内上报工程施工联系单；逾期申报的，此施工联系单不予认可。所有工程联系单必须附详细的清单、费用明细表及工程量计算书。（监理签证清单、影像资料、设计变更依据）</w:t>
      </w:r>
    </w:p>
    <w:p w14:paraId="37928DEF">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21.19、施工单位需组织高效能的施工队伍，配备充足的劳动力和机械，科学组织施工，加强管理，并配合发包人的工作，如出现抢工期需增加机具、人工等投入，需按发包人要求增加投入，发包人不承担费用的增加。</w:t>
      </w:r>
    </w:p>
    <w:p w14:paraId="1CCAED52">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22.20、施工用水用电(包括申请、接管接线等)及其余施工所需条件均由承包人负责，并承担相关费用</w:t>
      </w:r>
    </w:p>
    <w:p w14:paraId="01439C59">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22.21、因受现场条件及工期等因素影响，施工期间不保证24小时正常供电，因此而引起的工期及相关费用的损失由投标人自行负责，投标人因自备发电机，其费用计入措施项目费；</w:t>
      </w:r>
    </w:p>
    <w:p w14:paraId="08FDC8FF">
      <w:pPr>
        <w:adjustRightInd w:val="0"/>
        <w:snapToGrid w:val="0"/>
        <w:spacing w:line="360" w:lineRule="auto"/>
        <w:ind w:firstLine="480" w:firstLineChars="200"/>
        <w:jc w:val="left"/>
        <w:rPr>
          <w:rFonts w:hAnsi="宋体"/>
          <w:color w:val="auto"/>
          <w:sz w:val="24"/>
          <w:szCs w:val="24"/>
          <w:highlight w:val="none"/>
        </w:rPr>
      </w:pPr>
      <w:r>
        <w:rPr>
          <w:rFonts w:hint="eastAsia" w:hAnsi="宋体"/>
          <w:color w:val="auto"/>
          <w:sz w:val="24"/>
          <w:szCs w:val="24"/>
          <w:highlight w:val="none"/>
        </w:rPr>
        <w:t>22.22、投标人应结合当地气候条件和现场情况，将防台、防汛、排洪、配合费等投标人认为需要考虑增加的措施费计入表1-3-C技术措施项目清单及计价表中，费用包干，承包人无条件配合发包人完成上级部门发布的防台、防汛、排洪等相关工作；。</w:t>
      </w:r>
    </w:p>
    <w:p w14:paraId="390D3BCB">
      <w:pPr>
        <w:spacing w:line="360" w:lineRule="auto"/>
        <w:rPr>
          <w:rFonts w:hAnsi="宋体"/>
          <w:b/>
          <w:bCs/>
          <w:color w:val="auto"/>
          <w:sz w:val="24"/>
          <w:szCs w:val="24"/>
          <w:highlight w:val="none"/>
        </w:rPr>
      </w:pPr>
      <w:r>
        <w:rPr>
          <w:rFonts w:hint="eastAsia" w:hAnsi="宋体"/>
          <w:color w:val="auto"/>
          <w:sz w:val="24"/>
          <w:szCs w:val="24"/>
          <w:highlight w:val="none"/>
        </w:rPr>
        <w:br w:type="page"/>
      </w:r>
      <w:r>
        <w:rPr>
          <w:rFonts w:hint="eastAsia" w:hAnsi="宋体"/>
          <w:b/>
          <w:bCs/>
          <w:color w:val="auto"/>
          <w:sz w:val="24"/>
          <w:szCs w:val="24"/>
          <w:highlight w:val="none"/>
        </w:rPr>
        <w:t>附件</w:t>
      </w:r>
    </w:p>
    <w:p w14:paraId="38A60684">
      <w:pPr>
        <w:spacing w:line="360" w:lineRule="auto"/>
        <w:rPr>
          <w:rFonts w:hAnsi="宋体"/>
          <w:color w:val="auto"/>
          <w:sz w:val="24"/>
          <w:szCs w:val="24"/>
          <w:highlight w:val="none"/>
        </w:rPr>
      </w:pPr>
      <w:r>
        <w:rPr>
          <w:rFonts w:hint="eastAsia" w:hAnsi="宋体"/>
          <w:color w:val="auto"/>
          <w:sz w:val="24"/>
          <w:szCs w:val="24"/>
          <w:highlight w:val="none"/>
        </w:rPr>
        <w:t>协议书附件：</w:t>
      </w:r>
    </w:p>
    <w:p w14:paraId="0AAF89B3">
      <w:pPr>
        <w:spacing w:line="360" w:lineRule="auto"/>
        <w:rPr>
          <w:rFonts w:hAnsi="宋体"/>
          <w:color w:val="auto"/>
          <w:sz w:val="24"/>
          <w:szCs w:val="24"/>
          <w:highlight w:val="none"/>
        </w:rPr>
      </w:pPr>
      <w:r>
        <w:rPr>
          <w:rFonts w:hint="eastAsia" w:hAnsi="宋体"/>
          <w:color w:val="auto"/>
          <w:sz w:val="24"/>
          <w:szCs w:val="24"/>
          <w:highlight w:val="none"/>
        </w:rPr>
        <w:t>附件1：承包人承揽工程项目一览表</w:t>
      </w:r>
    </w:p>
    <w:p w14:paraId="521C55DC">
      <w:pPr>
        <w:spacing w:line="360" w:lineRule="auto"/>
        <w:rPr>
          <w:rFonts w:hAnsi="宋体"/>
          <w:color w:val="auto"/>
          <w:sz w:val="24"/>
          <w:szCs w:val="24"/>
          <w:highlight w:val="none"/>
        </w:rPr>
      </w:pPr>
      <w:r>
        <w:rPr>
          <w:rFonts w:hint="eastAsia" w:hAnsi="宋体"/>
          <w:color w:val="auto"/>
          <w:sz w:val="24"/>
          <w:szCs w:val="24"/>
          <w:highlight w:val="none"/>
        </w:rPr>
        <w:t>附件2：发包人供应材料设备一览表</w:t>
      </w:r>
    </w:p>
    <w:p w14:paraId="71C49C60">
      <w:pPr>
        <w:spacing w:line="360" w:lineRule="auto"/>
        <w:rPr>
          <w:rFonts w:hAnsi="宋体"/>
          <w:color w:val="auto"/>
          <w:sz w:val="24"/>
          <w:szCs w:val="24"/>
          <w:highlight w:val="none"/>
        </w:rPr>
      </w:pPr>
      <w:r>
        <w:rPr>
          <w:rFonts w:hint="eastAsia" w:hAnsi="宋体"/>
          <w:color w:val="auto"/>
          <w:sz w:val="24"/>
          <w:szCs w:val="24"/>
          <w:highlight w:val="none"/>
        </w:rPr>
        <w:t>附件3：工程质量保修书</w:t>
      </w:r>
    </w:p>
    <w:p w14:paraId="47BA963D">
      <w:pPr>
        <w:spacing w:line="360" w:lineRule="auto"/>
        <w:rPr>
          <w:rFonts w:hAnsi="宋体"/>
          <w:color w:val="auto"/>
          <w:sz w:val="24"/>
          <w:szCs w:val="24"/>
          <w:highlight w:val="none"/>
        </w:rPr>
      </w:pPr>
      <w:r>
        <w:rPr>
          <w:rFonts w:hint="eastAsia" w:hAnsi="宋体"/>
          <w:color w:val="auto"/>
          <w:sz w:val="24"/>
          <w:szCs w:val="24"/>
          <w:highlight w:val="none"/>
        </w:rPr>
        <w:t>附件4：主要建设工程文件目录</w:t>
      </w:r>
    </w:p>
    <w:p w14:paraId="3F2ED8B5">
      <w:pPr>
        <w:spacing w:line="360" w:lineRule="auto"/>
        <w:rPr>
          <w:rFonts w:hAnsi="宋体"/>
          <w:color w:val="auto"/>
          <w:sz w:val="24"/>
          <w:szCs w:val="24"/>
          <w:highlight w:val="none"/>
        </w:rPr>
      </w:pPr>
      <w:r>
        <w:rPr>
          <w:rFonts w:hint="eastAsia" w:hAnsi="宋体"/>
          <w:color w:val="auto"/>
          <w:sz w:val="24"/>
          <w:szCs w:val="24"/>
          <w:highlight w:val="none"/>
        </w:rPr>
        <w:t>附件5：承包人用于本工程施工的机械设备表</w:t>
      </w:r>
    </w:p>
    <w:p w14:paraId="650BD013">
      <w:pPr>
        <w:spacing w:line="360" w:lineRule="auto"/>
        <w:rPr>
          <w:rFonts w:hAnsi="宋体"/>
          <w:color w:val="auto"/>
          <w:sz w:val="24"/>
          <w:szCs w:val="24"/>
          <w:highlight w:val="none"/>
        </w:rPr>
      </w:pPr>
      <w:r>
        <w:rPr>
          <w:rFonts w:hint="eastAsia" w:hAnsi="宋体"/>
          <w:color w:val="auto"/>
          <w:sz w:val="24"/>
          <w:szCs w:val="24"/>
          <w:highlight w:val="none"/>
        </w:rPr>
        <w:t>附件6：承包人主要施工管理人员表</w:t>
      </w:r>
    </w:p>
    <w:p w14:paraId="73F9280B">
      <w:pPr>
        <w:spacing w:line="360" w:lineRule="auto"/>
        <w:rPr>
          <w:rFonts w:hAnsi="宋体"/>
          <w:color w:val="auto"/>
          <w:sz w:val="24"/>
          <w:szCs w:val="24"/>
          <w:highlight w:val="none"/>
        </w:rPr>
      </w:pPr>
      <w:r>
        <w:rPr>
          <w:rFonts w:hint="eastAsia" w:hAnsi="宋体"/>
          <w:color w:val="auto"/>
          <w:sz w:val="24"/>
          <w:szCs w:val="24"/>
          <w:highlight w:val="none"/>
        </w:rPr>
        <w:t>附件7：分包人主要施工管理人员表</w:t>
      </w:r>
    </w:p>
    <w:p w14:paraId="76D4C4A4">
      <w:pPr>
        <w:spacing w:line="360" w:lineRule="auto"/>
        <w:rPr>
          <w:rFonts w:hAnsi="宋体"/>
          <w:color w:val="auto"/>
          <w:sz w:val="24"/>
          <w:szCs w:val="24"/>
          <w:highlight w:val="none"/>
        </w:rPr>
      </w:pPr>
      <w:r>
        <w:rPr>
          <w:rFonts w:hint="eastAsia" w:hAnsi="宋体"/>
          <w:color w:val="auto"/>
          <w:sz w:val="24"/>
          <w:szCs w:val="24"/>
          <w:highlight w:val="none"/>
        </w:rPr>
        <w:t>附件8：履约担保格式</w:t>
      </w:r>
    </w:p>
    <w:p w14:paraId="2C6B3E36">
      <w:pPr>
        <w:spacing w:line="360" w:lineRule="auto"/>
        <w:rPr>
          <w:rFonts w:hAnsi="宋体"/>
          <w:color w:val="auto"/>
          <w:sz w:val="24"/>
          <w:szCs w:val="24"/>
          <w:highlight w:val="none"/>
        </w:rPr>
      </w:pPr>
      <w:r>
        <w:rPr>
          <w:rFonts w:hint="eastAsia" w:hAnsi="宋体"/>
          <w:color w:val="auto"/>
          <w:sz w:val="24"/>
          <w:szCs w:val="24"/>
          <w:highlight w:val="none"/>
        </w:rPr>
        <w:t>附件9：预付款担保格式</w:t>
      </w:r>
    </w:p>
    <w:p w14:paraId="2DAF786C">
      <w:pPr>
        <w:spacing w:line="360" w:lineRule="auto"/>
        <w:rPr>
          <w:rFonts w:hAnsi="宋体"/>
          <w:color w:val="auto"/>
          <w:sz w:val="24"/>
          <w:szCs w:val="24"/>
          <w:highlight w:val="none"/>
        </w:rPr>
      </w:pPr>
      <w:r>
        <w:rPr>
          <w:rFonts w:hint="eastAsia" w:hAnsi="宋体"/>
          <w:color w:val="auto"/>
          <w:sz w:val="24"/>
          <w:szCs w:val="24"/>
          <w:highlight w:val="none"/>
        </w:rPr>
        <w:t>附件10：支付担保格式（财政性投资项目按相关规定执行）</w:t>
      </w:r>
    </w:p>
    <w:p w14:paraId="7E2E8130">
      <w:pPr>
        <w:spacing w:line="360" w:lineRule="auto"/>
        <w:rPr>
          <w:rFonts w:hAnsi="宋体"/>
          <w:color w:val="auto"/>
          <w:sz w:val="24"/>
          <w:szCs w:val="24"/>
          <w:highlight w:val="none"/>
        </w:rPr>
      </w:pPr>
      <w:r>
        <w:rPr>
          <w:rFonts w:hint="eastAsia" w:hAnsi="宋体"/>
          <w:color w:val="auto"/>
          <w:sz w:val="24"/>
          <w:szCs w:val="24"/>
          <w:highlight w:val="none"/>
        </w:rPr>
        <w:t>附件11：暂估价一览表</w:t>
      </w:r>
    </w:p>
    <w:p w14:paraId="1EE89102">
      <w:pPr>
        <w:spacing w:line="360" w:lineRule="auto"/>
        <w:rPr>
          <w:rFonts w:hAnsi="宋体"/>
          <w:color w:val="auto"/>
          <w:sz w:val="24"/>
          <w:szCs w:val="24"/>
          <w:highlight w:val="none"/>
        </w:rPr>
      </w:pPr>
      <w:r>
        <w:rPr>
          <w:rFonts w:hint="eastAsia" w:hAnsi="宋体"/>
          <w:color w:val="auto"/>
          <w:sz w:val="24"/>
          <w:szCs w:val="24"/>
          <w:highlight w:val="none"/>
        </w:rPr>
        <w:t>附件12：建设工程安全文明施工责任书</w:t>
      </w:r>
    </w:p>
    <w:p w14:paraId="1FFC87B9">
      <w:pPr>
        <w:spacing w:line="360" w:lineRule="auto"/>
        <w:rPr>
          <w:rFonts w:hAnsi="宋体"/>
          <w:color w:val="auto"/>
          <w:sz w:val="24"/>
          <w:szCs w:val="24"/>
          <w:highlight w:val="none"/>
        </w:rPr>
      </w:pPr>
      <w:r>
        <w:rPr>
          <w:rFonts w:hint="eastAsia" w:hAnsi="宋体"/>
          <w:color w:val="auto"/>
          <w:sz w:val="24"/>
          <w:szCs w:val="24"/>
          <w:highlight w:val="none"/>
        </w:rPr>
        <w:t>附件13：廉政责任书</w:t>
      </w:r>
    </w:p>
    <w:p w14:paraId="5BB9DA94">
      <w:pPr>
        <w:spacing w:line="360" w:lineRule="auto"/>
        <w:rPr>
          <w:rFonts w:hAnsi="宋体"/>
          <w:color w:val="auto"/>
          <w:sz w:val="24"/>
          <w:szCs w:val="24"/>
          <w:highlight w:val="none"/>
        </w:rPr>
      </w:pPr>
      <w:r>
        <w:rPr>
          <w:rFonts w:hint="eastAsia" w:hAnsi="宋体"/>
          <w:color w:val="auto"/>
          <w:sz w:val="24"/>
          <w:szCs w:val="24"/>
          <w:highlight w:val="none"/>
        </w:rPr>
        <w:t>附件14：承诺书</w:t>
      </w:r>
    </w:p>
    <w:p w14:paraId="6CC120C5">
      <w:pPr>
        <w:spacing w:line="360" w:lineRule="auto"/>
        <w:rPr>
          <w:rFonts w:hAnsi="宋体"/>
          <w:color w:val="auto"/>
          <w:sz w:val="24"/>
          <w:szCs w:val="24"/>
          <w:highlight w:val="none"/>
        </w:rPr>
      </w:pPr>
      <w:r>
        <w:rPr>
          <w:rFonts w:hint="eastAsia" w:hAnsi="宋体"/>
          <w:color w:val="auto"/>
          <w:sz w:val="24"/>
          <w:szCs w:val="24"/>
          <w:highlight w:val="none"/>
        </w:rPr>
        <w:t>附件15：民工专户协议</w:t>
      </w:r>
    </w:p>
    <w:p w14:paraId="0992EDAC">
      <w:pPr>
        <w:spacing w:line="360" w:lineRule="auto"/>
        <w:rPr>
          <w:rFonts w:hAnsi="宋体"/>
          <w:color w:val="auto"/>
          <w:highlight w:val="none"/>
        </w:rPr>
      </w:pPr>
      <w:r>
        <w:rPr>
          <w:rFonts w:hint="eastAsia" w:hAnsi="宋体"/>
          <w:color w:val="auto"/>
          <w:highlight w:val="none"/>
        </w:rPr>
        <w:t xml:space="preserve"> </w:t>
      </w:r>
    </w:p>
    <w:p w14:paraId="088253E3">
      <w:pPr>
        <w:spacing w:line="360" w:lineRule="auto"/>
        <w:rPr>
          <w:rFonts w:hAnsi="宋体"/>
          <w:color w:val="auto"/>
          <w:highlight w:val="none"/>
        </w:rPr>
      </w:pPr>
      <w:r>
        <w:rPr>
          <w:rFonts w:hint="eastAsia" w:hAnsi="宋体"/>
          <w:color w:val="auto"/>
          <w:highlight w:val="none"/>
        </w:rPr>
        <w:t xml:space="preserve"> </w:t>
      </w:r>
    </w:p>
    <w:p w14:paraId="49D838BD">
      <w:pPr>
        <w:spacing w:line="360" w:lineRule="auto"/>
        <w:rPr>
          <w:rFonts w:hAnsi="宋体"/>
          <w:color w:val="auto"/>
          <w:highlight w:val="none"/>
        </w:rPr>
      </w:pPr>
      <w:r>
        <w:rPr>
          <w:rFonts w:hint="eastAsia" w:hAnsi="宋体"/>
          <w:color w:val="auto"/>
          <w:highlight w:val="none"/>
        </w:rPr>
        <w:t xml:space="preserve"> </w:t>
      </w:r>
    </w:p>
    <w:p w14:paraId="3CA7CE33">
      <w:pPr>
        <w:widowControl/>
        <w:jc w:val="left"/>
        <w:rPr>
          <w:rFonts w:hAnsi="宋体"/>
          <w:color w:val="auto"/>
          <w:sz w:val="24"/>
          <w:szCs w:val="24"/>
          <w:highlight w:val="none"/>
        </w:rPr>
      </w:pPr>
      <w:r>
        <w:rPr>
          <w:rFonts w:hint="eastAsia" w:hAnsi="宋体"/>
          <w:color w:val="auto"/>
          <w:highlight w:val="none"/>
        </w:rPr>
        <w:br w:type="page"/>
      </w:r>
      <w:bookmarkStart w:id="915" w:name="_Toc296944565"/>
      <w:bookmarkEnd w:id="915"/>
      <w:bookmarkStart w:id="916" w:name="_Toc296503226"/>
      <w:bookmarkEnd w:id="916"/>
      <w:bookmarkStart w:id="917" w:name="_Toc267261693"/>
      <w:bookmarkEnd w:id="917"/>
      <w:bookmarkStart w:id="918" w:name="_Toc296891266"/>
      <w:bookmarkEnd w:id="918"/>
      <w:bookmarkStart w:id="919" w:name="_Toc296346727"/>
      <w:bookmarkEnd w:id="919"/>
      <w:bookmarkStart w:id="920" w:name="_Toc296347225"/>
      <w:bookmarkEnd w:id="920"/>
      <w:bookmarkStart w:id="921" w:name="_Toc296891054"/>
      <w:r>
        <w:rPr>
          <w:rFonts w:hint="eastAsia" w:hAnsi="宋体"/>
          <w:color w:val="auto"/>
          <w:sz w:val="24"/>
          <w:szCs w:val="24"/>
          <w:highlight w:val="none"/>
        </w:rPr>
        <w:t>附</w:t>
      </w:r>
      <w:bookmarkEnd w:id="921"/>
      <w:r>
        <w:rPr>
          <w:rFonts w:hint="eastAsia" w:hAnsi="宋体"/>
          <w:color w:val="auto"/>
          <w:sz w:val="24"/>
          <w:szCs w:val="24"/>
          <w:highlight w:val="none"/>
        </w:rPr>
        <w:t>件3：</w:t>
      </w:r>
    </w:p>
    <w:p w14:paraId="29C3BDE8">
      <w:pPr>
        <w:spacing w:line="360" w:lineRule="auto"/>
        <w:jc w:val="center"/>
        <w:rPr>
          <w:rFonts w:hAnsi="宋体"/>
          <w:b/>
          <w:bCs/>
          <w:color w:val="auto"/>
          <w:highlight w:val="none"/>
        </w:rPr>
      </w:pPr>
      <w:r>
        <w:rPr>
          <w:rFonts w:hint="eastAsia" w:hAnsi="宋体"/>
          <w:b/>
          <w:bCs/>
          <w:color w:val="auto"/>
          <w:highlight w:val="none"/>
        </w:rPr>
        <w:t>工程质量保修书</w:t>
      </w:r>
    </w:p>
    <w:p w14:paraId="3B32FBEB">
      <w:pPr>
        <w:spacing w:line="360" w:lineRule="auto"/>
        <w:rPr>
          <w:rFonts w:hAnsi="宋体"/>
          <w:color w:val="auto"/>
          <w:sz w:val="24"/>
          <w:szCs w:val="24"/>
          <w:highlight w:val="none"/>
          <w:u w:val="single"/>
        </w:rPr>
      </w:pPr>
      <w:r>
        <w:rPr>
          <w:rFonts w:hint="eastAsia" w:hAnsi="宋体"/>
          <w:color w:val="auto"/>
          <w:sz w:val="24"/>
          <w:szCs w:val="24"/>
          <w:highlight w:val="none"/>
        </w:rPr>
        <w:t>发包人（全称）：</w:t>
      </w:r>
      <w:r>
        <w:rPr>
          <w:rFonts w:hint="eastAsia" w:hAnsi="宋体"/>
          <w:color w:val="auto"/>
          <w:sz w:val="24"/>
          <w:szCs w:val="24"/>
          <w:highlight w:val="none"/>
          <w:u w:val="single"/>
        </w:rPr>
        <w:t xml:space="preserve">                                                  </w:t>
      </w:r>
    </w:p>
    <w:p w14:paraId="46B0B443">
      <w:pPr>
        <w:spacing w:line="360" w:lineRule="auto"/>
        <w:rPr>
          <w:rFonts w:hAnsi="宋体"/>
          <w:color w:val="auto"/>
          <w:sz w:val="24"/>
          <w:szCs w:val="24"/>
          <w:highlight w:val="none"/>
        </w:rPr>
      </w:pPr>
      <w:r>
        <w:rPr>
          <w:rFonts w:hint="eastAsia" w:hAnsi="宋体"/>
          <w:color w:val="auto"/>
          <w:sz w:val="24"/>
          <w:szCs w:val="24"/>
          <w:highlight w:val="none"/>
        </w:rPr>
        <w:t>承包人（全称）：</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w:t>
      </w:r>
    </w:p>
    <w:p w14:paraId="5F87F735">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发包人和承包人根据《中华人民共和国建筑法》和《建设工程质量管理条例》，经协商一致就</w:t>
      </w:r>
      <w:r>
        <w:rPr>
          <w:rFonts w:hint="eastAsia" w:hAnsi="宋体"/>
          <w:color w:val="auto"/>
          <w:sz w:val="24"/>
          <w:szCs w:val="24"/>
          <w:highlight w:val="none"/>
          <w:u w:val="single"/>
        </w:rPr>
        <w:t xml:space="preserve">                     </w:t>
      </w:r>
      <w:r>
        <w:rPr>
          <w:rFonts w:hint="eastAsia" w:hAnsi="宋体"/>
          <w:color w:val="auto"/>
          <w:sz w:val="24"/>
          <w:szCs w:val="24"/>
          <w:highlight w:val="none"/>
        </w:rPr>
        <w:t>签订工程质量保修书。</w:t>
      </w:r>
    </w:p>
    <w:p w14:paraId="15E11E4D">
      <w:pPr>
        <w:spacing w:line="360" w:lineRule="auto"/>
        <w:ind w:firstLine="487" w:firstLineChars="202"/>
        <w:rPr>
          <w:rFonts w:hAnsi="宋体"/>
          <w:b/>
          <w:bCs/>
          <w:color w:val="auto"/>
          <w:sz w:val="24"/>
          <w:szCs w:val="24"/>
          <w:highlight w:val="none"/>
        </w:rPr>
      </w:pPr>
      <w:r>
        <w:rPr>
          <w:rFonts w:hint="eastAsia" w:hAnsi="宋体"/>
          <w:b/>
          <w:bCs/>
          <w:color w:val="auto"/>
          <w:sz w:val="24"/>
          <w:szCs w:val="24"/>
          <w:highlight w:val="none"/>
        </w:rPr>
        <w:t>一、工程质量保修范围和内容</w:t>
      </w:r>
    </w:p>
    <w:p w14:paraId="04FA3ED3">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承包人在质量保修期内，按照有关法律规定和合同约定，承担工程质量保修责任。</w:t>
      </w:r>
    </w:p>
    <w:p w14:paraId="4D0A5FF3">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hAnsi="宋体"/>
          <w:color w:val="auto"/>
          <w:sz w:val="24"/>
          <w:szCs w:val="24"/>
          <w:highlight w:val="none"/>
          <w:u w:val="single"/>
        </w:rPr>
        <w:t>本工程承包范围内所有内容</w:t>
      </w:r>
      <w:r>
        <w:rPr>
          <w:rFonts w:hint="eastAsia" w:hAnsi="宋体"/>
          <w:color w:val="auto"/>
          <w:sz w:val="24"/>
          <w:szCs w:val="24"/>
          <w:highlight w:val="none"/>
        </w:rPr>
        <w:t>。</w:t>
      </w:r>
    </w:p>
    <w:p w14:paraId="07FDD9C1">
      <w:pPr>
        <w:spacing w:line="360" w:lineRule="auto"/>
        <w:ind w:firstLine="487" w:firstLineChars="202"/>
        <w:rPr>
          <w:rFonts w:hAnsi="宋体"/>
          <w:b/>
          <w:bCs/>
          <w:color w:val="auto"/>
          <w:sz w:val="24"/>
          <w:szCs w:val="24"/>
          <w:highlight w:val="none"/>
        </w:rPr>
      </w:pPr>
      <w:r>
        <w:rPr>
          <w:rFonts w:hint="eastAsia" w:hAnsi="宋体"/>
          <w:b/>
          <w:bCs/>
          <w:color w:val="auto"/>
          <w:sz w:val="24"/>
          <w:szCs w:val="24"/>
          <w:highlight w:val="none"/>
        </w:rPr>
        <w:t>二、质量保修期</w:t>
      </w:r>
    </w:p>
    <w:p w14:paraId="39F3A3E5">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根据《建设工程质量管理条例》及有关规定，工程的质量保修期如下：</w:t>
      </w:r>
    </w:p>
    <w:p w14:paraId="6B00602F">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1．地基基础工程和主体结构工程为设计文件规定的工程合理使用年限；</w:t>
      </w:r>
    </w:p>
    <w:p w14:paraId="4F30E6AD">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2．屋面防水工程、有防水要求的卫生间、房间和外墙面的防渗为</w:t>
      </w:r>
      <w:r>
        <w:rPr>
          <w:rFonts w:hint="eastAsia" w:hAnsi="宋体"/>
          <w:color w:val="auto"/>
          <w:sz w:val="24"/>
          <w:szCs w:val="24"/>
          <w:highlight w:val="none"/>
          <w:u w:val="single"/>
        </w:rPr>
        <w:t>/</w:t>
      </w:r>
      <w:r>
        <w:rPr>
          <w:rFonts w:hint="eastAsia" w:hAnsi="宋体"/>
          <w:color w:val="auto"/>
          <w:sz w:val="24"/>
          <w:szCs w:val="24"/>
          <w:highlight w:val="none"/>
        </w:rPr>
        <w:t>年；</w:t>
      </w:r>
    </w:p>
    <w:p w14:paraId="192B32DA">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 xml:space="preserve">3．装修工程为 </w:t>
      </w:r>
      <w:r>
        <w:rPr>
          <w:rFonts w:hint="eastAsia" w:hAnsi="宋体"/>
          <w:color w:val="auto"/>
          <w:sz w:val="24"/>
          <w:szCs w:val="24"/>
          <w:highlight w:val="none"/>
          <w:u w:val="single"/>
        </w:rPr>
        <w:t>/</w:t>
      </w:r>
      <w:r>
        <w:rPr>
          <w:rFonts w:hint="eastAsia" w:hAnsi="宋体"/>
          <w:color w:val="auto"/>
          <w:sz w:val="24"/>
          <w:szCs w:val="24"/>
          <w:highlight w:val="none"/>
        </w:rPr>
        <w:t>年；</w:t>
      </w:r>
    </w:p>
    <w:p w14:paraId="43A5ACD8">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4．电气管线、给排水管道、设备安装工程为</w:t>
      </w:r>
      <w:r>
        <w:rPr>
          <w:rFonts w:hint="eastAsia" w:hAnsi="宋体"/>
          <w:color w:val="auto"/>
          <w:sz w:val="24"/>
          <w:szCs w:val="24"/>
          <w:highlight w:val="none"/>
          <w:u w:val="single"/>
        </w:rPr>
        <w:t>/</w:t>
      </w:r>
      <w:r>
        <w:rPr>
          <w:rFonts w:hint="eastAsia" w:hAnsi="宋体"/>
          <w:color w:val="auto"/>
          <w:sz w:val="24"/>
          <w:szCs w:val="24"/>
          <w:highlight w:val="none"/>
        </w:rPr>
        <w:t>年；</w:t>
      </w:r>
    </w:p>
    <w:p w14:paraId="578E9557">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5．供热与供冷系统为</w:t>
      </w:r>
      <w:r>
        <w:rPr>
          <w:rFonts w:hint="eastAsia" w:hAnsi="宋体"/>
          <w:color w:val="auto"/>
          <w:sz w:val="24"/>
          <w:szCs w:val="24"/>
          <w:highlight w:val="none"/>
          <w:u w:val="single"/>
        </w:rPr>
        <w:t>/</w:t>
      </w:r>
      <w:r>
        <w:rPr>
          <w:rFonts w:hint="eastAsia" w:hAnsi="宋体"/>
          <w:color w:val="auto"/>
          <w:sz w:val="24"/>
          <w:szCs w:val="24"/>
          <w:highlight w:val="none"/>
        </w:rPr>
        <w:t>个采暖期、供冷期；</w:t>
      </w:r>
    </w:p>
    <w:p w14:paraId="29B2EC7F">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 xml:space="preserve">6．住宅小区内的给排水设施、道路等配套工程为 </w:t>
      </w:r>
      <w:r>
        <w:rPr>
          <w:rFonts w:hint="eastAsia" w:hAnsi="宋体"/>
          <w:color w:val="auto"/>
          <w:sz w:val="24"/>
          <w:szCs w:val="24"/>
          <w:highlight w:val="none"/>
          <w:u w:val="single"/>
        </w:rPr>
        <w:t>/</w:t>
      </w:r>
      <w:r>
        <w:rPr>
          <w:rFonts w:hint="eastAsia" w:hAnsi="宋体"/>
          <w:color w:val="auto"/>
          <w:sz w:val="24"/>
          <w:szCs w:val="24"/>
          <w:highlight w:val="none"/>
        </w:rPr>
        <w:t>年；</w:t>
      </w:r>
    </w:p>
    <w:p w14:paraId="32006E13">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7．其他项目保修期限约定如下：</w:t>
      </w:r>
      <w:r>
        <w:rPr>
          <w:rFonts w:hint="eastAsia" w:hAnsi="宋体"/>
          <w:color w:val="auto"/>
          <w:sz w:val="24"/>
          <w:szCs w:val="24"/>
          <w:highlight w:val="none"/>
          <w:u w:val="single"/>
        </w:rPr>
        <w:t>本项目保修期为2年。</w:t>
      </w:r>
    </w:p>
    <w:p w14:paraId="402FD1F5">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质量保修期自工程竣工验收合格之日起计算。</w:t>
      </w:r>
    </w:p>
    <w:p w14:paraId="2E87BA89">
      <w:pPr>
        <w:spacing w:line="360" w:lineRule="auto"/>
        <w:ind w:firstLine="487" w:firstLineChars="202"/>
        <w:rPr>
          <w:rFonts w:hAnsi="宋体"/>
          <w:b/>
          <w:bCs/>
          <w:color w:val="auto"/>
          <w:sz w:val="24"/>
          <w:szCs w:val="24"/>
          <w:highlight w:val="none"/>
        </w:rPr>
      </w:pPr>
      <w:r>
        <w:rPr>
          <w:rFonts w:hint="eastAsia" w:hAnsi="宋体"/>
          <w:b/>
          <w:bCs/>
          <w:color w:val="auto"/>
          <w:sz w:val="24"/>
          <w:szCs w:val="24"/>
          <w:highlight w:val="none"/>
        </w:rPr>
        <w:t>三、缺陷责任期</w:t>
      </w:r>
    </w:p>
    <w:p w14:paraId="74C7BE18">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工程缺陷责任期为</w:t>
      </w:r>
      <w:r>
        <w:rPr>
          <w:rFonts w:hint="eastAsia" w:hAnsi="宋体"/>
          <w:color w:val="auto"/>
          <w:sz w:val="24"/>
          <w:szCs w:val="24"/>
          <w:highlight w:val="none"/>
          <w:u w:val="single"/>
        </w:rPr>
        <w:t>24</w:t>
      </w:r>
      <w:r>
        <w:rPr>
          <w:rFonts w:hint="eastAsia" w:hAnsi="宋体"/>
          <w:color w:val="auto"/>
          <w:sz w:val="24"/>
          <w:szCs w:val="24"/>
          <w:highlight w:val="none"/>
        </w:rPr>
        <w:t>个月，缺陷责任期自工程竣工验收合格之日起计算。单位工程先于全部工程进行验收，单位工程缺陷责任期自单位工程验收合格之日期起算。</w:t>
      </w:r>
    </w:p>
    <w:p w14:paraId="38025E38">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缺陷责任期终止后，发包人应退还剩余的质量保证金。</w:t>
      </w:r>
    </w:p>
    <w:p w14:paraId="41E7F983">
      <w:pPr>
        <w:spacing w:line="360" w:lineRule="auto"/>
        <w:ind w:firstLine="487" w:firstLineChars="202"/>
        <w:rPr>
          <w:rFonts w:hAnsi="宋体"/>
          <w:b/>
          <w:bCs/>
          <w:color w:val="auto"/>
          <w:sz w:val="24"/>
          <w:szCs w:val="24"/>
          <w:highlight w:val="none"/>
        </w:rPr>
      </w:pPr>
      <w:r>
        <w:rPr>
          <w:rFonts w:hint="eastAsia" w:hAnsi="宋体"/>
          <w:b/>
          <w:bCs/>
          <w:color w:val="auto"/>
          <w:sz w:val="24"/>
          <w:szCs w:val="24"/>
          <w:highlight w:val="none"/>
        </w:rPr>
        <w:t>四、质量保修责任</w:t>
      </w:r>
    </w:p>
    <w:p w14:paraId="7A9D28A9">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1．属于保修范围、内容的项目，承包人应当在接到保修通知之日起7日内派人保修，承包人不在约定期限内派人保修的，发包人可委托他人修理。</w:t>
      </w:r>
    </w:p>
    <w:p w14:paraId="3C5A5A64">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2．发生须紧急抢修事故，承包人接到事故通知后，应立即到达事故现场抢修。</w:t>
      </w:r>
    </w:p>
    <w:p w14:paraId="5ED51640">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9F749FB">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4．质量保修完成后，由发包人组织验收。</w:t>
      </w:r>
    </w:p>
    <w:p w14:paraId="4BBF4141">
      <w:pPr>
        <w:spacing w:line="360" w:lineRule="auto"/>
        <w:ind w:firstLine="487" w:firstLineChars="202"/>
        <w:rPr>
          <w:rFonts w:hAnsi="宋体"/>
          <w:b/>
          <w:bCs/>
          <w:color w:val="auto"/>
          <w:sz w:val="24"/>
          <w:szCs w:val="24"/>
          <w:highlight w:val="none"/>
        </w:rPr>
      </w:pPr>
      <w:r>
        <w:rPr>
          <w:rFonts w:hint="eastAsia" w:hAnsi="宋体"/>
          <w:b/>
          <w:bCs/>
          <w:color w:val="auto"/>
          <w:sz w:val="24"/>
          <w:szCs w:val="24"/>
          <w:highlight w:val="none"/>
        </w:rPr>
        <w:t>五、保修费用</w:t>
      </w:r>
    </w:p>
    <w:p w14:paraId="4788893F">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保修费用由造成质量缺陷的责任方承担。</w:t>
      </w:r>
    </w:p>
    <w:p w14:paraId="06331BAF">
      <w:pPr>
        <w:spacing w:line="360" w:lineRule="auto"/>
        <w:ind w:firstLine="484" w:firstLineChars="202"/>
        <w:rPr>
          <w:rFonts w:hAnsi="宋体"/>
          <w:color w:val="auto"/>
          <w:sz w:val="24"/>
          <w:szCs w:val="24"/>
          <w:highlight w:val="none"/>
          <w:u w:val="single"/>
        </w:rPr>
      </w:pPr>
      <w:r>
        <w:rPr>
          <w:rFonts w:hint="eastAsia" w:hAnsi="宋体"/>
          <w:color w:val="auto"/>
          <w:sz w:val="24"/>
          <w:szCs w:val="24"/>
          <w:highlight w:val="none"/>
        </w:rPr>
        <w:t>六、双方约定的其他工程质量保修事项：</w:t>
      </w:r>
    </w:p>
    <w:p w14:paraId="16858091">
      <w:pPr>
        <w:spacing w:line="300" w:lineRule="auto"/>
        <w:ind w:firstLine="484" w:firstLineChars="202"/>
        <w:outlineLvl w:val="0"/>
        <w:rPr>
          <w:rFonts w:hAnsi="宋体"/>
          <w:color w:val="auto"/>
          <w:sz w:val="24"/>
          <w:szCs w:val="24"/>
          <w:highlight w:val="none"/>
        </w:rPr>
      </w:pPr>
      <w:r>
        <w:rPr>
          <w:rFonts w:hint="eastAsia" w:hAnsi="宋体"/>
          <w:color w:val="auto"/>
          <w:sz w:val="24"/>
          <w:szCs w:val="24"/>
          <w:highlight w:val="none"/>
        </w:rPr>
        <w:t>本工程质量保修期为 2年，质量保修期内发生的因施工原因造成的质量缺陷由承包人负责修理直至消除质量隐患。若在质保期内，承包人明确答复无法修理，发包人将委托第三方进行修理，由此发生的维修费用在承包人的质量保证金内扣除；</w:t>
      </w:r>
    </w:p>
    <w:p w14:paraId="3BC67A85">
      <w:pPr>
        <w:spacing w:line="360" w:lineRule="auto"/>
        <w:ind w:firstLine="484" w:firstLineChars="202"/>
        <w:rPr>
          <w:rFonts w:hAnsi="宋体"/>
          <w:color w:val="auto"/>
          <w:sz w:val="24"/>
          <w:szCs w:val="24"/>
          <w:highlight w:val="none"/>
        </w:rPr>
      </w:pPr>
      <w:r>
        <w:rPr>
          <w:rFonts w:hint="eastAsia" w:hAnsi="宋体"/>
          <w:color w:val="auto"/>
          <w:sz w:val="24"/>
          <w:szCs w:val="24"/>
          <w:highlight w:val="none"/>
        </w:rPr>
        <w:t>工程质量保修书由发包人、承包人在工程竣工验收前共同签署，作为施工合同附件，其有效期限至保修期满。</w:t>
      </w:r>
    </w:p>
    <w:p w14:paraId="7E4113D5">
      <w:pPr>
        <w:spacing w:line="360" w:lineRule="auto"/>
        <w:rPr>
          <w:rFonts w:hAnsi="宋体"/>
          <w:color w:val="auto"/>
          <w:highlight w:val="none"/>
        </w:rPr>
      </w:pPr>
      <w:r>
        <w:rPr>
          <w:rFonts w:hint="eastAsia" w:hAnsi="宋体"/>
          <w:color w:val="auto"/>
          <w:highlight w:val="none"/>
        </w:rPr>
        <w:t xml:space="preserve"> </w:t>
      </w:r>
    </w:p>
    <w:p w14:paraId="56BB64DF">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发包人：（公章）                       承包人：（公章）</w:t>
      </w:r>
    </w:p>
    <w:p w14:paraId="22172B5C">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住所：                                 住所：</w:t>
      </w:r>
    </w:p>
    <w:p w14:paraId="2E7BD81C">
      <w:pPr>
        <w:spacing w:line="360" w:lineRule="auto"/>
        <w:rPr>
          <w:rFonts w:hAnsi="宋体"/>
          <w:color w:val="auto"/>
          <w:sz w:val="24"/>
          <w:szCs w:val="24"/>
          <w:highlight w:val="none"/>
        </w:rPr>
      </w:pPr>
      <w:r>
        <w:rPr>
          <w:rFonts w:hint="eastAsia" w:hAnsi="宋体"/>
          <w:color w:val="auto"/>
          <w:sz w:val="24"/>
          <w:szCs w:val="24"/>
          <w:highlight w:val="none"/>
        </w:rPr>
        <w:t xml:space="preserve">  法定代表人：                             法定代表人：</w:t>
      </w:r>
    </w:p>
    <w:p w14:paraId="39292E0B">
      <w:pPr>
        <w:spacing w:line="360" w:lineRule="auto"/>
        <w:rPr>
          <w:rFonts w:hAnsi="宋体"/>
          <w:color w:val="auto"/>
          <w:sz w:val="24"/>
          <w:szCs w:val="24"/>
          <w:highlight w:val="none"/>
        </w:rPr>
      </w:pPr>
      <w:r>
        <w:rPr>
          <w:rFonts w:hint="eastAsia" w:hAnsi="宋体"/>
          <w:color w:val="auto"/>
          <w:sz w:val="24"/>
          <w:szCs w:val="24"/>
          <w:highlight w:val="none"/>
        </w:rPr>
        <w:t xml:space="preserve">  委托代表人：                             委托代表人：</w:t>
      </w:r>
    </w:p>
    <w:p w14:paraId="4F9672AD">
      <w:pPr>
        <w:spacing w:line="360" w:lineRule="auto"/>
        <w:ind w:firstLine="480"/>
        <w:rPr>
          <w:rFonts w:hAnsi="宋体"/>
          <w:color w:val="auto"/>
          <w:sz w:val="24"/>
          <w:szCs w:val="24"/>
          <w:highlight w:val="none"/>
        </w:rPr>
      </w:pPr>
      <w:r>
        <w:rPr>
          <w:rFonts w:hint="eastAsia" w:hAnsi="宋体"/>
          <w:color w:val="auto"/>
          <w:sz w:val="24"/>
          <w:szCs w:val="24"/>
          <w:highlight w:val="none"/>
        </w:rPr>
        <w:t>电话：                                 电话：</w:t>
      </w:r>
    </w:p>
    <w:p w14:paraId="16F60D20">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传真：                                 传真：</w:t>
      </w:r>
    </w:p>
    <w:p w14:paraId="6E330C98">
      <w:pPr>
        <w:spacing w:line="360" w:lineRule="auto"/>
        <w:rPr>
          <w:rFonts w:hAnsi="宋体"/>
          <w:color w:val="auto"/>
          <w:sz w:val="24"/>
          <w:szCs w:val="24"/>
          <w:highlight w:val="none"/>
        </w:rPr>
      </w:pPr>
      <w:r>
        <w:rPr>
          <w:rFonts w:hint="eastAsia" w:hAnsi="宋体"/>
          <w:color w:val="auto"/>
          <w:sz w:val="24"/>
          <w:szCs w:val="24"/>
          <w:highlight w:val="none"/>
        </w:rPr>
        <w:t xml:space="preserve">   开户银行：                              开户银行：</w:t>
      </w:r>
    </w:p>
    <w:p w14:paraId="090924A2">
      <w:pPr>
        <w:spacing w:line="440" w:lineRule="exact"/>
        <w:ind w:firstLine="480" w:firstLineChars="200"/>
        <w:rPr>
          <w:rFonts w:hAnsi="宋体"/>
          <w:color w:val="auto"/>
          <w:sz w:val="30"/>
          <w:szCs w:val="30"/>
          <w:highlight w:val="none"/>
        </w:rPr>
      </w:pPr>
      <w:r>
        <w:rPr>
          <w:rFonts w:hint="eastAsia" w:hAnsi="宋体"/>
          <w:color w:val="auto"/>
          <w:sz w:val="24"/>
          <w:szCs w:val="24"/>
          <w:highlight w:val="none"/>
        </w:rPr>
        <w:t>账号：                                 账号：</w:t>
      </w:r>
      <w:r>
        <w:rPr>
          <w:rFonts w:hint="eastAsia" w:hAnsi="宋体"/>
          <w:color w:val="auto"/>
          <w:sz w:val="30"/>
          <w:szCs w:val="30"/>
          <w:highlight w:val="none"/>
        </w:rPr>
        <w:br w:type="page"/>
      </w:r>
    </w:p>
    <w:p w14:paraId="44DB78B2">
      <w:pPr>
        <w:spacing w:line="440" w:lineRule="exact"/>
        <w:rPr>
          <w:rFonts w:ascii="Times New Roman" w:eastAsia="仿宋_GB2312"/>
          <w:color w:val="auto"/>
          <w:sz w:val="30"/>
          <w:szCs w:val="30"/>
          <w:highlight w:val="none"/>
        </w:rPr>
      </w:pPr>
      <w:r>
        <w:rPr>
          <w:rFonts w:hint="eastAsia" w:hAnsi="宋体"/>
          <w:color w:val="auto"/>
          <w:sz w:val="30"/>
          <w:szCs w:val="30"/>
          <w:highlight w:val="none"/>
        </w:rPr>
        <w:t>附件2：</w:t>
      </w:r>
    </w:p>
    <w:p w14:paraId="0656DFE7">
      <w:pPr>
        <w:spacing w:beforeLines="50" w:afterLines="50" w:line="440" w:lineRule="exact"/>
        <w:jc w:val="center"/>
        <w:rPr>
          <w:rFonts w:hAnsi="宋体"/>
          <w:color w:val="auto"/>
          <w:sz w:val="30"/>
          <w:szCs w:val="30"/>
          <w:highlight w:val="none"/>
        </w:rPr>
      </w:pPr>
      <w:r>
        <w:rPr>
          <w:rFonts w:hint="eastAsia" w:hAnsi="宋体"/>
          <w:color w:val="auto"/>
          <w:sz w:val="30"/>
          <w:szCs w:val="30"/>
          <w:highlight w:val="none"/>
        </w:rPr>
        <w:t>主要建设工程文件目录</w:t>
      </w:r>
    </w:p>
    <w:tbl>
      <w:tblPr>
        <w:tblStyle w:val="63"/>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488FC8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left w:val="single" w:color="auto" w:sz="12" w:space="0"/>
              <w:bottom w:val="double" w:color="auto" w:sz="2" w:space="0"/>
              <w:right w:val="single" w:color="auto" w:sz="6" w:space="0"/>
            </w:tcBorders>
            <w:vAlign w:val="center"/>
          </w:tcPr>
          <w:p w14:paraId="478A8EE0">
            <w:pPr>
              <w:pStyle w:val="23"/>
              <w:keepNext/>
              <w:spacing w:after="0" w:line="440" w:lineRule="exact"/>
              <w:ind w:left="63" w:right="63"/>
              <w:rPr>
                <w:rFonts w:hAnsi="宋体"/>
                <w:color w:val="auto"/>
                <w:highlight w:val="none"/>
              </w:rPr>
            </w:pPr>
            <w:r>
              <w:rPr>
                <w:rFonts w:hint="eastAsia" w:hAnsi="宋体"/>
                <w:color w:val="auto"/>
                <w:highlight w:val="none"/>
              </w:rPr>
              <w:t>文件名称</w:t>
            </w:r>
          </w:p>
        </w:tc>
        <w:tc>
          <w:tcPr>
            <w:tcW w:w="1276" w:type="dxa"/>
            <w:tcBorders>
              <w:top w:val="single" w:color="auto" w:sz="12" w:space="0"/>
              <w:left w:val="single" w:color="auto" w:sz="6" w:space="0"/>
              <w:bottom w:val="double" w:color="auto" w:sz="2" w:space="0"/>
              <w:right w:val="single" w:color="auto" w:sz="6" w:space="0"/>
            </w:tcBorders>
            <w:vAlign w:val="center"/>
          </w:tcPr>
          <w:p w14:paraId="4B4825B5">
            <w:pPr>
              <w:pStyle w:val="23"/>
              <w:keepNext/>
              <w:spacing w:after="0" w:line="440" w:lineRule="exact"/>
              <w:ind w:left="63" w:right="63"/>
              <w:rPr>
                <w:rFonts w:hAnsi="宋体"/>
                <w:color w:val="auto"/>
                <w:highlight w:val="none"/>
              </w:rPr>
            </w:pPr>
            <w:r>
              <w:rPr>
                <w:rFonts w:hint="eastAsia" w:hAnsi="宋体"/>
                <w:color w:val="auto"/>
                <w:highlight w:val="none"/>
              </w:rPr>
              <w:t>套数</w:t>
            </w:r>
          </w:p>
        </w:tc>
        <w:tc>
          <w:tcPr>
            <w:tcW w:w="1450" w:type="dxa"/>
            <w:tcBorders>
              <w:top w:val="single" w:color="auto" w:sz="12" w:space="0"/>
              <w:left w:val="single" w:color="auto" w:sz="6" w:space="0"/>
              <w:bottom w:val="double" w:color="auto" w:sz="2" w:space="0"/>
              <w:right w:val="single" w:color="auto" w:sz="6" w:space="0"/>
            </w:tcBorders>
            <w:vAlign w:val="center"/>
          </w:tcPr>
          <w:p w14:paraId="315B4093">
            <w:pPr>
              <w:pStyle w:val="23"/>
              <w:keepNext/>
              <w:spacing w:after="0" w:line="440" w:lineRule="exact"/>
              <w:ind w:left="63" w:right="63"/>
              <w:rPr>
                <w:rFonts w:hAnsi="宋体"/>
                <w:color w:val="auto"/>
                <w:highlight w:val="none"/>
              </w:rPr>
            </w:pPr>
            <w:r>
              <w:rPr>
                <w:rFonts w:hint="eastAsia" w:hAnsi="宋体"/>
                <w:color w:val="auto"/>
                <w:highlight w:val="none"/>
              </w:rPr>
              <w:t>费用（元）</w:t>
            </w:r>
          </w:p>
        </w:tc>
        <w:tc>
          <w:tcPr>
            <w:tcW w:w="1243" w:type="dxa"/>
            <w:tcBorders>
              <w:top w:val="single" w:color="auto" w:sz="12" w:space="0"/>
              <w:left w:val="single" w:color="auto" w:sz="6" w:space="0"/>
              <w:bottom w:val="double" w:color="auto" w:sz="2" w:space="0"/>
              <w:right w:val="single" w:color="auto" w:sz="6" w:space="0"/>
            </w:tcBorders>
            <w:vAlign w:val="center"/>
          </w:tcPr>
          <w:p w14:paraId="5BA85BA7">
            <w:pPr>
              <w:pStyle w:val="23"/>
              <w:keepNext/>
              <w:spacing w:after="0" w:line="440" w:lineRule="exact"/>
              <w:ind w:left="63" w:right="63"/>
              <w:rPr>
                <w:rFonts w:hAnsi="宋体"/>
                <w:color w:val="auto"/>
                <w:highlight w:val="none"/>
              </w:rPr>
            </w:pPr>
            <w:r>
              <w:rPr>
                <w:rFonts w:hint="eastAsia" w:hAnsi="宋体"/>
                <w:color w:val="auto"/>
                <w:highlight w:val="none"/>
              </w:rPr>
              <w:t>质量</w:t>
            </w:r>
          </w:p>
        </w:tc>
        <w:tc>
          <w:tcPr>
            <w:tcW w:w="1450" w:type="dxa"/>
            <w:tcBorders>
              <w:top w:val="single" w:color="auto" w:sz="12" w:space="0"/>
              <w:left w:val="single" w:color="auto" w:sz="6" w:space="0"/>
              <w:bottom w:val="double" w:color="auto" w:sz="2" w:space="0"/>
              <w:right w:val="single" w:color="auto" w:sz="6" w:space="0"/>
            </w:tcBorders>
          </w:tcPr>
          <w:p w14:paraId="7565C000">
            <w:pPr>
              <w:spacing w:line="440" w:lineRule="exact"/>
              <w:jc w:val="center"/>
              <w:rPr>
                <w:rFonts w:hAnsi="宋体"/>
                <w:color w:val="auto"/>
                <w:highlight w:val="none"/>
              </w:rPr>
            </w:pPr>
            <w:r>
              <w:rPr>
                <w:rFonts w:hint="eastAsia" w:hAnsi="宋体"/>
                <w:color w:val="auto"/>
                <w:highlight w:val="none"/>
              </w:rPr>
              <w:t>移交时间</w:t>
            </w:r>
          </w:p>
        </w:tc>
        <w:tc>
          <w:tcPr>
            <w:tcW w:w="1667" w:type="dxa"/>
            <w:tcBorders>
              <w:top w:val="single" w:color="auto" w:sz="12" w:space="0"/>
              <w:left w:val="single" w:color="auto" w:sz="6" w:space="0"/>
              <w:bottom w:val="double" w:color="auto" w:sz="2" w:space="0"/>
              <w:right w:val="single" w:color="auto" w:sz="12" w:space="0"/>
            </w:tcBorders>
          </w:tcPr>
          <w:p w14:paraId="348281DF">
            <w:pPr>
              <w:spacing w:line="440" w:lineRule="exact"/>
              <w:jc w:val="center"/>
              <w:rPr>
                <w:rFonts w:hAnsi="宋体"/>
                <w:color w:val="auto"/>
                <w:highlight w:val="none"/>
              </w:rPr>
            </w:pPr>
            <w:r>
              <w:rPr>
                <w:rFonts w:hint="eastAsia" w:hAnsi="宋体"/>
                <w:color w:val="auto"/>
                <w:highlight w:val="none"/>
              </w:rPr>
              <w:t>责任人</w:t>
            </w:r>
          </w:p>
        </w:tc>
      </w:tr>
      <w:tr w14:paraId="782F10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2" w:space="0"/>
              <w:left w:val="single" w:color="auto" w:sz="12" w:space="0"/>
              <w:bottom w:val="single" w:color="auto" w:sz="6" w:space="0"/>
              <w:right w:val="single" w:color="auto" w:sz="6" w:space="0"/>
            </w:tcBorders>
            <w:vAlign w:val="center"/>
          </w:tcPr>
          <w:p w14:paraId="07F4DD9B">
            <w:pPr>
              <w:pStyle w:val="23"/>
              <w:keepNext/>
              <w:spacing w:after="0" w:line="440" w:lineRule="exact"/>
              <w:ind w:left="63" w:right="63"/>
              <w:rPr>
                <w:rFonts w:hAnsi="宋体"/>
                <w:color w:val="auto"/>
                <w:sz w:val="30"/>
                <w:szCs w:val="30"/>
                <w:highlight w:val="none"/>
              </w:rPr>
            </w:pPr>
          </w:p>
        </w:tc>
        <w:tc>
          <w:tcPr>
            <w:tcW w:w="1276" w:type="dxa"/>
            <w:tcBorders>
              <w:top w:val="double" w:color="auto" w:sz="2" w:space="0"/>
              <w:left w:val="single" w:color="auto" w:sz="6" w:space="0"/>
              <w:bottom w:val="single" w:color="auto" w:sz="6" w:space="0"/>
              <w:right w:val="single" w:color="auto" w:sz="6" w:space="0"/>
            </w:tcBorders>
            <w:vAlign w:val="center"/>
          </w:tcPr>
          <w:p w14:paraId="1A58F17D">
            <w:pPr>
              <w:pStyle w:val="23"/>
              <w:keepNext/>
              <w:spacing w:after="0" w:line="440" w:lineRule="exact"/>
              <w:ind w:left="63" w:right="63"/>
              <w:rPr>
                <w:rFonts w:hAnsi="宋体"/>
                <w:color w:val="auto"/>
                <w:sz w:val="30"/>
                <w:szCs w:val="30"/>
                <w:highlight w:val="none"/>
              </w:rPr>
            </w:pPr>
          </w:p>
        </w:tc>
        <w:tc>
          <w:tcPr>
            <w:tcW w:w="1450" w:type="dxa"/>
            <w:tcBorders>
              <w:top w:val="double" w:color="auto" w:sz="2" w:space="0"/>
              <w:left w:val="single" w:color="auto" w:sz="6" w:space="0"/>
              <w:bottom w:val="single" w:color="auto" w:sz="6" w:space="0"/>
              <w:right w:val="single" w:color="auto" w:sz="6" w:space="0"/>
            </w:tcBorders>
            <w:vAlign w:val="center"/>
          </w:tcPr>
          <w:p w14:paraId="00D403A2">
            <w:pPr>
              <w:pStyle w:val="23"/>
              <w:keepNext/>
              <w:spacing w:after="0" w:line="440" w:lineRule="exact"/>
              <w:ind w:left="63" w:right="63"/>
              <w:rPr>
                <w:rFonts w:hAnsi="宋体"/>
                <w:color w:val="auto"/>
                <w:sz w:val="30"/>
                <w:szCs w:val="30"/>
                <w:highlight w:val="none"/>
              </w:rPr>
            </w:pPr>
          </w:p>
        </w:tc>
        <w:tc>
          <w:tcPr>
            <w:tcW w:w="1243" w:type="dxa"/>
            <w:tcBorders>
              <w:top w:val="double" w:color="auto" w:sz="2" w:space="0"/>
              <w:left w:val="single" w:color="auto" w:sz="6" w:space="0"/>
              <w:bottom w:val="single" w:color="auto" w:sz="6" w:space="0"/>
              <w:right w:val="single" w:color="auto" w:sz="6" w:space="0"/>
            </w:tcBorders>
            <w:vAlign w:val="center"/>
          </w:tcPr>
          <w:p w14:paraId="4D88178C">
            <w:pPr>
              <w:pStyle w:val="23"/>
              <w:keepNext/>
              <w:spacing w:after="0" w:line="440" w:lineRule="exact"/>
              <w:ind w:left="63" w:right="63"/>
              <w:rPr>
                <w:rFonts w:hAnsi="宋体"/>
                <w:color w:val="auto"/>
                <w:sz w:val="30"/>
                <w:szCs w:val="30"/>
                <w:highlight w:val="none"/>
              </w:rPr>
            </w:pPr>
          </w:p>
        </w:tc>
        <w:tc>
          <w:tcPr>
            <w:tcW w:w="1450" w:type="dxa"/>
            <w:tcBorders>
              <w:top w:val="double" w:color="auto" w:sz="2" w:space="0"/>
              <w:left w:val="single" w:color="auto" w:sz="6" w:space="0"/>
              <w:bottom w:val="single" w:color="auto" w:sz="6" w:space="0"/>
              <w:right w:val="single" w:color="auto" w:sz="6" w:space="0"/>
            </w:tcBorders>
            <w:vAlign w:val="center"/>
          </w:tcPr>
          <w:p w14:paraId="00305D6E">
            <w:pPr>
              <w:pStyle w:val="23"/>
              <w:keepNext/>
              <w:spacing w:after="0" w:line="440" w:lineRule="exact"/>
              <w:ind w:left="63" w:right="63"/>
              <w:rPr>
                <w:rFonts w:hAnsi="宋体"/>
                <w:color w:val="auto"/>
                <w:sz w:val="30"/>
                <w:szCs w:val="30"/>
                <w:highlight w:val="none"/>
              </w:rPr>
            </w:pPr>
          </w:p>
        </w:tc>
        <w:tc>
          <w:tcPr>
            <w:tcW w:w="1667" w:type="dxa"/>
            <w:tcBorders>
              <w:top w:val="double" w:color="auto" w:sz="2" w:space="0"/>
              <w:left w:val="single" w:color="auto" w:sz="6" w:space="0"/>
              <w:bottom w:val="single" w:color="auto" w:sz="6" w:space="0"/>
              <w:right w:val="single" w:color="auto" w:sz="12" w:space="0"/>
            </w:tcBorders>
            <w:vAlign w:val="center"/>
          </w:tcPr>
          <w:p w14:paraId="5E501F89">
            <w:pPr>
              <w:pStyle w:val="23"/>
              <w:keepNext/>
              <w:spacing w:after="0" w:line="440" w:lineRule="exact"/>
              <w:ind w:left="63" w:right="63"/>
              <w:rPr>
                <w:rFonts w:hAnsi="宋体"/>
                <w:color w:val="auto"/>
                <w:sz w:val="30"/>
                <w:szCs w:val="30"/>
                <w:highlight w:val="none"/>
              </w:rPr>
            </w:pPr>
          </w:p>
        </w:tc>
      </w:tr>
      <w:tr w14:paraId="358DB7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left w:val="single" w:color="auto" w:sz="12" w:space="0"/>
              <w:bottom w:val="single" w:color="auto" w:sz="6" w:space="0"/>
              <w:right w:val="single" w:color="auto" w:sz="6" w:space="0"/>
            </w:tcBorders>
            <w:vAlign w:val="center"/>
          </w:tcPr>
          <w:p w14:paraId="321F3C6D">
            <w:pPr>
              <w:pStyle w:val="23"/>
              <w:keepNext/>
              <w:spacing w:after="0" w:line="440" w:lineRule="exact"/>
              <w:ind w:left="63" w:right="63"/>
              <w:rPr>
                <w:rFonts w:hAnsi="宋体"/>
                <w:color w:val="auto"/>
                <w:sz w:val="30"/>
                <w:szCs w:val="30"/>
                <w:highlight w:val="none"/>
              </w:rPr>
            </w:pPr>
          </w:p>
        </w:tc>
        <w:tc>
          <w:tcPr>
            <w:tcW w:w="1276" w:type="dxa"/>
            <w:tcBorders>
              <w:top w:val="nil"/>
              <w:left w:val="single" w:color="auto" w:sz="6" w:space="0"/>
              <w:bottom w:val="single" w:color="auto" w:sz="6" w:space="0"/>
              <w:right w:val="single" w:color="auto" w:sz="6" w:space="0"/>
            </w:tcBorders>
            <w:vAlign w:val="center"/>
          </w:tcPr>
          <w:p w14:paraId="2BEBE09F">
            <w:pPr>
              <w:pStyle w:val="23"/>
              <w:keepNext/>
              <w:spacing w:after="0" w:line="440" w:lineRule="exact"/>
              <w:ind w:left="63" w:right="63"/>
              <w:rPr>
                <w:rFonts w:hAnsi="宋体"/>
                <w:color w:val="auto"/>
                <w:sz w:val="30"/>
                <w:szCs w:val="30"/>
                <w:highlight w:val="none"/>
              </w:rPr>
            </w:pPr>
          </w:p>
        </w:tc>
        <w:tc>
          <w:tcPr>
            <w:tcW w:w="1450" w:type="dxa"/>
            <w:tcBorders>
              <w:top w:val="nil"/>
              <w:left w:val="single" w:color="auto" w:sz="6" w:space="0"/>
              <w:bottom w:val="single" w:color="auto" w:sz="6" w:space="0"/>
              <w:right w:val="single" w:color="auto" w:sz="6" w:space="0"/>
            </w:tcBorders>
            <w:vAlign w:val="center"/>
          </w:tcPr>
          <w:p w14:paraId="3E0E1896">
            <w:pPr>
              <w:pStyle w:val="23"/>
              <w:keepNext/>
              <w:spacing w:after="0" w:line="440" w:lineRule="exact"/>
              <w:ind w:left="63" w:right="63"/>
              <w:rPr>
                <w:rFonts w:hAnsi="宋体"/>
                <w:color w:val="auto"/>
                <w:sz w:val="30"/>
                <w:szCs w:val="30"/>
                <w:highlight w:val="none"/>
              </w:rPr>
            </w:pPr>
          </w:p>
        </w:tc>
        <w:tc>
          <w:tcPr>
            <w:tcW w:w="1243" w:type="dxa"/>
            <w:tcBorders>
              <w:top w:val="nil"/>
              <w:left w:val="single" w:color="auto" w:sz="6" w:space="0"/>
              <w:bottom w:val="single" w:color="auto" w:sz="6" w:space="0"/>
              <w:right w:val="single" w:color="auto" w:sz="6" w:space="0"/>
            </w:tcBorders>
            <w:vAlign w:val="center"/>
          </w:tcPr>
          <w:p w14:paraId="39566688">
            <w:pPr>
              <w:pStyle w:val="23"/>
              <w:keepNext/>
              <w:spacing w:after="0" w:line="440" w:lineRule="exact"/>
              <w:ind w:left="63" w:right="63"/>
              <w:rPr>
                <w:rFonts w:hAnsi="宋体"/>
                <w:color w:val="auto"/>
                <w:sz w:val="30"/>
                <w:szCs w:val="30"/>
                <w:highlight w:val="none"/>
              </w:rPr>
            </w:pPr>
          </w:p>
        </w:tc>
        <w:tc>
          <w:tcPr>
            <w:tcW w:w="1450" w:type="dxa"/>
            <w:tcBorders>
              <w:top w:val="nil"/>
              <w:left w:val="single" w:color="auto" w:sz="6" w:space="0"/>
              <w:bottom w:val="single" w:color="auto" w:sz="6" w:space="0"/>
              <w:right w:val="single" w:color="auto" w:sz="6" w:space="0"/>
            </w:tcBorders>
            <w:vAlign w:val="center"/>
          </w:tcPr>
          <w:p w14:paraId="349F55CC">
            <w:pPr>
              <w:pStyle w:val="23"/>
              <w:keepNext/>
              <w:spacing w:after="0" w:line="440" w:lineRule="exact"/>
              <w:ind w:left="63" w:right="63"/>
              <w:rPr>
                <w:rFonts w:hAnsi="宋体"/>
                <w:color w:val="auto"/>
                <w:sz w:val="30"/>
                <w:szCs w:val="30"/>
                <w:highlight w:val="none"/>
              </w:rPr>
            </w:pPr>
          </w:p>
        </w:tc>
        <w:tc>
          <w:tcPr>
            <w:tcW w:w="1667" w:type="dxa"/>
            <w:tcBorders>
              <w:top w:val="nil"/>
              <w:left w:val="single" w:color="auto" w:sz="6" w:space="0"/>
              <w:bottom w:val="single" w:color="auto" w:sz="6" w:space="0"/>
              <w:right w:val="single" w:color="auto" w:sz="12" w:space="0"/>
            </w:tcBorders>
            <w:vAlign w:val="center"/>
          </w:tcPr>
          <w:p w14:paraId="4D5E04ED">
            <w:pPr>
              <w:pStyle w:val="23"/>
              <w:keepNext/>
              <w:spacing w:after="0" w:line="440" w:lineRule="exact"/>
              <w:ind w:left="63" w:right="63"/>
              <w:rPr>
                <w:rFonts w:hAnsi="宋体"/>
                <w:color w:val="auto"/>
                <w:sz w:val="30"/>
                <w:szCs w:val="30"/>
                <w:highlight w:val="none"/>
              </w:rPr>
            </w:pPr>
          </w:p>
        </w:tc>
      </w:tr>
      <w:tr w14:paraId="66E825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vAlign w:val="center"/>
          </w:tcPr>
          <w:p w14:paraId="4550176C">
            <w:pPr>
              <w:pStyle w:val="23"/>
              <w:keepNext/>
              <w:spacing w:after="0" w:line="440" w:lineRule="exact"/>
              <w:ind w:left="63" w:right="63"/>
              <w:rPr>
                <w:rFonts w:hAnsi="宋体"/>
                <w:color w:val="auto"/>
                <w:sz w:val="30"/>
                <w:szCs w:val="30"/>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14:paraId="5D026212">
            <w:pPr>
              <w:pStyle w:val="23"/>
              <w:keepNext/>
              <w:spacing w:after="0" w:line="440" w:lineRule="exact"/>
              <w:ind w:left="63" w:right="63"/>
              <w:rPr>
                <w:rFonts w:hAnsi="宋体"/>
                <w:color w:val="auto"/>
                <w:sz w:val="30"/>
                <w:szCs w:val="30"/>
                <w:highlight w:val="none"/>
              </w:rPr>
            </w:pPr>
          </w:p>
        </w:tc>
        <w:tc>
          <w:tcPr>
            <w:tcW w:w="1450" w:type="dxa"/>
            <w:tcBorders>
              <w:top w:val="single" w:color="auto" w:sz="6" w:space="0"/>
              <w:left w:val="single" w:color="auto" w:sz="6" w:space="0"/>
              <w:bottom w:val="single" w:color="auto" w:sz="6" w:space="0"/>
              <w:right w:val="single" w:color="auto" w:sz="6" w:space="0"/>
            </w:tcBorders>
            <w:vAlign w:val="center"/>
          </w:tcPr>
          <w:p w14:paraId="6BC1AFF1">
            <w:pPr>
              <w:pStyle w:val="23"/>
              <w:keepNext/>
              <w:spacing w:after="0" w:line="440" w:lineRule="exact"/>
              <w:ind w:left="63" w:right="63"/>
              <w:rPr>
                <w:rFonts w:hAnsi="宋体"/>
                <w:color w:val="auto"/>
                <w:sz w:val="30"/>
                <w:szCs w:val="30"/>
                <w:highlight w:val="none"/>
              </w:rPr>
            </w:pPr>
          </w:p>
        </w:tc>
        <w:tc>
          <w:tcPr>
            <w:tcW w:w="1243" w:type="dxa"/>
            <w:tcBorders>
              <w:top w:val="single" w:color="auto" w:sz="6" w:space="0"/>
              <w:left w:val="single" w:color="auto" w:sz="6" w:space="0"/>
              <w:bottom w:val="single" w:color="auto" w:sz="6" w:space="0"/>
              <w:right w:val="single" w:color="auto" w:sz="6" w:space="0"/>
            </w:tcBorders>
            <w:vAlign w:val="center"/>
          </w:tcPr>
          <w:p w14:paraId="5D61B6A7">
            <w:pPr>
              <w:pStyle w:val="23"/>
              <w:keepNext/>
              <w:spacing w:after="0" w:line="440" w:lineRule="exact"/>
              <w:ind w:left="63" w:right="63"/>
              <w:rPr>
                <w:rFonts w:hAnsi="宋体"/>
                <w:color w:val="auto"/>
                <w:sz w:val="30"/>
                <w:szCs w:val="30"/>
                <w:highlight w:val="none"/>
              </w:rPr>
            </w:pPr>
          </w:p>
        </w:tc>
        <w:tc>
          <w:tcPr>
            <w:tcW w:w="1450" w:type="dxa"/>
            <w:tcBorders>
              <w:top w:val="single" w:color="auto" w:sz="6" w:space="0"/>
              <w:left w:val="single" w:color="auto" w:sz="6" w:space="0"/>
              <w:bottom w:val="single" w:color="auto" w:sz="6" w:space="0"/>
              <w:right w:val="single" w:color="auto" w:sz="6" w:space="0"/>
            </w:tcBorders>
            <w:vAlign w:val="center"/>
          </w:tcPr>
          <w:p w14:paraId="4EC26AB1">
            <w:pPr>
              <w:pStyle w:val="23"/>
              <w:keepNext/>
              <w:spacing w:after="0" w:line="440" w:lineRule="exact"/>
              <w:ind w:left="63" w:right="63"/>
              <w:rPr>
                <w:rFonts w:hAnsi="宋体"/>
                <w:color w:val="auto"/>
                <w:sz w:val="30"/>
                <w:szCs w:val="30"/>
                <w:highlight w:val="none"/>
              </w:rPr>
            </w:pPr>
          </w:p>
        </w:tc>
        <w:tc>
          <w:tcPr>
            <w:tcW w:w="1667" w:type="dxa"/>
            <w:tcBorders>
              <w:top w:val="single" w:color="auto" w:sz="6" w:space="0"/>
              <w:left w:val="single" w:color="auto" w:sz="6" w:space="0"/>
              <w:bottom w:val="single" w:color="auto" w:sz="6" w:space="0"/>
              <w:right w:val="single" w:color="auto" w:sz="12" w:space="0"/>
            </w:tcBorders>
            <w:vAlign w:val="center"/>
          </w:tcPr>
          <w:p w14:paraId="3E3BCA23">
            <w:pPr>
              <w:pStyle w:val="23"/>
              <w:keepNext/>
              <w:spacing w:after="0" w:line="440" w:lineRule="exact"/>
              <w:ind w:left="63" w:right="63"/>
              <w:rPr>
                <w:rFonts w:hAnsi="宋体"/>
                <w:color w:val="auto"/>
                <w:sz w:val="30"/>
                <w:szCs w:val="30"/>
                <w:highlight w:val="none"/>
              </w:rPr>
            </w:pPr>
          </w:p>
        </w:tc>
      </w:tr>
      <w:tr w14:paraId="34809F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vAlign w:val="center"/>
          </w:tcPr>
          <w:p w14:paraId="4F6BBE70">
            <w:pPr>
              <w:pStyle w:val="23"/>
              <w:keepNext/>
              <w:spacing w:after="0" w:line="440" w:lineRule="exact"/>
              <w:ind w:left="63" w:right="63"/>
              <w:rPr>
                <w:rFonts w:hAnsi="宋体"/>
                <w:color w:val="auto"/>
                <w:sz w:val="30"/>
                <w:szCs w:val="30"/>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14:paraId="520290EA">
            <w:pPr>
              <w:pStyle w:val="23"/>
              <w:keepNext/>
              <w:spacing w:after="0" w:line="440" w:lineRule="exact"/>
              <w:ind w:left="63" w:right="63"/>
              <w:rPr>
                <w:rFonts w:hAnsi="宋体"/>
                <w:color w:val="auto"/>
                <w:sz w:val="30"/>
                <w:szCs w:val="30"/>
                <w:highlight w:val="none"/>
              </w:rPr>
            </w:pPr>
          </w:p>
        </w:tc>
        <w:tc>
          <w:tcPr>
            <w:tcW w:w="1450" w:type="dxa"/>
            <w:tcBorders>
              <w:top w:val="single" w:color="auto" w:sz="6" w:space="0"/>
              <w:left w:val="single" w:color="auto" w:sz="6" w:space="0"/>
              <w:bottom w:val="single" w:color="auto" w:sz="6" w:space="0"/>
              <w:right w:val="single" w:color="auto" w:sz="6" w:space="0"/>
            </w:tcBorders>
            <w:vAlign w:val="center"/>
          </w:tcPr>
          <w:p w14:paraId="31C097AF">
            <w:pPr>
              <w:pStyle w:val="23"/>
              <w:keepNext/>
              <w:spacing w:after="0" w:line="440" w:lineRule="exact"/>
              <w:ind w:left="63" w:right="63"/>
              <w:rPr>
                <w:rFonts w:hAnsi="宋体"/>
                <w:color w:val="auto"/>
                <w:sz w:val="30"/>
                <w:szCs w:val="30"/>
                <w:highlight w:val="none"/>
              </w:rPr>
            </w:pPr>
          </w:p>
        </w:tc>
        <w:tc>
          <w:tcPr>
            <w:tcW w:w="1243" w:type="dxa"/>
            <w:tcBorders>
              <w:top w:val="single" w:color="auto" w:sz="6" w:space="0"/>
              <w:left w:val="single" w:color="auto" w:sz="6" w:space="0"/>
              <w:bottom w:val="single" w:color="auto" w:sz="6" w:space="0"/>
              <w:right w:val="single" w:color="auto" w:sz="6" w:space="0"/>
            </w:tcBorders>
            <w:vAlign w:val="center"/>
          </w:tcPr>
          <w:p w14:paraId="58CF7395">
            <w:pPr>
              <w:pStyle w:val="23"/>
              <w:keepNext/>
              <w:spacing w:after="0" w:line="440" w:lineRule="exact"/>
              <w:ind w:left="63" w:right="63"/>
              <w:rPr>
                <w:rFonts w:hAnsi="宋体"/>
                <w:color w:val="auto"/>
                <w:sz w:val="30"/>
                <w:szCs w:val="30"/>
                <w:highlight w:val="none"/>
              </w:rPr>
            </w:pPr>
          </w:p>
        </w:tc>
        <w:tc>
          <w:tcPr>
            <w:tcW w:w="1450" w:type="dxa"/>
            <w:tcBorders>
              <w:top w:val="single" w:color="auto" w:sz="6" w:space="0"/>
              <w:left w:val="single" w:color="auto" w:sz="6" w:space="0"/>
              <w:bottom w:val="single" w:color="auto" w:sz="6" w:space="0"/>
              <w:right w:val="single" w:color="auto" w:sz="6" w:space="0"/>
            </w:tcBorders>
            <w:vAlign w:val="center"/>
          </w:tcPr>
          <w:p w14:paraId="5B96AC33">
            <w:pPr>
              <w:pStyle w:val="23"/>
              <w:keepNext/>
              <w:spacing w:after="0" w:line="440" w:lineRule="exact"/>
              <w:ind w:left="63" w:right="63"/>
              <w:rPr>
                <w:rFonts w:hAnsi="宋体"/>
                <w:color w:val="auto"/>
                <w:sz w:val="30"/>
                <w:szCs w:val="30"/>
                <w:highlight w:val="none"/>
              </w:rPr>
            </w:pPr>
          </w:p>
        </w:tc>
        <w:tc>
          <w:tcPr>
            <w:tcW w:w="1667" w:type="dxa"/>
            <w:tcBorders>
              <w:top w:val="single" w:color="auto" w:sz="6" w:space="0"/>
              <w:left w:val="single" w:color="auto" w:sz="6" w:space="0"/>
              <w:bottom w:val="single" w:color="auto" w:sz="6" w:space="0"/>
              <w:right w:val="single" w:color="auto" w:sz="12" w:space="0"/>
            </w:tcBorders>
            <w:vAlign w:val="center"/>
          </w:tcPr>
          <w:p w14:paraId="5B9CA531">
            <w:pPr>
              <w:pStyle w:val="23"/>
              <w:keepNext/>
              <w:spacing w:after="0" w:line="440" w:lineRule="exact"/>
              <w:ind w:left="63" w:right="63"/>
              <w:rPr>
                <w:rFonts w:hAnsi="宋体"/>
                <w:color w:val="auto"/>
                <w:sz w:val="30"/>
                <w:szCs w:val="30"/>
                <w:highlight w:val="none"/>
              </w:rPr>
            </w:pPr>
          </w:p>
        </w:tc>
      </w:tr>
      <w:tr w14:paraId="3BBF35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vAlign w:val="center"/>
          </w:tcPr>
          <w:p w14:paraId="5A36BD0D">
            <w:pPr>
              <w:pStyle w:val="23"/>
              <w:keepNext/>
              <w:spacing w:after="0" w:line="440" w:lineRule="exact"/>
              <w:ind w:left="63" w:right="63"/>
              <w:rPr>
                <w:rFonts w:hAnsi="宋体"/>
                <w:color w:val="auto"/>
                <w:sz w:val="30"/>
                <w:szCs w:val="30"/>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14:paraId="69AD43D2">
            <w:pPr>
              <w:pStyle w:val="23"/>
              <w:keepNext/>
              <w:spacing w:after="0" w:line="440" w:lineRule="exact"/>
              <w:ind w:left="63" w:right="63"/>
              <w:rPr>
                <w:rFonts w:hAnsi="宋体"/>
                <w:color w:val="auto"/>
                <w:sz w:val="30"/>
                <w:szCs w:val="30"/>
                <w:highlight w:val="none"/>
              </w:rPr>
            </w:pPr>
          </w:p>
        </w:tc>
        <w:tc>
          <w:tcPr>
            <w:tcW w:w="1450" w:type="dxa"/>
            <w:tcBorders>
              <w:top w:val="single" w:color="auto" w:sz="6" w:space="0"/>
              <w:left w:val="single" w:color="auto" w:sz="6" w:space="0"/>
              <w:bottom w:val="single" w:color="auto" w:sz="6" w:space="0"/>
              <w:right w:val="single" w:color="auto" w:sz="6" w:space="0"/>
            </w:tcBorders>
            <w:vAlign w:val="center"/>
          </w:tcPr>
          <w:p w14:paraId="2727F8A3">
            <w:pPr>
              <w:pStyle w:val="23"/>
              <w:keepNext/>
              <w:spacing w:after="0" w:line="440" w:lineRule="exact"/>
              <w:ind w:left="63" w:right="63"/>
              <w:rPr>
                <w:rFonts w:hAnsi="宋体"/>
                <w:color w:val="auto"/>
                <w:sz w:val="30"/>
                <w:szCs w:val="30"/>
                <w:highlight w:val="none"/>
              </w:rPr>
            </w:pPr>
          </w:p>
        </w:tc>
        <w:tc>
          <w:tcPr>
            <w:tcW w:w="1243" w:type="dxa"/>
            <w:tcBorders>
              <w:top w:val="single" w:color="auto" w:sz="6" w:space="0"/>
              <w:left w:val="single" w:color="auto" w:sz="6" w:space="0"/>
              <w:bottom w:val="single" w:color="auto" w:sz="6" w:space="0"/>
              <w:right w:val="single" w:color="auto" w:sz="6" w:space="0"/>
            </w:tcBorders>
            <w:vAlign w:val="center"/>
          </w:tcPr>
          <w:p w14:paraId="69449205">
            <w:pPr>
              <w:pStyle w:val="23"/>
              <w:keepNext/>
              <w:spacing w:after="0" w:line="440" w:lineRule="exact"/>
              <w:ind w:left="63" w:right="63"/>
              <w:rPr>
                <w:rFonts w:hAnsi="宋体"/>
                <w:color w:val="auto"/>
                <w:sz w:val="30"/>
                <w:szCs w:val="30"/>
                <w:highlight w:val="none"/>
              </w:rPr>
            </w:pPr>
          </w:p>
        </w:tc>
        <w:tc>
          <w:tcPr>
            <w:tcW w:w="1450" w:type="dxa"/>
            <w:tcBorders>
              <w:top w:val="single" w:color="auto" w:sz="6" w:space="0"/>
              <w:left w:val="single" w:color="auto" w:sz="6" w:space="0"/>
              <w:bottom w:val="single" w:color="auto" w:sz="6" w:space="0"/>
              <w:right w:val="single" w:color="auto" w:sz="6" w:space="0"/>
            </w:tcBorders>
            <w:vAlign w:val="center"/>
          </w:tcPr>
          <w:p w14:paraId="1F67DE8E">
            <w:pPr>
              <w:pStyle w:val="23"/>
              <w:keepNext/>
              <w:spacing w:after="0" w:line="440" w:lineRule="exact"/>
              <w:ind w:left="63" w:right="63"/>
              <w:rPr>
                <w:rFonts w:hAnsi="宋体"/>
                <w:color w:val="auto"/>
                <w:sz w:val="30"/>
                <w:szCs w:val="30"/>
                <w:highlight w:val="none"/>
              </w:rPr>
            </w:pPr>
          </w:p>
        </w:tc>
        <w:tc>
          <w:tcPr>
            <w:tcW w:w="1667" w:type="dxa"/>
            <w:tcBorders>
              <w:top w:val="single" w:color="auto" w:sz="6" w:space="0"/>
              <w:left w:val="single" w:color="auto" w:sz="6" w:space="0"/>
              <w:bottom w:val="single" w:color="auto" w:sz="6" w:space="0"/>
              <w:right w:val="single" w:color="auto" w:sz="12" w:space="0"/>
            </w:tcBorders>
            <w:vAlign w:val="center"/>
          </w:tcPr>
          <w:p w14:paraId="110BCF02">
            <w:pPr>
              <w:pStyle w:val="23"/>
              <w:keepNext/>
              <w:spacing w:after="0" w:line="440" w:lineRule="exact"/>
              <w:ind w:left="63" w:right="63"/>
              <w:rPr>
                <w:rFonts w:hAnsi="宋体"/>
                <w:color w:val="auto"/>
                <w:sz w:val="30"/>
                <w:szCs w:val="30"/>
                <w:highlight w:val="none"/>
              </w:rPr>
            </w:pPr>
          </w:p>
        </w:tc>
      </w:tr>
      <w:tr w14:paraId="1C72C7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vAlign w:val="center"/>
          </w:tcPr>
          <w:p w14:paraId="75094E0D">
            <w:pPr>
              <w:pStyle w:val="23"/>
              <w:keepNext/>
              <w:spacing w:after="0" w:line="440" w:lineRule="exact"/>
              <w:ind w:left="63" w:right="63"/>
              <w:rPr>
                <w:rFonts w:hAnsi="宋体"/>
                <w:color w:val="auto"/>
                <w:sz w:val="30"/>
                <w:szCs w:val="30"/>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14:paraId="2BC7F299">
            <w:pPr>
              <w:pStyle w:val="23"/>
              <w:keepNext/>
              <w:spacing w:after="0" w:line="440" w:lineRule="exact"/>
              <w:ind w:left="63" w:right="63"/>
              <w:rPr>
                <w:rFonts w:hAnsi="宋体"/>
                <w:color w:val="auto"/>
                <w:sz w:val="30"/>
                <w:szCs w:val="30"/>
                <w:highlight w:val="none"/>
              </w:rPr>
            </w:pPr>
          </w:p>
        </w:tc>
        <w:tc>
          <w:tcPr>
            <w:tcW w:w="1450" w:type="dxa"/>
            <w:tcBorders>
              <w:top w:val="single" w:color="auto" w:sz="6" w:space="0"/>
              <w:left w:val="single" w:color="auto" w:sz="6" w:space="0"/>
              <w:bottom w:val="single" w:color="auto" w:sz="6" w:space="0"/>
              <w:right w:val="single" w:color="auto" w:sz="6" w:space="0"/>
            </w:tcBorders>
            <w:vAlign w:val="center"/>
          </w:tcPr>
          <w:p w14:paraId="20E11602">
            <w:pPr>
              <w:pStyle w:val="23"/>
              <w:keepNext/>
              <w:spacing w:after="0" w:line="440" w:lineRule="exact"/>
              <w:ind w:left="63" w:right="63"/>
              <w:rPr>
                <w:rFonts w:hAnsi="宋体"/>
                <w:color w:val="auto"/>
                <w:sz w:val="30"/>
                <w:szCs w:val="30"/>
                <w:highlight w:val="none"/>
              </w:rPr>
            </w:pPr>
          </w:p>
        </w:tc>
        <w:tc>
          <w:tcPr>
            <w:tcW w:w="1243" w:type="dxa"/>
            <w:tcBorders>
              <w:top w:val="single" w:color="auto" w:sz="6" w:space="0"/>
              <w:left w:val="single" w:color="auto" w:sz="6" w:space="0"/>
              <w:bottom w:val="single" w:color="auto" w:sz="6" w:space="0"/>
              <w:right w:val="single" w:color="auto" w:sz="6" w:space="0"/>
            </w:tcBorders>
            <w:vAlign w:val="center"/>
          </w:tcPr>
          <w:p w14:paraId="412826DE">
            <w:pPr>
              <w:pStyle w:val="23"/>
              <w:keepNext/>
              <w:spacing w:after="0" w:line="440" w:lineRule="exact"/>
              <w:ind w:left="63" w:right="63"/>
              <w:rPr>
                <w:rFonts w:hAnsi="宋体"/>
                <w:color w:val="auto"/>
                <w:sz w:val="30"/>
                <w:szCs w:val="30"/>
                <w:highlight w:val="none"/>
              </w:rPr>
            </w:pPr>
          </w:p>
        </w:tc>
        <w:tc>
          <w:tcPr>
            <w:tcW w:w="1450" w:type="dxa"/>
            <w:tcBorders>
              <w:top w:val="single" w:color="auto" w:sz="6" w:space="0"/>
              <w:left w:val="single" w:color="auto" w:sz="6" w:space="0"/>
              <w:bottom w:val="single" w:color="auto" w:sz="6" w:space="0"/>
              <w:right w:val="single" w:color="auto" w:sz="6" w:space="0"/>
            </w:tcBorders>
            <w:vAlign w:val="center"/>
          </w:tcPr>
          <w:p w14:paraId="0B8EF44C">
            <w:pPr>
              <w:pStyle w:val="23"/>
              <w:keepNext/>
              <w:spacing w:after="0" w:line="440" w:lineRule="exact"/>
              <w:ind w:left="63" w:right="63"/>
              <w:rPr>
                <w:rFonts w:hAnsi="宋体"/>
                <w:color w:val="auto"/>
                <w:sz w:val="30"/>
                <w:szCs w:val="30"/>
                <w:highlight w:val="none"/>
              </w:rPr>
            </w:pPr>
          </w:p>
        </w:tc>
        <w:tc>
          <w:tcPr>
            <w:tcW w:w="1667" w:type="dxa"/>
            <w:tcBorders>
              <w:top w:val="single" w:color="auto" w:sz="6" w:space="0"/>
              <w:left w:val="single" w:color="auto" w:sz="6" w:space="0"/>
              <w:bottom w:val="single" w:color="auto" w:sz="6" w:space="0"/>
              <w:right w:val="single" w:color="auto" w:sz="12" w:space="0"/>
            </w:tcBorders>
            <w:vAlign w:val="center"/>
          </w:tcPr>
          <w:p w14:paraId="539AE34A">
            <w:pPr>
              <w:pStyle w:val="23"/>
              <w:keepNext/>
              <w:spacing w:after="0" w:line="440" w:lineRule="exact"/>
              <w:ind w:left="63" w:right="63"/>
              <w:rPr>
                <w:rFonts w:hAnsi="宋体"/>
                <w:color w:val="auto"/>
                <w:sz w:val="30"/>
                <w:szCs w:val="30"/>
                <w:highlight w:val="none"/>
              </w:rPr>
            </w:pPr>
          </w:p>
        </w:tc>
      </w:tr>
      <w:tr w14:paraId="186FC4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12" w:space="0"/>
              <w:right w:val="single" w:color="auto" w:sz="6" w:space="0"/>
            </w:tcBorders>
            <w:vAlign w:val="center"/>
          </w:tcPr>
          <w:p w14:paraId="608FA5C3">
            <w:pPr>
              <w:pStyle w:val="23"/>
              <w:keepNext/>
              <w:spacing w:after="0" w:line="440" w:lineRule="exact"/>
              <w:ind w:left="63" w:right="63"/>
              <w:rPr>
                <w:rFonts w:hAnsi="宋体"/>
                <w:color w:val="auto"/>
                <w:sz w:val="30"/>
                <w:szCs w:val="30"/>
                <w:highlight w:val="none"/>
              </w:rPr>
            </w:pPr>
          </w:p>
        </w:tc>
        <w:tc>
          <w:tcPr>
            <w:tcW w:w="1276" w:type="dxa"/>
            <w:tcBorders>
              <w:top w:val="single" w:color="auto" w:sz="6" w:space="0"/>
              <w:left w:val="single" w:color="auto" w:sz="6" w:space="0"/>
              <w:bottom w:val="single" w:color="auto" w:sz="12" w:space="0"/>
              <w:right w:val="single" w:color="auto" w:sz="6" w:space="0"/>
            </w:tcBorders>
            <w:vAlign w:val="center"/>
          </w:tcPr>
          <w:p w14:paraId="01FB0E90">
            <w:pPr>
              <w:pStyle w:val="23"/>
              <w:keepNext/>
              <w:spacing w:after="0" w:line="440" w:lineRule="exact"/>
              <w:ind w:left="63" w:right="63"/>
              <w:rPr>
                <w:rFonts w:hAnsi="宋体"/>
                <w:color w:val="auto"/>
                <w:sz w:val="30"/>
                <w:szCs w:val="30"/>
                <w:highlight w:val="none"/>
              </w:rPr>
            </w:pPr>
          </w:p>
        </w:tc>
        <w:tc>
          <w:tcPr>
            <w:tcW w:w="1450" w:type="dxa"/>
            <w:tcBorders>
              <w:top w:val="single" w:color="auto" w:sz="6" w:space="0"/>
              <w:left w:val="single" w:color="auto" w:sz="6" w:space="0"/>
              <w:bottom w:val="single" w:color="auto" w:sz="12" w:space="0"/>
              <w:right w:val="single" w:color="auto" w:sz="6" w:space="0"/>
            </w:tcBorders>
            <w:vAlign w:val="center"/>
          </w:tcPr>
          <w:p w14:paraId="7156EFD1">
            <w:pPr>
              <w:pStyle w:val="23"/>
              <w:keepNext/>
              <w:spacing w:after="0" w:line="440" w:lineRule="exact"/>
              <w:ind w:left="63" w:right="63"/>
              <w:rPr>
                <w:rFonts w:hAnsi="宋体"/>
                <w:color w:val="auto"/>
                <w:sz w:val="30"/>
                <w:szCs w:val="30"/>
                <w:highlight w:val="none"/>
              </w:rPr>
            </w:pPr>
          </w:p>
        </w:tc>
        <w:tc>
          <w:tcPr>
            <w:tcW w:w="1243" w:type="dxa"/>
            <w:tcBorders>
              <w:top w:val="single" w:color="auto" w:sz="6" w:space="0"/>
              <w:left w:val="single" w:color="auto" w:sz="6" w:space="0"/>
              <w:bottom w:val="single" w:color="auto" w:sz="12" w:space="0"/>
              <w:right w:val="single" w:color="auto" w:sz="6" w:space="0"/>
            </w:tcBorders>
            <w:vAlign w:val="center"/>
          </w:tcPr>
          <w:p w14:paraId="160C5A6F">
            <w:pPr>
              <w:pStyle w:val="23"/>
              <w:keepNext/>
              <w:spacing w:after="0" w:line="440" w:lineRule="exact"/>
              <w:ind w:left="63" w:right="63"/>
              <w:rPr>
                <w:rFonts w:hAnsi="宋体"/>
                <w:color w:val="auto"/>
                <w:sz w:val="30"/>
                <w:szCs w:val="30"/>
                <w:highlight w:val="none"/>
              </w:rPr>
            </w:pPr>
          </w:p>
        </w:tc>
        <w:tc>
          <w:tcPr>
            <w:tcW w:w="1450" w:type="dxa"/>
            <w:tcBorders>
              <w:top w:val="single" w:color="auto" w:sz="6" w:space="0"/>
              <w:left w:val="single" w:color="auto" w:sz="6" w:space="0"/>
              <w:bottom w:val="single" w:color="auto" w:sz="12" w:space="0"/>
              <w:right w:val="single" w:color="auto" w:sz="6" w:space="0"/>
            </w:tcBorders>
            <w:vAlign w:val="center"/>
          </w:tcPr>
          <w:p w14:paraId="3C8DF81E">
            <w:pPr>
              <w:pStyle w:val="23"/>
              <w:keepNext/>
              <w:spacing w:after="0" w:line="440" w:lineRule="exact"/>
              <w:ind w:left="63" w:right="63"/>
              <w:rPr>
                <w:rFonts w:hAnsi="宋体"/>
                <w:color w:val="auto"/>
                <w:sz w:val="30"/>
                <w:szCs w:val="30"/>
                <w:highlight w:val="none"/>
              </w:rPr>
            </w:pPr>
          </w:p>
        </w:tc>
        <w:tc>
          <w:tcPr>
            <w:tcW w:w="1667" w:type="dxa"/>
            <w:tcBorders>
              <w:top w:val="single" w:color="auto" w:sz="6" w:space="0"/>
              <w:left w:val="single" w:color="auto" w:sz="6" w:space="0"/>
              <w:bottom w:val="single" w:color="auto" w:sz="12" w:space="0"/>
              <w:right w:val="single" w:color="auto" w:sz="12" w:space="0"/>
            </w:tcBorders>
            <w:vAlign w:val="center"/>
          </w:tcPr>
          <w:p w14:paraId="55E1B6DB">
            <w:pPr>
              <w:pStyle w:val="23"/>
              <w:keepNext/>
              <w:spacing w:after="0" w:line="440" w:lineRule="exact"/>
              <w:ind w:left="63" w:right="63"/>
              <w:rPr>
                <w:rFonts w:hAnsi="宋体"/>
                <w:color w:val="auto"/>
                <w:sz w:val="30"/>
                <w:szCs w:val="30"/>
                <w:highlight w:val="none"/>
              </w:rPr>
            </w:pPr>
          </w:p>
        </w:tc>
      </w:tr>
    </w:tbl>
    <w:p w14:paraId="632989A1">
      <w:pPr>
        <w:spacing w:line="440" w:lineRule="exact"/>
        <w:rPr>
          <w:rFonts w:hAnsi="宋体"/>
          <w:color w:val="auto"/>
          <w:sz w:val="30"/>
          <w:szCs w:val="30"/>
          <w:highlight w:val="none"/>
        </w:rPr>
      </w:pPr>
      <w:r>
        <w:rPr>
          <w:rFonts w:hint="eastAsia" w:hAnsi="宋体"/>
          <w:color w:val="auto"/>
          <w:sz w:val="30"/>
          <w:szCs w:val="30"/>
          <w:highlight w:val="none"/>
        </w:rPr>
        <w:t xml:space="preserve"> </w:t>
      </w:r>
    </w:p>
    <w:p w14:paraId="1BC7B23B">
      <w:pPr>
        <w:spacing w:line="440" w:lineRule="exact"/>
        <w:rPr>
          <w:rFonts w:hAnsi="宋体"/>
          <w:color w:val="auto"/>
          <w:sz w:val="30"/>
          <w:szCs w:val="30"/>
          <w:highlight w:val="none"/>
        </w:rPr>
      </w:pPr>
      <w:r>
        <w:rPr>
          <w:rFonts w:hint="eastAsia" w:hAnsi="宋体"/>
          <w:color w:val="auto"/>
          <w:sz w:val="30"/>
          <w:szCs w:val="30"/>
          <w:highlight w:val="none"/>
        </w:rPr>
        <w:t>附件3：</w:t>
      </w:r>
    </w:p>
    <w:p w14:paraId="7D061C08">
      <w:pPr>
        <w:spacing w:beforeLines="50" w:afterLines="50" w:line="440" w:lineRule="exact"/>
        <w:jc w:val="center"/>
        <w:rPr>
          <w:rFonts w:hAnsi="宋体"/>
          <w:color w:val="auto"/>
          <w:sz w:val="30"/>
          <w:szCs w:val="30"/>
          <w:highlight w:val="none"/>
        </w:rPr>
      </w:pPr>
      <w:r>
        <w:rPr>
          <w:rFonts w:hint="eastAsia" w:hAnsi="宋体"/>
          <w:color w:val="auto"/>
          <w:sz w:val="30"/>
          <w:szCs w:val="30"/>
          <w:highlight w:val="none"/>
        </w:rPr>
        <w:t>承包人用于本工程施工的机械设备表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565869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left w:val="single" w:color="auto" w:sz="12" w:space="0"/>
              <w:bottom w:val="double" w:color="auto" w:sz="2" w:space="0"/>
              <w:right w:val="single" w:color="auto" w:sz="6" w:space="0"/>
            </w:tcBorders>
            <w:vAlign w:val="center"/>
          </w:tcPr>
          <w:p w14:paraId="42431141">
            <w:pPr>
              <w:pStyle w:val="23"/>
              <w:keepNext/>
              <w:spacing w:after="0" w:line="440" w:lineRule="exact"/>
              <w:ind w:left="63" w:right="63"/>
              <w:rPr>
                <w:rFonts w:hAnsi="宋体"/>
                <w:color w:val="auto"/>
                <w:highlight w:val="none"/>
              </w:rPr>
            </w:pPr>
            <w:r>
              <w:rPr>
                <w:rFonts w:hint="eastAsia" w:hAnsi="宋体"/>
                <w:color w:val="auto"/>
                <w:highlight w:val="none"/>
              </w:rPr>
              <w:t>序号</w:t>
            </w:r>
          </w:p>
        </w:tc>
        <w:tc>
          <w:tcPr>
            <w:tcW w:w="1418" w:type="dxa"/>
            <w:tcBorders>
              <w:top w:val="single" w:color="auto" w:sz="12" w:space="0"/>
              <w:left w:val="single" w:color="auto" w:sz="6" w:space="0"/>
              <w:bottom w:val="double" w:color="auto" w:sz="2" w:space="0"/>
              <w:right w:val="single" w:color="auto" w:sz="6" w:space="0"/>
            </w:tcBorders>
            <w:vAlign w:val="center"/>
          </w:tcPr>
          <w:p w14:paraId="285A739A">
            <w:pPr>
              <w:pStyle w:val="23"/>
              <w:keepNext/>
              <w:spacing w:after="0" w:line="440" w:lineRule="exact"/>
              <w:ind w:left="63" w:right="63"/>
              <w:rPr>
                <w:rFonts w:hAnsi="宋体"/>
                <w:color w:val="auto"/>
                <w:highlight w:val="none"/>
              </w:rPr>
            </w:pPr>
            <w:r>
              <w:rPr>
                <w:rFonts w:hint="eastAsia" w:hAnsi="宋体"/>
                <w:color w:val="auto"/>
                <w:highlight w:val="none"/>
              </w:rPr>
              <w:t>机械或设备名称</w:t>
            </w:r>
          </w:p>
        </w:tc>
        <w:tc>
          <w:tcPr>
            <w:tcW w:w="850" w:type="dxa"/>
            <w:tcBorders>
              <w:top w:val="single" w:color="auto" w:sz="12" w:space="0"/>
              <w:left w:val="single" w:color="auto" w:sz="6" w:space="0"/>
              <w:bottom w:val="double" w:color="auto" w:sz="2" w:space="0"/>
              <w:right w:val="single" w:color="auto" w:sz="6" w:space="0"/>
            </w:tcBorders>
            <w:vAlign w:val="center"/>
          </w:tcPr>
          <w:p w14:paraId="143DAC36">
            <w:pPr>
              <w:pStyle w:val="23"/>
              <w:keepNext/>
              <w:spacing w:after="0" w:line="440" w:lineRule="exact"/>
              <w:ind w:left="63" w:right="63"/>
              <w:rPr>
                <w:rFonts w:hAnsi="宋体"/>
                <w:color w:val="auto"/>
                <w:highlight w:val="none"/>
              </w:rPr>
            </w:pPr>
            <w:r>
              <w:rPr>
                <w:rFonts w:hint="eastAsia" w:hAnsi="宋体"/>
                <w:color w:val="auto"/>
                <w:highlight w:val="none"/>
              </w:rPr>
              <w:t>规格型号</w:t>
            </w:r>
          </w:p>
        </w:tc>
        <w:tc>
          <w:tcPr>
            <w:tcW w:w="1058" w:type="dxa"/>
            <w:tcBorders>
              <w:top w:val="single" w:color="auto" w:sz="12" w:space="0"/>
              <w:left w:val="single" w:color="auto" w:sz="6" w:space="0"/>
              <w:bottom w:val="double" w:color="auto" w:sz="2" w:space="0"/>
              <w:right w:val="single" w:color="auto" w:sz="6" w:space="0"/>
            </w:tcBorders>
            <w:vAlign w:val="center"/>
          </w:tcPr>
          <w:p w14:paraId="1E806E6D">
            <w:pPr>
              <w:pStyle w:val="23"/>
              <w:keepNext/>
              <w:spacing w:after="0" w:line="440" w:lineRule="exact"/>
              <w:ind w:left="63" w:right="63"/>
              <w:rPr>
                <w:rFonts w:hAnsi="宋体"/>
                <w:color w:val="auto"/>
                <w:highlight w:val="none"/>
              </w:rPr>
            </w:pPr>
            <w:r>
              <w:rPr>
                <w:rFonts w:hint="eastAsia" w:hAnsi="宋体"/>
                <w:color w:val="auto"/>
                <w:highlight w:val="none"/>
              </w:rPr>
              <w:t>数量</w:t>
            </w:r>
          </w:p>
        </w:tc>
        <w:tc>
          <w:tcPr>
            <w:tcW w:w="880" w:type="dxa"/>
            <w:tcBorders>
              <w:top w:val="single" w:color="auto" w:sz="12" w:space="0"/>
              <w:left w:val="single" w:color="auto" w:sz="6" w:space="0"/>
              <w:bottom w:val="double" w:color="auto" w:sz="2" w:space="0"/>
              <w:right w:val="single" w:color="auto" w:sz="6" w:space="0"/>
            </w:tcBorders>
            <w:vAlign w:val="center"/>
          </w:tcPr>
          <w:p w14:paraId="571375DE">
            <w:pPr>
              <w:pStyle w:val="23"/>
              <w:keepNext/>
              <w:spacing w:after="0" w:line="440" w:lineRule="exact"/>
              <w:ind w:left="63" w:right="63"/>
              <w:rPr>
                <w:rFonts w:hAnsi="宋体"/>
                <w:color w:val="auto"/>
                <w:highlight w:val="none"/>
              </w:rPr>
            </w:pPr>
            <w:r>
              <w:rPr>
                <w:rFonts w:hint="eastAsia" w:hAnsi="宋体"/>
                <w:color w:val="auto"/>
                <w:highlight w:val="none"/>
              </w:rPr>
              <w:t>产地</w:t>
            </w:r>
          </w:p>
        </w:tc>
        <w:tc>
          <w:tcPr>
            <w:tcW w:w="1020" w:type="dxa"/>
            <w:tcBorders>
              <w:top w:val="single" w:color="auto" w:sz="12" w:space="0"/>
              <w:left w:val="single" w:color="auto" w:sz="6" w:space="0"/>
              <w:bottom w:val="double" w:color="auto" w:sz="2" w:space="0"/>
              <w:right w:val="single" w:color="auto" w:sz="6" w:space="0"/>
            </w:tcBorders>
            <w:vAlign w:val="center"/>
          </w:tcPr>
          <w:p w14:paraId="5799CA43">
            <w:pPr>
              <w:pStyle w:val="23"/>
              <w:keepNext/>
              <w:spacing w:after="0" w:line="440" w:lineRule="exact"/>
              <w:ind w:left="63" w:right="63"/>
              <w:rPr>
                <w:rFonts w:hAnsi="宋体"/>
                <w:color w:val="auto"/>
                <w:highlight w:val="none"/>
              </w:rPr>
            </w:pPr>
            <w:r>
              <w:rPr>
                <w:rFonts w:hint="eastAsia" w:hAnsi="宋体"/>
                <w:color w:val="auto"/>
                <w:highlight w:val="none"/>
              </w:rPr>
              <w:t>制造年份</w:t>
            </w:r>
          </w:p>
        </w:tc>
        <w:tc>
          <w:tcPr>
            <w:tcW w:w="1480" w:type="dxa"/>
            <w:tcBorders>
              <w:top w:val="single" w:color="auto" w:sz="12" w:space="0"/>
              <w:left w:val="single" w:color="auto" w:sz="6" w:space="0"/>
              <w:bottom w:val="double" w:color="auto" w:sz="2" w:space="0"/>
              <w:right w:val="single" w:color="auto" w:sz="6" w:space="0"/>
            </w:tcBorders>
            <w:vAlign w:val="center"/>
          </w:tcPr>
          <w:p w14:paraId="2A18358B">
            <w:pPr>
              <w:pStyle w:val="23"/>
              <w:keepNext/>
              <w:spacing w:after="0" w:line="440" w:lineRule="exact"/>
              <w:ind w:left="63" w:right="63"/>
              <w:rPr>
                <w:rFonts w:hAnsi="宋体"/>
                <w:color w:val="auto"/>
                <w:highlight w:val="none"/>
              </w:rPr>
            </w:pPr>
            <w:r>
              <w:rPr>
                <w:rFonts w:hint="eastAsia" w:hAnsi="宋体"/>
                <w:color w:val="auto"/>
                <w:highlight w:val="none"/>
              </w:rPr>
              <w:t>额定功率(kW)</w:t>
            </w:r>
          </w:p>
        </w:tc>
        <w:tc>
          <w:tcPr>
            <w:tcW w:w="1020" w:type="dxa"/>
            <w:tcBorders>
              <w:top w:val="single" w:color="auto" w:sz="12" w:space="0"/>
              <w:left w:val="single" w:color="auto" w:sz="6" w:space="0"/>
              <w:bottom w:val="double" w:color="auto" w:sz="2" w:space="0"/>
              <w:right w:val="single" w:color="auto" w:sz="6" w:space="0"/>
            </w:tcBorders>
            <w:vAlign w:val="center"/>
          </w:tcPr>
          <w:p w14:paraId="5AD35CDB">
            <w:pPr>
              <w:pStyle w:val="23"/>
              <w:keepNext/>
              <w:spacing w:after="0" w:line="440" w:lineRule="exact"/>
              <w:ind w:left="63" w:right="63"/>
              <w:rPr>
                <w:rFonts w:hAnsi="宋体"/>
                <w:color w:val="auto"/>
                <w:highlight w:val="none"/>
              </w:rPr>
            </w:pPr>
            <w:r>
              <w:rPr>
                <w:rFonts w:hint="eastAsia" w:hAnsi="宋体"/>
                <w:color w:val="auto"/>
                <w:highlight w:val="none"/>
              </w:rPr>
              <w:t>生产能力</w:t>
            </w:r>
          </w:p>
        </w:tc>
        <w:tc>
          <w:tcPr>
            <w:tcW w:w="921" w:type="dxa"/>
            <w:tcBorders>
              <w:top w:val="single" w:color="auto" w:sz="12" w:space="0"/>
              <w:left w:val="single" w:color="auto" w:sz="6" w:space="0"/>
              <w:bottom w:val="double" w:color="auto" w:sz="2" w:space="0"/>
              <w:right w:val="single" w:color="auto" w:sz="12" w:space="0"/>
            </w:tcBorders>
            <w:vAlign w:val="center"/>
          </w:tcPr>
          <w:p w14:paraId="7972B6EE">
            <w:pPr>
              <w:pStyle w:val="23"/>
              <w:keepNext/>
              <w:spacing w:after="0" w:line="440" w:lineRule="exact"/>
              <w:ind w:left="63" w:right="63"/>
              <w:rPr>
                <w:rFonts w:hAnsi="宋体"/>
                <w:color w:val="auto"/>
                <w:highlight w:val="none"/>
              </w:rPr>
            </w:pPr>
            <w:r>
              <w:rPr>
                <w:rFonts w:hint="eastAsia" w:hAnsi="宋体"/>
                <w:color w:val="auto"/>
                <w:highlight w:val="none"/>
              </w:rPr>
              <w:t>备注</w:t>
            </w:r>
          </w:p>
        </w:tc>
      </w:tr>
      <w:tr w14:paraId="2EDA71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2" w:space="0"/>
              <w:left w:val="single" w:color="auto" w:sz="12" w:space="0"/>
              <w:bottom w:val="single" w:color="auto" w:sz="6" w:space="0"/>
              <w:right w:val="single" w:color="auto" w:sz="6" w:space="0"/>
            </w:tcBorders>
            <w:vAlign w:val="center"/>
          </w:tcPr>
          <w:p w14:paraId="25344E1D">
            <w:pPr>
              <w:pStyle w:val="23"/>
              <w:keepNext/>
              <w:spacing w:after="0" w:line="440" w:lineRule="exact"/>
              <w:ind w:left="63" w:right="63"/>
              <w:rPr>
                <w:rFonts w:hAnsi="宋体"/>
                <w:color w:val="auto"/>
                <w:sz w:val="30"/>
                <w:szCs w:val="30"/>
                <w:highlight w:val="none"/>
              </w:rPr>
            </w:pPr>
          </w:p>
        </w:tc>
        <w:tc>
          <w:tcPr>
            <w:tcW w:w="1418" w:type="dxa"/>
            <w:tcBorders>
              <w:top w:val="double" w:color="auto" w:sz="2" w:space="0"/>
              <w:left w:val="single" w:color="auto" w:sz="6" w:space="0"/>
              <w:bottom w:val="single" w:color="auto" w:sz="6" w:space="0"/>
              <w:right w:val="single" w:color="auto" w:sz="6" w:space="0"/>
            </w:tcBorders>
            <w:vAlign w:val="center"/>
          </w:tcPr>
          <w:p w14:paraId="460D4B7E">
            <w:pPr>
              <w:pStyle w:val="23"/>
              <w:keepNext/>
              <w:spacing w:after="0" w:line="440" w:lineRule="exact"/>
              <w:ind w:left="63" w:right="63"/>
              <w:rPr>
                <w:rFonts w:hAnsi="宋体"/>
                <w:color w:val="auto"/>
                <w:sz w:val="30"/>
                <w:szCs w:val="30"/>
                <w:highlight w:val="none"/>
              </w:rPr>
            </w:pPr>
          </w:p>
        </w:tc>
        <w:tc>
          <w:tcPr>
            <w:tcW w:w="850" w:type="dxa"/>
            <w:tcBorders>
              <w:top w:val="double" w:color="auto" w:sz="2" w:space="0"/>
              <w:left w:val="single" w:color="auto" w:sz="6" w:space="0"/>
              <w:bottom w:val="single" w:color="auto" w:sz="6" w:space="0"/>
              <w:right w:val="single" w:color="auto" w:sz="6" w:space="0"/>
            </w:tcBorders>
            <w:vAlign w:val="center"/>
          </w:tcPr>
          <w:p w14:paraId="2B37C7B8">
            <w:pPr>
              <w:pStyle w:val="23"/>
              <w:keepNext/>
              <w:spacing w:after="0" w:line="440" w:lineRule="exact"/>
              <w:ind w:left="63" w:right="63"/>
              <w:rPr>
                <w:rFonts w:hAnsi="宋体"/>
                <w:color w:val="auto"/>
                <w:sz w:val="30"/>
                <w:szCs w:val="30"/>
                <w:highlight w:val="none"/>
              </w:rPr>
            </w:pPr>
          </w:p>
        </w:tc>
        <w:tc>
          <w:tcPr>
            <w:tcW w:w="1058" w:type="dxa"/>
            <w:tcBorders>
              <w:top w:val="double" w:color="auto" w:sz="2" w:space="0"/>
              <w:left w:val="single" w:color="auto" w:sz="6" w:space="0"/>
              <w:bottom w:val="single" w:color="auto" w:sz="6" w:space="0"/>
              <w:right w:val="single" w:color="auto" w:sz="6" w:space="0"/>
            </w:tcBorders>
            <w:vAlign w:val="center"/>
          </w:tcPr>
          <w:p w14:paraId="641A78CF">
            <w:pPr>
              <w:pStyle w:val="23"/>
              <w:keepNext/>
              <w:spacing w:after="0" w:line="440" w:lineRule="exact"/>
              <w:ind w:left="63" w:right="63"/>
              <w:rPr>
                <w:rFonts w:hAnsi="宋体"/>
                <w:color w:val="auto"/>
                <w:sz w:val="30"/>
                <w:szCs w:val="30"/>
                <w:highlight w:val="none"/>
              </w:rPr>
            </w:pPr>
          </w:p>
        </w:tc>
        <w:tc>
          <w:tcPr>
            <w:tcW w:w="880" w:type="dxa"/>
            <w:tcBorders>
              <w:top w:val="double" w:color="auto" w:sz="2" w:space="0"/>
              <w:left w:val="single" w:color="auto" w:sz="6" w:space="0"/>
              <w:bottom w:val="single" w:color="auto" w:sz="6" w:space="0"/>
              <w:right w:val="single" w:color="auto" w:sz="6" w:space="0"/>
            </w:tcBorders>
            <w:vAlign w:val="center"/>
          </w:tcPr>
          <w:p w14:paraId="76F445CA">
            <w:pPr>
              <w:pStyle w:val="23"/>
              <w:keepNext/>
              <w:spacing w:after="0" w:line="440" w:lineRule="exact"/>
              <w:ind w:left="63" w:right="63"/>
              <w:rPr>
                <w:rFonts w:hAnsi="宋体"/>
                <w:color w:val="auto"/>
                <w:sz w:val="30"/>
                <w:szCs w:val="30"/>
                <w:highlight w:val="none"/>
              </w:rPr>
            </w:pPr>
          </w:p>
        </w:tc>
        <w:tc>
          <w:tcPr>
            <w:tcW w:w="1020" w:type="dxa"/>
            <w:tcBorders>
              <w:top w:val="double" w:color="auto" w:sz="2" w:space="0"/>
              <w:left w:val="single" w:color="auto" w:sz="6" w:space="0"/>
              <w:bottom w:val="single" w:color="auto" w:sz="6" w:space="0"/>
              <w:right w:val="single" w:color="auto" w:sz="6" w:space="0"/>
            </w:tcBorders>
            <w:vAlign w:val="center"/>
          </w:tcPr>
          <w:p w14:paraId="1074DA20">
            <w:pPr>
              <w:pStyle w:val="23"/>
              <w:keepNext/>
              <w:spacing w:after="0" w:line="440" w:lineRule="exact"/>
              <w:ind w:left="63" w:right="63"/>
              <w:rPr>
                <w:rFonts w:hAnsi="宋体"/>
                <w:color w:val="auto"/>
                <w:sz w:val="30"/>
                <w:szCs w:val="30"/>
                <w:highlight w:val="none"/>
              </w:rPr>
            </w:pPr>
          </w:p>
        </w:tc>
        <w:tc>
          <w:tcPr>
            <w:tcW w:w="1480" w:type="dxa"/>
            <w:tcBorders>
              <w:top w:val="double" w:color="auto" w:sz="2" w:space="0"/>
              <w:left w:val="single" w:color="auto" w:sz="6" w:space="0"/>
              <w:bottom w:val="single" w:color="auto" w:sz="6" w:space="0"/>
              <w:right w:val="single" w:color="auto" w:sz="6" w:space="0"/>
            </w:tcBorders>
            <w:vAlign w:val="center"/>
          </w:tcPr>
          <w:p w14:paraId="3FDE32CA">
            <w:pPr>
              <w:pStyle w:val="23"/>
              <w:keepNext/>
              <w:spacing w:after="0" w:line="440" w:lineRule="exact"/>
              <w:ind w:left="63" w:right="63"/>
              <w:rPr>
                <w:rFonts w:hAnsi="宋体"/>
                <w:color w:val="auto"/>
                <w:sz w:val="30"/>
                <w:szCs w:val="30"/>
                <w:highlight w:val="none"/>
              </w:rPr>
            </w:pPr>
          </w:p>
        </w:tc>
        <w:tc>
          <w:tcPr>
            <w:tcW w:w="1020" w:type="dxa"/>
            <w:tcBorders>
              <w:top w:val="double" w:color="auto" w:sz="2" w:space="0"/>
              <w:left w:val="single" w:color="auto" w:sz="6" w:space="0"/>
              <w:bottom w:val="single" w:color="auto" w:sz="6" w:space="0"/>
              <w:right w:val="single" w:color="auto" w:sz="6" w:space="0"/>
            </w:tcBorders>
            <w:vAlign w:val="center"/>
          </w:tcPr>
          <w:p w14:paraId="4E0E5144">
            <w:pPr>
              <w:pStyle w:val="23"/>
              <w:keepNext/>
              <w:spacing w:after="0" w:line="440" w:lineRule="exact"/>
              <w:ind w:left="63" w:right="63"/>
              <w:rPr>
                <w:rFonts w:hAnsi="宋体"/>
                <w:color w:val="auto"/>
                <w:sz w:val="30"/>
                <w:szCs w:val="30"/>
                <w:highlight w:val="none"/>
              </w:rPr>
            </w:pPr>
          </w:p>
        </w:tc>
        <w:tc>
          <w:tcPr>
            <w:tcW w:w="921" w:type="dxa"/>
            <w:tcBorders>
              <w:top w:val="double" w:color="auto" w:sz="2" w:space="0"/>
              <w:left w:val="single" w:color="auto" w:sz="6" w:space="0"/>
              <w:bottom w:val="single" w:color="auto" w:sz="6" w:space="0"/>
              <w:right w:val="single" w:color="auto" w:sz="12" w:space="0"/>
            </w:tcBorders>
            <w:vAlign w:val="center"/>
          </w:tcPr>
          <w:p w14:paraId="1DC629BD">
            <w:pPr>
              <w:pStyle w:val="23"/>
              <w:keepNext/>
              <w:spacing w:after="0" w:line="440" w:lineRule="exact"/>
              <w:ind w:left="63" w:right="63"/>
              <w:rPr>
                <w:rFonts w:hAnsi="宋体"/>
                <w:color w:val="auto"/>
                <w:sz w:val="30"/>
                <w:szCs w:val="30"/>
                <w:highlight w:val="none"/>
              </w:rPr>
            </w:pPr>
          </w:p>
        </w:tc>
      </w:tr>
      <w:tr w14:paraId="0E255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left w:val="single" w:color="auto" w:sz="12" w:space="0"/>
              <w:bottom w:val="single" w:color="auto" w:sz="6" w:space="0"/>
              <w:right w:val="single" w:color="auto" w:sz="6" w:space="0"/>
            </w:tcBorders>
            <w:vAlign w:val="center"/>
          </w:tcPr>
          <w:p w14:paraId="750DC8B0">
            <w:pPr>
              <w:pStyle w:val="23"/>
              <w:keepNext/>
              <w:spacing w:after="0" w:line="440" w:lineRule="exact"/>
              <w:ind w:left="63" w:right="63"/>
              <w:rPr>
                <w:rFonts w:hAnsi="宋体"/>
                <w:color w:val="auto"/>
                <w:sz w:val="30"/>
                <w:szCs w:val="30"/>
                <w:highlight w:val="none"/>
              </w:rPr>
            </w:pPr>
          </w:p>
        </w:tc>
        <w:tc>
          <w:tcPr>
            <w:tcW w:w="1418" w:type="dxa"/>
            <w:tcBorders>
              <w:top w:val="nil"/>
              <w:left w:val="single" w:color="auto" w:sz="6" w:space="0"/>
              <w:bottom w:val="single" w:color="auto" w:sz="6" w:space="0"/>
              <w:right w:val="single" w:color="auto" w:sz="6" w:space="0"/>
            </w:tcBorders>
            <w:vAlign w:val="center"/>
          </w:tcPr>
          <w:p w14:paraId="73F1A908">
            <w:pPr>
              <w:pStyle w:val="23"/>
              <w:keepNext/>
              <w:spacing w:after="0" w:line="440" w:lineRule="exact"/>
              <w:ind w:left="63" w:right="63"/>
              <w:rPr>
                <w:rFonts w:hAnsi="宋体"/>
                <w:color w:val="auto"/>
                <w:sz w:val="30"/>
                <w:szCs w:val="30"/>
                <w:highlight w:val="none"/>
              </w:rPr>
            </w:pPr>
          </w:p>
        </w:tc>
        <w:tc>
          <w:tcPr>
            <w:tcW w:w="850" w:type="dxa"/>
            <w:tcBorders>
              <w:top w:val="nil"/>
              <w:left w:val="single" w:color="auto" w:sz="6" w:space="0"/>
              <w:bottom w:val="single" w:color="auto" w:sz="6" w:space="0"/>
              <w:right w:val="single" w:color="auto" w:sz="6" w:space="0"/>
            </w:tcBorders>
            <w:vAlign w:val="center"/>
          </w:tcPr>
          <w:p w14:paraId="10384AB5">
            <w:pPr>
              <w:pStyle w:val="23"/>
              <w:keepNext/>
              <w:spacing w:after="0" w:line="440" w:lineRule="exact"/>
              <w:ind w:left="63" w:right="63"/>
              <w:rPr>
                <w:rFonts w:hAnsi="宋体"/>
                <w:color w:val="auto"/>
                <w:sz w:val="30"/>
                <w:szCs w:val="30"/>
                <w:highlight w:val="none"/>
              </w:rPr>
            </w:pPr>
          </w:p>
        </w:tc>
        <w:tc>
          <w:tcPr>
            <w:tcW w:w="1058" w:type="dxa"/>
            <w:tcBorders>
              <w:top w:val="nil"/>
              <w:left w:val="single" w:color="auto" w:sz="6" w:space="0"/>
              <w:bottom w:val="single" w:color="auto" w:sz="6" w:space="0"/>
              <w:right w:val="single" w:color="auto" w:sz="6" w:space="0"/>
            </w:tcBorders>
            <w:vAlign w:val="center"/>
          </w:tcPr>
          <w:p w14:paraId="7F26DF25">
            <w:pPr>
              <w:pStyle w:val="23"/>
              <w:keepNext/>
              <w:spacing w:after="0" w:line="440" w:lineRule="exact"/>
              <w:ind w:left="63" w:right="63"/>
              <w:rPr>
                <w:rFonts w:hAnsi="宋体"/>
                <w:color w:val="auto"/>
                <w:sz w:val="30"/>
                <w:szCs w:val="30"/>
                <w:highlight w:val="none"/>
              </w:rPr>
            </w:pPr>
          </w:p>
        </w:tc>
        <w:tc>
          <w:tcPr>
            <w:tcW w:w="880" w:type="dxa"/>
            <w:tcBorders>
              <w:top w:val="nil"/>
              <w:left w:val="single" w:color="auto" w:sz="6" w:space="0"/>
              <w:bottom w:val="single" w:color="auto" w:sz="6" w:space="0"/>
              <w:right w:val="single" w:color="auto" w:sz="6" w:space="0"/>
            </w:tcBorders>
            <w:vAlign w:val="center"/>
          </w:tcPr>
          <w:p w14:paraId="76C50903">
            <w:pPr>
              <w:pStyle w:val="23"/>
              <w:keepNext/>
              <w:spacing w:after="0" w:line="440" w:lineRule="exact"/>
              <w:ind w:left="63" w:right="63"/>
              <w:rPr>
                <w:rFonts w:hAnsi="宋体"/>
                <w:color w:val="auto"/>
                <w:sz w:val="30"/>
                <w:szCs w:val="30"/>
                <w:highlight w:val="none"/>
              </w:rPr>
            </w:pPr>
          </w:p>
        </w:tc>
        <w:tc>
          <w:tcPr>
            <w:tcW w:w="1020" w:type="dxa"/>
            <w:tcBorders>
              <w:top w:val="nil"/>
              <w:left w:val="single" w:color="auto" w:sz="6" w:space="0"/>
              <w:bottom w:val="single" w:color="auto" w:sz="6" w:space="0"/>
              <w:right w:val="single" w:color="auto" w:sz="6" w:space="0"/>
            </w:tcBorders>
            <w:vAlign w:val="center"/>
          </w:tcPr>
          <w:p w14:paraId="427962B3">
            <w:pPr>
              <w:pStyle w:val="23"/>
              <w:keepNext/>
              <w:spacing w:after="0" w:line="440" w:lineRule="exact"/>
              <w:ind w:left="63" w:right="63"/>
              <w:rPr>
                <w:rFonts w:hAnsi="宋体"/>
                <w:color w:val="auto"/>
                <w:sz w:val="30"/>
                <w:szCs w:val="30"/>
                <w:highlight w:val="none"/>
              </w:rPr>
            </w:pPr>
          </w:p>
        </w:tc>
        <w:tc>
          <w:tcPr>
            <w:tcW w:w="1480" w:type="dxa"/>
            <w:tcBorders>
              <w:top w:val="nil"/>
              <w:left w:val="single" w:color="auto" w:sz="6" w:space="0"/>
              <w:bottom w:val="single" w:color="auto" w:sz="6" w:space="0"/>
              <w:right w:val="single" w:color="auto" w:sz="6" w:space="0"/>
            </w:tcBorders>
            <w:vAlign w:val="center"/>
          </w:tcPr>
          <w:p w14:paraId="79F43EBC">
            <w:pPr>
              <w:pStyle w:val="23"/>
              <w:keepNext/>
              <w:spacing w:after="0" w:line="440" w:lineRule="exact"/>
              <w:ind w:left="63" w:right="63"/>
              <w:rPr>
                <w:rFonts w:hAnsi="宋体"/>
                <w:color w:val="auto"/>
                <w:sz w:val="30"/>
                <w:szCs w:val="30"/>
                <w:highlight w:val="none"/>
              </w:rPr>
            </w:pPr>
          </w:p>
        </w:tc>
        <w:tc>
          <w:tcPr>
            <w:tcW w:w="1020" w:type="dxa"/>
            <w:tcBorders>
              <w:top w:val="nil"/>
              <w:left w:val="single" w:color="auto" w:sz="6" w:space="0"/>
              <w:bottom w:val="single" w:color="auto" w:sz="6" w:space="0"/>
              <w:right w:val="single" w:color="auto" w:sz="6" w:space="0"/>
            </w:tcBorders>
            <w:vAlign w:val="center"/>
          </w:tcPr>
          <w:p w14:paraId="57FDCC44">
            <w:pPr>
              <w:pStyle w:val="23"/>
              <w:keepNext/>
              <w:spacing w:after="0" w:line="440" w:lineRule="exact"/>
              <w:ind w:left="63" w:right="63"/>
              <w:rPr>
                <w:rFonts w:hAnsi="宋体"/>
                <w:color w:val="auto"/>
                <w:sz w:val="30"/>
                <w:szCs w:val="30"/>
                <w:highlight w:val="none"/>
              </w:rPr>
            </w:pPr>
          </w:p>
        </w:tc>
        <w:tc>
          <w:tcPr>
            <w:tcW w:w="921" w:type="dxa"/>
            <w:tcBorders>
              <w:top w:val="nil"/>
              <w:left w:val="single" w:color="auto" w:sz="6" w:space="0"/>
              <w:bottom w:val="single" w:color="auto" w:sz="6" w:space="0"/>
              <w:right w:val="single" w:color="auto" w:sz="12" w:space="0"/>
            </w:tcBorders>
            <w:vAlign w:val="center"/>
          </w:tcPr>
          <w:p w14:paraId="282B1025">
            <w:pPr>
              <w:pStyle w:val="23"/>
              <w:keepNext/>
              <w:spacing w:after="0" w:line="440" w:lineRule="exact"/>
              <w:ind w:left="63" w:right="63"/>
              <w:rPr>
                <w:rFonts w:hAnsi="宋体"/>
                <w:color w:val="auto"/>
                <w:sz w:val="30"/>
                <w:szCs w:val="30"/>
                <w:highlight w:val="none"/>
              </w:rPr>
            </w:pPr>
          </w:p>
        </w:tc>
      </w:tr>
      <w:tr w14:paraId="7EC1FC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vAlign w:val="center"/>
          </w:tcPr>
          <w:p w14:paraId="52ABD675">
            <w:pPr>
              <w:pStyle w:val="23"/>
              <w:keepNext/>
              <w:spacing w:after="0" w:line="440" w:lineRule="exact"/>
              <w:ind w:left="63" w:right="63"/>
              <w:rPr>
                <w:rFonts w:hAnsi="宋体"/>
                <w:color w:val="auto"/>
                <w:sz w:val="30"/>
                <w:szCs w:val="30"/>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47BF5D3E">
            <w:pPr>
              <w:pStyle w:val="23"/>
              <w:keepNext/>
              <w:spacing w:after="0" w:line="440" w:lineRule="exact"/>
              <w:ind w:left="63" w:right="63"/>
              <w:rPr>
                <w:rFonts w:hAnsi="宋体"/>
                <w:color w:val="auto"/>
                <w:sz w:val="30"/>
                <w:szCs w:val="30"/>
                <w:highlight w:val="none"/>
              </w:rPr>
            </w:pPr>
          </w:p>
        </w:tc>
        <w:tc>
          <w:tcPr>
            <w:tcW w:w="850" w:type="dxa"/>
            <w:tcBorders>
              <w:top w:val="single" w:color="auto" w:sz="6" w:space="0"/>
              <w:left w:val="single" w:color="auto" w:sz="6" w:space="0"/>
              <w:bottom w:val="single" w:color="auto" w:sz="6" w:space="0"/>
              <w:right w:val="single" w:color="auto" w:sz="6" w:space="0"/>
            </w:tcBorders>
            <w:vAlign w:val="center"/>
          </w:tcPr>
          <w:p w14:paraId="4620ECF7">
            <w:pPr>
              <w:pStyle w:val="23"/>
              <w:keepNext/>
              <w:spacing w:after="0" w:line="440" w:lineRule="exact"/>
              <w:ind w:left="63" w:right="63"/>
              <w:rPr>
                <w:rFonts w:hAnsi="宋体"/>
                <w:color w:val="auto"/>
                <w:sz w:val="30"/>
                <w:szCs w:val="30"/>
                <w:highlight w:val="none"/>
              </w:rPr>
            </w:pPr>
          </w:p>
        </w:tc>
        <w:tc>
          <w:tcPr>
            <w:tcW w:w="1058" w:type="dxa"/>
            <w:tcBorders>
              <w:top w:val="single" w:color="auto" w:sz="6" w:space="0"/>
              <w:left w:val="single" w:color="auto" w:sz="6" w:space="0"/>
              <w:bottom w:val="single" w:color="auto" w:sz="6" w:space="0"/>
              <w:right w:val="single" w:color="auto" w:sz="6" w:space="0"/>
            </w:tcBorders>
            <w:vAlign w:val="center"/>
          </w:tcPr>
          <w:p w14:paraId="219F7397">
            <w:pPr>
              <w:pStyle w:val="23"/>
              <w:keepNext/>
              <w:spacing w:after="0" w:line="440" w:lineRule="exact"/>
              <w:ind w:left="63" w:right="63"/>
              <w:rPr>
                <w:rFonts w:hAnsi="宋体"/>
                <w:color w:val="auto"/>
                <w:sz w:val="30"/>
                <w:szCs w:val="30"/>
                <w:highlight w:val="none"/>
              </w:rPr>
            </w:pPr>
          </w:p>
        </w:tc>
        <w:tc>
          <w:tcPr>
            <w:tcW w:w="880" w:type="dxa"/>
            <w:tcBorders>
              <w:top w:val="single" w:color="auto" w:sz="6" w:space="0"/>
              <w:left w:val="single" w:color="auto" w:sz="6" w:space="0"/>
              <w:bottom w:val="single" w:color="auto" w:sz="6" w:space="0"/>
              <w:right w:val="single" w:color="auto" w:sz="6" w:space="0"/>
            </w:tcBorders>
            <w:vAlign w:val="center"/>
          </w:tcPr>
          <w:p w14:paraId="23D7F77F">
            <w:pPr>
              <w:pStyle w:val="23"/>
              <w:keepNext/>
              <w:spacing w:after="0" w:line="440" w:lineRule="exact"/>
              <w:ind w:left="63" w:right="63"/>
              <w:rPr>
                <w:rFonts w:hAnsi="宋体"/>
                <w:color w:val="auto"/>
                <w:sz w:val="30"/>
                <w:szCs w:val="30"/>
                <w:highlight w:val="none"/>
              </w:rPr>
            </w:pPr>
          </w:p>
        </w:tc>
        <w:tc>
          <w:tcPr>
            <w:tcW w:w="1020" w:type="dxa"/>
            <w:tcBorders>
              <w:top w:val="single" w:color="auto" w:sz="6" w:space="0"/>
              <w:left w:val="single" w:color="auto" w:sz="6" w:space="0"/>
              <w:bottom w:val="single" w:color="auto" w:sz="6" w:space="0"/>
              <w:right w:val="single" w:color="auto" w:sz="6" w:space="0"/>
            </w:tcBorders>
            <w:vAlign w:val="center"/>
          </w:tcPr>
          <w:p w14:paraId="4299D011">
            <w:pPr>
              <w:pStyle w:val="23"/>
              <w:keepNext/>
              <w:spacing w:after="0" w:line="440" w:lineRule="exact"/>
              <w:ind w:left="63" w:right="63"/>
              <w:rPr>
                <w:rFonts w:hAnsi="宋体"/>
                <w:color w:val="auto"/>
                <w:sz w:val="30"/>
                <w:szCs w:val="30"/>
                <w:highlight w:val="none"/>
              </w:rPr>
            </w:pPr>
          </w:p>
        </w:tc>
        <w:tc>
          <w:tcPr>
            <w:tcW w:w="1480" w:type="dxa"/>
            <w:tcBorders>
              <w:top w:val="single" w:color="auto" w:sz="6" w:space="0"/>
              <w:left w:val="single" w:color="auto" w:sz="6" w:space="0"/>
              <w:bottom w:val="single" w:color="auto" w:sz="6" w:space="0"/>
              <w:right w:val="single" w:color="auto" w:sz="6" w:space="0"/>
            </w:tcBorders>
            <w:vAlign w:val="center"/>
          </w:tcPr>
          <w:p w14:paraId="3E3F4CB2">
            <w:pPr>
              <w:pStyle w:val="23"/>
              <w:keepNext/>
              <w:spacing w:after="0" w:line="440" w:lineRule="exact"/>
              <w:ind w:left="63" w:right="63"/>
              <w:rPr>
                <w:rFonts w:hAnsi="宋体"/>
                <w:color w:val="auto"/>
                <w:sz w:val="30"/>
                <w:szCs w:val="30"/>
                <w:highlight w:val="none"/>
              </w:rPr>
            </w:pPr>
          </w:p>
        </w:tc>
        <w:tc>
          <w:tcPr>
            <w:tcW w:w="1020" w:type="dxa"/>
            <w:tcBorders>
              <w:top w:val="single" w:color="auto" w:sz="6" w:space="0"/>
              <w:left w:val="single" w:color="auto" w:sz="6" w:space="0"/>
              <w:bottom w:val="single" w:color="auto" w:sz="6" w:space="0"/>
              <w:right w:val="single" w:color="auto" w:sz="6" w:space="0"/>
            </w:tcBorders>
            <w:vAlign w:val="center"/>
          </w:tcPr>
          <w:p w14:paraId="06E1B1A8">
            <w:pPr>
              <w:pStyle w:val="23"/>
              <w:keepNext/>
              <w:spacing w:after="0" w:line="440" w:lineRule="exact"/>
              <w:ind w:left="63" w:right="63"/>
              <w:rPr>
                <w:rFonts w:hAnsi="宋体"/>
                <w:color w:val="auto"/>
                <w:sz w:val="30"/>
                <w:szCs w:val="30"/>
                <w:highlight w:val="none"/>
              </w:rPr>
            </w:pPr>
          </w:p>
        </w:tc>
        <w:tc>
          <w:tcPr>
            <w:tcW w:w="921" w:type="dxa"/>
            <w:tcBorders>
              <w:top w:val="single" w:color="auto" w:sz="6" w:space="0"/>
              <w:left w:val="single" w:color="auto" w:sz="6" w:space="0"/>
              <w:bottom w:val="single" w:color="auto" w:sz="6" w:space="0"/>
              <w:right w:val="single" w:color="auto" w:sz="12" w:space="0"/>
            </w:tcBorders>
            <w:vAlign w:val="center"/>
          </w:tcPr>
          <w:p w14:paraId="779880FC">
            <w:pPr>
              <w:pStyle w:val="23"/>
              <w:keepNext/>
              <w:spacing w:after="0" w:line="440" w:lineRule="exact"/>
              <w:ind w:left="63" w:right="63"/>
              <w:rPr>
                <w:rFonts w:hAnsi="宋体"/>
                <w:color w:val="auto"/>
                <w:sz w:val="30"/>
                <w:szCs w:val="30"/>
                <w:highlight w:val="none"/>
              </w:rPr>
            </w:pPr>
          </w:p>
        </w:tc>
      </w:tr>
      <w:tr w14:paraId="1C2E77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vAlign w:val="center"/>
          </w:tcPr>
          <w:p w14:paraId="11BA603C">
            <w:pPr>
              <w:pStyle w:val="23"/>
              <w:keepNext/>
              <w:spacing w:after="0" w:line="440" w:lineRule="exact"/>
              <w:ind w:left="63" w:right="63"/>
              <w:rPr>
                <w:rFonts w:hAnsi="宋体"/>
                <w:color w:val="auto"/>
                <w:sz w:val="30"/>
                <w:szCs w:val="30"/>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39AA509D">
            <w:pPr>
              <w:pStyle w:val="23"/>
              <w:keepNext/>
              <w:spacing w:after="0" w:line="440" w:lineRule="exact"/>
              <w:ind w:left="63" w:right="63"/>
              <w:rPr>
                <w:rFonts w:hAnsi="宋体"/>
                <w:color w:val="auto"/>
                <w:sz w:val="30"/>
                <w:szCs w:val="30"/>
                <w:highlight w:val="none"/>
              </w:rPr>
            </w:pPr>
          </w:p>
        </w:tc>
        <w:tc>
          <w:tcPr>
            <w:tcW w:w="850" w:type="dxa"/>
            <w:tcBorders>
              <w:top w:val="single" w:color="auto" w:sz="6" w:space="0"/>
              <w:left w:val="single" w:color="auto" w:sz="6" w:space="0"/>
              <w:bottom w:val="single" w:color="auto" w:sz="6" w:space="0"/>
              <w:right w:val="single" w:color="auto" w:sz="6" w:space="0"/>
            </w:tcBorders>
            <w:vAlign w:val="center"/>
          </w:tcPr>
          <w:p w14:paraId="0AB04020">
            <w:pPr>
              <w:pStyle w:val="23"/>
              <w:keepNext/>
              <w:spacing w:after="0" w:line="440" w:lineRule="exact"/>
              <w:ind w:left="63" w:right="63"/>
              <w:rPr>
                <w:rFonts w:hAnsi="宋体"/>
                <w:color w:val="auto"/>
                <w:sz w:val="30"/>
                <w:szCs w:val="30"/>
                <w:highlight w:val="none"/>
              </w:rPr>
            </w:pPr>
          </w:p>
        </w:tc>
        <w:tc>
          <w:tcPr>
            <w:tcW w:w="1058" w:type="dxa"/>
            <w:tcBorders>
              <w:top w:val="single" w:color="auto" w:sz="6" w:space="0"/>
              <w:left w:val="single" w:color="auto" w:sz="6" w:space="0"/>
              <w:bottom w:val="single" w:color="auto" w:sz="6" w:space="0"/>
              <w:right w:val="single" w:color="auto" w:sz="6" w:space="0"/>
            </w:tcBorders>
            <w:vAlign w:val="center"/>
          </w:tcPr>
          <w:p w14:paraId="16241513">
            <w:pPr>
              <w:pStyle w:val="23"/>
              <w:keepNext/>
              <w:spacing w:after="0" w:line="440" w:lineRule="exact"/>
              <w:ind w:left="63" w:right="63"/>
              <w:rPr>
                <w:rFonts w:hAnsi="宋体"/>
                <w:color w:val="auto"/>
                <w:sz w:val="30"/>
                <w:szCs w:val="30"/>
                <w:highlight w:val="none"/>
              </w:rPr>
            </w:pPr>
          </w:p>
        </w:tc>
        <w:tc>
          <w:tcPr>
            <w:tcW w:w="880" w:type="dxa"/>
            <w:tcBorders>
              <w:top w:val="single" w:color="auto" w:sz="6" w:space="0"/>
              <w:left w:val="single" w:color="auto" w:sz="6" w:space="0"/>
              <w:bottom w:val="single" w:color="auto" w:sz="6" w:space="0"/>
              <w:right w:val="single" w:color="auto" w:sz="6" w:space="0"/>
            </w:tcBorders>
            <w:vAlign w:val="center"/>
          </w:tcPr>
          <w:p w14:paraId="351C321D">
            <w:pPr>
              <w:pStyle w:val="23"/>
              <w:keepNext/>
              <w:spacing w:after="0" w:line="440" w:lineRule="exact"/>
              <w:ind w:left="63" w:right="63"/>
              <w:rPr>
                <w:rFonts w:hAnsi="宋体"/>
                <w:color w:val="auto"/>
                <w:sz w:val="30"/>
                <w:szCs w:val="30"/>
                <w:highlight w:val="none"/>
              </w:rPr>
            </w:pPr>
          </w:p>
        </w:tc>
        <w:tc>
          <w:tcPr>
            <w:tcW w:w="1020" w:type="dxa"/>
            <w:tcBorders>
              <w:top w:val="single" w:color="auto" w:sz="6" w:space="0"/>
              <w:left w:val="single" w:color="auto" w:sz="6" w:space="0"/>
              <w:bottom w:val="single" w:color="auto" w:sz="6" w:space="0"/>
              <w:right w:val="single" w:color="auto" w:sz="6" w:space="0"/>
            </w:tcBorders>
            <w:vAlign w:val="center"/>
          </w:tcPr>
          <w:p w14:paraId="2A021165">
            <w:pPr>
              <w:pStyle w:val="23"/>
              <w:keepNext/>
              <w:spacing w:after="0" w:line="440" w:lineRule="exact"/>
              <w:ind w:left="63" w:right="63"/>
              <w:rPr>
                <w:rFonts w:hAnsi="宋体"/>
                <w:color w:val="auto"/>
                <w:sz w:val="30"/>
                <w:szCs w:val="30"/>
                <w:highlight w:val="none"/>
              </w:rPr>
            </w:pPr>
          </w:p>
        </w:tc>
        <w:tc>
          <w:tcPr>
            <w:tcW w:w="1480" w:type="dxa"/>
            <w:tcBorders>
              <w:top w:val="single" w:color="auto" w:sz="6" w:space="0"/>
              <w:left w:val="single" w:color="auto" w:sz="6" w:space="0"/>
              <w:bottom w:val="single" w:color="auto" w:sz="6" w:space="0"/>
              <w:right w:val="single" w:color="auto" w:sz="6" w:space="0"/>
            </w:tcBorders>
            <w:vAlign w:val="center"/>
          </w:tcPr>
          <w:p w14:paraId="2A543E67">
            <w:pPr>
              <w:pStyle w:val="23"/>
              <w:keepNext/>
              <w:spacing w:after="0" w:line="440" w:lineRule="exact"/>
              <w:ind w:left="63" w:right="63"/>
              <w:rPr>
                <w:rFonts w:hAnsi="宋体"/>
                <w:color w:val="auto"/>
                <w:sz w:val="30"/>
                <w:szCs w:val="30"/>
                <w:highlight w:val="none"/>
              </w:rPr>
            </w:pPr>
          </w:p>
        </w:tc>
        <w:tc>
          <w:tcPr>
            <w:tcW w:w="1020" w:type="dxa"/>
            <w:tcBorders>
              <w:top w:val="single" w:color="auto" w:sz="6" w:space="0"/>
              <w:left w:val="single" w:color="auto" w:sz="6" w:space="0"/>
              <w:bottom w:val="single" w:color="auto" w:sz="6" w:space="0"/>
              <w:right w:val="single" w:color="auto" w:sz="6" w:space="0"/>
            </w:tcBorders>
            <w:vAlign w:val="center"/>
          </w:tcPr>
          <w:p w14:paraId="32E0F43F">
            <w:pPr>
              <w:pStyle w:val="23"/>
              <w:keepNext/>
              <w:spacing w:after="0" w:line="440" w:lineRule="exact"/>
              <w:ind w:left="63" w:right="63"/>
              <w:rPr>
                <w:rFonts w:hAnsi="宋体"/>
                <w:color w:val="auto"/>
                <w:sz w:val="30"/>
                <w:szCs w:val="30"/>
                <w:highlight w:val="none"/>
              </w:rPr>
            </w:pPr>
          </w:p>
        </w:tc>
        <w:tc>
          <w:tcPr>
            <w:tcW w:w="921" w:type="dxa"/>
            <w:tcBorders>
              <w:top w:val="single" w:color="auto" w:sz="6" w:space="0"/>
              <w:left w:val="single" w:color="auto" w:sz="6" w:space="0"/>
              <w:bottom w:val="single" w:color="auto" w:sz="6" w:space="0"/>
              <w:right w:val="single" w:color="auto" w:sz="12" w:space="0"/>
            </w:tcBorders>
            <w:vAlign w:val="center"/>
          </w:tcPr>
          <w:p w14:paraId="6381DCF3">
            <w:pPr>
              <w:pStyle w:val="23"/>
              <w:keepNext/>
              <w:spacing w:after="0" w:line="440" w:lineRule="exact"/>
              <w:ind w:left="63" w:right="63"/>
              <w:rPr>
                <w:rFonts w:hAnsi="宋体"/>
                <w:color w:val="auto"/>
                <w:sz w:val="30"/>
                <w:szCs w:val="30"/>
                <w:highlight w:val="none"/>
              </w:rPr>
            </w:pPr>
          </w:p>
        </w:tc>
      </w:tr>
      <w:tr w14:paraId="40B079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vAlign w:val="center"/>
          </w:tcPr>
          <w:p w14:paraId="3343A575">
            <w:pPr>
              <w:pStyle w:val="23"/>
              <w:keepNext/>
              <w:spacing w:after="0" w:line="440" w:lineRule="exact"/>
              <w:ind w:left="63" w:right="63"/>
              <w:rPr>
                <w:rFonts w:hAnsi="宋体"/>
                <w:color w:val="auto"/>
                <w:sz w:val="30"/>
                <w:szCs w:val="30"/>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5DE7ED1F">
            <w:pPr>
              <w:pStyle w:val="23"/>
              <w:keepNext/>
              <w:spacing w:after="0" w:line="440" w:lineRule="exact"/>
              <w:ind w:left="63" w:right="63"/>
              <w:rPr>
                <w:rFonts w:hAnsi="宋体"/>
                <w:color w:val="auto"/>
                <w:sz w:val="30"/>
                <w:szCs w:val="30"/>
                <w:highlight w:val="none"/>
              </w:rPr>
            </w:pPr>
          </w:p>
        </w:tc>
        <w:tc>
          <w:tcPr>
            <w:tcW w:w="850" w:type="dxa"/>
            <w:tcBorders>
              <w:top w:val="single" w:color="auto" w:sz="6" w:space="0"/>
              <w:left w:val="single" w:color="auto" w:sz="6" w:space="0"/>
              <w:bottom w:val="single" w:color="auto" w:sz="6" w:space="0"/>
              <w:right w:val="single" w:color="auto" w:sz="6" w:space="0"/>
            </w:tcBorders>
            <w:vAlign w:val="center"/>
          </w:tcPr>
          <w:p w14:paraId="49774955">
            <w:pPr>
              <w:pStyle w:val="23"/>
              <w:keepNext/>
              <w:spacing w:after="0" w:line="440" w:lineRule="exact"/>
              <w:ind w:left="63" w:right="63"/>
              <w:rPr>
                <w:rFonts w:hAnsi="宋体"/>
                <w:color w:val="auto"/>
                <w:sz w:val="30"/>
                <w:szCs w:val="30"/>
                <w:highlight w:val="none"/>
              </w:rPr>
            </w:pPr>
          </w:p>
        </w:tc>
        <w:tc>
          <w:tcPr>
            <w:tcW w:w="1058" w:type="dxa"/>
            <w:tcBorders>
              <w:top w:val="single" w:color="auto" w:sz="6" w:space="0"/>
              <w:left w:val="single" w:color="auto" w:sz="6" w:space="0"/>
              <w:bottom w:val="single" w:color="auto" w:sz="6" w:space="0"/>
              <w:right w:val="single" w:color="auto" w:sz="6" w:space="0"/>
            </w:tcBorders>
            <w:vAlign w:val="center"/>
          </w:tcPr>
          <w:p w14:paraId="46847F1A">
            <w:pPr>
              <w:pStyle w:val="23"/>
              <w:keepNext/>
              <w:spacing w:after="0" w:line="440" w:lineRule="exact"/>
              <w:ind w:left="63" w:right="63"/>
              <w:rPr>
                <w:rFonts w:hAnsi="宋体"/>
                <w:color w:val="auto"/>
                <w:sz w:val="30"/>
                <w:szCs w:val="30"/>
                <w:highlight w:val="none"/>
              </w:rPr>
            </w:pPr>
          </w:p>
        </w:tc>
        <w:tc>
          <w:tcPr>
            <w:tcW w:w="880" w:type="dxa"/>
            <w:tcBorders>
              <w:top w:val="single" w:color="auto" w:sz="6" w:space="0"/>
              <w:left w:val="single" w:color="auto" w:sz="6" w:space="0"/>
              <w:bottom w:val="single" w:color="auto" w:sz="6" w:space="0"/>
              <w:right w:val="single" w:color="auto" w:sz="6" w:space="0"/>
            </w:tcBorders>
            <w:vAlign w:val="center"/>
          </w:tcPr>
          <w:p w14:paraId="2F08207F">
            <w:pPr>
              <w:pStyle w:val="23"/>
              <w:keepNext/>
              <w:spacing w:after="0" w:line="440" w:lineRule="exact"/>
              <w:ind w:left="63" w:right="63"/>
              <w:rPr>
                <w:rFonts w:hAnsi="宋体"/>
                <w:color w:val="auto"/>
                <w:sz w:val="30"/>
                <w:szCs w:val="30"/>
                <w:highlight w:val="none"/>
              </w:rPr>
            </w:pPr>
          </w:p>
        </w:tc>
        <w:tc>
          <w:tcPr>
            <w:tcW w:w="1020" w:type="dxa"/>
            <w:tcBorders>
              <w:top w:val="single" w:color="auto" w:sz="6" w:space="0"/>
              <w:left w:val="single" w:color="auto" w:sz="6" w:space="0"/>
              <w:bottom w:val="single" w:color="auto" w:sz="6" w:space="0"/>
              <w:right w:val="single" w:color="auto" w:sz="6" w:space="0"/>
            </w:tcBorders>
            <w:vAlign w:val="center"/>
          </w:tcPr>
          <w:p w14:paraId="4CB45C6C">
            <w:pPr>
              <w:pStyle w:val="23"/>
              <w:keepNext/>
              <w:spacing w:after="0" w:line="440" w:lineRule="exact"/>
              <w:ind w:left="63" w:right="63"/>
              <w:rPr>
                <w:rFonts w:hAnsi="宋体"/>
                <w:color w:val="auto"/>
                <w:sz w:val="30"/>
                <w:szCs w:val="30"/>
                <w:highlight w:val="none"/>
              </w:rPr>
            </w:pPr>
          </w:p>
        </w:tc>
        <w:tc>
          <w:tcPr>
            <w:tcW w:w="1480" w:type="dxa"/>
            <w:tcBorders>
              <w:top w:val="single" w:color="auto" w:sz="6" w:space="0"/>
              <w:left w:val="single" w:color="auto" w:sz="6" w:space="0"/>
              <w:bottom w:val="single" w:color="auto" w:sz="6" w:space="0"/>
              <w:right w:val="single" w:color="auto" w:sz="6" w:space="0"/>
            </w:tcBorders>
            <w:vAlign w:val="center"/>
          </w:tcPr>
          <w:p w14:paraId="7B8FDF01">
            <w:pPr>
              <w:pStyle w:val="23"/>
              <w:keepNext/>
              <w:spacing w:after="0" w:line="440" w:lineRule="exact"/>
              <w:ind w:left="63" w:right="63"/>
              <w:rPr>
                <w:rFonts w:hAnsi="宋体"/>
                <w:color w:val="auto"/>
                <w:sz w:val="30"/>
                <w:szCs w:val="30"/>
                <w:highlight w:val="none"/>
              </w:rPr>
            </w:pPr>
          </w:p>
        </w:tc>
        <w:tc>
          <w:tcPr>
            <w:tcW w:w="1020" w:type="dxa"/>
            <w:tcBorders>
              <w:top w:val="single" w:color="auto" w:sz="6" w:space="0"/>
              <w:left w:val="single" w:color="auto" w:sz="6" w:space="0"/>
              <w:bottom w:val="single" w:color="auto" w:sz="6" w:space="0"/>
              <w:right w:val="single" w:color="auto" w:sz="6" w:space="0"/>
            </w:tcBorders>
            <w:vAlign w:val="center"/>
          </w:tcPr>
          <w:p w14:paraId="1CC94ED5">
            <w:pPr>
              <w:pStyle w:val="23"/>
              <w:keepNext/>
              <w:spacing w:after="0" w:line="440" w:lineRule="exact"/>
              <w:ind w:left="63" w:right="63"/>
              <w:rPr>
                <w:rFonts w:hAnsi="宋体"/>
                <w:color w:val="auto"/>
                <w:sz w:val="30"/>
                <w:szCs w:val="30"/>
                <w:highlight w:val="none"/>
              </w:rPr>
            </w:pPr>
          </w:p>
        </w:tc>
        <w:tc>
          <w:tcPr>
            <w:tcW w:w="921" w:type="dxa"/>
            <w:tcBorders>
              <w:top w:val="single" w:color="auto" w:sz="6" w:space="0"/>
              <w:left w:val="single" w:color="auto" w:sz="6" w:space="0"/>
              <w:bottom w:val="single" w:color="auto" w:sz="6" w:space="0"/>
              <w:right w:val="single" w:color="auto" w:sz="12" w:space="0"/>
            </w:tcBorders>
            <w:vAlign w:val="center"/>
          </w:tcPr>
          <w:p w14:paraId="5547B869">
            <w:pPr>
              <w:pStyle w:val="23"/>
              <w:keepNext/>
              <w:spacing w:after="0" w:line="440" w:lineRule="exact"/>
              <w:ind w:left="63" w:right="63"/>
              <w:rPr>
                <w:rFonts w:hAnsi="宋体"/>
                <w:color w:val="auto"/>
                <w:sz w:val="30"/>
                <w:szCs w:val="30"/>
                <w:highlight w:val="none"/>
              </w:rPr>
            </w:pPr>
          </w:p>
        </w:tc>
      </w:tr>
      <w:tr w14:paraId="674385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vAlign w:val="center"/>
          </w:tcPr>
          <w:p w14:paraId="4076813A">
            <w:pPr>
              <w:pStyle w:val="23"/>
              <w:keepNext/>
              <w:spacing w:after="0" w:line="440" w:lineRule="exact"/>
              <w:ind w:left="63" w:right="63"/>
              <w:rPr>
                <w:rFonts w:hAnsi="宋体"/>
                <w:color w:val="auto"/>
                <w:sz w:val="30"/>
                <w:szCs w:val="30"/>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4B30874A">
            <w:pPr>
              <w:pStyle w:val="23"/>
              <w:keepNext/>
              <w:spacing w:after="0" w:line="440" w:lineRule="exact"/>
              <w:ind w:left="63" w:right="63"/>
              <w:rPr>
                <w:rFonts w:hAnsi="宋体"/>
                <w:color w:val="auto"/>
                <w:sz w:val="30"/>
                <w:szCs w:val="30"/>
                <w:highlight w:val="none"/>
              </w:rPr>
            </w:pPr>
          </w:p>
        </w:tc>
        <w:tc>
          <w:tcPr>
            <w:tcW w:w="850" w:type="dxa"/>
            <w:tcBorders>
              <w:top w:val="single" w:color="auto" w:sz="6" w:space="0"/>
              <w:left w:val="single" w:color="auto" w:sz="6" w:space="0"/>
              <w:bottom w:val="single" w:color="auto" w:sz="6" w:space="0"/>
              <w:right w:val="single" w:color="auto" w:sz="6" w:space="0"/>
            </w:tcBorders>
            <w:vAlign w:val="center"/>
          </w:tcPr>
          <w:p w14:paraId="442301CD">
            <w:pPr>
              <w:pStyle w:val="23"/>
              <w:keepNext/>
              <w:spacing w:after="0" w:line="440" w:lineRule="exact"/>
              <w:ind w:left="63" w:right="63"/>
              <w:rPr>
                <w:rFonts w:hAnsi="宋体"/>
                <w:color w:val="auto"/>
                <w:sz w:val="30"/>
                <w:szCs w:val="30"/>
                <w:highlight w:val="none"/>
              </w:rPr>
            </w:pPr>
          </w:p>
        </w:tc>
        <w:tc>
          <w:tcPr>
            <w:tcW w:w="1058" w:type="dxa"/>
            <w:tcBorders>
              <w:top w:val="single" w:color="auto" w:sz="6" w:space="0"/>
              <w:left w:val="single" w:color="auto" w:sz="6" w:space="0"/>
              <w:bottom w:val="single" w:color="auto" w:sz="6" w:space="0"/>
              <w:right w:val="single" w:color="auto" w:sz="6" w:space="0"/>
            </w:tcBorders>
            <w:vAlign w:val="center"/>
          </w:tcPr>
          <w:p w14:paraId="6DC8AE06">
            <w:pPr>
              <w:pStyle w:val="23"/>
              <w:keepNext/>
              <w:spacing w:after="0" w:line="440" w:lineRule="exact"/>
              <w:ind w:left="63" w:right="63"/>
              <w:rPr>
                <w:rFonts w:hAnsi="宋体"/>
                <w:color w:val="auto"/>
                <w:sz w:val="30"/>
                <w:szCs w:val="30"/>
                <w:highlight w:val="none"/>
              </w:rPr>
            </w:pPr>
          </w:p>
        </w:tc>
        <w:tc>
          <w:tcPr>
            <w:tcW w:w="880" w:type="dxa"/>
            <w:tcBorders>
              <w:top w:val="single" w:color="auto" w:sz="6" w:space="0"/>
              <w:left w:val="single" w:color="auto" w:sz="6" w:space="0"/>
              <w:bottom w:val="single" w:color="auto" w:sz="6" w:space="0"/>
              <w:right w:val="single" w:color="auto" w:sz="6" w:space="0"/>
            </w:tcBorders>
            <w:vAlign w:val="center"/>
          </w:tcPr>
          <w:p w14:paraId="7AE6BD3B">
            <w:pPr>
              <w:pStyle w:val="23"/>
              <w:keepNext/>
              <w:spacing w:after="0" w:line="440" w:lineRule="exact"/>
              <w:ind w:left="63" w:right="63"/>
              <w:rPr>
                <w:rFonts w:hAnsi="宋体"/>
                <w:color w:val="auto"/>
                <w:sz w:val="30"/>
                <w:szCs w:val="30"/>
                <w:highlight w:val="none"/>
              </w:rPr>
            </w:pPr>
          </w:p>
        </w:tc>
        <w:tc>
          <w:tcPr>
            <w:tcW w:w="1020" w:type="dxa"/>
            <w:tcBorders>
              <w:top w:val="single" w:color="auto" w:sz="6" w:space="0"/>
              <w:left w:val="single" w:color="auto" w:sz="6" w:space="0"/>
              <w:bottom w:val="single" w:color="auto" w:sz="6" w:space="0"/>
              <w:right w:val="single" w:color="auto" w:sz="6" w:space="0"/>
            </w:tcBorders>
            <w:vAlign w:val="center"/>
          </w:tcPr>
          <w:p w14:paraId="7BEEE28A">
            <w:pPr>
              <w:pStyle w:val="23"/>
              <w:keepNext/>
              <w:spacing w:after="0" w:line="440" w:lineRule="exact"/>
              <w:ind w:left="63" w:right="63"/>
              <w:rPr>
                <w:rFonts w:hAnsi="宋体"/>
                <w:color w:val="auto"/>
                <w:sz w:val="30"/>
                <w:szCs w:val="30"/>
                <w:highlight w:val="none"/>
              </w:rPr>
            </w:pPr>
          </w:p>
        </w:tc>
        <w:tc>
          <w:tcPr>
            <w:tcW w:w="1480" w:type="dxa"/>
            <w:tcBorders>
              <w:top w:val="single" w:color="auto" w:sz="6" w:space="0"/>
              <w:left w:val="single" w:color="auto" w:sz="6" w:space="0"/>
              <w:bottom w:val="single" w:color="auto" w:sz="6" w:space="0"/>
              <w:right w:val="single" w:color="auto" w:sz="6" w:space="0"/>
            </w:tcBorders>
            <w:vAlign w:val="center"/>
          </w:tcPr>
          <w:p w14:paraId="75E1BC36">
            <w:pPr>
              <w:pStyle w:val="23"/>
              <w:keepNext/>
              <w:spacing w:after="0" w:line="440" w:lineRule="exact"/>
              <w:ind w:left="63" w:right="63"/>
              <w:rPr>
                <w:rFonts w:hAnsi="宋体"/>
                <w:color w:val="auto"/>
                <w:sz w:val="30"/>
                <w:szCs w:val="30"/>
                <w:highlight w:val="none"/>
              </w:rPr>
            </w:pPr>
          </w:p>
        </w:tc>
        <w:tc>
          <w:tcPr>
            <w:tcW w:w="1020" w:type="dxa"/>
            <w:tcBorders>
              <w:top w:val="single" w:color="auto" w:sz="6" w:space="0"/>
              <w:left w:val="single" w:color="auto" w:sz="6" w:space="0"/>
              <w:bottom w:val="single" w:color="auto" w:sz="6" w:space="0"/>
              <w:right w:val="single" w:color="auto" w:sz="6" w:space="0"/>
            </w:tcBorders>
            <w:vAlign w:val="center"/>
          </w:tcPr>
          <w:p w14:paraId="020C8B25">
            <w:pPr>
              <w:pStyle w:val="23"/>
              <w:keepNext/>
              <w:spacing w:after="0" w:line="440" w:lineRule="exact"/>
              <w:ind w:left="63" w:right="63"/>
              <w:rPr>
                <w:rFonts w:hAnsi="宋体"/>
                <w:color w:val="auto"/>
                <w:sz w:val="30"/>
                <w:szCs w:val="30"/>
                <w:highlight w:val="none"/>
              </w:rPr>
            </w:pPr>
          </w:p>
        </w:tc>
        <w:tc>
          <w:tcPr>
            <w:tcW w:w="921" w:type="dxa"/>
            <w:tcBorders>
              <w:top w:val="single" w:color="auto" w:sz="6" w:space="0"/>
              <w:left w:val="single" w:color="auto" w:sz="6" w:space="0"/>
              <w:bottom w:val="single" w:color="auto" w:sz="6" w:space="0"/>
              <w:right w:val="single" w:color="auto" w:sz="12" w:space="0"/>
            </w:tcBorders>
            <w:vAlign w:val="center"/>
          </w:tcPr>
          <w:p w14:paraId="7C57D2AD">
            <w:pPr>
              <w:pStyle w:val="23"/>
              <w:keepNext/>
              <w:spacing w:after="0" w:line="440" w:lineRule="exact"/>
              <w:ind w:left="63" w:right="63"/>
              <w:rPr>
                <w:rFonts w:hAnsi="宋体"/>
                <w:color w:val="auto"/>
                <w:sz w:val="30"/>
                <w:szCs w:val="30"/>
                <w:highlight w:val="none"/>
              </w:rPr>
            </w:pPr>
          </w:p>
        </w:tc>
      </w:tr>
      <w:tr w14:paraId="37EBF6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12" w:space="0"/>
              <w:right w:val="single" w:color="auto" w:sz="6" w:space="0"/>
            </w:tcBorders>
            <w:vAlign w:val="center"/>
          </w:tcPr>
          <w:p w14:paraId="4FB9CBE6">
            <w:pPr>
              <w:pStyle w:val="23"/>
              <w:keepNext/>
              <w:spacing w:after="0" w:line="440" w:lineRule="exact"/>
              <w:ind w:left="63" w:right="63"/>
              <w:rPr>
                <w:rFonts w:hAnsi="宋体"/>
                <w:color w:val="auto"/>
                <w:sz w:val="30"/>
                <w:szCs w:val="30"/>
                <w:highlight w:val="none"/>
              </w:rPr>
            </w:pPr>
          </w:p>
        </w:tc>
        <w:tc>
          <w:tcPr>
            <w:tcW w:w="1418" w:type="dxa"/>
            <w:tcBorders>
              <w:top w:val="single" w:color="auto" w:sz="6" w:space="0"/>
              <w:left w:val="single" w:color="auto" w:sz="6" w:space="0"/>
              <w:bottom w:val="single" w:color="auto" w:sz="12" w:space="0"/>
              <w:right w:val="single" w:color="auto" w:sz="6" w:space="0"/>
            </w:tcBorders>
            <w:vAlign w:val="center"/>
          </w:tcPr>
          <w:p w14:paraId="5AEE3F8E">
            <w:pPr>
              <w:pStyle w:val="23"/>
              <w:keepNext/>
              <w:spacing w:after="0" w:line="440" w:lineRule="exact"/>
              <w:ind w:left="63" w:right="63"/>
              <w:rPr>
                <w:rFonts w:hAnsi="宋体"/>
                <w:color w:val="auto"/>
                <w:sz w:val="30"/>
                <w:szCs w:val="30"/>
                <w:highlight w:val="none"/>
              </w:rPr>
            </w:pPr>
          </w:p>
        </w:tc>
        <w:tc>
          <w:tcPr>
            <w:tcW w:w="850" w:type="dxa"/>
            <w:tcBorders>
              <w:top w:val="single" w:color="auto" w:sz="6" w:space="0"/>
              <w:left w:val="single" w:color="auto" w:sz="6" w:space="0"/>
              <w:bottom w:val="single" w:color="auto" w:sz="12" w:space="0"/>
              <w:right w:val="single" w:color="auto" w:sz="6" w:space="0"/>
            </w:tcBorders>
            <w:vAlign w:val="center"/>
          </w:tcPr>
          <w:p w14:paraId="60DD3FFD">
            <w:pPr>
              <w:pStyle w:val="23"/>
              <w:keepNext/>
              <w:spacing w:after="0" w:line="440" w:lineRule="exact"/>
              <w:ind w:left="63" w:right="63"/>
              <w:rPr>
                <w:rFonts w:hAnsi="宋体"/>
                <w:color w:val="auto"/>
                <w:sz w:val="30"/>
                <w:szCs w:val="30"/>
                <w:highlight w:val="none"/>
              </w:rPr>
            </w:pPr>
          </w:p>
        </w:tc>
        <w:tc>
          <w:tcPr>
            <w:tcW w:w="1058" w:type="dxa"/>
            <w:tcBorders>
              <w:top w:val="single" w:color="auto" w:sz="6" w:space="0"/>
              <w:left w:val="single" w:color="auto" w:sz="6" w:space="0"/>
              <w:bottom w:val="single" w:color="auto" w:sz="12" w:space="0"/>
              <w:right w:val="single" w:color="auto" w:sz="6" w:space="0"/>
            </w:tcBorders>
            <w:vAlign w:val="center"/>
          </w:tcPr>
          <w:p w14:paraId="0D29FA3C">
            <w:pPr>
              <w:pStyle w:val="23"/>
              <w:keepNext/>
              <w:spacing w:after="0" w:line="440" w:lineRule="exact"/>
              <w:ind w:left="63" w:right="63"/>
              <w:rPr>
                <w:rFonts w:hAnsi="宋体"/>
                <w:color w:val="auto"/>
                <w:sz w:val="30"/>
                <w:szCs w:val="30"/>
                <w:highlight w:val="none"/>
              </w:rPr>
            </w:pPr>
          </w:p>
        </w:tc>
        <w:tc>
          <w:tcPr>
            <w:tcW w:w="880" w:type="dxa"/>
            <w:tcBorders>
              <w:top w:val="single" w:color="auto" w:sz="6" w:space="0"/>
              <w:left w:val="single" w:color="auto" w:sz="6" w:space="0"/>
              <w:bottom w:val="single" w:color="auto" w:sz="12" w:space="0"/>
              <w:right w:val="single" w:color="auto" w:sz="6" w:space="0"/>
            </w:tcBorders>
            <w:vAlign w:val="center"/>
          </w:tcPr>
          <w:p w14:paraId="3DE9865C">
            <w:pPr>
              <w:pStyle w:val="23"/>
              <w:keepNext/>
              <w:spacing w:after="0" w:line="440" w:lineRule="exact"/>
              <w:ind w:left="63" w:right="63"/>
              <w:rPr>
                <w:rFonts w:hAnsi="宋体"/>
                <w:color w:val="auto"/>
                <w:sz w:val="30"/>
                <w:szCs w:val="30"/>
                <w:highlight w:val="none"/>
              </w:rPr>
            </w:pPr>
          </w:p>
        </w:tc>
        <w:tc>
          <w:tcPr>
            <w:tcW w:w="1020" w:type="dxa"/>
            <w:tcBorders>
              <w:top w:val="single" w:color="auto" w:sz="6" w:space="0"/>
              <w:left w:val="single" w:color="auto" w:sz="6" w:space="0"/>
              <w:bottom w:val="single" w:color="auto" w:sz="12" w:space="0"/>
              <w:right w:val="single" w:color="auto" w:sz="6" w:space="0"/>
            </w:tcBorders>
            <w:vAlign w:val="center"/>
          </w:tcPr>
          <w:p w14:paraId="633A3FEC">
            <w:pPr>
              <w:pStyle w:val="23"/>
              <w:keepNext/>
              <w:spacing w:after="0" w:line="440" w:lineRule="exact"/>
              <w:ind w:left="63" w:right="63"/>
              <w:rPr>
                <w:rFonts w:hAnsi="宋体"/>
                <w:color w:val="auto"/>
                <w:sz w:val="30"/>
                <w:szCs w:val="30"/>
                <w:highlight w:val="none"/>
              </w:rPr>
            </w:pPr>
          </w:p>
        </w:tc>
        <w:tc>
          <w:tcPr>
            <w:tcW w:w="1480" w:type="dxa"/>
            <w:tcBorders>
              <w:top w:val="single" w:color="auto" w:sz="6" w:space="0"/>
              <w:left w:val="single" w:color="auto" w:sz="6" w:space="0"/>
              <w:bottom w:val="single" w:color="auto" w:sz="12" w:space="0"/>
              <w:right w:val="single" w:color="auto" w:sz="6" w:space="0"/>
            </w:tcBorders>
            <w:vAlign w:val="center"/>
          </w:tcPr>
          <w:p w14:paraId="2E5ECFD7">
            <w:pPr>
              <w:pStyle w:val="23"/>
              <w:keepNext/>
              <w:spacing w:after="0" w:line="440" w:lineRule="exact"/>
              <w:ind w:left="63" w:right="63"/>
              <w:rPr>
                <w:rFonts w:hAnsi="宋体"/>
                <w:color w:val="auto"/>
                <w:sz w:val="30"/>
                <w:szCs w:val="30"/>
                <w:highlight w:val="none"/>
              </w:rPr>
            </w:pPr>
          </w:p>
        </w:tc>
        <w:tc>
          <w:tcPr>
            <w:tcW w:w="1020" w:type="dxa"/>
            <w:tcBorders>
              <w:top w:val="single" w:color="auto" w:sz="6" w:space="0"/>
              <w:left w:val="single" w:color="auto" w:sz="6" w:space="0"/>
              <w:bottom w:val="single" w:color="auto" w:sz="12" w:space="0"/>
              <w:right w:val="single" w:color="auto" w:sz="6" w:space="0"/>
            </w:tcBorders>
            <w:vAlign w:val="center"/>
          </w:tcPr>
          <w:p w14:paraId="4ECC85C9">
            <w:pPr>
              <w:pStyle w:val="23"/>
              <w:keepNext/>
              <w:spacing w:after="0" w:line="440" w:lineRule="exact"/>
              <w:ind w:left="63" w:right="63"/>
              <w:rPr>
                <w:rFonts w:hAnsi="宋体"/>
                <w:color w:val="auto"/>
                <w:sz w:val="30"/>
                <w:szCs w:val="30"/>
                <w:highlight w:val="none"/>
              </w:rPr>
            </w:pPr>
          </w:p>
        </w:tc>
        <w:tc>
          <w:tcPr>
            <w:tcW w:w="921" w:type="dxa"/>
            <w:tcBorders>
              <w:top w:val="single" w:color="auto" w:sz="6" w:space="0"/>
              <w:left w:val="single" w:color="auto" w:sz="6" w:space="0"/>
              <w:bottom w:val="single" w:color="auto" w:sz="12" w:space="0"/>
              <w:right w:val="single" w:color="auto" w:sz="12" w:space="0"/>
            </w:tcBorders>
            <w:vAlign w:val="center"/>
          </w:tcPr>
          <w:p w14:paraId="2C607857">
            <w:pPr>
              <w:pStyle w:val="23"/>
              <w:keepNext/>
              <w:spacing w:after="0" w:line="440" w:lineRule="exact"/>
              <w:ind w:left="63" w:right="63"/>
              <w:rPr>
                <w:rFonts w:hAnsi="宋体"/>
                <w:color w:val="auto"/>
                <w:sz w:val="30"/>
                <w:szCs w:val="30"/>
                <w:highlight w:val="none"/>
              </w:rPr>
            </w:pPr>
          </w:p>
        </w:tc>
      </w:tr>
    </w:tbl>
    <w:p w14:paraId="05BEB7F3">
      <w:pPr>
        <w:spacing w:line="440" w:lineRule="exact"/>
        <w:rPr>
          <w:rFonts w:hAnsi="宋体"/>
          <w:color w:val="auto"/>
          <w:sz w:val="30"/>
          <w:szCs w:val="30"/>
          <w:highlight w:val="none"/>
        </w:rPr>
      </w:pPr>
      <w:r>
        <w:rPr>
          <w:rFonts w:hint="eastAsia" w:hAnsi="宋体"/>
          <w:color w:val="auto"/>
          <w:sz w:val="30"/>
          <w:szCs w:val="30"/>
          <w:highlight w:val="none"/>
        </w:rPr>
        <w:t xml:space="preserve"> </w:t>
      </w:r>
    </w:p>
    <w:p w14:paraId="7CE8AB18">
      <w:pPr>
        <w:spacing w:line="440" w:lineRule="exact"/>
        <w:rPr>
          <w:rFonts w:hAnsi="宋体"/>
          <w:color w:val="auto"/>
          <w:sz w:val="30"/>
          <w:szCs w:val="30"/>
          <w:highlight w:val="none"/>
        </w:rPr>
      </w:pPr>
      <w:r>
        <w:rPr>
          <w:rFonts w:hint="eastAsia" w:hAnsi="宋体"/>
          <w:color w:val="auto"/>
          <w:sz w:val="30"/>
          <w:szCs w:val="30"/>
          <w:highlight w:val="none"/>
        </w:rPr>
        <w:br w:type="page"/>
      </w:r>
    </w:p>
    <w:p w14:paraId="271FFE9E">
      <w:pPr>
        <w:spacing w:line="440" w:lineRule="exact"/>
        <w:rPr>
          <w:rFonts w:hAnsi="宋体"/>
          <w:color w:val="auto"/>
          <w:sz w:val="30"/>
          <w:szCs w:val="30"/>
          <w:highlight w:val="none"/>
        </w:rPr>
      </w:pPr>
      <w:r>
        <w:rPr>
          <w:rFonts w:hint="eastAsia" w:hAnsi="宋体"/>
          <w:color w:val="auto"/>
          <w:sz w:val="30"/>
          <w:szCs w:val="30"/>
          <w:highlight w:val="none"/>
        </w:rPr>
        <w:t>附件4：</w:t>
      </w:r>
    </w:p>
    <w:p w14:paraId="0EB05ABC">
      <w:pPr>
        <w:spacing w:beforeLines="50" w:afterLines="50" w:line="360" w:lineRule="auto"/>
        <w:jc w:val="center"/>
        <w:rPr>
          <w:rFonts w:hAnsi="宋体"/>
          <w:color w:val="auto"/>
          <w:sz w:val="24"/>
          <w:szCs w:val="24"/>
          <w:highlight w:val="none"/>
        </w:rPr>
      </w:pPr>
      <w:r>
        <w:rPr>
          <w:rFonts w:hint="eastAsia" w:hAnsi="宋体"/>
          <w:color w:val="auto"/>
          <w:sz w:val="24"/>
          <w:szCs w:val="24"/>
          <w:highlight w:val="none"/>
        </w:rPr>
        <w:t>发包人供应材料设备一览表</w:t>
      </w:r>
    </w:p>
    <w:tbl>
      <w:tblPr>
        <w:tblStyle w:val="63"/>
        <w:tblW w:w="107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240083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left w:val="single" w:color="auto" w:sz="12" w:space="0"/>
              <w:bottom w:val="double" w:color="auto" w:sz="2" w:space="0"/>
              <w:right w:val="single" w:color="auto" w:sz="6" w:space="0"/>
            </w:tcBorders>
            <w:vAlign w:val="center"/>
          </w:tcPr>
          <w:p w14:paraId="7C696D4E">
            <w:pPr>
              <w:pStyle w:val="23"/>
              <w:keepNext/>
              <w:spacing w:line="360" w:lineRule="auto"/>
              <w:ind w:left="63" w:right="63"/>
              <w:rPr>
                <w:rFonts w:hAnsi="宋体"/>
                <w:color w:val="auto"/>
                <w:sz w:val="24"/>
                <w:szCs w:val="24"/>
                <w:highlight w:val="none"/>
              </w:rPr>
            </w:pPr>
            <w:r>
              <w:rPr>
                <w:rFonts w:hint="eastAsia" w:hAnsi="宋体"/>
                <w:color w:val="auto"/>
                <w:sz w:val="24"/>
                <w:szCs w:val="24"/>
                <w:highlight w:val="none"/>
              </w:rPr>
              <w:t>序号</w:t>
            </w:r>
          </w:p>
        </w:tc>
        <w:tc>
          <w:tcPr>
            <w:tcW w:w="1276" w:type="dxa"/>
            <w:tcBorders>
              <w:top w:val="single" w:color="auto" w:sz="12" w:space="0"/>
              <w:left w:val="single" w:color="auto" w:sz="6" w:space="0"/>
              <w:bottom w:val="double" w:color="auto" w:sz="2" w:space="0"/>
              <w:right w:val="single" w:color="auto" w:sz="6" w:space="0"/>
            </w:tcBorders>
            <w:vAlign w:val="center"/>
          </w:tcPr>
          <w:p w14:paraId="11997EC1">
            <w:pPr>
              <w:pStyle w:val="23"/>
              <w:keepNext/>
              <w:spacing w:line="360" w:lineRule="auto"/>
              <w:ind w:left="63" w:right="63"/>
              <w:rPr>
                <w:rFonts w:hAnsi="宋体"/>
                <w:color w:val="auto"/>
                <w:sz w:val="24"/>
                <w:szCs w:val="24"/>
                <w:highlight w:val="none"/>
              </w:rPr>
            </w:pPr>
            <w:r>
              <w:rPr>
                <w:rFonts w:hint="eastAsia" w:hAnsi="宋体"/>
                <w:color w:val="auto"/>
                <w:sz w:val="24"/>
                <w:szCs w:val="24"/>
                <w:highlight w:val="none"/>
              </w:rPr>
              <w:t>材料、</w:t>
            </w:r>
          </w:p>
          <w:p w14:paraId="10BECA38">
            <w:pPr>
              <w:pStyle w:val="23"/>
              <w:keepNext/>
              <w:spacing w:line="360" w:lineRule="auto"/>
              <w:ind w:right="63"/>
              <w:rPr>
                <w:rFonts w:hAnsi="宋体"/>
                <w:color w:val="auto"/>
                <w:sz w:val="24"/>
                <w:szCs w:val="24"/>
                <w:highlight w:val="none"/>
              </w:rPr>
            </w:pPr>
            <w:r>
              <w:rPr>
                <w:rFonts w:hint="eastAsia" w:hAnsi="宋体"/>
                <w:color w:val="auto"/>
                <w:sz w:val="24"/>
                <w:szCs w:val="24"/>
                <w:highlight w:val="none"/>
              </w:rPr>
              <w:t>设备品种</w:t>
            </w:r>
          </w:p>
        </w:tc>
        <w:tc>
          <w:tcPr>
            <w:tcW w:w="1418" w:type="dxa"/>
            <w:tcBorders>
              <w:top w:val="single" w:color="auto" w:sz="12" w:space="0"/>
              <w:left w:val="single" w:color="auto" w:sz="6" w:space="0"/>
              <w:bottom w:val="double" w:color="auto" w:sz="2" w:space="0"/>
              <w:right w:val="single" w:color="auto" w:sz="6" w:space="0"/>
            </w:tcBorders>
            <w:vAlign w:val="center"/>
          </w:tcPr>
          <w:p w14:paraId="49647EC4">
            <w:pPr>
              <w:pStyle w:val="23"/>
              <w:keepNext/>
              <w:spacing w:line="360" w:lineRule="auto"/>
              <w:ind w:left="63" w:right="63"/>
              <w:rPr>
                <w:rFonts w:hAnsi="宋体"/>
                <w:color w:val="auto"/>
                <w:sz w:val="24"/>
                <w:szCs w:val="24"/>
                <w:highlight w:val="none"/>
              </w:rPr>
            </w:pPr>
            <w:r>
              <w:rPr>
                <w:rFonts w:hint="eastAsia" w:hAnsi="宋体"/>
                <w:color w:val="auto"/>
                <w:sz w:val="24"/>
                <w:szCs w:val="24"/>
                <w:highlight w:val="none"/>
              </w:rPr>
              <w:t>规格型号</w:t>
            </w:r>
          </w:p>
        </w:tc>
        <w:tc>
          <w:tcPr>
            <w:tcW w:w="940" w:type="dxa"/>
            <w:tcBorders>
              <w:top w:val="single" w:color="auto" w:sz="12" w:space="0"/>
              <w:left w:val="single" w:color="auto" w:sz="6" w:space="0"/>
              <w:bottom w:val="double" w:color="auto" w:sz="2" w:space="0"/>
              <w:right w:val="single" w:color="auto" w:sz="6" w:space="0"/>
            </w:tcBorders>
            <w:vAlign w:val="center"/>
          </w:tcPr>
          <w:p w14:paraId="4B0DC9B5">
            <w:pPr>
              <w:pStyle w:val="23"/>
              <w:keepNext/>
              <w:spacing w:line="360" w:lineRule="auto"/>
              <w:ind w:left="63" w:right="63"/>
              <w:rPr>
                <w:rFonts w:hAnsi="宋体"/>
                <w:color w:val="auto"/>
                <w:sz w:val="24"/>
                <w:szCs w:val="24"/>
                <w:highlight w:val="none"/>
              </w:rPr>
            </w:pPr>
            <w:r>
              <w:rPr>
                <w:rFonts w:hint="eastAsia" w:hAnsi="宋体"/>
                <w:color w:val="auto"/>
                <w:sz w:val="24"/>
                <w:szCs w:val="24"/>
                <w:highlight w:val="none"/>
              </w:rPr>
              <w:t>单位</w:t>
            </w:r>
          </w:p>
        </w:tc>
        <w:tc>
          <w:tcPr>
            <w:tcW w:w="851" w:type="dxa"/>
            <w:tcBorders>
              <w:top w:val="single" w:color="auto" w:sz="12" w:space="0"/>
              <w:left w:val="single" w:color="auto" w:sz="6" w:space="0"/>
              <w:bottom w:val="double" w:color="auto" w:sz="2" w:space="0"/>
              <w:right w:val="single" w:color="auto" w:sz="6" w:space="0"/>
            </w:tcBorders>
            <w:vAlign w:val="center"/>
          </w:tcPr>
          <w:p w14:paraId="73FE5763">
            <w:pPr>
              <w:pStyle w:val="23"/>
              <w:keepNext/>
              <w:spacing w:line="360" w:lineRule="auto"/>
              <w:ind w:left="63" w:right="63"/>
              <w:rPr>
                <w:rFonts w:hAnsi="宋体"/>
                <w:color w:val="auto"/>
                <w:sz w:val="24"/>
                <w:szCs w:val="24"/>
                <w:highlight w:val="none"/>
              </w:rPr>
            </w:pPr>
            <w:r>
              <w:rPr>
                <w:rFonts w:hint="eastAsia" w:hAnsi="宋体"/>
                <w:color w:val="auto"/>
                <w:sz w:val="24"/>
                <w:szCs w:val="24"/>
                <w:highlight w:val="none"/>
              </w:rPr>
              <w:t>数量</w:t>
            </w:r>
          </w:p>
        </w:tc>
        <w:tc>
          <w:tcPr>
            <w:tcW w:w="1044" w:type="dxa"/>
            <w:tcBorders>
              <w:top w:val="single" w:color="auto" w:sz="12" w:space="0"/>
              <w:left w:val="single" w:color="auto" w:sz="6" w:space="0"/>
              <w:bottom w:val="double" w:color="auto" w:sz="2" w:space="0"/>
              <w:right w:val="single" w:color="auto" w:sz="6" w:space="0"/>
            </w:tcBorders>
            <w:vAlign w:val="center"/>
          </w:tcPr>
          <w:p w14:paraId="14CBA757">
            <w:pPr>
              <w:pStyle w:val="23"/>
              <w:keepNext/>
              <w:spacing w:line="360" w:lineRule="auto"/>
              <w:ind w:left="63" w:right="63"/>
              <w:rPr>
                <w:rFonts w:hAnsi="宋体"/>
                <w:color w:val="auto"/>
                <w:sz w:val="24"/>
                <w:szCs w:val="24"/>
                <w:highlight w:val="none"/>
              </w:rPr>
            </w:pPr>
            <w:r>
              <w:rPr>
                <w:rFonts w:hint="eastAsia" w:hAnsi="宋体"/>
                <w:color w:val="auto"/>
                <w:sz w:val="24"/>
                <w:szCs w:val="24"/>
                <w:highlight w:val="none"/>
              </w:rPr>
              <w:t>单价（元）</w:t>
            </w:r>
          </w:p>
        </w:tc>
        <w:tc>
          <w:tcPr>
            <w:tcW w:w="992" w:type="dxa"/>
            <w:tcBorders>
              <w:top w:val="single" w:color="auto" w:sz="12" w:space="0"/>
              <w:left w:val="single" w:color="auto" w:sz="6" w:space="0"/>
              <w:bottom w:val="double" w:color="auto" w:sz="2" w:space="0"/>
              <w:right w:val="single" w:color="auto" w:sz="6" w:space="0"/>
            </w:tcBorders>
            <w:vAlign w:val="center"/>
          </w:tcPr>
          <w:p w14:paraId="03EAA8C2">
            <w:pPr>
              <w:pStyle w:val="23"/>
              <w:keepNext/>
              <w:spacing w:line="360" w:lineRule="auto"/>
              <w:ind w:left="63" w:right="63"/>
              <w:rPr>
                <w:rFonts w:hAnsi="宋体"/>
                <w:color w:val="auto"/>
                <w:sz w:val="24"/>
                <w:szCs w:val="24"/>
                <w:highlight w:val="none"/>
              </w:rPr>
            </w:pPr>
            <w:r>
              <w:rPr>
                <w:rFonts w:hint="eastAsia" w:hAnsi="宋体"/>
                <w:color w:val="auto"/>
                <w:sz w:val="24"/>
                <w:szCs w:val="24"/>
                <w:highlight w:val="none"/>
              </w:rPr>
              <w:t>质量等级</w:t>
            </w:r>
          </w:p>
        </w:tc>
        <w:tc>
          <w:tcPr>
            <w:tcW w:w="851" w:type="dxa"/>
            <w:tcBorders>
              <w:top w:val="single" w:color="auto" w:sz="12" w:space="0"/>
              <w:left w:val="single" w:color="auto" w:sz="6" w:space="0"/>
              <w:bottom w:val="double" w:color="auto" w:sz="2" w:space="0"/>
              <w:right w:val="single" w:color="auto" w:sz="6" w:space="0"/>
            </w:tcBorders>
            <w:vAlign w:val="center"/>
          </w:tcPr>
          <w:p w14:paraId="36D35D4A">
            <w:pPr>
              <w:pStyle w:val="23"/>
              <w:keepNext/>
              <w:spacing w:line="360" w:lineRule="auto"/>
              <w:ind w:left="63" w:right="63"/>
              <w:rPr>
                <w:rFonts w:hAnsi="宋体"/>
                <w:color w:val="auto"/>
                <w:sz w:val="24"/>
                <w:szCs w:val="24"/>
                <w:highlight w:val="none"/>
              </w:rPr>
            </w:pPr>
            <w:r>
              <w:rPr>
                <w:rFonts w:hint="eastAsia" w:hAnsi="宋体"/>
                <w:color w:val="auto"/>
                <w:sz w:val="24"/>
                <w:szCs w:val="24"/>
                <w:highlight w:val="none"/>
              </w:rPr>
              <w:t>供应时间</w:t>
            </w:r>
          </w:p>
        </w:tc>
        <w:tc>
          <w:tcPr>
            <w:tcW w:w="1487" w:type="dxa"/>
            <w:tcBorders>
              <w:top w:val="single" w:color="auto" w:sz="12" w:space="0"/>
              <w:left w:val="single" w:color="auto" w:sz="6" w:space="0"/>
              <w:bottom w:val="double" w:color="auto" w:sz="2" w:space="0"/>
              <w:right w:val="single" w:color="auto" w:sz="6" w:space="0"/>
            </w:tcBorders>
            <w:vAlign w:val="center"/>
          </w:tcPr>
          <w:p w14:paraId="536D0013">
            <w:pPr>
              <w:pStyle w:val="23"/>
              <w:keepNext/>
              <w:spacing w:line="360" w:lineRule="auto"/>
              <w:ind w:left="63" w:right="63"/>
              <w:rPr>
                <w:rFonts w:hAnsi="宋体"/>
                <w:color w:val="auto"/>
                <w:sz w:val="24"/>
                <w:szCs w:val="24"/>
                <w:highlight w:val="none"/>
              </w:rPr>
            </w:pPr>
            <w:r>
              <w:rPr>
                <w:rFonts w:hint="eastAsia" w:hAnsi="宋体"/>
                <w:color w:val="auto"/>
                <w:sz w:val="24"/>
                <w:szCs w:val="24"/>
                <w:highlight w:val="none"/>
              </w:rPr>
              <w:t>送达地点</w:t>
            </w:r>
          </w:p>
        </w:tc>
        <w:tc>
          <w:tcPr>
            <w:tcW w:w="992" w:type="dxa"/>
            <w:tcBorders>
              <w:top w:val="single" w:color="auto" w:sz="12" w:space="0"/>
              <w:left w:val="single" w:color="auto" w:sz="6" w:space="0"/>
              <w:bottom w:val="double" w:color="auto" w:sz="2" w:space="0"/>
              <w:right w:val="single" w:color="auto" w:sz="12" w:space="0"/>
            </w:tcBorders>
            <w:vAlign w:val="center"/>
          </w:tcPr>
          <w:p w14:paraId="25E9A963">
            <w:pPr>
              <w:pStyle w:val="23"/>
              <w:keepNext/>
              <w:spacing w:line="360" w:lineRule="auto"/>
              <w:ind w:left="63" w:right="63"/>
              <w:rPr>
                <w:rFonts w:hAnsi="宋体"/>
                <w:color w:val="auto"/>
                <w:sz w:val="24"/>
                <w:szCs w:val="24"/>
                <w:highlight w:val="none"/>
              </w:rPr>
            </w:pPr>
            <w:r>
              <w:rPr>
                <w:rFonts w:hint="eastAsia" w:hAnsi="宋体"/>
                <w:color w:val="auto"/>
                <w:sz w:val="24"/>
                <w:szCs w:val="24"/>
                <w:highlight w:val="none"/>
              </w:rPr>
              <w:t>备注</w:t>
            </w:r>
          </w:p>
        </w:tc>
      </w:tr>
      <w:tr w14:paraId="1853FC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2" w:space="0"/>
              <w:left w:val="single" w:color="auto" w:sz="12" w:space="0"/>
              <w:bottom w:val="single" w:color="auto" w:sz="6" w:space="0"/>
              <w:right w:val="single" w:color="auto" w:sz="6" w:space="0"/>
            </w:tcBorders>
            <w:vAlign w:val="center"/>
          </w:tcPr>
          <w:p w14:paraId="2F670458">
            <w:pPr>
              <w:spacing w:line="360" w:lineRule="auto"/>
              <w:jc w:val="center"/>
              <w:rPr>
                <w:rFonts w:hAnsi="宋体"/>
                <w:color w:val="auto"/>
                <w:sz w:val="24"/>
                <w:szCs w:val="24"/>
                <w:highlight w:val="none"/>
              </w:rPr>
            </w:pPr>
            <w:r>
              <w:rPr>
                <w:rFonts w:hint="eastAsia" w:hAnsi="宋体"/>
                <w:color w:val="auto"/>
                <w:sz w:val="24"/>
                <w:szCs w:val="24"/>
                <w:highlight w:val="none"/>
              </w:rPr>
              <w:t>1</w:t>
            </w:r>
          </w:p>
        </w:tc>
        <w:tc>
          <w:tcPr>
            <w:tcW w:w="1276" w:type="dxa"/>
            <w:tcBorders>
              <w:top w:val="double" w:color="auto" w:sz="2" w:space="0"/>
              <w:left w:val="single" w:color="auto" w:sz="6" w:space="0"/>
              <w:bottom w:val="single" w:color="auto" w:sz="6" w:space="0"/>
              <w:right w:val="single" w:color="auto" w:sz="6" w:space="0"/>
            </w:tcBorders>
            <w:vAlign w:val="center"/>
          </w:tcPr>
          <w:p w14:paraId="30D05D47">
            <w:pPr>
              <w:adjustRightInd w:val="0"/>
              <w:spacing w:line="360" w:lineRule="auto"/>
              <w:jc w:val="center"/>
              <w:rPr>
                <w:rFonts w:hAnsi="宋体"/>
                <w:color w:val="auto"/>
                <w:sz w:val="24"/>
                <w:szCs w:val="24"/>
                <w:highlight w:val="none"/>
              </w:rPr>
            </w:pPr>
          </w:p>
        </w:tc>
        <w:tc>
          <w:tcPr>
            <w:tcW w:w="1418" w:type="dxa"/>
            <w:tcBorders>
              <w:top w:val="double" w:color="auto" w:sz="2" w:space="0"/>
              <w:left w:val="single" w:color="auto" w:sz="6" w:space="0"/>
              <w:bottom w:val="single" w:color="auto" w:sz="6" w:space="0"/>
              <w:right w:val="single" w:color="auto" w:sz="6" w:space="0"/>
            </w:tcBorders>
            <w:vAlign w:val="center"/>
          </w:tcPr>
          <w:p w14:paraId="78BC6CCE">
            <w:pPr>
              <w:adjustRightInd w:val="0"/>
              <w:spacing w:line="360" w:lineRule="auto"/>
              <w:jc w:val="center"/>
              <w:rPr>
                <w:rFonts w:hAnsi="宋体"/>
                <w:color w:val="auto"/>
                <w:sz w:val="24"/>
                <w:szCs w:val="24"/>
                <w:highlight w:val="none"/>
              </w:rPr>
            </w:pPr>
          </w:p>
        </w:tc>
        <w:tc>
          <w:tcPr>
            <w:tcW w:w="940" w:type="dxa"/>
            <w:tcBorders>
              <w:top w:val="double" w:color="auto" w:sz="2" w:space="0"/>
              <w:left w:val="single" w:color="auto" w:sz="6" w:space="0"/>
              <w:bottom w:val="single" w:color="auto" w:sz="6" w:space="0"/>
              <w:right w:val="single" w:color="auto" w:sz="6" w:space="0"/>
            </w:tcBorders>
            <w:vAlign w:val="center"/>
          </w:tcPr>
          <w:p w14:paraId="7F678F8E">
            <w:pPr>
              <w:adjustRightInd w:val="0"/>
              <w:spacing w:line="360" w:lineRule="auto"/>
              <w:jc w:val="center"/>
              <w:rPr>
                <w:rFonts w:hAnsi="宋体"/>
                <w:color w:val="auto"/>
                <w:sz w:val="24"/>
                <w:szCs w:val="24"/>
                <w:highlight w:val="none"/>
              </w:rPr>
            </w:pPr>
          </w:p>
        </w:tc>
        <w:tc>
          <w:tcPr>
            <w:tcW w:w="851" w:type="dxa"/>
            <w:tcBorders>
              <w:top w:val="double" w:color="auto" w:sz="2" w:space="0"/>
              <w:left w:val="single" w:color="auto" w:sz="6" w:space="0"/>
              <w:bottom w:val="single" w:color="auto" w:sz="6" w:space="0"/>
              <w:right w:val="single" w:color="auto" w:sz="6" w:space="0"/>
            </w:tcBorders>
            <w:vAlign w:val="center"/>
          </w:tcPr>
          <w:p w14:paraId="20AEDDF3">
            <w:pPr>
              <w:adjustRightInd w:val="0"/>
              <w:spacing w:line="360" w:lineRule="auto"/>
              <w:jc w:val="center"/>
              <w:rPr>
                <w:rFonts w:hAnsi="宋体"/>
                <w:color w:val="auto"/>
                <w:sz w:val="24"/>
                <w:szCs w:val="24"/>
                <w:highlight w:val="none"/>
              </w:rPr>
            </w:pPr>
          </w:p>
        </w:tc>
        <w:tc>
          <w:tcPr>
            <w:tcW w:w="1044" w:type="dxa"/>
            <w:tcBorders>
              <w:top w:val="double" w:color="auto" w:sz="2" w:space="0"/>
              <w:left w:val="single" w:color="auto" w:sz="6" w:space="0"/>
              <w:bottom w:val="single" w:color="auto" w:sz="6" w:space="0"/>
              <w:right w:val="single" w:color="auto" w:sz="6" w:space="0"/>
            </w:tcBorders>
            <w:vAlign w:val="center"/>
          </w:tcPr>
          <w:p w14:paraId="518CE603">
            <w:pPr>
              <w:pStyle w:val="23"/>
              <w:keepNext/>
              <w:spacing w:line="360" w:lineRule="auto"/>
              <w:ind w:left="63" w:right="63"/>
              <w:rPr>
                <w:rFonts w:hAnsi="宋体"/>
                <w:color w:val="auto"/>
                <w:sz w:val="24"/>
                <w:szCs w:val="24"/>
                <w:highlight w:val="none"/>
              </w:rPr>
            </w:pPr>
          </w:p>
        </w:tc>
        <w:tc>
          <w:tcPr>
            <w:tcW w:w="992" w:type="dxa"/>
            <w:tcBorders>
              <w:top w:val="double" w:color="auto" w:sz="2" w:space="0"/>
              <w:left w:val="single" w:color="auto" w:sz="6" w:space="0"/>
              <w:bottom w:val="single" w:color="auto" w:sz="6" w:space="0"/>
              <w:right w:val="single" w:color="auto" w:sz="6" w:space="0"/>
            </w:tcBorders>
            <w:vAlign w:val="center"/>
          </w:tcPr>
          <w:p w14:paraId="5C55223B">
            <w:pPr>
              <w:pStyle w:val="23"/>
              <w:keepNext/>
              <w:spacing w:line="360" w:lineRule="auto"/>
              <w:ind w:left="63" w:right="63"/>
              <w:rPr>
                <w:rFonts w:hAnsi="宋体"/>
                <w:color w:val="auto"/>
                <w:sz w:val="24"/>
                <w:szCs w:val="24"/>
                <w:highlight w:val="none"/>
              </w:rPr>
            </w:pPr>
          </w:p>
        </w:tc>
        <w:tc>
          <w:tcPr>
            <w:tcW w:w="851" w:type="dxa"/>
            <w:tcBorders>
              <w:top w:val="double" w:color="auto" w:sz="2" w:space="0"/>
              <w:left w:val="single" w:color="auto" w:sz="6" w:space="0"/>
              <w:bottom w:val="single" w:color="auto" w:sz="6" w:space="0"/>
              <w:right w:val="single" w:color="auto" w:sz="6" w:space="0"/>
            </w:tcBorders>
            <w:vAlign w:val="center"/>
          </w:tcPr>
          <w:p w14:paraId="6936CA59">
            <w:pPr>
              <w:adjustRightInd w:val="0"/>
              <w:spacing w:line="360" w:lineRule="auto"/>
              <w:jc w:val="center"/>
              <w:rPr>
                <w:rFonts w:hAnsi="宋体"/>
                <w:color w:val="auto"/>
                <w:sz w:val="24"/>
                <w:szCs w:val="24"/>
                <w:highlight w:val="none"/>
              </w:rPr>
            </w:pPr>
          </w:p>
        </w:tc>
        <w:tc>
          <w:tcPr>
            <w:tcW w:w="1487" w:type="dxa"/>
            <w:tcBorders>
              <w:top w:val="double" w:color="auto" w:sz="2" w:space="0"/>
              <w:left w:val="single" w:color="auto" w:sz="6" w:space="0"/>
              <w:bottom w:val="single" w:color="auto" w:sz="6" w:space="0"/>
              <w:right w:val="single" w:color="auto" w:sz="6" w:space="0"/>
            </w:tcBorders>
            <w:vAlign w:val="center"/>
          </w:tcPr>
          <w:p w14:paraId="61F01689">
            <w:pPr>
              <w:pStyle w:val="23"/>
              <w:keepNext/>
              <w:spacing w:line="360" w:lineRule="auto"/>
              <w:ind w:left="63" w:right="63"/>
              <w:rPr>
                <w:rFonts w:hAnsi="宋体"/>
                <w:color w:val="auto"/>
                <w:sz w:val="24"/>
                <w:szCs w:val="24"/>
                <w:highlight w:val="none"/>
              </w:rPr>
            </w:pPr>
          </w:p>
        </w:tc>
        <w:tc>
          <w:tcPr>
            <w:tcW w:w="992" w:type="dxa"/>
            <w:tcBorders>
              <w:top w:val="double" w:color="auto" w:sz="2" w:space="0"/>
              <w:left w:val="single" w:color="auto" w:sz="6" w:space="0"/>
              <w:bottom w:val="single" w:color="auto" w:sz="6" w:space="0"/>
              <w:right w:val="single" w:color="auto" w:sz="12" w:space="0"/>
            </w:tcBorders>
            <w:vAlign w:val="center"/>
          </w:tcPr>
          <w:p w14:paraId="6AF7A734">
            <w:pPr>
              <w:adjustRightInd w:val="0"/>
              <w:spacing w:line="360" w:lineRule="auto"/>
              <w:jc w:val="center"/>
              <w:rPr>
                <w:rFonts w:hAnsi="宋体"/>
                <w:color w:val="auto"/>
                <w:sz w:val="24"/>
                <w:szCs w:val="24"/>
                <w:highlight w:val="none"/>
              </w:rPr>
            </w:pPr>
          </w:p>
        </w:tc>
      </w:tr>
      <w:tr w14:paraId="64F19D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left w:val="single" w:color="auto" w:sz="12" w:space="0"/>
              <w:bottom w:val="single" w:color="auto" w:sz="6" w:space="0"/>
              <w:right w:val="single" w:color="auto" w:sz="6" w:space="0"/>
            </w:tcBorders>
            <w:vAlign w:val="center"/>
          </w:tcPr>
          <w:p w14:paraId="758C3863">
            <w:pPr>
              <w:spacing w:line="360" w:lineRule="auto"/>
              <w:jc w:val="center"/>
              <w:rPr>
                <w:rFonts w:hAnsi="宋体"/>
                <w:color w:val="auto"/>
                <w:sz w:val="24"/>
                <w:szCs w:val="24"/>
                <w:highlight w:val="none"/>
              </w:rPr>
            </w:pPr>
            <w:r>
              <w:rPr>
                <w:rFonts w:hint="eastAsia" w:hAnsi="宋体"/>
                <w:color w:val="auto"/>
                <w:sz w:val="24"/>
                <w:szCs w:val="24"/>
                <w:highlight w:val="none"/>
              </w:rPr>
              <w:t>2</w:t>
            </w:r>
          </w:p>
        </w:tc>
        <w:tc>
          <w:tcPr>
            <w:tcW w:w="1276" w:type="dxa"/>
            <w:tcBorders>
              <w:top w:val="nil"/>
              <w:left w:val="single" w:color="auto" w:sz="6" w:space="0"/>
              <w:bottom w:val="single" w:color="auto" w:sz="6" w:space="0"/>
              <w:right w:val="single" w:color="auto" w:sz="6" w:space="0"/>
            </w:tcBorders>
            <w:vAlign w:val="center"/>
          </w:tcPr>
          <w:p w14:paraId="7E2EA52C">
            <w:pPr>
              <w:spacing w:line="360" w:lineRule="auto"/>
              <w:jc w:val="center"/>
              <w:rPr>
                <w:rFonts w:hAnsi="宋体"/>
                <w:color w:val="auto"/>
                <w:sz w:val="24"/>
                <w:szCs w:val="24"/>
                <w:highlight w:val="none"/>
              </w:rPr>
            </w:pPr>
          </w:p>
        </w:tc>
        <w:tc>
          <w:tcPr>
            <w:tcW w:w="1418" w:type="dxa"/>
            <w:tcBorders>
              <w:top w:val="nil"/>
              <w:left w:val="single" w:color="auto" w:sz="6" w:space="0"/>
              <w:bottom w:val="single" w:color="auto" w:sz="6" w:space="0"/>
              <w:right w:val="single" w:color="auto" w:sz="6" w:space="0"/>
            </w:tcBorders>
            <w:vAlign w:val="center"/>
          </w:tcPr>
          <w:p w14:paraId="55173845">
            <w:pPr>
              <w:spacing w:line="360" w:lineRule="auto"/>
              <w:jc w:val="center"/>
              <w:rPr>
                <w:rFonts w:hAnsi="宋体"/>
                <w:color w:val="auto"/>
                <w:sz w:val="24"/>
                <w:szCs w:val="24"/>
                <w:highlight w:val="none"/>
              </w:rPr>
            </w:pPr>
          </w:p>
        </w:tc>
        <w:tc>
          <w:tcPr>
            <w:tcW w:w="940" w:type="dxa"/>
            <w:tcBorders>
              <w:top w:val="nil"/>
              <w:left w:val="single" w:color="auto" w:sz="6" w:space="0"/>
              <w:bottom w:val="single" w:color="auto" w:sz="6" w:space="0"/>
              <w:right w:val="single" w:color="auto" w:sz="6" w:space="0"/>
            </w:tcBorders>
            <w:vAlign w:val="center"/>
          </w:tcPr>
          <w:p w14:paraId="1FBEB7B3">
            <w:pPr>
              <w:spacing w:line="360" w:lineRule="auto"/>
              <w:jc w:val="center"/>
              <w:rPr>
                <w:rFonts w:hAnsi="宋体"/>
                <w:color w:val="auto"/>
                <w:sz w:val="24"/>
                <w:szCs w:val="24"/>
                <w:highlight w:val="none"/>
              </w:rPr>
            </w:pPr>
          </w:p>
        </w:tc>
        <w:tc>
          <w:tcPr>
            <w:tcW w:w="851" w:type="dxa"/>
            <w:tcBorders>
              <w:top w:val="nil"/>
              <w:left w:val="single" w:color="auto" w:sz="6" w:space="0"/>
              <w:bottom w:val="single" w:color="auto" w:sz="6" w:space="0"/>
              <w:right w:val="single" w:color="auto" w:sz="6" w:space="0"/>
            </w:tcBorders>
            <w:vAlign w:val="center"/>
          </w:tcPr>
          <w:p w14:paraId="1C83CD02">
            <w:pPr>
              <w:spacing w:line="360" w:lineRule="auto"/>
              <w:jc w:val="center"/>
              <w:rPr>
                <w:rFonts w:hAnsi="宋体"/>
                <w:color w:val="auto"/>
                <w:sz w:val="24"/>
                <w:szCs w:val="24"/>
                <w:highlight w:val="none"/>
              </w:rPr>
            </w:pPr>
          </w:p>
        </w:tc>
        <w:tc>
          <w:tcPr>
            <w:tcW w:w="1044" w:type="dxa"/>
            <w:tcBorders>
              <w:top w:val="nil"/>
              <w:left w:val="single" w:color="auto" w:sz="6" w:space="0"/>
              <w:bottom w:val="single" w:color="auto" w:sz="6" w:space="0"/>
              <w:right w:val="single" w:color="auto" w:sz="6" w:space="0"/>
            </w:tcBorders>
            <w:vAlign w:val="center"/>
          </w:tcPr>
          <w:p w14:paraId="7D2A8A31">
            <w:pPr>
              <w:pStyle w:val="23"/>
              <w:keepNext/>
              <w:spacing w:line="360" w:lineRule="auto"/>
              <w:ind w:left="63" w:right="63"/>
              <w:rPr>
                <w:rFonts w:hAnsi="宋体"/>
                <w:color w:val="auto"/>
                <w:sz w:val="24"/>
                <w:szCs w:val="24"/>
                <w:highlight w:val="none"/>
              </w:rPr>
            </w:pPr>
          </w:p>
        </w:tc>
        <w:tc>
          <w:tcPr>
            <w:tcW w:w="992" w:type="dxa"/>
            <w:tcBorders>
              <w:top w:val="nil"/>
              <w:left w:val="single" w:color="auto" w:sz="6" w:space="0"/>
              <w:bottom w:val="single" w:color="auto" w:sz="6" w:space="0"/>
              <w:right w:val="single" w:color="auto" w:sz="6" w:space="0"/>
            </w:tcBorders>
            <w:vAlign w:val="center"/>
          </w:tcPr>
          <w:p w14:paraId="217E655A">
            <w:pPr>
              <w:jc w:val="center"/>
              <w:rPr>
                <w:color w:val="auto"/>
                <w:highlight w:val="none"/>
              </w:rPr>
            </w:pPr>
          </w:p>
        </w:tc>
        <w:tc>
          <w:tcPr>
            <w:tcW w:w="851" w:type="dxa"/>
            <w:tcBorders>
              <w:top w:val="nil"/>
              <w:left w:val="single" w:color="auto" w:sz="6" w:space="0"/>
              <w:bottom w:val="single" w:color="auto" w:sz="6" w:space="0"/>
              <w:right w:val="single" w:color="auto" w:sz="6" w:space="0"/>
            </w:tcBorders>
            <w:vAlign w:val="center"/>
          </w:tcPr>
          <w:p w14:paraId="7C3A5672">
            <w:pPr>
              <w:spacing w:line="360" w:lineRule="auto"/>
              <w:jc w:val="center"/>
              <w:rPr>
                <w:rFonts w:hAnsi="宋体"/>
                <w:color w:val="auto"/>
                <w:sz w:val="24"/>
                <w:szCs w:val="24"/>
                <w:highlight w:val="none"/>
              </w:rPr>
            </w:pPr>
          </w:p>
        </w:tc>
        <w:tc>
          <w:tcPr>
            <w:tcW w:w="1487" w:type="dxa"/>
            <w:tcBorders>
              <w:top w:val="nil"/>
              <w:left w:val="single" w:color="auto" w:sz="6" w:space="0"/>
              <w:bottom w:val="single" w:color="auto" w:sz="6" w:space="0"/>
              <w:right w:val="single" w:color="auto" w:sz="6" w:space="0"/>
            </w:tcBorders>
            <w:vAlign w:val="center"/>
          </w:tcPr>
          <w:p w14:paraId="067C4049">
            <w:pPr>
              <w:jc w:val="center"/>
              <w:rPr>
                <w:color w:val="auto"/>
                <w:highlight w:val="none"/>
              </w:rPr>
            </w:pPr>
          </w:p>
        </w:tc>
        <w:tc>
          <w:tcPr>
            <w:tcW w:w="992" w:type="dxa"/>
            <w:tcBorders>
              <w:top w:val="nil"/>
              <w:left w:val="single" w:color="auto" w:sz="6" w:space="0"/>
              <w:bottom w:val="single" w:color="auto" w:sz="6" w:space="0"/>
              <w:right w:val="single" w:color="auto" w:sz="12" w:space="0"/>
            </w:tcBorders>
            <w:vAlign w:val="center"/>
          </w:tcPr>
          <w:p w14:paraId="13D34968">
            <w:pPr>
              <w:spacing w:line="360" w:lineRule="auto"/>
              <w:jc w:val="center"/>
              <w:rPr>
                <w:rFonts w:hAnsi="宋体"/>
                <w:color w:val="auto"/>
                <w:sz w:val="24"/>
                <w:szCs w:val="24"/>
                <w:highlight w:val="none"/>
              </w:rPr>
            </w:pPr>
          </w:p>
        </w:tc>
      </w:tr>
      <w:tr w14:paraId="27797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14:paraId="39201686">
            <w:pPr>
              <w:spacing w:line="360" w:lineRule="auto"/>
              <w:jc w:val="center"/>
              <w:rPr>
                <w:rFonts w:hAnsi="宋体"/>
                <w:color w:val="auto"/>
                <w:sz w:val="24"/>
                <w:szCs w:val="24"/>
                <w:highlight w:val="none"/>
              </w:rPr>
            </w:pPr>
            <w:r>
              <w:rPr>
                <w:rFonts w:hint="eastAsia" w:hAnsi="宋体"/>
                <w:color w:val="auto"/>
                <w:sz w:val="24"/>
                <w:szCs w:val="24"/>
                <w:highlight w:val="none"/>
              </w:rPr>
              <w:t>3</w:t>
            </w:r>
          </w:p>
        </w:tc>
        <w:tc>
          <w:tcPr>
            <w:tcW w:w="1276" w:type="dxa"/>
            <w:tcBorders>
              <w:top w:val="single" w:color="auto" w:sz="6" w:space="0"/>
              <w:left w:val="single" w:color="auto" w:sz="6" w:space="0"/>
              <w:bottom w:val="single" w:color="auto" w:sz="6" w:space="0"/>
              <w:right w:val="single" w:color="auto" w:sz="6" w:space="0"/>
            </w:tcBorders>
            <w:vAlign w:val="center"/>
          </w:tcPr>
          <w:p w14:paraId="1394A321">
            <w:pPr>
              <w:spacing w:line="360" w:lineRule="auto"/>
              <w:jc w:val="center"/>
              <w:rPr>
                <w:rFonts w:hAnsi="宋体"/>
                <w:color w:val="auto"/>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0085C878">
            <w:pPr>
              <w:spacing w:line="360" w:lineRule="auto"/>
              <w:jc w:val="center"/>
              <w:rPr>
                <w:rFonts w:hAnsi="宋体"/>
                <w:color w:val="auto"/>
                <w:sz w:val="24"/>
                <w:szCs w:val="24"/>
                <w:highlight w:val="none"/>
              </w:rPr>
            </w:pPr>
          </w:p>
        </w:tc>
        <w:tc>
          <w:tcPr>
            <w:tcW w:w="940" w:type="dxa"/>
            <w:tcBorders>
              <w:top w:val="single" w:color="auto" w:sz="6" w:space="0"/>
              <w:left w:val="single" w:color="auto" w:sz="6" w:space="0"/>
              <w:bottom w:val="single" w:color="auto" w:sz="6" w:space="0"/>
              <w:right w:val="single" w:color="auto" w:sz="6" w:space="0"/>
            </w:tcBorders>
            <w:vAlign w:val="center"/>
          </w:tcPr>
          <w:p w14:paraId="53FF77F8">
            <w:pPr>
              <w:spacing w:line="360" w:lineRule="auto"/>
              <w:jc w:val="center"/>
              <w:rPr>
                <w:rFonts w:hAnsi="宋体"/>
                <w:color w:val="auto"/>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vAlign w:val="center"/>
          </w:tcPr>
          <w:p w14:paraId="08631284">
            <w:pPr>
              <w:spacing w:line="360" w:lineRule="auto"/>
              <w:jc w:val="center"/>
              <w:rPr>
                <w:rFonts w:hAnsi="宋体"/>
                <w:color w:val="auto"/>
                <w:sz w:val="24"/>
                <w:szCs w:val="24"/>
                <w:highlight w:val="none"/>
              </w:rPr>
            </w:pPr>
          </w:p>
        </w:tc>
        <w:tc>
          <w:tcPr>
            <w:tcW w:w="1044" w:type="dxa"/>
            <w:tcBorders>
              <w:top w:val="single" w:color="auto" w:sz="6" w:space="0"/>
              <w:left w:val="single" w:color="auto" w:sz="6" w:space="0"/>
              <w:bottom w:val="single" w:color="auto" w:sz="6" w:space="0"/>
              <w:right w:val="single" w:color="auto" w:sz="6" w:space="0"/>
            </w:tcBorders>
            <w:vAlign w:val="center"/>
          </w:tcPr>
          <w:p w14:paraId="12644C4C">
            <w:pPr>
              <w:pStyle w:val="23"/>
              <w:keepNext/>
              <w:spacing w:line="360" w:lineRule="auto"/>
              <w:ind w:left="63" w:right="63"/>
              <w:rPr>
                <w:rFonts w:hAnsi="宋体"/>
                <w:color w:val="auto"/>
                <w:sz w:val="24"/>
                <w:szCs w:val="24"/>
                <w:highlight w:val="none"/>
              </w:rPr>
            </w:pPr>
          </w:p>
        </w:tc>
        <w:tc>
          <w:tcPr>
            <w:tcW w:w="992" w:type="dxa"/>
            <w:tcBorders>
              <w:top w:val="single" w:color="auto" w:sz="6" w:space="0"/>
              <w:left w:val="single" w:color="auto" w:sz="6" w:space="0"/>
              <w:bottom w:val="single" w:color="auto" w:sz="6" w:space="0"/>
              <w:right w:val="single" w:color="auto" w:sz="6" w:space="0"/>
            </w:tcBorders>
            <w:vAlign w:val="center"/>
          </w:tcPr>
          <w:p w14:paraId="42314A9A">
            <w:pPr>
              <w:jc w:val="center"/>
              <w:rPr>
                <w:color w:val="auto"/>
                <w:highlight w:val="none"/>
              </w:rPr>
            </w:pPr>
          </w:p>
        </w:tc>
        <w:tc>
          <w:tcPr>
            <w:tcW w:w="851" w:type="dxa"/>
            <w:tcBorders>
              <w:top w:val="single" w:color="auto" w:sz="6" w:space="0"/>
              <w:left w:val="single" w:color="auto" w:sz="6" w:space="0"/>
              <w:bottom w:val="single" w:color="auto" w:sz="6" w:space="0"/>
              <w:right w:val="single" w:color="auto" w:sz="6" w:space="0"/>
            </w:tcBorders>
            <w:vAlign w:val="center"/>
          </w:tcPr>
          <w:p w14:paraId="171BC5B1">
            <w:pPr>
              <w:spacing w:line="360" w:lineRule="auto"/>
              <w:jc w:val="center"/>
              <w:rPr>
                <w:rFonts w:hAnsi="宋体"/>
                <w:color w:val="auto"/>
                <w:sz w:val="24"/>
                <w:szCs w:val="24"/>
                <w:highlight w:val="none"/>
              </w:rPr>
            </w:pPr>
          </w:p>
        </w:tc>
        <w:tc>
          <w:tcPr>
            <w:tcW w:w="1487" w:type="dxa"/>
            <w:tcBorders>
              <w:top w:val="single" w:color="auto" w:sz="6" w:space="0"/>
              <w:left w:val="single" w:color="auto" w:sz="6" w:space="0"/>
              <w:bottom w:val="single" w:color="auto" w:sz="6" w:space="0"/>
              <w:right w:val="single" w:color="auto" w:sz="6" w:space="0"/>
            </w:tcBorders>
            <w:vAlign w:val="center"/>
          </w:tcPr>
          <w:p w14:paraId="494FA18A">
            <w:pPr>
              <w:jc w:val="center"/>
              <w:rPr>
                <w:color w:val="auto"/>
                <w:highlight w:val="none"/>
              </w:rPr>
            </w:pPr>
          </w:p>
        </w:tc>
        <w:tc>
          <w:tcPr>
            <w:tcW w:w="992" w:type="dxa"/>
            <w:tcBorders>
              <w:top w:val="single" w:color="auto" w:sz="6" w:space="0"/>
              <w:left w:val="single" w:color="auto" w:sz="6" w:space="0"/>
              <w:bottom w:val="single" w:color="auto" w:sz="6" w:space="0"/>
              <w:right w:val="single" w:color="auto" w:sz="12" w:space="0"/>
            </w:tcBorders>
            <w:vAlign w:val="center"/>
          </w:tcPr>
          <w:p w14:paraId="447FE3D4">
            <w:pPr>
              <w:spacing w:line="360" w:lineRule="auto"/>
              <w:jc w:val="center"/>
              <w:rPr>
                <w:rFonts w:hAnsi="宋体"/>
                <w:color w:val="auto"/>
                <w:sz w:val="24"/>
                <w:szCs w:val="24"/>
                <w:highlight w:val="none"/>
              </w:rPr>
            </w:pPr>
          </w:p>
        </w:tc>
      </w:tr>
      <w:tr w14:paraId="14342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14:paraId="39DB9392">
            <w:pPr>
              <w:spacing w:line="360" w:lineRule="auto"/>
              <w:jc w:val="center"/>
              <w:rPr>
                <w:rFonts w:hAnsi="宋体"/>
                <w:color w:val="auto"/>
                <w:sz w:val="24"/>
                <w:szCs w:val="24"/>
                <w:highlight w:val="none"/>
              </w:rPr>
            </w:pPr>
            <w:r>
              <w:rPr>
                <w:rFonts w:hint="eastAsia" w:hAnsi="宋体"/>
                <w:color w:val="auto"/>
                <w:sz w:val="24"/>
                <w:szCs w:val="24"/>
                <w:highlight w:val="none"/>
              </w:rPr>
              <w:t>4</w:t>
            </w:r>
          </w:p>
        </w:tc>
        <w:tc>
          <w:tcPr>
            <w:tcW w:w="1276" w:type="dxa"/>
            <w:tcBorders>
              <w:top w:val="single" w:color="auto" w:sz="6" w:space="0"/>
              <w:left w:val="single" w:color="auto" w:sz="6" w:space="0"/>
              <w:bottom w:val="single" w:color="auto" w:sz="6" w:space="0"/>
              <w:right w:val="single" w:color="auto" w:sz="6" w:space="0"/>
            </w:tcBorders>
            <w:vAlign w:val="center"/>
          </w:tcPr>
          <w:p w14:paraId="526056AC">
            <w:pPr>
              <w:spacing w:line="360" w:lineRule="auto"/>
              <w:jc w:val="center"/>
              <w:rPr>
                <w:rFonts w:hAnsi="宋体"/>
                <w:color w:val="auto"/>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796C21CC">
            <w:pPr>
              <w:spacing w:line="360" w:lineRule="auto"/>
              <w:jc w:val="center"/>
              <w:rPr>
                <w:rFonts w:hAnsi="宋体"/>
                <w:color w:val="auto"/>
                <w:sz w:val="24"/>
                <w:szCs w:val="24"/>
                <w:highlight w:val="none"/>
              </w:rPr>
            </w:pPr>
          </w:p>
        </w:tc>
        <w:tc>
          <w:tcPr>
            <w:tcW w:w="940" w:type="dxa"/>
            <w:tcBorders>
              <w:top w:val="single" w:color="auto" w:sz="6" w:space="0"/>
              <w:left w:val="single" w:color="auto" w:sz="6" w:space="0"/>
              <w:bottom w:val="single" w:color="auto" w:sz="6" w:space="0"/>
              <w:right w:val="single" w:color="auto" w:sz="6" w:space="0"/>
            </w:tcBorders>
            <w:vAlign w:val="center"/>
          </w:tcPr>
          <w:p w14:paraId="31A90AF3">
            <w:pPr>
              <w:spacing w:line="360" w:lineRule="auto"/>
              <w:jc w:val="center"/>
              <w:rPr>
                <w:rFonts w:hAnsi="宋体"/>
                <w:color w:val="auto"/>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vAlign w:val="center"/>
          </w:tcPr>
          <w:p w14:paraId="5865B5CA">
            <w:pPr>
              <w:spacing w:line="360" w:lineRule="auto"/>
              <w:jc w:val="center"/>
              <w:rPr>
                <w:rFonts w:hAnsi="宋体"/>
                <w:color w:val="auto"/>
                <w:sz w:val="24"/>
                <w:szCs w:val="24"/>
                <w:highlight w:val="none"/>
              </w:rPr>
            </w:pPr>
          </w:p>
        </w:tc>
        <w:tc>
          <w:tcPr>
            <w:tcW w:w="1044" w:type="dxa"/>
            <w:tcBorders>
              <w:top w:val="single" w:color="auto" w:sz="6" w:space="0"/>
              <w:left w:val="single" w:color="auto" w:sz="6" w:space="0"/>
              <w:bottom w:val="single" w:color="auto" w:sz="6" w:space="0"/>
              <w:right w:val="single" w:color="auto" w:sz="6" w:space="0"/>
            </w:tcBorders>
            <w:vAlign w:val="center"/>
          </w:tcPr>
          <w:p w14:paraId="3AD2625C">
            <w:pPr>
              <w:pStyle w:val="23"/>
              <w:keepNext/>
              <w:spacing w:line="360" w:lineRule="auto"/>
              <w:ind w:left="63" w:right="63"/>
              <w:rPr>
                <w:rFonts w:hAnsi="宋体"/>
                <w:color w:val="auto"/>
                <w:sz w:val="24"/>
                <w:szCs w:val="24"/>
                <w:highlight w:val="none"/>
              </w:rPr>
            </w:pPr>
          </w:p>
        </w:tc>
        <w:tc>
          <w:tcPr>
            <w:tcW w:w="992" w:type="dxa"/>
            <w:tcBorders>
              <w:top w:val="single" w:color="auto" w:sz="6" w:space="0"/>
              <w:left w:val="single" w:color="auto" w:sz="6" w:space="0"/>
              <w:bottom w:val="single" w:color="auto" w:sz="6" w:space="0"/>
              <w:right w:val="single" w:color="auto" w:sz="6" w:space="0"/>
            </w:tcBorders>
            <w:vAlign w:val="center"/>
          </w:tcPr>
          <w:p w14:paraId="646DDEA0">
            <w:pPr>
              <w:jc w:val="center"/>
              <w:rPr>
                <w:color w:val="auto"/>
                <w:highlight w:val="none"/>
              </w:rPr>
            </w:pPr>
          </w:p>
        </w:tc>
        <w:tc>
          <w:tcPr>
            <w:tcW w:w="851" w:type="dxa"/>
            <w:tcBorders>
              <w:top w:val="single" w:color="auto" w:sz="6" w:space="0"/>
              <w:left w:val="single" w:color="auto" w:sz="6" w:space="0"/>
              <w:bottom w:val="single" w:color="auto" w:sz="6" w:space="0"/>
              <w:right w:val="single" w:color="auto" w:sz="6" w:space="0"/>
            </w:tcBorders>
            <w:vAlign w:val="center"/>
          </w:tcPr>
          <w:p w14:paraId="117A2D53">
            <w:pPr>
              <w:spacing w:line="360" w:lineRule="auto"/>
              <w:jc w:val="center"/>
              <w:rPr>
                <w:rFonts w:hAnsi="宋体"/>
                <w:color w:val="auto"/>
                <w:sz w:val="24"/>
                <w:szCs w:val="24"/>
                <w:highlight w:val="none"/>
              </w:rPr>
            </w:pPr>
          </w:p>
        </w:tc>
        <w:tc>
          <w:tcPr>
            <w:tcW w:w="1487" w:type="dxa"/>
            <w:tcBorders>
              <w:top w:val="single" w:color="auto" w:sz="6" w:space="0"/>
              <w:left w:val="single" w:color="auto" w:sz="6" w:space="0"/>
              <w:bottom w:val="single" w:color="auto" w:sz="6" w:space="0"/>
              <w:right w:val="single" w:color="auto" w:sz="6" w:space="0"/>
            </w:tcBorders>
            <w:vAlign w:val="center"/>
          </w:tcPr>
          <w:p w14:paraId="39507567">
            <w:pPr>
              <w:jc w:val="center"/>
              <w:rPr>
                <w:color w:val="auto"/>
                <w:highlight w:val="none"/>
              </w:rPr>
            </w:pPr>
          </w:p>
        </w:tc>
        <w:tc>
          <w:tcPr>
            <w:tcW w:w="992" w:type="dxa"/>
            <w:tcBorders>
              <w:top w:val="single" w:color="auto" w:sz="6" w:space="0"/>
              <w:left w:val="single" w:color="auto" w:sz="6" w:space="0"/>
              <w:bottom w:val="single" w:color="auto" w:sz="6" w:space="0"/>
              <w:right w:val="single" w:color="auto" w:sz="12" w:space="0"/>
            </w:tcBorders>
            <w:vAlign w:val="center"/>
          </w:tcPr>
          <w:p w14:paraId="7D48B9F7">
            <w:pPr>
              <w:spacing w:line="360" w:lineRule="auto"/>
              <w:jc w:val="center"/>
              <w:rPr>
                <w:rFonts w:hAnsi="宋体"/>
                <w:color w:val="auto"/>
                <w:sz w:val="24"/>
                <w:szCs w:val="24"/>
                <w:highlight w:val="none"/>
              </w:rPr>
            </w:pPr>
          </w:p>
        </w:tc>
      </w:tr>
      <w:tr w14:paraId="6B8EDC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14:paraId="6D88293D">
            <w:pPr>
              <w:spacing w:line="360" w:lineRule="auto"/>
              <w:jc w:val="center"/>
              <w:rPr>
                <w:rFonts w:hAnsi="宋体"/>
                <w:color w:val="auto"/>
                <w:sz w:val="24"/>
                <w:szCs w:val="24"/>
                <w:highlight w:val="none"/>
              </w:rPr>
            </w:pPr>
            <w:r>
              <w:rPr>
                <w:rFonts w:hint="eastAsia" w:hAnsi="宋体"/>
                <w:color w:val="auto"/>
                <w:sz w:val="24"/>
                <w:szCs w:val="24"/>
                <w:highlight w:val="none"/>
              </w:rPr>
              <w:t>5</w:t>
            </w:r>
          </w:p>
        </w:tc>
        <w:tc>
          <w:tcPr>
            <w:tcW w:w="1276" w:type="dxa"/>
            <w:tcBorders>
              <w:top w:val="single" w:color="auto" w:sz="6" w:space="0"/>
              <w:left w:val="single" w:color="auto" w:sz="6" w:space="0"/>
              <w:bottom w:val="single" w:color="auto" w:sz="6" w:space="0"/>
              <w:right w:val="single" w:color="auto" w:sz="6" w:space="0"/>
            </w:tcBorders>
            <w:vAlign w:val="center"/>
          </w:tcPr>
          <w:p w14:paraId="7A9D2B7B">
            <w:pPr>
              <w:adjustRightInd w:val="0"/>
              <w:spacing w:line="360" w:lineRule="auto"/>
              <w:jc w:val="center"/>
              <w:rPr>
                <w:rFonts w:hAnsi="宋体"/>
                <w:color w:val="auto"/>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4B383F75">
            <w:pPr>
              <w:adjustRightInd w:val="0"/>
              <w:spacing w:line="360" w:lineRule="auto"/>
              <w:jc w:val="center"/>
              <w:rPr>
                <w:rFonts w:hAnsi="宋体"/>
                <w:color w:val="auto"/>
                <w:sz w:val="24"/>
                <w:szCs w:val="24"/>
                <w:highlight w:val="none"/>
              </w:rPr>
            </w:pPr>
          </w:p>
        </w:tc>
        <w:tc>
          <w:tcPr>
            <w:tcW w:w="940" w:type="dxa"/>
            <w:tcBorders>
              <w:top w:val="single" w:color="auto" w:sz="6" w:space="0"/>
              <w:left w:val="single" w:color="auto" w:sz="6" w:space="0"/>
              <w:bottom w:val="single" w:color="auto" w:sz="6" w:space="0"/>
              <w:right w:val="single" w:color="auto" w:sz="6" w:space="0"/>
            </w:tcBorders>
            <w:vAlign w:val="center"/>
          </w:tcPr>
          <w:p w14:paraId="570C51A1">
            <w:pPr>
              <w:adjustRightInd w:val="0"/>
              <w:spacing w:line="360" w:lineRule="auto"/>
              <w:jc w:val="center"/>
              <w:rPr>
                <w:rFonts w:hAnsi="宋体"/>
                <w:color w:val="auto"/>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vAlign w:val="center"/>
          </w:tcPr>
          <w:p w14:paraId="303FC4EE">
            <w:pPr>
              <w:adjustRightInd w:val="0"/>
              <w:spacing w:line="360" w:lineRule="auto"/>
              <w:jc w:val="center"/>
              <w:rPr>
                <w:rFonts w:hAnsi="宋体"/>
                <w:color w:val="auto"/>
                <w:sz w:val="24"/>
                <w:szCs w:val="24"/>
                <w:highlight w:val="none"/>
              </w:rPr>
            </w:pPr>
          </w:p>
        </w:tc>
        <w:tc>
          <w:tcPr>
            <w:tcW w:w="1044" w:type="dxa"/>
            <w:tcBorders>
              <w:top w:val="single" w:color="auto" w:sz="6" w:space="0"/>
              <w:left w:val="single" w:color="auto" w:sz="6" w:space="0"/>
              <w:bottom w:val="single" w:color="auto" w:sz="6" w:space="0"/>
              <w:right w:val="single" w:color="auto" w:sz="6" w:space="0"/>
            </w:tcBorders>
            <w:vAlign w:val="center"/>
          </w:tcPr>
          <w:p w14:paraId="7F834831">
            <w:pPr>
              <w:pStyle w:val="23"/>
              <w:keepNext/>
              <w:spacing w:line="360" w:lineRule="auto"/>
              <w:ind w:left="63" w:right="63"/>
              <w:rPr>
                <w:rFonts w:hAnsi="宋体"/>
                <w:color w:val="auto"/>
                <w:sz w:val="24"/>
                <w:szCs w:val="24"/>
                <w:highlight w:val="none"/>
              </w:rPr>
            </w:pPr>
          </w:p>
        </w:tc>
        <w:tc>
          <w:tcPr>
            <w:tcW w:w="992" w:type="dxa"/>
            <w:tcBorders>
              <w:top w:val="single" w:color="auto" w:sz="6" w:space="0"/>
              <w:left w:val="single" w:color="auto" w:sz="6" w:space="0"/>
              <w:bottom w:val="single" w:color="auto" w:sz="6" w:space="0"/>
              <w:right w:val="single" w:color="auto" w:sz="6" w:space="0"/>
            </w:tcBorders>
            <w:vAlign w:val="center"/>
          </w:tcPr>
          <w:p w14:paraId="07794A12">
            <w:pPr>
              <w:jc w:val="center"/>
              <w:rPr>
                <w:color w:val="auto"/>
                <w:highlight w:val="none"/>
              </w:rPr>
            </w:pPr>
          </w:p>
        </w:tc>
        <w:tc>
          <w:tcPr>
            <w:tcW w:w="851" w:type="dxa"/>
            <w:tcBorders>
              <w:top w:val="single" w:color="auto" w:sz="6" w:space="0"/>
              <w:left w:val="single" w:color="auto" w:sz="6" w:space="0"/>
              <w:bottom w:val="single" w:color="auto" w:sz="6" w:space="0"/>
              <w:right w:val="single" w:color="auto" w:sz="6" w:space="0"/>
            </w:tcBorders>
            <w:vAlign w:val="center"/>
          </w:tcPr>
          <w:p w14:paraId="7340565E">
            <w:pPr>
              <w:adjustRightInd w:val="0"/>
              <w:spacing w:line="360" w:lineRule="auto"/>
              <w:jc w:val="center"/>
              <w:rPr>
                <w:rFonts w:hAnsi="宋体"/>
                <w:color w:val="auto"/>
                <w:sz w:val="24"/>
                <w:szCs w:val="24"/>
                <w:highlight w:val="none"/>
              </w:rPr>
            </w:pPr>
          </w:p>
        </w:tc>
        <w:tc>
          <w:tcPr>
            <w:tcW w:w="1487" w:type="dxa"/>
            <w:tcBorders>
              <w:top w:val="single" w:color="auto" w:sz="6" w:space="0"/>
              <w:left w:val="single" w:color="auto" w:sz="6" w:space="0"/>
              <w:bottom w:val="single" w:color="auto" w:sz="6" w:space="0"/>
              <w:right w:val="single" w:color="auto" w:sz="6" w:space="0"/>
            </w:tcBorders>
            <w:vAlign w:val="center"/>
          </w:tcPr>
          <w:p w14:paraId="44B46482">
            <w:pPr>
              <w:jc w:val="center"/>
              <w:rPr>
                <w:color w:val="auto"/>
                <w:highlight w:val="none"/>
              </w:rPr>
            </w:pPr>
          </w:p>
        </w:tc>
        <w:tc>
          <w:tcPr>
            <w:tcW w:w="992" w:type="dxa"/>
            <w:tcBorders>
              <w:top w:val="single" w:color="auto" w:sz="6" w:space="0"/>
              <w:left w:val="single" w:color="auto" w:sz="6" w:space="0"/>
              <w:bottom w:val="single" w:color="auto" w:sz="6" w:space="0"/>
              <w:right w:val="single" w:color="auto" w:sz="12" w:space="0"/>
            </w:tcBorders>
            <w:vAlign w:val="center"/>
          </w:tcPr>
          <w:p w14:paraId="562261E8">
            <w:pPr>
              <w:adjustRightInd w:val="0"/>
              <w:spacing w:line="360" w:lineRule="auto"/>
              <w:jc w:val="center"/>
              <w:rPr>
                <w:rFonts w:hAnsi="宋体"/>
                <w:color w:val="auto"/>
                <w:sz w:val="24"/>
                <w:szCs w:val="24"/>
                <w:highlight w:val="none"/>
              </w:rPr>
            </w:pPr>
          </w:p>
        </w:tc>
      </w:tr>
      <w:tr w14:paraId="69028B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12" w:space="0"/>
              <w:right w:val="single" w:color="auto" w:sz="6" w:space="0"/>
            </w:tcBorders>
            <w:vAlign w:val="center"/>
          </w:tcPr>
          <w:p w14:paraId="46E4DD47">
            <w:pPr>
              <w:spacing w:line="360" w:lineRule="auto"/>
              <w:jc w:val="center"/>
              <w:rPr>
                <w:rFonts w:hAnsi="宋体"/>
                <w:color w:val="auto"/>
                <w:sz w:val="24"/>
                <w:szCs w:val="24"/>
                <w:highlight w:val="none"/>
              </w:rPr>
            </w:pPr>
            <w:r>
              <w:rPr>
                <w:rFonts w:hint="eastAsia" w:hAnsi="宋体"/>
                <w:color w:val="auto"/>
                <w:sz w:val="24"/>
                <w:szCs w:val="24"/>
                <w:highlight w:val="none"/>
              </w:rPr>
              <w:t>6</w:t>
            </w:r>
          </w:p>
        </w:tc>
        <w:tc>
          <w:tcPr>
            <w:tcW w:w="1276" w:type="dxa"/>
            <w:tcBorders>
              <w:top w:val="single" w:color="auto" w:sz="6" w:space="0"/>
              <w:left w:val="single" w:color="auto" w:sz="6" w:space="0"/>
              <w:bottom w:val="single" w:color="auto" w:sz="12" w:space="0"/>
              <w:right w:val="single" w:color="auto" w:sz="6" w:space="0"/>
            </w:tcBorders>
            <w:vAlign w:val="center"/>
          </w:tcPr>
          <w:p w14:paraId="38365F12">
            <w:pPr>
              <w:snapToGrid w:val="0"/>
              <w:spacing w:line="360" w:lineRule="auto"/>
              <w:ind w:left="-145" w:leftChars="-69"/>
              <w:jc w:val="center"/>
              <w:rPr>
                <w:rFonts w:hAnsi="宋体"/>
                <w:color w:val="auto"/>
                <w:sz w:val="24"/>
                <w:szCs w:val="24"/>
                <w:highlight w:val="none"/>
              </w:rPr>
            </w:pPr>
          </w:p>
        </w:tc>
        <w:tc>
          <w:tcPr>
            <w:tcW w:w="1418" w:type="dxa"/>
            <w:tcBorders>
              <w:top w:val="single" w:color="auto" w:sz="6" w:space="0"/>
              <w:left w:val="single" w:color="auto" w:sz="6" w:space="0"/>
              <w:bottom w:val="single" w:color="auto" w:sz="12" w:space="0"/>
              <w:right w:val="single" w:color="auto" w:sz="6" w:space="0"/>
            </w:tcBorders>
            <w:vAlign w:val="center"/>
          </w:tcPr>
          <w:p w14:paraId="76280987">
            <w:pPr>
              <w:snapToGrid w:val="0"/>
              <w:spacing w:line="360" w:lineRule="auto"/>
              <w:ind w:left="-145" w:leftChars="-69"/>
              <w:jc w:val="center"/>
              <w:rPr>
                <w:rFonts w:hAnsi="宋体"/>
                <w:color w:val="auto"/>
                <w:sz w:val="24"/>
                <w:szCs w:val="24"/>
                <w:highlight w:val="none"/>
              </w:rPr>
            </w:pPr>
          </w:p>
        </w:tc>
        <w:tc>
          <w:tcPr>
            <w:tcW w:w="940" w:type="dxa"/>
            <w:tcBorders>
              <w:top w:val="single" w:color="auto" w:sz="6" w:space="0"/>
              <w:left w:val="single" w:color="auto" w:sz="6" w:space="0"/>
              <w:bottom w:val="single" w:color="auto" w:sz="12" w:space="0"/>
              <w:right w:val="single" w:color="auto" w:sz="6" w:space="0"/>
            </w:tcBorders>
            <w:vAlign w:val="center"/>
          </w:tcPr>
          <w:p w14:paraId="4FF60442">
            <w:pPr>
              <w:snapToGrid w:val="0"/>
              <w:spacing w:line="360" w:lineRule="auto"/>
              <w:ind w:left="-145" w:leftChars="-69"/>
              <w:jc w:val="center"/>
              <w:rPr>
                <w:rFonts w:hAnsi="宋体"/>
                <w:color w:val="auto"/>
                <w:sz w:val="24"/>
                <w:szCs w:val="24"/>
                <w:highlight w:val="none"/>
              </w:rPr>
            </w:pPr>
          </w:p>
        </w:tc>
        <w:tc>
          <w:tcPr>
            <w:tcW w:w="851" w:type="dxa"/>
            <w:tcBorders>
              <w:top w:val="single" w:color="auto" w:sz="6" w:space="0"/>
              <w:left w:val="single" w:color="auto" w:sz="6" w:space="0"/>
              <w:bottom w:val="single" w:color="auto" w:sz="12" w:space="0"/>
              <w:right w:val="single" w:color="auto" w:sz="6" w:space="0"/>
            </w:tcBorders>
            <w:vAlign w:val="center"/>
          </w:tcPr>
          <w:p w14:paraId="092D6A5F">
            <w:pPr>
              <w:snapToGrid w:val="0"/>
              <w:spacing w:line="360" w:lineRule="auto"/>
              <w:jc w:val="center"/>
              <w:rPr>
                <w:rFonts w:hAnsi="宋体"/>
                <w:color w:val="auto"/>
                <w:sz w:val="24"/>
                <w:szCs w:val="24"/>
                <w:highlight w:val="none"/>
              </w:rPr>
            </w:pPr>
          </w:p>
        </w:tc>
        <w:tc>
          <w:tcPr>
            <w:tcW w:w="1044" w:type="dxa"/>
            <w:tcBorders>
              <w:top w:val="single" w:color="auto" w:sz="6" w:space="0"/>
              <w:left w:val="single" w:color="auto" w:sz="6" w:space="0"/>
              <w:bottom w:val="single" w:color="auto" w:sz="12" w:space="0"/>
              <w:right w:val="single" w:color="auto" w:sz="6" w:space="0"/>
            </w:tcBorders>
            <w:vAlign w:val="center"/>
          </w:tcPr>
          <w:p w14:paraId="7F5AE29D">
            <w:pPr>
              <w:pStyle w:val="23"/>
              <w:keepNext/>
              <w:spacing w:line="360" w:lineRule="auto"/>
              <w:ind w:left="63" w:right="63"/>
              <w:rPr>
                <w:rFonts w:hAnsi="宋体"/>
                <w:color w:val="auto"/>
                <w:sz w:val="24"/>
                <w:szCs w:val="24"/>
                <w:highlight w:val="none"/>
              </w:rPr>
            </w:pPr>
          </w:p>
        </w:tc>
        <w:tc>
          <w:tcPr>
            <w:tcW w:w="992" w:type="dxa"/>
            <w:tcBorders>
              <w:top w:val="single" w:color="auto" w:sz="6" w:space="0"/>
              <w:left w:val="single" w:color="auto" w:sz="6" w:space="0"/>
              <w:bottom w:val="single" w:color="auto" w:sz="12" w:space="0"/>
              <w:right w:val="single" w:color="auto" w:sz="6" w:space="0"/>
            </w:tcBorders>
            <w:vAlign w:val="center"/>
          </w:tcPr>
          <w:p w14:paraId="16F59E6F">
            <w:pPr>
              <w:jc w:val="center"/>
              <w:rPr>
                <w:color w:val="auto"/>
                <w:highlight w:val="none"/>
              </w:rPr>
            </w:pPr>
          </w:p>
        </w:tc>
        <w:tc>
          <w:tcPr>
            <w:tcW w:w="851" w:type="dxa"/>
            <w:tcBorders>
              <w:top w:val="single" w:color="auto" w:sz="6" w:space="0"/>
              <w:left w:val="single" w:color="auto" w:sz="6" w:space="0"/>
              <w:bottom w:val="single" w:color="auto" w:sz="12" w:space="0"/>
              <w:right w:val="single" w:color="auto" w:sz="6" w:space="0"/>
            </w:tcBorders>
            <w:vAlign w:val="center"/>
          </w:tcPr>
          <w:p w14:paraId="3339F4D3">
            <w:pPr>
              <w:spacing w:line="360" w:lineRule="auto"/>
              <w:jc w:val="center"/>
              <w:rPr>
                <w:rFonts w:hAnsi="宋体"/>
                <w:color w:val="auto"/>
                <w:sz w:val="24"/>
                <w:szCs w:val="24"/>
                <w:highlight w:val="none"/>
              </w:rPr>
            </w:pPr>
          </w:p>
        </w:tc>
        <w:tc>
          <w:tcPr>
            <w:tcW w:w="1487" w:type="dxa"/>
            <w:tcBorders>
              <w:top w:val="single" w:color="auto" w:sz="6" w:space="0"/>
              <w:left w:val="single" w:color="auto" w:sz="6" w:space="0"/>
              <w:bottom w:val="single" w:color="auto" w:sz="12" w:space="0"/>
              <w:right w:val="single" w:color="auto" w:sz="6" w:space="0"/>
            </w:tcBorders>
            <w:vAlign w:val="center"/>
          </w:tcPr>
          <w:p w14:paraId="058C694A">
            <w:pPr>
              <w:jc w:val="center"/>
              <w:rPr>
                <w:color w:val="auto"/>
                <w:highlight w:val="none"/>
              </w:rPr>
            </w:pPr>
          </w:p>
        </w:tc>
        <w:tc>
          <w:tcPr>
            <w:tcW w:w="992" w:type="dxa"/>
            <w:tcBorders>
              <w:top w:val="single" w:color="auto" w:sz="6" w:space="0"/>
              <w:left w:val="single" w:color="auto" w:sz="6" w:space="0"/>
              <w:bottom w:val="single" w:color="auto" w:sz="12" w:space="0"/>
              <w:right w:val="single" w:color="auto" w:sz="12" w:space="0"/>
            </w:tcBorders>
            <w:vAlign w:val="center"/>
          </w:tcPr>
          <w:p w14:paraId="69DEDDFB">
            <w:pPr>
              <w:spacing w:line="360" w:lineRule="auto"/>
              <w:jc w:val="center"/>
              <w:rPr>
                <w:rFonts w:hAnsi="宋体"/>
                <w:color w:val="auto"/>
                <w:sz w:val="24"/>
                <w:szCs w:val="24"/>
                <w:highlight w:val="none"/>
              </w:rPr>
            </w:pPr>
          </w:p>
        </w:tc>
      </w:tr>
    </w:tbl>
    <w:p w14:paraId="44A1DC29">
      <w:pPr>
        <w:spacing w:line="440" w:lineRule="exact"/>
        <w:rPr>
          <w:rFonts w:hAnsi="宋体"/>
          <w:color w:val="auto"/>
          <w:sz w:val="30"/>
          <w:szCs w:val="30"/>
          <w:highlight w:val="none"/>
        </w:rPr>
      </w:pPr>
      <w:r>
        <w:rPr>
          <w:rFonts w:hint="eastAsia" w:hAnsi="宋体"/>
          <w:color w:val="auto"/>
          <w:sz w:val="30"/>
          <w:szCs w:val="30"/>
          <w:highlight w:val="none"/>
        </w:rPr>
        <w:t xml:space="preserve"> </w:t>
      </w:r>
    </w:p>
    <w:p w14:paraId="7A09236B">
      <w:pPr>
        <w:spacing w:line="440" w:lineRule="exact"/>
        <w:rPr>
          <w:rFonts w:hAnsi="宋体"/>
          <w:color w:val="auto"/>
          <w:sz w:val="30"/>
          <w:szCs w:val="30"/>
          <w:highlight w:val="none"/>
        </w:rPr>
      </w:pPr>
      <w:r>
        <w:rPr>
          <w:rFonts w:hint="eastAsia" w:hAnsi="宋体"/>
          <w:color w:val="auto"/>
          <w:sz w:val="30"/>
          <w:szCs w:val="30"/>
          <w:highlight w:val="none"/>
        </w:rPr>
        <w:br w:type="page"/>
      </w:r>
    </w:p>
    <w:p w14:paraId="605B00C6">
      <w:pPr>
        <w:spacing w:line="440" w:lineRule="exact"/>
        <w:rPr>
          <w:rFonts w:hAnsi="宋体"/>
          <w:color w:val="auto"/>
          <w:sz w:val="30"/>
          <w:szCs w:val="30"/>
          <w:highlight w:val="none"/>
        </w:rPr>
      </w:pPr>
      <w:r>
        <w:rPr>
          <w:rFonts w:hint="eastAsia" w:hAnsi="宋体"/>
          <w:color w:val="auto"/>
          <w:sz w:val="30"/>
          <w:szCs w:val="30"/>
          <w:highlight w:val="none"/>
        </w:rPr>
        <w:t>附件5：</w:t>
      </w:r>
    </w:p>
    <w:p w14:paraId="3CCBD361">
      <w:pPr>
        <w:spacing w:beforeLines="50" w:afterLines="50" w:line="440" w:lineRule="exact"/>
        <w:jc w:val="center"/>
        <w:rPr>
          <w:rFonts w:hAnsi="宋体"/>
          <w:color w:val="auto"/>
          <w:sz w:val="30"/>
          <w:szCs w:val="30"/>
          <w:highlight w:val="none"/>
        </w:rPr>
      </w:pPr>
      <w:r>
        <w:rPr>
          <w:rFonts w:hint="eastAsia" w:hAnsi="宋体"/>
          <w:color w:val="auto"/>
          <w:sz w:val="30"/>
          <w:szCs w:val="30"/>
          <w:highlight w:val="none"/>
        </w:rPr>
        <w:t>承包人主要施工管理人员表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1EC62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left w:val="single" w:color="auto" w:sz="12" w:space="0"/>
              <w:bottom w:val="double" w:color="auto" w:sz="2" w:space="0"/>
              <w:right w:val="single" w:color="auto" w:sz="6" w:space="0"/>
            </w:tcBorders>
            <w:vAlign w:val="center"/>
          </w:tcPr>
          <w:p w14:paraId="20601565">
            <w:pPr>
              <w:pStyle w:val="23"/>
              <w:keepNext/>
              <w:spacing w:after="0" w:line="440" w:lineRule="exact"/>
              <w:ind w:left="63" w:right="63"/>
              <w:rPr>
                <w:rFonts w:hAnsi="宋体"/>
                <w:color w:val="auto"/>
                <w:highlight w:val="none"/>
              </w:rPr>
            </w:pPr>
            <w:r>
              <w:rPr>
                <w:rFonts w:hint="eastAsia" w:hAnsi="宋体"/>
                <w:color w:val="auto"/>
                <w:highlight w:val="none"/>
              </w:rPr>
              <w:t>名称</w:t>
            </w:r>
          </w:p>
        </w:tc>
        <w:tc>
          <w:tcPr>
            <w:tcW w:w="1418" w:type="dxa"/>
            <w:tcBorders>
              <w:top w:val="single" w:color="auto" w:sz="12" w:space="0"/>
              <w:left w:val="single" w:color="auto" w:sz="6" w:space="0"/>
              <w:bottom w:val="double" w:color="auto" w:sz="2" w:space="0"/>
              <w:right w:val="single" w:color="auto" w:sz="6" w:space="0"/>
            </w:tcBorders>
            <w:vAlign w:val="center"/>
          </w:tcPr>
          <w:p w14:paraId="470CD583">
            <w:pPr>
              <w:pStyle w:val="23"/>
              <w:keepNext/>
              <w:spacing w:after="0" w:line="440" w:lineRule="exact"/>
              <w:ind w:left="63" w:right="63"/>
              <w:rPr>
                <w:rFonts w:hAnsi="宋体"/>
                <w:color w:val="auto"/>
                <w:highlight w:val="none"/>
              </w:rPr>
            </w:pPr>
            <w:r>
              <w:rPr>
                <w:rFonts w:hint="eastAsia" w:hAnsi="宋体"/>
                <w:color w:val="auto"/>
                <w:highlight w:val="none"/>
              </w:rPr>
              <w:t>姓名</w:t>
            </w:r>
          </w:p>
        </w:tc>
        <w:tc>
          <w:tcPr>
            <w:tcW w:w="1134" w:type="dxa"/>
            <w:tcBorders>
              <w:top w:val="single" w:color="auto" w:sz="12" w:space="0"/>
              <w:left w:val="single" w:color="auto" w:sz="6" w:space="0"/>
              <w:bottom w:val="double" w:color="auto" w:sz="2" w:space="0"/>
              <w:right w:val="single" w:color="auto" w:sz="6" w:space="0"/>
            </w:tcBorders>
            <w:vAlign w:val="center"/>
          </w:tcPr>
          <w:p w14:paraId="47EDE82B">
            <w:pPr>
              <w:pStyle w:val="23"/>
              <w:keepNext/>
              <w:spacing w:after="0" w:line="440" w:lineRule="exact"/>
              <w:ind w:left="63" w:right="63"/>
              <w:rPr>
                <w:rFonts w:hAnsi="宋体"/>
                <w:color w:val="auto"/>
                <w:sz w:val="30"/>
                <w:szCs w:val="30"/>
                <w:highlight w:val="none"/>
              </w:rPr>
            </w:pPr>
            <w:r>
              <w:rPr>
                <w:rFonts w:hint="eastAsia" w:hAnsi="宋体"/>
                <w:color w:val="auto"/>
                <w:sz w:val="30"/>
                <w:szCs w:val="30"/>
                <w:highlight w:val="none"/>
              </w:rPr>
              <w:t>职务</w:t>
            </w:r>
          </w:p>
        </w:tc>
        <w:tc>
          <w:tcPr>
            <w:tcW w:w="1134" w:type="dxa"/>
            <w:tcBorders>
              <w:top w:val="single" w:color="auto" w:sz="12" w:space="0"/>
              <w:left w:val="single" w:color="auto" w:sz="6" w:space="0"/>
              <w:bottom w:val="double" w:color="auto" w:sz="2" w:space="0"/>
              <w:right w:val="single" w:color="auto" w:sz="6" w:space="0"/>
            </w:tcBorders>
            <w:vAlign w:val="center"/>
          </w:tcPr>
          <w:p w14:paraId="7D967D91">
            <w:pPr>
              <w:pStyle w:val="23"/>
              <w:keepNext/>
              <w:spacing w:after="0" w:line="440" w:lineRule="exact"/>
              <w:ind w:left="63" w:right="63"/>
              <w:rPr>
                <w:rFonts w:hAnsi="宋体"/>
                <w:color w:val="auto"/>
                <w:sz w:val="30"/>
                <w:szCs w:val="30"/>
                <w:highlight w:val="none"/>
              </w:rPr>
            </w:pPr>
            <w:r>
              <w:rPr>
                <w:rFonts w:hint="eastAsia" w:hAnsi="宋体"/>
                <w:color w:val="auto"/>
                <w:sz w:val="30"/>
                <w:szCs w:val="30"/>
                <w:highlight w:val="none"/>
              </w:rPr>
              <w:t>职称</w:t>
            </w:r>
          </w:p>
        </w:tc>
        <w:tc>
          <w:tcPr>
            <w:tcW w:w="4252" w:type="dxa"/>
            <w:tcBorders>
              <w:top w:val="single" w:color="auto" w:sz="12" w:space="0"/>
              <w:left w:val="single" w:color="auto" w:sz="6" w:space="0"/>
              <w:bottom w:val="double" w:color="auto" w:sz="2" w:space="0"/>
              <w:right w:val="single" w:color="auto" w:sz="12" w:space="0"/>
            </w:tcBorders>
            <w:vAlign w:val="center"/>
          </w:tcPr>
          <w:p w14:paraId="01BCF83D">
            <w:pPr>
              <w:pStyle w:val="23"/>
              <w:keepNext/>
              <w:spacing w:after="0" w:line="440" w:lineRule="exact"/>
              <w:ind w:left="63" w:right="63"/>
              <w:rPr>
                <w:rFonts w:hAnsi="宋体"/>
                <w:color w:val="auto"/>
                <w:sz w:val="30"/>
                <w:szCs w:val="30"/>
                <w:highlight w:val="none"/>
              </w:rPr>
            </w:pPr>
            <w:r>
              <w:rPr>
                <w:rFonts w:hint="eastAsia" w:hAnsi="宋体"/>
                <w:color w:val="auto"/>
                <w:sz w:val="30"/>
                <w:szCs w:val="30"/>
                <w:highlight w:val="none"/>
              </w:rPr>
              <w:t>主要资历、经验及承担过的项目</w:t>
            </w:r>
          </w:p>
        </w:tc>
      </w:tr>
      <w:tr w14:paraId="4B0773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2" w:space="0"/>
              <w:left w:val="single" w:color="auto" w:sz="12" w:space="0"/>
              <w:bottom w:val="single" w:color="auto" w:sz="6" w:space="0"/>
              <w:right w:val="single" w:color="auto" w:sz="12" w:space="0"/>
            </w:tcBorders>
            <w:vAlign w:val="center"/>
          </w:tcPr>
          <w:p w14:paraId="7F2E370A">
            <w:pPr>
              <w:pStyle w:val="23"/>
              <w:keepNext/>
              <w:spacing w:after="0" w:line="440" w:lineRule="exact"/>
              <w:ind w:left="63" w:right="63"/>
              <w:rPr>
                <w:rFonts w:hAnsi="宋体"/>
                <w:color w:val="auto"/>
                <w:highlight w:val="none"/>
              </w:rPr>
            </w:pPr>
            <w:r>
              <w:rPr>
                <w:rFonts w:hint="eastAsia" w:hAnsi="宋体"/>
                <w:color w:val="auto"/>
                <w:highlight w:val="none"/>
              </w:rPr>
              <w:t>一、总部人员</w:t>
            </w:r>
          </w:p>
        </w:tc>
      </w:tr>
      <w:tr w14:paraId="215B4F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14:paraId="6002919C">
            <w:pPr>
              <w:pStyle w:val="23"/>
              <w:keepNext/>
              <w:spacing w:after="0" w:line="440" w:lineRule="exact"/>
              <w:ind w:left="63" w:right="63"/>
              <w:rPr>
                <w:rFonts w:hAnsi="宋体"/>
                <w:color w:val="auto"/>
                <w:highlight w:val="none"/>
              </w:rPr>
            </w:pPr>
            <w:r>
              <w:rPr>
                <w:rFonts w:hint="eastAsia" w:hAnsi="宋体"/>
                <w:color w:val="auto"/>
                <w:highlight w:val="none"/>
              </w:rPr>
              <w:t>项目主管</w:t>
            </w:r>
          </w:p>
        </w:tc>
        <w:tc>
          <w:tcPr>
            <w:tcW w:w="1418" w:type="dxa"/>
            <w:tcBorders>
              <w:top w:val="nil"/>
              <w:left w:val="single" w:color="auto" w:sz="6" w:space="0"/>
              <w:bottom w:val="single" w:color="auto" w:sz="6" w:space="0"/>
              <w:right w:val="single" w:color="auto" w:sz="6" w:space="0"/>
            </w:tcBorders>
            <w:vAlign w:val="center"/>
          </w:tcPr>
          <w:p w14:paraId="74F5BE04">
            <w:pPr>
              <w:pStyle w:val="23"/>
              <w:keepNext/>
              <w:spacing w:after="0" w:line="440" w:lineRule="exact"/>
              <w:ind w:left="63" w:right="63"/>
              <w:rPr>
                <w:rFonts w:hAnsi="宋体"/>
                <w:color w:val="auto"/>
                <w:highlight w:val="none"/>
              </w:rPr>
            </w:pPr>
          </w:p>
        </w:tc>
        <w:tc>
          <w:tcPr>
            <w:tcW w:w="1134" w:type="dxa"/>
            <w:tcBorders>
              <w:top w:val="nil"/>
              <w:left w:val="single" w:color="auto" w:sz="6" w:space="0"/>
              <w:bottom w:val="single" w:color="auto" w:sz="6" w:space="0"/>
              <w:right w:val="single" w:color="auto" w:sz="6" w:space="0"/>
            </w:tcBorders>
            <w:vAlign w:val="center"/>
          </w:tcPr>
          <w:p w14:paraId="5F01C265">
            <w:pPr>
              <w:pStyle w:val="23"/>
              <w:keepNext/>
              <w:spacing w:after="0" w:line="440" w:lineRule="exact"/>
              <w:ind w:left="63" w:right="63"/>
              <w:rPr>
                <w:rFonts w:hAnsi="宋体"/>
                <w:color w:val="auto"/>
                <w:sz w:val="30"/>
                <w:szCs w:val="30"/>
                <w:highlight w:val="none"/>
              </w:rPr>
            </w:pPr>
          </w:p>
        </w:tc>
        <w:tc>
          <w:tcPr>
            <w:tcW w:w="1134" w:type="dxa"/>
            <w:tcBorders>
              <w:top w:val="nil"/>
              <w:left w:val="single" w:color="auto" w:sz="6" w:space="0"/>
              <w:bottom w:val="single" w:color="auto" w:sz="6" w:space="0"/>
              <w:right w:val="single" w:color="auto" w:sz="6" w:space="0"/>
            </w:tcBorders>
            <w:vAlign w:val="center"/>
          </w:tcPr>
          <w:p w14:paraId="35479095">
            <w:pPr>
              <w:pStyle w:val="23"/>
              <w:keepNext/>
              <w:spacing w:after="0" w:line="440" w:lineRule="exact"/>
              <w:ind w:left="63" w:right="63"/>
              <w:rPr>
                <w:rFonts w:hAnsi="宋体"/>
                <w:color w:val="auto"/>
                <w:sz w:val="30"/>
                <w:szCs w:val="30"/>
                <w:highlight w:val="none"/>
              </w:rPr>
            </w:pPr>
          </w:p>
        </w:tc>
        <w:tc>
          <w:tcPr>
            <w:tcW w:w="4252" w:type="dxa"/>
            <w:tcBorders>
              <w:top w:val="nil"/>
              <w:left w:val="single" w:color="auto" w:sz="6" w:space="0"/>
              <w:bottom w:val="single" w:color="auto" w:sz="6" w:space="0"/>
              <w:right w:val="single" w:color="auto" w:sz="12" w:space="0"/>
            </w:tcBorders>
            <w:vAlign w:val="center"/>
          </w:tcPr>
          <w:p w14:paraId="15BACC1C">
            <w:pPr>
              <w:pStyle w:val="23"/>
              <w:keepNext/>
              <w:spacing w:after="0" w:line="440" w:lineRule="exact"/>
              <w:ind w:left="63" w:right="63"/>
              <w:rPr>
                <w:rFonts w:hAnsi="宋体"/>
                <w:color w:val="auto"/>
                <w:sz w:val="30"/>
                <w:szCs w:val="30"/>
                <w:highlight w:val="none"/>
              </w:rPr>
            </w:pPr>
          </w:p>
        </w:tc>
      </w:tr>
      <w:tr w14:paraId="503D5E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nil"/>
              <w:right w:val="single" w:color="auto" w:sz="6" w:space="0"/>
            </w:tcBorders>
            <w:vAlign w:val="center"/>
          </w:tcPr>
          <w:p w14:paraId="5D414139">
            <w:pPr>
              <w:pStyle w:val="23"/>
              <w:keepNext/>
              <w:spacing w:after="0" w:line="440" w:lineRule="exact"/>
              <w:ind w:left="63" w:right="63"/>
              <w:rPr>
                <w:rFonts w:hAnsi="宋体"/>
                <w:color w:val="auto"/>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57774F10">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4186A476">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9BCF137">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10A92AA9">
            <w:pPr>
              <w:pStyle w:val="23"/>
              <w:keepNext/>
              <w:spacing w:after="0" w:line="440" w:lineRule="exact"/>
              <w:ind w:left="63" w:right="63"/>
              <w:rPr>
                <w:rFonts w:hAnsi="宋体"/>
                <w:color w:val="auto"/>
                <w:sz w:val="30"/>
                <w:szCs w:val="30"/>
                <w:highlight w:val="none"/>
              </w:rPr>
            </w:pPr>
          </w:p>
        </w:tc>
      </w:tr>
      <w:tr w14:paraId="76801D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14:paraId="58F6B85F">
            <w:pPr>
              <w:pStyle w:val="23"/>
              <w:keepNext/>
              <w:spacing w:after="0" w:line="440" w:lineRule="exact"/>
              <w:ind w:left="63" w:right="63"/>
              <w:rPr>
                <w:rFonts w:hAnsi="宋体"/>
                <w:color w:val="auto"/>
                <w:highlight w:val="none"/>
              </w:rPr>
            </w:pPr>
            <w:r>
              <w:rPr>
                <w:rFonts w:hint="eastAsia" w:hAnsi="宋体"/>
                <w:color w:val="auto"/>
                <w:highlight w:val="none"/>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23FDB873">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A77AA59">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565E02A">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315ECC3E">
            <w:pPr>
              <w:pStyle w:val="23"/>
              <w:keepNext/>
              <w:spacing w:after="0" w:line="440" w:lineRule="exact"/>
              <w:ind w:left="63" w:right="63"/>
              <w:rPr>
                <w:rFonts w:hAnsi="宋体"/>
                <w:color w:val="auto"/>
                <w:sz w:val="30"/>
                <w:szCs w:val="30"/>
                <w:highlight w:val="none"/>
              </w:rPr>
            </w:pPr>
          </w:p>
        </w:tc>
      </w:tr>
      <w:tr w14:paraId="571684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14:paraId="738A4091">
            <w:pPr>
              <w:pStyle w:val="23"/>
              <w:keepNext/>
              <w:spacing w:after="0" w:line="440" w:lineRule="exact"/>
              <w:ind w:left="63" w:right="63"/>
              <w:rPr>
                <w:rFonts w:hAnsi="宋体"/>
                <w:color w:val="auto"/>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384A3440">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84FA7BF">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6E856C0E">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63362563">
            <w:pPr>
              <w:pStyle w:val="23"/>
              <w:keepNext/>
              <w:spacing w:after="0" w:line="440" w:lineRule="exact"/>
              <w:ind w:left="63" w:right="63"/>
              <w:rPr>
                <w:rFonts w:hAnsi="宋体"/>
                <w:color w:val="auto"/>
                <w:sz w:val="30"/>
                <w:szCs w:val="30"/>
                <w:highlight w:val="none"/>
              </w:rPr>
            </w:pPr>
          </w:p>
        </w:tc>
      </w:tr>
      <w:tr w14:paraId="31579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left w:val="single" w:color="auto" w:sz="12" w:space="0"/>
              <w:bottom w:val="single" w:color="auto" w:sz="6" w:space="0"/>
              <w:right w:val="single" w:color="auto" w:sz="12" w:space="0"/>
            </w:tcBorders>
            <w:vAlign w:val="center"/>
          </w:tcPr>
          <w:p w14:paraId="403075FF">
            <w:pPr>
              <w:pStyle w:val="23"/>
              <w:keepNext/>
              <w:spacing w:after="0" w:line="440" w:lineRule="exact"/>
              <w:ind w:left="63" w:right="63"/>
              <w:rPr>
                <w:rFonts w:hAnsi="宋体"/>
                <w:color w:val="auto"/>
                <w:highlight w:val="none"/>
              </w:rPr>
            </w:pPr>
            <w:r>
              <w:rPr>
                <w:rFonts w:hint="eastAsia" w:hAnsi="宋体"/>
                <w:color w:val="auto"/>
                <w:highlight w:val="none"/>
              </w:rPr>
              <w:t>二、现场人员</w:t>
            </w:r>
          </w:p>
        </w:tc>
      </w:tr>
      <w:tr w14:paraId="4555FD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21B699D3">
            <w:pPr>
              <w:pStyle w:val="23"/>
              <w:keepNext/>
              <w:spacing w:after="0" w:line="440" w:lineRule="exact"/>
              <w:ind w:left="63" w:right="63"/>
              <w:rPr>
                <w:rFonts w:hAnsi="宋体"/>
                <w:color w:val="auto"/>
                <w:highlight w:val="none"/>
              </w:rPr>
            </w:pPr>
            <w:r>
              <w:rPr>
                <w:rFonts w:hint="eastAsia" w:hAnsi="宋体"/>
                <w:color w:val="auto"/>
                <w:highlight w:val="none"/>
              </w:rPr>
              <w:t>项目负责人</w:t>
            </w:r>
          </w:p>
        </w:tc>
        <w:tc>
          <w:tcPr>
            <w:tcW w:w="1418" w:type="dxa"/>
            <w:tcBorders>
              <w:top w:val="single" w:color="auto" w:sz="6" w:space="0"/>
              <w:left w:val="single" w:color="auto" w:sz="6" w:space="0"/>
              <w:bottom w:val="single" w:color="auto" w:sz="6" w:space="0"/>
              <w:right w:val="single" w:color="auto" w:sz="6" w:space="0"/>
            </w:tcBorders>
            <w:vAlign w:val="center"/>
          </w:tcPr>
          <w:p w14:paraId="729E38BD">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B31B73A">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3EE8EE7">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0E5C2A5F">
            <w:pPr>
              <w:pStyle w:val="23"/>
              <w:keepNext/>
              <w:spacing w:after="0" w:line="440" w:lineRule="exact"/>
              <w:ind w:left="63" w:right="63"/>
              <w:rPr>
                <w:rFonts w:hAnsi="宋体"/>
                <w:color w:val="auto"/>
                <w:sz w:val="30"/>
                <w:szCs w:val="30"/>
                <w:highlight w:val="none"/>
              </w:rPr>
            </w:pPr>
          </w:p>
        </w:tc>
      </w:tr>
      <w:tr w14:paraId="15FD59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4E4FAC34">
            <w:pPr>
              <w:pStyle w:val="23"/>
              <w:keepNext/>
              <w:spacing w:after="0" w:line="440" w:lineRule="exact"/>
              <w:ind w:left="63" w:right="63"/>
              <w:rPr>
                <w:rFonts w:hAnsi="宋体"/>
                <w:strike/>
                <w:color w:val="auto"/>
                <w:highlight w:val="none"/>
              </w:rPr>
            </w:pPr>
            <w:r>
              <w:rPr>
                <w:rFonts w:hint="eastAsia" w:hAnsi="宋体"/>
                <w:color w:val="auto"/>
                <w:highlight w:val="none"/>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14:paraId="2ADAB52F">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0E64F71">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0306CDD">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2D2E18AC">
            <w:pPr>
              <w:pStyle w:val="23"/>
              <w:keepNext/>
              <w:spacing w:after="0" w:line="440" w:lineRule="exact"/>
              <w:ind w:left="63" w:right="63"/>
              <w:rPr>
                <w:rFonts w:hAnsi="宋体"/>
                <w:color w:val="auto"/>
                <w:sz w:val="30"/>
                <w:szCs w:val="30"/>
                <w:highlight w:val="none"/>
              </w:rPr>
            </w:pPr>
          </w:p>
        </w:tc>
      </w:tr>
      <w:tr w14:paraId="3E6DB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4DE72375">
            <w:pPr>
              <w:pStyle w:val="23"/>
              <w:keepNext/>
              <w:spacing w:after="0" w:line="440" w:lineRule="exact"/>
              <w:ind w:left="63" w:right="63"/>
              <w:rPr>
                <w:rFonts w:hAnsi="宋体"/>
                <w:color w:val="auto"/>
                <w:highlight w:val="none"/>
              </w:rPr>
            </w:pPr>
            <w:r>
              <w:rPr>
                <w:rFonts w:hint="eastAsia" w:hAnsi="宋体"/>
                <w:color w:val="auto"/>
                <w:highlight w:val="none"/>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14:paraId="0EF961DA">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0410D98A">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485A3823">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0B7CA153">
            <w:pPr>
              <w:pStyle w:val="23"/>
              <w:keepNext/>
              <w:spacing w:after="0" w:line="440" w:lineRule="exact"/>
              <w:ind w:left="63" w:right="63"/>
              <w:rPr>
                <w:rFonts w:hAnsi="宋体"/>
                <w:color w:val="auto"/>
                <w:sz w:val="30"/>
                <w:szCs w:val="30"/>
                <w:highlight w:val="none"/>
              </w:rPr>
            </w:pPr>
          </w:p>
        </w:tc>
      </w:tr>
      <w:tr w14:paraId="09D9E6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5411C9DD">
            <w:pPr>
              <w:pStyle w:val="23"/>
              <w:keepNext/>
              <w:spacing w:after="0" w:line="440" w:lineRule="exact"/>
              <w:ind w:left="63" w:right="63"/>
              <w:rPr>
                <w:rFonts w:hAnsi="宋体"/>
                <w:color w:val="auto"/>
                <w:highlight w:val="none"/>
              </w:rPr>
            </w:pPr>
            <w:r>
              <w:rPr>
                <w:rFonts w:hint="eastAsia" w:hAnsi="宋体"/>
                <w:color w:val="auto"/>
                <w:highlight w:val="none"/>
              </w:rPr>
              <w:t>质量员</w:t>
            </w:r>
          </w:p>
        </w:tc>
        <w:tc>
          <w:tcPr>
            <w:tcW w:w="1418" w:type="dxa"/>
            <w:tcBorders>
              <w:top w:val="single" w:color="auto" w:sz="6" w:space="0"/>
              <w:left w:val="single" w:color="auto" w:sz="6" w:space="0"/>
              <w:bottom w:val="single" w:color="auto" w:sz="6" w:space="0"/>
              <w:right w:val="single" w:color="auto" w:sz="6" w:space="0"/>
            </w:tcBorders>
            <w:vAlign w:val="center"/>
          </w:tcPr>
          <w:p w14:paraId="2F864F83">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9A73573">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6116B8D">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3976BE75">
            <w:pPr>
              <w:pStyle w:val="23"/>
              <w:keepNext/>
              <w:spacing w:after="0" w:line="440" w:lineRule="exact"/>
              <w:ind w:left="63" w:right="63"/>
              <w:rPr>
                <w:rFonts w:hAnsi="宋体"/>
                <w:color w:val="auto"/>
                <w:sz w:val="30"/>
                <w:szCs w:val="30"/>
                <w:highlight w:val="none"/>
              </w:rPr>
            </w:pPr>
          </w:p>
        </w:tc>
      </w:tr>
      <w:tr w14:paraId="2E0CD9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1A9C237F">
            <w:pPr>
              <w:pStyle w:val="23"/>
              <w:keepNext/>
              <w:spacing w:after="0" w:line="440" w:lineRule="exact"/>
              <w:ind w:left="63" w:right="63"/>
              <w:rPr>
                <w:rFonts w:hAnsi="宋体"/>
                <w:color w:val="auto"/>
                <w:highlight w:val="none"/>
              </w:rPr>
            </w:pPr>
            <w:r>
              <w:rPr>
                <w:rFonts w:hint="eastAsia" w:hAnsi="宋体"/>
                <w:color w:val="auto"/>
                <w:highlight w:val="none"/>
              </w:rPr>
              <w:t>施工员</w:t>
            </w:r>
          </w:p>
        </w:tc>
        <w:tc>
          <w:tcPr>
            <w:tcW w:w="1418" w:type="dxa"/>
            <w:tcBorders>
              <w:top w:val="single" w:color="auto" w:sz="6" w:space="0"/>
              <w:left w:val="single" w:color="auto" w:sz="6" w:space="0"/>
              <w:bottom w:val="single" w:color="auto" w:sz="6" w:space="0"/>
              <w:right w:val="single" w:color="auto" w:sz="6" w:space="0"/>
            </w:tcBorders>
            <w:vAlign w:val="center"/>
          </w:tcPr>
          <w:p w14:paraId="72D752D2">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661AB071">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29C0DAF">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162F76AB">
            <w:pPr>
              <w:pStyle w:val="23"/>
              <w:keepNext/>
              <w:spacing w:after="0" w:line="440" w:lineRule="exact"/>
              <w:ind w:left="63" w:right="63"/>
              <w:rPr>
                <w:rFonts w:hAnsi="宋体"/>
                <w:color w:val="auto"/>
                <w:sz w:val="30"/>
                <w:szCs w:val="30"/>
                <w:highlight w:val="none"/>
              </w:rPr>
            </w:pPr>
          </w:p>
        </w:tc>
      </w:tr>
      <w:tr w14:paraId="73861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0F1E02A1">
            <w:pPr>
              <w:pStyle w:val="23"/>
              <w:keepNext/>
              <w:spacing w:after="0" w:line="440" w:lineRule="exact"/>
              <w:ind w:left="63" w:right="63"/>
              <w:rPr>
                <w:rFonts w:hAnsi="宋体"/>
                <w:color w:val="auto"/>
                <w:highlight w:val="none"/>
              </w:rPr>
            </w:pPr>
            <w:r>
              <w:rPr>
                <w:rFonts w:hint="eastAsia" w:hAnsi="宋体"/>
                <w:color w:val="auto"/>
                <w:highlight w:val="none"/>
              </w:rPr>
              <w:t>资料员</w:t>
            </w:r>
          </w:p>
        </w:tc>
        <w:tc>
          <w:tcPr>
            <w:tcW w:w="1418" w:type="dxa"/>
            <w:tcBorders>
              <w:top w:val="single" w:color="auto" w:sz="6" w:space="0"/>
              <w:left w:val="single" w:color="auto" w:sz="6" w:space="0"/>
              <w:bottom w:val="single" w:color="auto" w:sz="6" w:space="0"/>
              <w:right w:val="single" w:color="auto" w:sz="6" w:space="0"/>
            </w:tcBorders>
            <w:vAlign w:val="center"/>
          </w:tcPr>
          <w:p w14:paraId="069AD6F7">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0D6F7DAE">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487C634">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4AB00571">
            <w:pPr>
              <w:pStyle w:val="23"/>
              <w:keepNext/>
              <w:spacing w:after="0" w:line="440" w:lineRule="exact"/>
              <w:ind w:left="63" w:right="63"/>
              <w:rPr>
                <w:rFonts w:hAnsi="宋体"/>
                <w:color w:val="auto"/>
                <w:sz w:val="30"/>
                <w:szCs w:val="30"/>
                <w:highlight w:val="none"/>
              </w:rPr>
            </w:pPr>
          </w:p>
        </w:tc>
      </w:tr>
      <w:tr w14:paraId="017FD7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3A486F7E">
            <w:pPr>
              <w:pStyle w:val="23"/>
              <w:keepNext/>
              <w:spacing w:after="0" w:line="440" w:lineRule="exact"/>
              <w:ind w:left="63" w:right="63"/>
              <w:rPr>
                <w:rFonts w:hAnsi="宋体"/>
                <w:color w:val="auto"/>
                <w:highlight w:val="none"/>
              </w:rPr>
            </w:pPr>
            <w:r>
              <w:rPr>
                <w:rFonts w:hint="eastAsia" w:hAnsi="宋体"/>
                <w:color w:val="auto"/>
                <w:highlight w:val="none"/>
              </w:rPr>
              <w:t>材料员</w:t>
            </w:r>
          </w:p>
        </w:tc>
        <w:tc>
          <w:tcPr>
            <w:tcW w:w="1418" w:type="dxa"/>
            <w:tcBorders>
              <w:top w:val="single" w:color="auto" w:sz="6" w:space="0"/>
              <w:left w:val="single" w:color="auto" w:sz="6" w:space="0"/>
              <w:bottom w:val="single" w:color="auto" w:sz="6" w:space="0"/>
              <w:right w:val="single" w:color="auto" w:sz="6" w:space="0"/>
            </w:tcBorders>
            <w:vAlign w:val="center"/>
          </w:tcPr>
          <w:p w14:paraId="4196E0E3">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06264F28">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2E6EF15">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19C38C4B">
            <w:pPr>
              <w:pStyle w:val="23"/>
              <w:keepNext/>
              <w:spacing w:after="0" w:line="440" w:lineRule="exact"/>
              <w:ind w:left="63" w:right="63"/>
              <w:rPr>
                <w:rFonts w:hAnsi="宋体"/>
                <w:color w:val="auto"/>
                <w:sz w:val="30"/>
                <w:szCs w:val="30"/>
                <w:highlight w:val="none"/>
              </w:rPr>
            </w:pPr>
          </w:p>
        </w:tc>
      </w:tr>
      <w:tr w14:paraId="115F8D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tcBorders>
              <w:top w:val="single" w:color="auto" w:sz="6" w:space="0"/>
              <w:left w:val="single" w:color="auto" w:sz="12" w:space="0"/>
              <w:bottom w:val="single" w:color="auto" w:sz="6" w:space="0"/>
              <w:right w:val="single" w:color="auto" w:sz="6" w:space="0"/>
            </w:tcBorders>
            <w:vAlign w:val="center"/>
          </w:tcPr>
          <w:p w14:paraId="280655D1">
            <w:pPr>
              <w:pStyle w:val="23"/>
              <w:keepNext/>
              <w:spacing w:after="0" w:line="440" w:lineRule="exact"/>
              <w:ind w:left="63" w:right="63"/>
              <w:rPr>
                <w:rFonts w:hAnsi="宋体"/>
                <w:color w:val="auto"/>
                <w:highlight w:val="none"/>
              </w:rPr>
            </w:pPr>
            <w:r>
              <w:rPr>
                <w:rFonts w:hint="eastAsia" w:hAnsi="宋体"/>
                <w:color w:val="auto"/>
                <w:highlight w:val="none"/>
              </w:rPr>
              <w:t>专职安全生产管理人员</w:t>
            </w:r>
          </w:p>
        </w:tc>
        <w:tc>
          <w:tcPr>
            <w:tcW w:w="1418" w:type="dxa"/>
            <w:tcBorders>
              <w:top w:val="single" w:color="auto" w:sz="6" w:space="0"/>
              <w:left w:val="single" w:color="auto" w:sz="6" w:space="0"/>
              <w:bottom w:val="single" w:color="auto" w:sz="6" w:space="0"/>
              <w:right w:val="single" w:color="auto" w:sz="6" w:space="0"/>
            </w:tcBorders>
            <w:vAlign w:val="center"/>
          </w:tcPr>
          <w:p w14:paraId="4656E644">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C9FBB1B">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6DE2DEDA">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122DA49E">
            <w:pPr>
              <w:pStyle w:val="23"/>
              <w:keepNext/>
              <w:spacing w:after="0" w:line="440" w:lineRule="exact"/>
              <w:ind w:left="63" w:right="63"/>
              <w:rPr>
                <w:rFonts w:hAnsi="宋体"/>
                <w:color w:val="auto"/>
                <w:sz w:val="30"/>
                <w:szCs w:val="30"/>
                <w:highlight w:val="none"/>
              </w:rPr>
            </w:pPr>
          </w:p>
        </w:tc>
      </w:tr>
      <w:tr w14:paraId="3B3AC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2CF1861E">
            <w:pPr>
              <w:widowControl/>
              <w:jc w:val="left"/>
              <w:rPr>
                <w:rFonts w:hAnsi="宋体"/>
                <w:color w:val="auto"/>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3E83923C">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033A517">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2CE6F33">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51698E5F">
            <w:pPr>
              <w:pStyle w:val="23"/>
              <w:keepNext/>
              <w:spacing w:after="0" w:line="440" w:lineRule="exact"/>
              <w:ind w:left="63" w:right="63"/>
              <w:rPr>
                <w:rFonts w:hAnsi="宋体"/>
                <w:color w:val="auto"/>
                <w:sz w:val="30"/>
                <w:szCs w:val="30"/>
                <w:highlight w:val="none"/>
              </w:rPr>
            </w:pPr>
          </w:p>
        </w:tc>
      </w:tr>
      <w:tr w14:paraId="4A081C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7FD8C2EC">
            <w:pPr>
              <w:widowControl/>
              <w:jc w:val="left"/>
              <w:rPr>
                <w:rFonts w:hAnsi="宋体"/>
                <w:color w:val="auto"/>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7A9E2A94">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D9021F4">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0B3347B8">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1BA94BC2">
            <w:pPr>
              <w:pStyle w:val="23"/>
              <w:keepNext/>
              <w:spacing w:after="0" w:line="440" w:lineRule="exact"/>
              <w:ind w:left="63" w:right="63"/>
              <w:rPr>
                <w:rFonts w:hAnsi="宋体"/>
                <w:color w:val="auto"/>
                <w:sz w:val="30"/>
                <w:szCs w:val="30"/>
                <w:highlight w:val="none"/>
              </w:rPr>
            </w:pPr>
          </w:p>
        </w:tc>
      </w:tr>
      <w:tr w14:paraId="3FAA94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21170AC1">
            <w:pPr>
              <w:widowControl/>
              <w:jc w:val="left"/>
              <w:rPr>
                <w:rFonts w:hAnsi="宋体"/>
                <w:color w:val="auto"/>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313AFF6D">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5EC00AA">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615A8B35">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3ACA5386">
            <w:pPr>
              <w:pStyle w:val="23"/>
              <w:keepNext/>
              <w:spacing w:after="0" w:line="440" w:lineRule="exact"/>
              <w:ind w:left="63" w:right="63"/>
              <w:rPr>
                <w:rFonts w:hAnsi="宋体"/>
                <w:color w:val="auto"/>
                <w:sz w:val="30"/>
                <w:szCs w:val="30"/>
                <w:highlight w:val="none"/>
              </w:rPr>
            </w:pPr>
          </w:p>
        </w:tc>
      </w:tr>
      <w:tr w14:paraId="36784C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54764206">
            <w:pPr>
              <w:widowControl/>
              <w:jc w:val="left"/>
              <w:rPr>
                <w:rFonts w:hAnsi="宋体"/>
                <w:color w:val="auto"/>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4D7E1916">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05299AB6">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DAC0D68">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6672B9A9">
            <w:pPr>
              <w:pStyle w:val="23"/>
              <w:keepNext/>
              <w:spacing w:after="0" w:line="440" w:lineRule="exact"/>
              <w:ind w:left="63" w:right="63"/>
              <w:rPr>
                <w:rFonts w:hAnsi="宋体"/>
                <w:color w:val="auto"/>
                <w:sz w:val="30"/>
                <w:szCs w:val="30"/>
                <w:highlight w:val="none"/>
              </w:rPr>
            </w:pPr>
          </w:p>
        </w:tc>
      </w:tr>
      <w:tr w14:paraId="114C37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tcBorders>
              <w:top w:val="single" w:color="auto" w:sz="6" w:space="0"/>
              <w:left w:val="single" w:color="auto" w:sz="12" w:space="0"/>
              <w:bottom w:val="single" w:color="auto" w:sz="6" w:space="0"/>
              <w:right w:val="single" w:color="auto" w:sz="6" w:space="0"/>
            </w:tcBorders>
            <w:vAlign w:val="center"/>
          </w:tcPr>
          <w:p w14:paraId="6A4F3DF9">
            <w:pPr>
              <w:pStyle w:val="23"/>
              <w:keepNext/>
              <w:spacing w:after="0" w:line="440" w:lineRule="exact"/>
              <w:ind w:left="63" w:right="63"/>
              <w:rPr>
                <w:rFonts w:hAnsi="宋体"/>
                <w:color w:val="auto"/>
                <w:highlight w:val="none"/>
              </w:rPr>
            </w:pPr>
            <w:r>
              <w:rPr>
                <w:rFonts w:hint="eastAsia" w:hAnsi="宋体"/>
                <w:color w:val="auto"/>
                <w:highlight w:val="none"/>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09E5E86B">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C8BDD83">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31E52C3">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58A0B67A">
            <w:pPr>
              <w:pStyle w:val="23"/>
              <w:keepNext/>
              <w:spacing w:after="0" w:line="440" w:lineRule="exact"/>
              <w:ind w:left="63" w:right="63"/>
              <w:rPr>
                <w:rFonts w:hAnsi="宋体"/>
                <w:color w:val="auto"/>
                <w:sz w:val="30"/>
                <w:szCs w:val="30"/>
                <w:highlight w:val="none"/>
              </w:rPr>
            </w:pPr>
          </w:p>
        </w:tc>
      </w:tr>
      <w:tr w14:paraId="4FEA06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42A7634C">
            <w:pPr>
              <w:widowControl/>
              <w:jc w:val="left"/>
              <w:rPr>
                <w:rFonts w:hAnsi="宋体"/>
                <w:color w:val="auto"/>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24B97257">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492FE812">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58AD668">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7A2F1B8F">
            <w:pPr>
              <w:pStyle w:val="23"/>
              <w:keepNext/>
              <w:spacing w:after="0" w:line="440" w:lineRule="exact"/>
              <w:ind w:left="63" w:right="63"/>
              <w:rPr>
                <w:rFonts w:hAnsi="宋体"/>
                <w:color w:val="auto"/>
                <w:sz w:val="30"/>
                <w:szCs w:val="30"/>
                <w:highlight w:val="none"/>
              </w:rPr>
            </w:pPr>
          </w:p>
        </w:tc>
      </w:tr>
      <w:tr w14:paraId="65E9D5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2E030E54">
            <w:pPr>
              <w:widowControl/>
              <w:jc w:val="left"/>
              <w:rPr>
                <w:rFonts w:hAnsi="宋体"/>
                <w:color w:val="auto"/>
                <w:highlight w:val="none"/>
              </w:rPr>
            </w:pPr>
          </w:p>
        </w:tc>
        <w:tc>
          <w:tcPr>
            <w:tcW w:w="1418" w:type="dxa"/>
            <w:tcBorders>
              <w:top w:val="single" w:color="auto" w:sz="6" w:space="0"/>
              <w:left w:val="single" w:color="auto" w:sz="6" w:space="0"/>
              <w:bottom w:val="single" w:color="auto" w:sz="12" w:space="0"/>
              <w:right w:val="single" w:color="auto" w:sz="6" w:space="0"/>
            </w:tcBorders>
            <w:vAlign w:val="center"/>
          </w:tcPr>
          <w:p w14:paraId="09EFC41A">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12" w:space="0"/>
              <w:right w:val="single" w:color="auto" w:sz="6" w:space="0"/>
            </w:tcBorders>
            <w:vAlign w:val="center"/>
          </w:tcPr>
          <w:p w14:paraId="7F2BCC9D">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12" w:space="0"/>
              <w:right w:val="single" w:color="auto" w:sz="6" w:space="0"/>
            </w:tcBorders>
            <w:vAlign w:val="center"/>
          </w:tcPr>
          <w:p w14:paraId="3985E085">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12" w:space="0"/>
              <w:right w:val="single" w:color="auto" w:sz="12" w:space="0"/>
            </w:tcBorders>
            <w:vAlign w:val="center"/>
          </w:tcPr>
          <w:p w14:paraId="2B44CFF3">
            <w:pPr>
              <w:pStyle w:val="23"/>
              <w:keepNext/>
              <w:spacing w:after="0" w:line="440" w:lineRule="exact"/>
              <w:ind w:left="63" w:right="63"/>
              <w:rPr>
                <w:rFonts w:hAnsi="宋体"/>
                <w:color w:val="auto"/>
                <w:sz w:val="30"/>
                <w:szCs w:val="30"/>
                <w:highlight w:val="none"/>
              </w:rPr>
            </w:pPr>
          </w:p>
        </w:tc>
      </w:tr>
    </w:tbl>
    <w:p w14:paraId="48B56CAD">
      <w:pPr>
        <w:spacing w:line="440" w:lineRule="exact"/>
        <w:rPr>
          <w:rFonts w:hAnsi="宋体"/>
          <w:color w:val="auto"/>
          <w:sz w:val="30"/>
          <w:szCs w:val="30"/>
          <w:highlight w:val="none"/>
        </w:rPr>
      </w:pPr>
      <w:r>
        <w:rPr>
          <w:rFonts w:hint="eastAsia" w:hAnsi="宋体"/>
          <w:color w:val="auto"/>
          <w:sz w:val="30"/>
          <w:szCs w:val="30"/>
          <w:highlight w:val="none"/>
        </w:rPr>
        <w:br w:type="page"/>
      </w:r>
      <w:r>
        <w:rPr>
          <w:rFonts w:hint="eastAsia" w:hAnsi="宋体"/>
          <w:color w:val="auto"/>
          <w:sz w:val="30"/>
          <w:szCs w:val="30"/>
          <w:highlight w:val="none"/>
        </w:rPr>
        <w:t>附件6：</w:t>
      </w:r>
    </w:p>
    <w:p w14:paraId="7D166DAB">
      <w:pPr>
        <w:spacing w:beforeLines="50" w:afterLines="50" w:line="440" w:lineRule="exact"/>
        <w:jc w:val="center"/>
        <w:rPr>
          <w:rFonts w:hAnsi="宋体"/>
          <w:color w:val="auto"/>
          <w:sz w:val="30"/>
          <w:szCs w:val="30"/>
          <w:highlight w:val="none"/>
        </w:rPr>
      </w:pPr>
      <w:r>
        <w:rPr>
          <w:rFonts w:hint="eastAsia" w:hAnsi="宋体"/>
          <w:color w:val="auto"/>
          <w:sz w:val="30"/>
          <w:szCs w:val="30"/>
          <w:highlight w:val="none"/>
        </w:rPr>
        <w:t>分包人主要施工管理人员表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7AC522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left w:val="single" w:color="auto" w:sz="12" w:space="0"/>
              <w:bottom w:val="double" w:color="auto" w:sz="2" w:space="0"/>
              <w:right w:val="single" w:color="auto" w:sz="6" w:space="0"/>
            </w:tcBorders>
            <w:vAlign w:val="center"/>
          </w:tcPr>
          <w:p w14:paraId="0C5DBC2E">
            <w:pPr>
              <w:pStyle w:val="23"/>
              <w:keepNext/>
              <w:spacing w:after="0" w:line="440" w:lineRule="exact"/>
              <w:ind w:left="63" w:right="63"/>
              <w:rPr>
                <w:rFonts w:hAnsi="宋体"/>
                <w:color w:val="auto"/>
                <w:highlight w:val="none"/>
              </w:rPr>
            </w:pPr>
            <w:r>
              <w:rPr>
                <w:rFonts w:hint="eastAsia" w:hAnsi="宋体"/>
                <w:color w:val="auto"/>
                <w:highlight w:val="none"/>
              </w:rPr>
              <w:t>名称</w:t>
            </w:r>
          </w:p>
        </w:tc>
        <w:tc>
          <w:tcPr>
            <w:tcW w:w="1418" w:type="dxa"/>
            <w:tcBorders>
              <w:top w:val="single" w:color="auto" w:sz="12" w:space="0"/>
              <w:left w:val="single" w:color="auto" w:sz="6" w:space="0"/>
              <w:bottom w:val="double" w:color="auto" w:sz="2" w:space="0"/>
              <w:right w:val="single" w:color="auto" w:sz="6" w:space="0"/>
            </w:tcBorders>
            <w:vAlign w:val="center"/>
          </w:tcPr>
          <w:p w14:paraId="624998DB">
            <w:pPr>
              <w:pStyle w:val="23"/>
              <w:keepNext/>
              <w:spacing w:after="0" w:line="440" w:lineRule="exact"/>
              <w:ind w:left="63" w:right="63"/>
              <w:rPr>
                <w:rFonts w:hAnsi="宋体"/>
                <w:color w:val="auto"/>
                <w:highlight w:val="none"/>
              </w:rPr>
            </w:pPr>
            <w:r>
              <w:rPr>
                <w:rFonts w:hint="eastAsia" w:hAnsi="宋体"/>
                <w:color w:val="auto"/>
                <w:highlight w:val="none"/>
              </w:rPr>
              <w:t>姓名</w:t>
            </w:r>
          </w:p>
        </w:tc>
        <w:tc>
          <w:tcPr>
            <w:tcW w:w="1134" w:type="dxa"/>
            <w:tcBorders>
              <w:top w:val="single" w:color="auto" w:sz="12" w:space="0"/>
              <w:left w:val="single" w:color="auto" w:sz="6" w:space="0"/>
              <w:bottom w:val="double" w:color="auto" w:sz="2" w:space="0"/>
              <w:right w:val="single" w:color="auto" w:sz="6" w:space="0"/>
            </w:tcBorders>
            <w:vAlign w:val="center"/>
          </w:tcPr>
          <w:p w14:paraId="5F8B062A">
            <w:pPr>
              <w:pStyle w:val="23"/>
              <w:keepNext/>
              <w:spacing w:after="0" w:line="440" w:lineRule="exact"/>
              <w:ind w:left="63" w:right="63"/>
              <w:rPr>
                <w:rFonts w:hAnsi="宋体"/>
                <w:color w:val="auto"/>
                <w:sz w:val="30"/>
                <w:szCs w:val="30"/>
                <w:highlight w:val="none"/>
              </w:rPr>
            </w:pPr>
            <w:r>
              <w:rPr>
                <w:rFonts w:hint="eastAsia" w:hAnsi="宋体"/>
                <w:color w:val="auto"/>
                <w:sz w:val="30"/>
                <w:szCs w:val="30"/>
                <w:highlight w:val="none"/>
              </w:rPr>
              <w:t>职务</w:t>
            </w:r>
          </w:p>
        </w:tc>
        <w:tc>
          <w:tcPr>
            <w:tcW w:w="1134" w:type="dxa"/>
            <w:tcBorders>
              <w:top w:val="single" w:color="auto" w:sz="12" w:space="0"/>
              <w:left w:val="single" w:color="auto" w:sz="6" w:space="0"/>
              <w:bottom w:val="double" w:color="auto" w:sz="2" w:space="0"/>
              <w:right w:val="single" w:color="auto" w:sz="6" w:space="0"/>
            </w:tcBorders>
            <w:vAlign w:val="center"/>
          </w:tcPr>
          <w:p w14:paraId="0714C358">
            <w:pPr>
              <w:pStyle w:val="23"/>
              <w:keepNext/>
              <w:spacing w:after="0" w:line="440" w:lineRule="exact"/>
              <w:ind w:left="63" w:right="63"/>
              <w:rPr>
                <w:rFonts w:hAnsi="宋体"/>
                <w:color w:val="auto"/>
                <w:sz w:val="30"/>
                <w:szCs w:val="30"/>
                <w:highlight w:val="none"/>
              </w:rPr>
            </w:pPr>
            <w:r>
              <w:rPr>
                <w:rFonts w:hint="eastAsia" w:hAnsi="宋体"/>
                <w:color w:val="auto"/>
                <w:sz w:val="30"/>
                <w:szCs w:val="30"/>
                <w:highlight w:val="none"/>
              </w:rPr>
              <w:t>职称</w:t>
            </w:r>
          </w:p>
        </w:tc>
        <w:tc>
          <w:tcPr>
            <w:tcW w:w="4252" w:type="dxa"/>
            <w:tcBorders>
              <w:top w:val="single" w:color="auto" w:sz="12" w:space="0"/>
              <w:left w:val="single" w:color="auto" w:sz="6" w:space="0"/>
              <w:bottom w:val="double" w:color="auto" w:sz="2" w:space="0"/>
              <w:right w:val="single" w:color="auto" w:sz="12" w:space="0"/>
            </w:tcBorders>
            <w:vAlign w:val="center"/>
          </w:tcPr>
          <w:p w14:paraId="284281A6">
            <w:pPr>
              <w:pStyle w:val="23"/>
              <w:keepNext/>
              <w:spacing w:after="0" w:line="440" w:lineRule="exact"/>
              <w:ind w:left="63" w:right="63"/>
              <w:rPr>
                <w:rFonts w:hAnsi="宋体"/>
                <w:color w:val="auto"/>
                <w:sz w:val="30"/>
                <w:szCs w:val="30"/>
                <w:highlight w:val="none"/>
              </w:rPr>
            </w:pPr>
            <w:r>
              <w:rPr>
                <w:rFonts w:hint="eastAsia" w:hAnsi="宋体"/>
                <w:color w:val="auto"/>
                <w:sz w:val="30"/>
                <w:szCs w:val="30"/>
                <w:highlight w:val="none"/>
              </w:rPr>
              <w:t>主要资历、经验及承担过的项目</w:t>
            </w:r>
          </w:p>
        </w:tc>
      </w:tr>
      <w:tr w14:paraId="0DA0AA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2" w:space="0"/>
              <w:left w:val="single" w:color="auto" w:sz="12" w:space="0"/>
              <w:bottom w:val="single" w:color="auto" w:sz="6" w:space="0"/>
              <w:right w:val="single" w:color="auto" w:sz="12" w:space="0"/>
            </w:tcBorders>
            <w:vAlign w:val="center"/>
          </w:tcPr>
          <w:p w14:paraId="6252A6EA">
            <w:pPr>
              <w:pStyle w:val="23"/>
              <w:keepNext/>
              <w:spacing w:after="0" w:line="440" w:lineRule="exact"/>
              <w:ind w:left="63" w:right="63"/>
              <w:rPr>
                <w:rFonts w:hAnsi="宋体"/>
                <w:color w:val="auto"/>
                <w:highlight w:val="none"/>
              </w:rPr>
            </w:pPr>
            <w:r>
              <w:rPr>
                <w:rFonts w:hint="eastAsia" w:hAnsi="宋体"/>
                <w:color w:val="auto"/>
                <w:highlight w:val="none"/>
              </w:rPr>
              <w:t>一、总部人员</w:t>
            </w:r>
          </w:p>
        </w:tc>
      </w:tr>
      <w:tr w14:paraId="491921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14:paraId="76896549">
            <w:pPr>
              <w:pStyle w:val="23"/>
              <w:keepNext/>
              <w:spacing w:after="0" w:line="440" w:lineRule="exact"/>
              <w:ind w:left="63" w:right="63"/>
              <w:rPr>
                <w:rFonts w:hAnsi="宋体"/>
                <w:color w:val="auto"/>
                <w:highlight w:val="none"/>
              </w:rPr>
            </w:pPr>
            <w:r>
              <w:rPr>
                <w:rFonts w:hint="eastAsia" w:hAnsi="宋体"/>
                <w:color w:val="auto"/>
                <w:highlight w:val="none"/>
              </w:rPr>
              <w:t>项目主管</w:t>
            </w:r>
          </w:p>
        </w:tc>
        <w:tc>
          <w:tcPr>
            <w:tcW w:w="1418" w:type="dxa"/>
            <w:tcBorders>
              <w:top w:val="nil"/>
              <w:left w:val="single" w:color="auto" w:sz="6" w:space="0"/>
              <w:bottom w:val="single" w:color="auto" w:sz="6" w:space="0"/>
              <w:right w:val="single" w:color="auto" w:sz="6" w:space="0"/>
            </w:tcBorders>
            <w:vAlign w:val="center"/>
          </w:tcPr>
          <w:p w14:paraId="34E8F1EC">
            <w:pPr>
              <w:pStyle w:val="23"/>
              <w:keepNext/>
              <w:spacing w:after="0" w:line="440" w:lineRule="exact"/>
              <w:ind w:left="63" w:right="63"/>
              <w:rPr>
                <w:rFonts w:hAnsi="宋体"/>
                <w:color w:val="auto"/>
                <w:highlight w:val="none"/>
              </w:rPr>
            </w:pPr>
          </w:p>
        </w:tc>
        <w:tc>
          <w:tcPr>
            <w:tcW w:w="1134" w:type="dxa"/>
            <w:tcBorders>
              <w:top w:val="nil"/>
              <w:left w:val="single" w:color="auto" w:sz="6" w:space="0"/>
              <w:bottom w:val="single" w:color="auto" w:sz="6" w:space="0"/>
              <w:right w:val="single" w:color="auto" w:sz="6" w:space="0"/>
            </w:tcBorders>
            <w:vAlign w:val="center"/>
          </w:tcPr>
          <w:p w14:paraId="4471948A">
            <w:pPr>
              <w:pStyle w:val="23"/>
              <w:keepNext/>
              <w:spacing w:after="0" w:line="440" w:lineRule="exact"/>
              <w:ind w:left="63" w:right="63"/>
              <w:rPr>
                <w:rFonts w:hAnsi="宋体"/>
                <w:color w:val="auto"/>
                <w:sz w:val="30"/>
                <w:szCs w:val="30"/>
                <w:highlight w:val="none"/>
              </w:rPr>
            </w:pPr>
          </w:p>
        </w:tc>
        <w:tc>
          <w:tcPr>
            <w:tcW w:w="1134" w:type="dxa"/>
            <w:tcBorders>
              <w:top w:val="nil"/>
              <w:left w:val="single" w:color="auto" w:sz="6" w:space="0"/>
              <w:bottom w:val="single" w:color="auto" w:sz="6" w:space="0"/>
              <w:right w:val="single" w:color="auto" w:sz="6" w:space="0"/>
            </w:tcBorders>
            <w:vAlign w:val="center"/>
          </w:tcPr>
          <w:p w14:paraId="5F7AD7D9">
            <w:pPr>
              <w:pStyle w:val="23"/>
              <w:keepNext/>
              <w:spacing w:after="0" w:line="440" w:lineRule="exact"/>
              <w:ind w:left="63" w:right="63"/>
              <w:rPr>
                <w:rFonts w:hAnsi="宋体"/>
                <w:color w:val="auto"/>
                <w:sz w:val="30"/>
                <w:szCs w:val="30"/>
                <w:highlight w:val="none"/>
              </w:rPr>
            </w:pPr>
          </w:p>
        </w:tc>
        <w:tc>
          <w:tcPr>
            <w:tcW w:w="4252" w:type="dxa"/>
            <w:tcBorders>
              <w:top w:val="nil"/>
              <w:left w:val="single" w:color="auto" w:sz="6" w:space="0"/>
              <w:bottom w:val="single" w:color="auto" w:sz="6" w:space="0"/>
              <w:right w:val="single" w:color="auto" w:sz="12" w:space="0"/>
            </w:tcBorders>
            <w:vAlign w:val="center"/>
          </w:tcPr>
          <w:p w14:paraId="1E6F0CC1">
            <w:pPr>
              <w:pStyle w:val="23"/>
              <w:keepNext/>
              <w:spacing w:after="0" w:line="440" w:lineRule="exact"/>
              <w:ind w:left="63" w:right="63"/>
              <w:rPr>
                <w:rFonts w:hAnsi="宋体"/>
                <w:color w:val="auto"/>
                <w:sz w:val="30"/>
                <w:szCs w:val="30"/>
                <w:highlight w:val="none"/>
              </w:rPr>
            </w:pPr>
          </w:p>
        </w:tc>
      </w:tr>
      <w:tr w14:paraId="1C1F65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nil"/>
              <w:right w:val="single" w:color="auto" w:sz="6" w:space="0"/>
            </w:tcBorders>
            <w:vAlign w:val="center"/>
          </w:tcPr>
          <w:p w14:paraId="4E57A94D">
            <w:pPr>
              <w:pStyle w:val="23"/>
              <w:keepNext/>
              <w:spacing w:after="0" w:line="440" w:lineRule="exact"/>
              <w:ind w:left="63" w:right="63"/>
              <w:rPr>
                <w:rFonts w:hAnsi="宋体"/>
                <w:color w:val="auto"/>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0F835478">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AD2D745">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41887A6">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22F8599F">
            <w:pPr>
              <w:pStyle w:val="23"/>
              <w:keepNext/>
              <w:spacing w:after="0" w:line="440" w:lineRule="exact"/>
              <w:ind w:left="63" w:right="63"/>
              <w:rPr>
                <w:rFonts w:hAnsi="宋体"/>
                <w:color w:val="auto"/>
                <w:sz w:val="30"/>
                <w:szCs w:val="30"/>
                <w:highlight w:val="none"/>
              </w:rPr>
            </w:pPr>
          </w:p>
        </w:tc>
      </w:tr>
      <w:tr w14:paraId="3FCA57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14:paraId="31C32F7E">
            <w:pPr>
              <w:pStyle w:val="23"/>
              <w:keepNext/>
              <w:spacing w:after="0" w:line="440" w:lineRule="exact"/>
              <w:ind w:left="63" w:right="63"/>
              <w:rPr>
                <w:rFonts w:hAnsi="宋体"/>
                <w:color w:val="auto"/>
                <w:highlight w:val="none"/>
              </w:rPr>
            </w:pPr>
            <w:r>
              <w:rPr>
                <w:rFonts w:hint="eastAsia" w:hAnsi="宋体"/>
                <w:color w:val="auto"/>
                <w:highlight w:val="none"/>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500FF23F">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767EE5D">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8BBB367">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5FF66C4E">
            <w:pPr>
              <w:pStyle w:val="23"/>
              <w:keepNext/>
              <w:spacing w:after="0" w:line="440" w:lineRule="exact"/>
              <w:ind w:left="63" w:right="63"/>
              <w:rPr>
                <w:rFonts w:hAnsi="宋体"/>
                <w:color w:val="auto"/>
                <w:sz w:val="30"/>
                <w:szCs w:val="30"/>
                <w:highlight w:val="none"/>
              </w:rPr>
            </w:pPr>
          </w:p>
        </w:tc>
      </w:tr>
      <w:tr w14:paraId="73E8E8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14:paraId="79B4394B">
            <w:pPr>
              <w:pStyle w:val="23"/>
              <w:keepNext/>
              <w:spacing w:after="0" w:line="440" w:lineRule="exact"/>
              <w:ind w:left="63" w:right="63"/>
              <w:rPr>
                <w:rFonts w:hAnsi="宋体"/>
                <w:color w:val="auto"/>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214CC2E6">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A5C183A">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6D58FDF">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75BECFC7">
            <w:pPr>
              <w:pStyle w:val="23"/>
              <w:keepNext/>
              <w:spacing w:after="0" w:line="440" w:lineRule="exact"/>
              <w:ind w:left="63" w:right="63"/>
              <w:rPr>
                <w:rFonts w:hAnsi="宋体"/>
                <w:color w:val="auto"/>
                <w:sz w:val="30"/>
                <w:szCs w:val="30"/>
                <w:highlight w:val="none"/>
              </w:rPr>
            </w:pPr>
          </w:p>
        </w:tc>
      </w:tr>
      <w:tr w14:paraId="62AAC6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left w:val="single" w:color="auto" w:sz="12" w:space="0"/>
              <w:bottom w:val="single" w:color="auto" w:sz="6" w:space="0"/>
              <w:right w:val="single" w:color="auto" w:sz="12" w:space="0"/>
            </w:tcBorders>
            <w:vAlign w:val="center"/>
          </w:tcPr>
          <w:p w14:paraId="6388C5D0">
            <w:pPr>
              <w:pStyle w:val="23"/>
              <w:keepNext/>
              <w:spacing w:after="0" w:line="440" w:lineRule="exact"/>
              <w:ind w:left="63" w:right="63"/>
              <w:rPr>
                <w:rFonts w:hAnsi="宋体"/>
                <w:color w:val="auto"/>
                <w:highlight w:val="none"/>
              </w:rPr>
            </w:pPr>
            <w:r>
              <w:rPr>
                <w:rFonts w:hint="eastAsia" w:hAnsi="宋体"/>
                <w:color w:val="auto"/>
                <w:highlight w:val="none"/>
              </w:rPr>
              <w:t>二、现场人员</w:t>
            </w:r>
          </w:p>
        </w:tc>
      </w:tr>
      <w:tr w14:paraId="7EC1F5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69227E0E">
            <w:pPr>
              <w:pStyle w:val="23"/>
              <w:keepNext/>
              <w:spacing w:after="0" w:line="440" w:lineRule="exact"/>
              <w:ind w:left="63" w:right="63"/>
              <w:rPr>
                <w:rFonts w:hAnsi="宋体"/>
                <w:color w:val="auto"/>
                <w:highlight w:val="none"/>
              </w:rPr>
            </w:pPr>
            <w:r>
              <w:rPr>
                <w:rFonts w:hint="eastAsia" w:hAnsi="宋体"/>
                <w:color w:val="auto"/>
                <w:highlight w:val="none"/>
              </w:rPr>
              <w:t>项目负责人</w:t>
            </w:r>
          </w:p>
        </w:tc>
        <w:tc>
          <w:tcPr>
            <w:tcW w:w="1418" w:type="dxa"/>
            <w:tcBorders>
              <w:top w:val="single" w:color="auto" w:sz="6" w:space="0"/>
              <w:left w:val="single" w:color="auto" w:sz="6" w:space="0"/>
              <w:bottom w:val="single" w:color="auto" w:sz="6" w:space="0"/>
              <w:right w:val="single" w:color="auto" w:sz="6" w:space="0"/>
            </w:tcBorders>
            <w:vAlign w:val="center"/>
          </w:tcPr>
          <w:p w14:paraId="6D3DE250">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3D937F6">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21D4FB5">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4B549CF4">
            <w:pPr>
              <w:pStyle w:val="23"/>
              <w:keepNext/>
              <w:spacing w:after="0" w:line="440" w:lineRule="exact"/>
              <w:ind w:left="63" w:right="63"/>
              <w:rPr>
                <w:rFonts w:hAnsi="宋体"/>
                <w:color w:val="auto"/>
                <w:sz w:val="30"/>
                <w:szCs w:val="30"/>
                <w:highlight w:val="none"/>
              </w:rPr>
            </w:pPr>
          </w:p>
        </w:tc>
      </w:tr>
      <w:tr w14:paraId="4A9CB5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3362A3D4">
            <w:pPr>
              <w:pStyle w:val="23"/>
              <w:keepNext/>
              <w:spacing w:after="0" w:line="440" w:lineRule="exact"/>
              <w:ind w:left="63" w:right="63"/>
              <w:rPr>
                <w:rFonts w:hAnsi="宋体"/>
                <w:strike/>
                <w:color w:val="auto"/>
                <w:highlight w:val="none"/>
              </w:rPr>
            </w:pPr>
            <w:r>
              <w:rPr>
                <w:rFonts w:hint="eastAsia" w:hAnsi="宋体"/>
                <w:color w:val="auto"/>
                <w:highlight w:val="none"/>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14:paraId="2542C5D0">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67AC746F">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AAB2D88">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1B43E823">
            <w:pPr>
              <w:pStyle w:val="23"/>
              <w:keepNext/>
              <w:spacing w:after="0" w:line="440" w:lineRule="exact"/>
              <w:ind w:left="63" w:right="63"/>
              <w:rPr>
                <w:rFonts w:hAnsi="宋体"/>
                <w:color w:val="auto"/>
                <w:sz w:val="30"/>
                <w:szCs w:val="30"/>
                <w:highlight w:val="none"/>
              </w:rPr>
            </w:pPr>
          </w:p>
        </w:tc>
      </w:tr>
      <w:tr w14:paraId="767A3C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100234EC">
            <w:pPr>
              <w:pStyle w:val="23"/>
              <w:keepNext/>
              <w:spacing w:after="0" w:line="440" w:lineRule="exact"/>
              <w:ind w:left="63" w:right="63"/>
              <w:rPr>
                <w:rFonts w:hAnsi="宋体"/>
                <w:color w:val="auto"/>
                <w:highlight w:val="none"/>
              </w:rPr>
            </w:pPr>
            <w:r>
              <w:rPr>
                <w:rFonts w:hint="eastAsia" w:hAnsi="宋体"/>
                <w:color w:val="auto"/>
                <w:highlight w:val="none"/>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14:paraId="12ECC4EF">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43C6524D">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0708C48D">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79B3B809">
            <w:pPr>
              <w:pStyle w:val="23"/>
              <w:keepNext/>
              <w:spacing w:after="0" w:line="440" w:lineRule="exact"/>
              <w:ind w:left="63" w:right="63"/>
              <w:rPr>
                <w:rFonts w:hAnsi="宋体"/>
                <w:color w:val="auto"/>
                <w:sz w:val="30"/>
                <w:szCs w:val="30"/>
                <w:highlight w:val="none"/>
              </w:rPr>
            </w:pPr>
          </w:p>
        </w:tc>
      </w:tr>
      <w:tr w14:paraId="402B2D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62C7575D">
            <w:pPr>
              <w:pStyle w:val="23"/>
              <w:keepNext/>
              <w:spacing w:after="0" w:line="440" w:lineRule="exact"/>
              <w:ind w:left="63" w:right="63"/>
              <w:rPr>
                <w:rFonts w:hAnsi="宋体"/>
                <w:color w:val="auto"/>
                <w:highlight w:val="none"/>
              </w:rPr>
            </w:pPr>
            <w:r>
              <w:rPr>
                <w:rFonts w:hint="eastAsia" w:hAnsi="宋体"/>
                <w:color w:val="auto"/>
                <w:highlight w:val="none"/>
              </w:rPr>
              <w:t>质量员</w:t>
            </w:r>
          </w:p>
        </w:tc>
        <w:tc>
          <w:tcPr>
            <w:tcW w:w="1418" w:type="dxa"/>
            <w:tcBorders>
              <w:top w:val="single" w:color="auto" w:sz="6" w:space="0"/>
              <w:left w:val="single" w:color="auto" w:sz="6" w:space="0"/>
              <w:bottom w:val="single" w:color="auto" w:sz="6" w:space="0"/>
              <w:right w:val="single" w:color="auto" w:sz="6" w:space="0"/>
            </w:tcBorders>
            <w:vAlign w:val="center"/>
          </w:tcPr>
          <w:p w14:paraId="5E8C7D85">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C7FECA3">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7C8805E">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11604508">
            <w:pPr>
              <w:pStyle w:val="23"/>
              <w:keepNext/>
              <w:spacing w:after="0" w:line="440" w:lineRule="exact"/>
              <w:ind w:left="63" w:right="63"/>
              <w:rPr>
                <w:rFonts w:hAnsi="宋体"/>
                <w:color w:val="auto"/>
                <w:sz w:val="30"/>
                <w:szCs w:val="30"/>
                <w:highlight w:val="none"/>
              </w:rPr>
            </w:pPr>
          </w:p>
        </w:tc>
      </w:tr>
      <w:tr w14:paraId="1D54C7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37C9E8F4">
            <w:pPr>
              <w:pStyle w:val="23"/>
              <w:keepNext/>
              <w:spacing w:after="0" w:line="440" w:lineRule="exact"/>
              <w:ind w:left="63" w:right="63"/>
              <w:rPr>
                <w:rFonts w:hAnsi="宋体"/>
                <w:color w:val="auto"/>
                <w:highlight w:val="none"/>
              </w:rPr>
            </w:pPr>
            <w:r>
              <w:rPr>
                <w:rFonts w:hint="eastAsia" w:hAnsi="宋体"/>
                <w:color w:val="auto"/>
                <w:highlight w:val="none"/>
              </w:rPr>
              <w:t>施工员</w:t>
            </w:r>
          </w:p>
        </w:tc>
        <w:tc>
          <w:tcPr>
            <w:tcW w:w="1418" w:type="dxa"/>
            <w:tcBorders>
              <w:top w:val="single" w:color="auto" w:sz="6" w:space="0"/>
              <w:left w:val="single" w:color="auto" w:sz="6" w:space="0"/>
              <w:bottom w:val="single" w:color="auto" w:sz="6" w:space="0"/>
              <w:right w:val="single" w:color="auto" w:sz="6" w:space="0"/>
            </w:tcBorders>
            <w:vAlign w:val="center"/>
          </w:tcPr>
          <w:p w14:paraId="0ACC5F38">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6E986668">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891790F">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796E669C">
            <w:pPr>
              <w:pStyle w:val="23"/>
              <w:keepNext/>
              <w:spacing w:after="0" w:line="440" w:lineRule="exact"/>
              <w:ind w:left="63" w:right="63"/>
              <w:rPr>
                <w:rFonts w:hAnsi="宋体"/>
                <w:color w:val="auto"/>
                <w:sz w:val="30"/>
                <w:szCs w:val="30"/>
                <w:highlight w:val="none"/>
              </w:rPr>
            </w:pPr>
          </w:p>
        </w:tc>
      </w:tr>
      <w:tr w14:paraId="083997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02722A01">
            <w:pPr>
              <w:pStyle w:val="23"/>
              <w:keepNext/>
              <w:spacing w:after="0" w:line="440" w:lineRule="exact"/>
              <w:ind w:left="63" w:right="63"/>
              <w:rPr>
                <w:rFonts w:hAnsi="宋体"/>
                <w:color w:val="auto"/>
                <w:highlight w:val="none"/>
              </w:rPr>
            </w:pPr>
            <w:r>
              <w:rPr>
                <w:rFonts w:hint="eastAsia" w:hAnsi="宋体"/>
                <w:color w:val="auto"/>
                <w:highlight w:val="none"/>
              </w:rPr>
              <w:t>资料员</w:t>
            </w:r>
          </w:p>
        </w:tc>
        <w:tc>
          <w:tcPr>
            <w:tcW w:w="1418" w:type="dxa"/>
            <w:tcBorders>
              <w:top w:val="single" w:color="auto" w:sz="6" w:space="0"/>
              <w:left w:val="single" w:color="auto" w:sz="6" w:space="0"/>
              <w:bottom w:val="single" w:color="auto" w:sz="6" w:space="0"/>
              <w:right w:val="single" w:color="auto" w:sz="6" w:space="0"/>
            </w:tcBorders>
            <w:vAlign w:val="center"/>
          </w:tcPr>
          <w:p w14:paraId="05571EFF">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3EC1D78">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98EB484">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5535A133">
            <w:pPr>
              <w:pStyle w:val="23"/>
              <w:keepNext/>
              <w:spacing w:after="0" w:line="440" w:lineRule="exact"/>
              <w:ind w:left="63" w:right="63"/>
              <w:rPr>
                <w:rFonts w:hAnsi="宋体"/>
                <w:color w:val="auto"/>
                <w:sz w:val="30"/>
                <w:szCs w:val="30"/>
                <w:highlight w:val="none"/>
              </w:rPr>
            </w:pPr>
          </w:p>
        </w:tc>
      </w:tr>
      <w:tr w14:paraId="089405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132BD6C1">
            <w:pPr>
              <w:pStyle w:val="23"/>
              <w:keepNext/>
              <w:spacing w:after="0" w:line="440" w:lineRule="exact"/>
              <w:ind w:left="63" w:right="63"/>
              <w:rPr>
                <w:rFonts w:hAnsi="宋体"/>
                <w:color w:val="auto"/>
                <w:highlight w:val="none"/>
              </w:rPr>
            </w:pPr>
            <w:r>
              <w:rPr>
                <w:rFonts w:hint="eastAsia" w:hAnsi="宋体"/>
                <w:color w:val="auto"/>
                <w:highlight w:val="none"/>
              </w:rPr>
              <w:t>材料员</w:t>
            </w:r>
          </w:p>
        </w:tc>
        <w:tc>
          <w:tcPr>
            <w:tcW w:w="1418" w:type="dxa"/>
            <w:tcBorders>
              <w:top w:val="single" w:color="auto" w:sz="6" w:space="0"/>
              <w:left w:val="single" w:color="auto" w:sz="6" w:space="0"/>
              <w:bottom w:val="single" w:color="auto" w:sz="6" w:space="0"/>
              <w:right w:val="single" w:color="auto" w:sz="6" w:space="0"/>
            </w:tcBorders>
            <w:vAlign w:val="center"/>
          </w:tcPr>
          <w:p w14:paraId="3D33B75F">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63A65740">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2E00805">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51E7550C">
            <w:pPr>
              <w:pStyle w:val="23"/>
              <w:keepNext/>
              <w:spacing w:after="0" w:line="440" w:lineRule="exact"/>
              <w:ind w:left="63" w:right="63"/>
              <w:rPr>
                <w:rFonts w:hAnsi="宋体"/>
                <w:color w:val="auto"/>
                <w:sz w:val="30"/>
                <w:szCs w:val="30"/>
                <w:highlight w:val="none"/>
              </w:rPr>
            </w:pPr>
          </w:p>
        </w:tc>
      </w:tr>
      <w:tr w14:paraId="15BD44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tcBorders>
              <w:top w:val="single" w:color="auto" w:sz="6" w:space="0"/>
              <w:left w:val="single" w:color="auto" w:sz="12" w:space="0"/>
              <w:bottom w:val="single" w:color="auto" w:sz="6" w:space="0"/>
              <w:right w:val="single" w:color="auto" w:sz="6" w:space="0"/>
            </w:tcBorders>
            <w:vAlign w:val="center"/>
          </w:tcPr>
          <w:p w14:paraId="568CCEA8">
            <w:pPr>
              <w:pStyle w:val="23"/>
              <w:keepNext/>
              <w:spacing w:after="0" w:line="440" w:lineRule="exact"/>
              <w:ind w:left="63" w:right="63"/>
              <w:rPr>
                <w:rFonts w:hAnsi="宋体"/>
                <w:color w:val="auto"/>
                <w:highlight w:val="none"/>
              </w:rPr>
            </w:pPr>
            <w:r>
              <w:rPr>
                <w:rFonts w:hint="eastAsia" w:hAnsi="宋体"/>
                <w:color w:val="auto"/>
                <w:highlight w:val="none"/>
              </w:rPr>
              <w:t>专职安全生产管理人员</w:t>
            </w:r>
          </w:p>
        </w:tc>
        <w:tc>
          <w:tcPr>
            <w:tcW w:w="1418" w:type="dxa"/>
            <w:tcBorders>
              <w:top w:val="single" w:color="auto" w:sz="6" w:space="0"/>
              <w:left w:val="single" w:color="auto" w:sz="6" w:space="0"/>
              <w:bottom w:val="single" w:color="auto" w:sz="6" w:space="0"/>
              <w:right w:val="single" w:color="auto" w:sz="6" w:space="0"/>
            </w:tcBorders>
            <w:vAlign w:val="center"/>
          </w:tcPr>
          <w:p w14:paraId="7DD2F896">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136508F">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4E92DEC">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7AF49CE9">
            <w:pPr>
              <w:pStyle w:val="23"/>
              <w:keepNext/>
              <w:spacing w:after="0" w:line="440" w:lineRule="exact"/>
              <w:ind w:left="63" w:right="63"/>
              <w:rPr>
                <w:rFonts w:hAnsi="宋体"/>
                <w:color w:val="auto"/>
                <w:sz w:val="30"/>
                <w:szCs w:val="30"/>
                <w:highlight w:val="none"/>
              </w:rPr>
            </w:pPr>
          </w:p>
        </w:tc>
      </w:tr>
      <w:tr w14:paraId="7F395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5CED74F9">
            <w:pPr>
              <w:widowControl/>
              <w:jc w:val="left"/>
              <w:rPr>
                <w:rFonts w:hAnsi="宋体"/>
                <w:color w:val="auto"/>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74F2B261">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2FA3D72">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F347EE9">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15B05D99">
            <w:pPr>
              <w:pStyle w:val="23"/>
              <w:keepNext/>
              <w:spacing w:after="0" w:line="440" w:lineRule="exact"/>
              <w:ind w:left="63" w:right="63"/>
              <w:rPr>
                <w:rFonts w:hAnsi="宋体"/>
                <w:color w:val="auto"/>
                <w:sz w:val="30"/>
                <w:szCs w:val="30"/>
                <w:highlight w:val="none"/>
              </w:rPr>
            </w:pPr>
          </w:p>
        </w:tc>
      </w:tr>
      <w:tr w14:paraId="5B5573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3E4292E3">
            <w:pPr>
              <w:widowControl/>
              <w:jc w:val="left"/>
              <w:rPr>
                <w:rFonts w:hAnsi="宋体"/>
                <w:color w:val="auto"/>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185762BF">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0738937">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A399CC1">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51390B75">
            <w:pPr>
              <w:pStyle w:val="23"/>
              <w:keepNext/>
              <w:spacing w:after="0" w:line="440" w:lineRule="exact"/>
              <w:ind w:left="63" w:right="63"/>
              <w:rPr>
                <w:rFonts w:hAnsi="宋体"/>
                <w:color w:val="auto"/>
                <w:sz w:val="30"/>
                <w:szCs w:val="30"/>
                <w:highlight w:val="none"/>
              </w:rPr>
            </w:pPr>
          </w:p>
        </w:tc>
      </w:tr>
      <w:tr w14:paraId="296445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5793BA23">
            <w:pPr>
              <w:widowControl/>
              <w:jc w:val="left"/>
              <w:rPr>
                <w:rFonts w:hAnsi="宋体"/>
                <w:color w:val="auto"/>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378573F7">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8EE0282">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F36F3E1">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677C2D0E">
            <w:pPr>
              <w:pStyle w:val="23"/>
              <w:keepNext/>
              <w:spacing w:after="0" w:line="440" w:lineRule="exact"/>
              <w:ind w:left="63" w:right="63"/>
              <w:rPr>
                <w:rFonts w:hAnsi="宋体"/>
                <w:color w:val="auto"/>
                <w:sz w:val="30"/>
                <w:szCs w:val="30"/>
                <w:highlight w:val="none"/>
              </w:rPr>
            </w:pPr>
          </w:p>
        </w:tc>
      </w:tr>
      <w:tr w14:paraId="2AE842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560E3BEC">
            <w:pPr>
              <w:widowControl/>
              <w:jc w:val="left"/>
              <w:rPr>
                <w:rFonts w:hAnsi="宋体"/>
                <w:color w:val="auto"/>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3150EDAF">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E253FCC">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6DA2AAAD">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671BFD36">
            <w:pPr>
              <w:pStyle w:val="23"/>
              <w:keepNext/>
              <w:spacing w:after="0" w:line="440" w:lineRule="exact"/>
              <w:ind w:left="63" w:right="63"/>
              <w:rPr>
                <w:rFonts w:hAnsi="宋体"/>
                <w:color w:val="auto"/>
                <w:sz w:val="30"/>
                <w:szCs w:val="30"/>
                <w:highlight w:val="none"/>
              </w:rPr>
            </w:pPr>
          </w:p>
        </w:tc>
      </w:tr>
      <w:tr w14:paraId="73387F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tcBorders>
              <w:top w:val="single" w:color="auto" w:sz="6" w:space="0"/>
              <w:left w:val="single" w:color="auto" w:sz="12" w:space="0"/>
              <w:bottom w:val="single" w:color="auto" w:sz="6" w:space="0"/>
              <w:right w:val="single" w:color="auto" w:sz="6" w:space="0"/>
            </w:tcBorders>
            <w:vAlign w:val="center"/>
          </w:tcPr>
          <w:p w14:paraId="6D31C249">
            <w:pPr>
              <w:pStyle w:val="23"/>
              <w:keepNext/>
              <w:spacing w:after="0" w:line="440" w:lineRule="exact"/>
              <w:ind w:left="63" w:right="63"/>
              <w:rPr>
                <w:rFonts w:hAnsi="宋体"/>
                <w:color w:val="auto"/>
                <w:highlight w:val="none"/>
              </w:rPr>
            </w:pPr>
            <w:r>
              <w:rPr>
                <w:rFonts w:hint="eastAsia" w:hAnsi="宋体"/>
                <w:color w:val="auto"/>
                <w:highlight w:val="none"/>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1B07355B">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03F206E">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C730853">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4B77504A">
            <w:pPr>
              <w:pStyle w:val="23"/>
              <w:keepNext/>
              <w:spacing w:after="0" w:line="440" w:lineRule="exact"/>
              <w:ind w:left="63" w:right="63"/>
              <w:rPr>
                <w:rFonts w:hAnsi="宋体"/>
                <w:color w:val="auto"/>
                <w:sz w:val="30"/>
                <w:szCs w:val="30"/>
                <w:highlight w:val="none"/>
              </w:rPr>
            </w:pPr>
          </w:p>
        </w:tc>
      </w:tr>
      <w:tr w14:paraId="18C48B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44D0E5D1">
            <w:pPr>
              <w:widowControl/>
              <w:jc w:val="left"/>
              <w:rPr>
                <w:rFonts w:hAnsi="宋体"/>
                <w:color w:val="auto"/>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181F5655">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F560C58">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F565DEE">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0441F783">
            <w:pPr>
              <w:pStyle w:val="23"/>
              <w:keepNext/>
              <w:spacing w:after="0" w:line="440" w:lineRule="exact"/>
              <w:ind w:left="63" w:right="63"/>
              <w:rPr>
                <w:rFonts w:hAnsi="宋体"/>
                <w:color w:val="auto"/>
                <w:sz w:val="30"/>
                <w:szCs w:val="30"/>
                <w:highlight w:val="none"/>
              </w:rPr>
            </w:pPr>
          </w:p>
        </w:tc>
      </w:tr>
      <w:tr w14:paraId="709808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6ED7053B">
            <w:pPr>
              <w:widowControl/>
              <w:jc w:val="left"/>
              <w:rPr>
                <w:rFonts w:hAnsi="宋体"/>
                <w:color w:val="auto"/>
                <w:highlight w:val="none"/>
              </w:rPr>
            </w:pPr>
          </w:p>
        </w:tc>
        <w:tc>
          <w:tcPr>
            <w:tcW w:w="1418" w:type="dxa"/>
            <w:tcBorders>
              <w:top w:val="single" w:color="auto" w:sz="6" w:space="0"/>
              <w:left w:val="single" w:color="auto" w:sz="6" w:space="0"/>
              <w:bottom w:val="single" w:color="auto" w:sz="12" w:space="0"/>
              <w:right w:val="single" w:color="auto" w:sz="6" w:space="0"/>
            </w:tcBorders>
            <w:vAlign w:val="center"/>
          </w:tcPr>
          <w:p w14:paraId="64F7E146">
            <w:pPr>
              <w:pStyle w:val="23"/>
              <w:keepNext/>
              <w:spacing w:after="0" w:line="440" w:lineRule="exact"/>
              <w:ind w:left="63" w:right="63"/>
              <w:rPr>
                <w:rFonts w:hAnsi="宋体"/>
                <w:color w:val="auto"/>
                <w:highlight w:val="none"/>
              </w:rPr>
            </w:pPr>
          </w:p>
        </w:tc>
        <w:tc>
          <w:tcPr>
            <w:tcW w:w="1134" w:type="dxa"/>
            <w:tcBorders>
              <w:top w:val="single" w:color="auto" w:sz="6" w:space="0"/>
              <w:left w:val="single" w:color="auto" w:sz="6" w:space="0"/>
              <w:bottom w:val="single" w:color="auto" w:sz="12" w:space="0"/>
              <w:right w:val="single" w:color="auto" w:sz="6" w:space="0"/>
            </w:tcBorders>
            <w:vAlign w:val="center"/>
          </w:tcPr>
          <w:p w14:paraId="53DA1FFD">
            <w:pPr>
              <w:pStyle w:val="23"/>
              <w:keepNext/>
              <w:spacing w:after="0" w:line="440" w:lineRule="exact"/>
              <w:ind w:left="63" w:right="63"/>
              <w:rPr>
                <w:rFonts w:hAnsi="宋体"/>
                <w:color w:val="auto"/>
                <w:sz w:val="30"/>
                <w:szCs w:val="30"/>
                <w:highlight w:val="none"/>
              </w:rPr>
            </w:pPr>
          </w:p>
        </w:tc>
        <w:tc>
          <w:tcPr>
            <w:tcW w:w="1134" w:type="dxa"/>
            <w:tcBorders>
              <w:top w:val="single" w:color="auto" w:sz="6" w:space="0"/>
              <w:left w:val="single" w:color="auto" w:sz="6" w:space="0"/>
              <w:bottom w:val="single" w:color="auto" w:sz="12" w:space="0"/>
              <w:right w:val="single" w:color="auto" w:sz="6" w:space="0"/>
            </w:tcBorders>
            <w:vAlign w:val="center"/>
          </w:tcPr>
          <w:p w14:paraId="4AC2DC2E">
            <w:pPr>
              <w:pStyle w:val="23"/>
              <w:keepNext/>
              <w:spacing w:after="0" w:line="440" w:lineRule="exact"/>
              <w:ind w:left="63" w:right="63"/>
              <w:rPr>
                <w:rFonts w:hAnsi="宋体"/>
                <w:color w:val="auto"/>
                <w:sz w:val="30"/>
                <w:szCs w:val="30"/>
                <w:highlight w:val="none"/>
              </w:rPr>
            </w:pPr>
          </w:p>
        </w:tc>
        <w:tc>
          <w:tcPr>
            <w:tcW w:w="4252" w:type="dxa"/>
            <w:tcBorders>
              <w:top w:val="single" w:color="auto" w:sz="6" w:space="0"/>
              <w:left w:val="single" w:color="auto" w:sz="6" w:space="0"/>
              <w:bottom w:val="single" w:color="auto" w:sz="12" w:space="0"/>
              <w:right w:val="single" w:color="auto" w:sz="12" w:space="0"/>
            </w:tcBorders>
            <w:vAlign w:val="center"/>
          </w:tcPr>
          <w:p w14:paraId="009FAC16">
            <w:pPr>
              <w:pStyle w:val="23"/>
              <w:keepNext/>
              <w:spacing w:after="0" w:line="440" w:lineRule="exact"/>
              <w:ind w:left="63" w:right="63"/>
              <w:rPr>
                <w:rFonts w:hAnsi="宋体"/>
                <w:color w:val="auto"/>
                <w:sz w:val="30"/>
                <w:szCs w:val="30"/>
                <w:highlight w:val="none"/>
              </w:rPr>
            </w:pPr>
          </w:p>
        </w:tc>
      </w:tr>
    </w:tbl>
    <w:p w14:paraId="380D0EA7">
      <w:pPr>
        <w:rPr>
          <w:rFonts w:hAnsi="宋体"/>
          <w:color w:val="auto"/>
          <w:sz w:val="24"/>
          <w:szCs w:val="24"/>
          <w:highlight w:val="none"/>
        </w:rPr>
      </w:pPr>
      <w:r>
        <w:rPr>
          <w:rFonts w:hint="eastAsia" w:hAnsi="宋体"/>
          <w:color w:val="auto"/>
          <w:sz w:val="24"/>
          <w:szCs w:val="24"/>
          <w:highlight w:val="none"/>
        </w:rPr>
        <w:t xml:space="preserve"> </w:t>
      </w:r>
    </w:p>
    <w:p w14:paraId="7F923B5E">
      <w:pPr>
        <w:widowControl/>
        <w:jc w:val="left"/>
        <w:rPr>
          <w:rFonts w:hAnsi="宋体"/>
          <w:b/>
          <w:bCs/>
          <w:color w:val="auto"/>
          <w:highlight w:val="none"/>
        </w:rPr>
      </w:pPr>
      <w:r>
        <w:rPr>
          <w:rFonts w:hint="eastAsia" w:hAnsi="宋体"/>
          <w:color w:val="auto"/>
          <w:sz w:val="30"/>
          <w:szCs w:val="30"/>
          <w:highlight w:val="none"/>
        </w:rPr>
        <w:br w:type="page"/>
      </w:r>
      <w:r>
        <w:rPr>
          <w:rFonts w:hint="eastAsia" w:hAnsi="宋体"/>
          <w:color w:val="auto"/>
          <w:sz w:val="21"/>
          <w:szCs w:val="21"/>
          <w:highlight w:val="none"/>
        </w:rPr>
        <w:t xml:space="preserve">附件7 </w:t>
      </w:r>
    </w:p>
    <w:p w14:paraId="0E6868EF">
      <w:pPr>
        <w:spacing w:line="480" w:lineRule="auto"/>
        <w:jc w:val="center"/>
        <w:rPr>
          <w:rFonts w:hAnsi="宋体"/>
          <w:b/>
          <w:bCs/>
          <w:color w:val="auto"/>
          <w:sz w:val="32"/>
          <w:szCs w:val="32"/>
          <w:highlight w:val="none"/>
        </w:rPr>
      </w:pPr>
      <w:r>
        <w:rPr>
          <w:rFonts w:hint="eastAsia" w:hAnsi="宋体"/>
          <w:b/>
          <w:bCs/>
          <w:color w:val="auto"/>
          <w:sz w:val="32"/>
          <w:szCs w:val="32"/>
          <w:highlight w:val="none"/>
        </w:rPr>
        <w:t>安全文明施工责任协议</w:t>
      </w:r>
    </w:p>
    <w:p w14:paraId="2AE77C6E">
      <w:pPr>
        <w:spacing w:line="360" w:lineRule="auto"/>
        <w:rPr>
          <w:rFonts w:hAnsi="宋体"/>
          <w:color w:val="auto"/>
          <w:sz w:val="24"/>
          <w:szCs w:val="24"/>
          <w:highlight w:val="none"/>
        </w:rPr>
      </w:pPr>
      <w:r>
        <w:rPr>
          <w:rFonts w:hint="eastAsia" w:hAnsi="宋体"/>
          <w:color w:val="auto"/>
          <w:sz w:val="24"/>
          <w:szCs w:val="24"/>
          <w:highlight w:val="none"/>
        </w:rPr>
        <w:t>发包人（全称）：</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（以下简称甲方） </w:t>
      </w:r>
    </w:p>
    <w:p w14:paraId="444A85A1">
      <w:pPr>
        <w:spacing w:line="360" w:lineRule="auto"/>
        <w:rPr>
          <w:rFonts w:hAnsi="宋体"/>
          <w:color w:val="auto"/>
          <w:sz w:val="24"/>
          <w:szCs w:val="24"/>
          <w:highlight w:val="none"/>
        </w:rPr>
      </w:pPr>
      <w:r>
        <w:rPr>
          <w:rFonts w:hint="eastAsia" w:hAnsi="宋体"/>
          <w:color w:val="auto"/>
          <w:sz w:val="24"/>
          <w:szCs w:val="24"/>
          <w:highlight w:val="none"/>
        </w:rPr>
        <w:t>承包人（全称）：</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（以下简称乙方）  </w:t>
      </w:r>
    </w:p>
    <w:p w14:paraId="090AF848">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为加强建筑施工现场安全生产管理，提高建筑施工企业安全生产文明施工的管理水平，最大限度地遏制各类安全事故的发生，根据《建筑法》、《安全生产法》、《建设工程安全生产管理条例》、《安全生产许可证条例》、《浙江省建筑安全生产管理规定》《杭州市安全生产监督管理条例》的精神等安全生产相关法律法规及规章制度，经甲乙双方友好协商，就</w:t>
      </w:r>
      <w:r>
        <w:rPr>
          <w:rFonts w:hint="eastAsia" w:hAnsi="宋体"/>
          <w:color w:val="auto"/>
          <w:sz w:val="24"/>
          <w:szCs w:val="24"/>
          <w:highlight w:val="none"/>
          <w:u w:val="single"/>
        </w:rPr>
        <w:t xml:space="preserve">                         </w:t>
      </w:r>
      <w:r>
        <w:rPr>
          <w:rFonts w:hint="eastAsia" w:hAnsi="宋体"/>
          <w:color w:val="auto"/>
          <w:sz w:val="24"/>
          <w:szCs w:val="24"/>
          <w:highlight w:val="none"/>
        </w:rPr>
        <w:t>的现场管理签订安全生产文明施工责任协议书。</w:t>
      </w:r>
    </w:p>
    <w:p w14:paraId="03FA10C9">
      <w:pPr>
        <w:spacing w:line="360" w:lineRule="auto"/>
        <w:ind w:firstLine="840" w:firstLineChars="350"/>
        <w:rPr>
          <w:rFonts w:hAnsi="宋体"/>
          <w:color w:val="auto"/>
          <w:sz w:val="24"/>
          <w:szCs w:val="24"/>
          <w:highlight w:val="none"/>
        </w:rPr>
      </w:pPr>
      <w:r>
        <w:rPr>
          <w:rFonts w:hint="eastAsia" w:hAnsi="宋体"/>
          <w:color w:val="auto"/>
          <w:sz w:val="24"/>
          <w:szCs w:val="24"/>
          <w:highlight w:val="none"/>
        </w:rPr>
        <w:t>工程项目的安全文明施工管理目标是坚持贯彻“一标三规范”，树立“安全第一、预防为主”的思想，在本工程施工中实现五无，即无死亡、无重伤、无火灾、无中毒、无重大机械事故，轻伤事故率控制在千分之四以内。具体做到：</w:t>
      </w:r>
    </w:p>
    <w:p w14:paraId="5D6CFD86">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1.事故负伤率控制在4‰以下；</w:t>
      </w:r>
    </w:p>
    <w:p w14:paraId="16C79DB6">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2.杜绝死亡、火灾、食物中毒；</w:t>
      </w:r>
    </w:p>
    <w:p w14:paraId="40FB3C98">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3.交通管线设备等重大事故为零；</w:t>
      </w:r>
    </w:p>
    <w:p w14:paraId="4C227AB5">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4.遇突发灾害天气，安全事故为零。</w:t>
      </w:r>
    </w:p>
    <w:p w14:paraId="69B98031">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一、甲乙双方各自责任要求：</w:t>
      </w:r>
    </w:p>
    <w:p w14:paraId="0775E460">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（一）、甲方安全文明责任</w:t>
      </w:r>
    </w:p>
    <w:p w14:paraId="260D2176">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1、工程开工前办理施工许可手续，向工程所在地建筑安全监督机构提供建设工程有关安全施工措施资料。</w:t>
      </w:r>
    </w:p>
    <w:p w14:paraId="5D320FE9">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2、按国家、省、市有关规定及时拔付给施工单位建筑工程安全防护与文明施工措施费用，不得拖欠。对有特殊安全防护要求的工程，建设单位和施工单位应当根据实际要求，在合同中约定安全措施所需费用及拔付时间。本工程所有相关费用包含在包干措施费中，本协议不作为签证和结算依据，所有费用不另计算和签证。</w:t>
      </w:r>
    </w:p>
    <w:p w14:paraId="58C47128">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3、加强对安全文明生产工作的监督，督促乙方依法履行安全文明生产的管理职责，乙方应自行负责一切安全文明生产事宜。</w:t>
      </w:r>
    </w:p>
    <w:p w14:paraId="274E8B02">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4、随时郑重申明对乙方安全文明生产情况进行监督检查。</w:t>
      </w:r>
    </w:p>
    <w:p w14:paraId="4C70E56D">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5、督促乙方对生产中存在的安全隐患进行整改，及时协调解决各工地之间、工地与周边群众之间的矛盾。</w:t>
      </w:r>
    </w:p>
    <w:p w14:paraId="3A156A41">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6、每月召开一次监理、乙方项目负责人、安全专职人员参加的安全文明生产会议，通报情况，交流经验，纠正施工中存在的安全隐患。</w:t>
      </w:r>
    </w:p>
    <w:p w14:paraId="20964CA0">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7、甲方负有监督权责任，发现安全隐患，有权责令乙方停工整改，直至排除隐患。</w:t>
      </w:r>
    </w:p>
    <w:p w14:paraId="7E4293BD">
      <w:pPr>
        <w:spacing w:line="360" w:lineRule="auto"/>
        <w:ind w:firstLine="240" w:firstLineChars="100"/>
        <w:rPr>
          <w:rFonts w:hAnsi="宋体"/>
          <w:color w:val="auto"/>
          <w:sz w:val="24"/>
          <w:szCs w:val="24"/>
          <w:highlight w:val="none"/>
        </w:rPr>
      </w:pPr>
      <w:r>
        <w:rPr>
          <w:rFonts w:hint="eastAsia" w:hAnsi="宋体"/>
          <w:color w:val="auto"/>
          <w:sz w:val="24"/>
          <w:szCs w:val="24"/>
          <w:highlight w:val="none"/>
        </w:rPr>
        <w:t>（二）乙方安全文明责任</w:t>
      </w:r>
    </w:p>
    <w:p w14:paraId="7BC5024C">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1、安全管理生产制度</w:t>
      </w:r>
    </w:p>
    <w:p w14:paraId="7A8C0B16">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1）施工单位应在开工前7日内到工程所在地建筑施工安全主管部门办理安全监督相关手续，并签订建筑工程安全生产文明施工责任书。</w:t>
      </w:r>
    </w:p>
    <w:p w14:paraId="3A4A67E7">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2）建立健全安全生产责任制。设立项目部安全管理机构，落实安全管理体系，配备专职安全管理人员，健全规章制度，制定各工种安全生产操作规程并做好技术交底。建立、健全本单位安全文明生产责任制，对现场安全文明生产负总责，制定安全文明生产</w:t>
      </w:r>
      <w:r>
        <w:rPr>
          <w:color w:val="auto"/>
          <w:highlight w:val="none"/>
        </w:rPr>
        <w:fldChar w:fldCharType="begin"/>
      </w:r>
      <w:r>
        <w:rPr>
          <w:color w:val="auto"/>
          <w:highlight w:val="none"/>
        </w:rPr>
        <w:instrText xml:space="preserve"> HYPERLINK "http://www.govyi.com/gongwenxiezuo/guanlizhidu/Index.shtml" </w:instrText>
      </w:r>
      <w:r>
        <w:rPr>
          <w:color w:val="auto"/>
          <w:highlight w:val="none"/>
        </w:rPr>
        <w:fldChar w:fldCharType="separate"/>
      </w:r>
      <w:r>
        <w:rPr>
          <w:rStyle w:val="77"/>
          <w:rFonts w:hint="eastAsia" w:hAnsi="宋体"/>
          <w:color w:val="auto"/>
          <w:sz w:val="24"/>
          <w:szCs w:val="24"/>
          <w:highlight w:val="none"/>
        </w:rPr>
        <w:t>规章制度</w:t>
      </w:r>
      <w:r>
        <w:rPr>
          <w:rStyle w:val="77"/>
          <w:rFonts w:hint="eastAsia" w:hAnsi="宋体"/>
          <w:color w:val="auto"/>
          <w:sz w:val="24"/>
          <w:szCs w:val="24"/>
          <w:highlight w:val="none"/>
        </w:rPr>
        <w:fldChar w:fldCharType="end"/>
      </w:r>
      <w:r>
        <w:rPr>
          <w:rFonts w:hint="eastAsia" w:hAnsi="宋体"/>
          <w:color w:val="auto"/>
          <w:sz w:val="24"/>
          <w:szCs w:val="24"/>
          <w:highlight w:val="none"/>
        </w:rPr>
        <w:t>和操作规程，落实专职安全人员的工作职责，确保本单位安全文明生产制度发挥有效作用。乙方主要负责人和安全生产管理人员必须具备与乙方所从事的工作相适应的安全生产知识和管理能力，并由职能部门考核合格后方可任职。</w:t>
      </w:r>
    </w:p>
    <w:p w14:paraId="32E7C5B5">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3）保证对具备安全生产条件所必需资金的投入，并对由于安全生产所必需的资金投入不足导致的后果承担责任。</w:t>
      </w:r>
    </w:p>
    <w:p w14:paraId="48987B31">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4）建立安全生产资金保障制度，落实安全防护用品资金、安全教育培训专项资金、保障安全生产的技术措施资金。</w:t>
      </w:r>
    </w:p>
    <w:p w14:paraId="41309A75">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5）建立项目部安全培训制度，确保在建工程项目负责人、安全管理人员、特种作业人员、安全资料员、急救员等相关人员持证上岗。根据《安全生产法》的规定，乙方应对从业人员进行安全教育和</w:t>
      </w:r>
      <w:r>
        <w:rPr>
          <w:color w:val="auto"/>
          <w:highlight w:val="none"/>
        </w:rPr>
        <w:fldChar w:fldCharType="begin"/>
      </w:r>
      <w:r>
        <w:rPr>
          <w:color w:val="auto"/>
          <w:highlight w:val="none"/>
        </w:rPr>
        <w:instrText xml:space="preserve"> HYPERLINK "http://www.govyi.com/gongwenxiezuo/yuangongpeixun/Index.shtml" </w:instrText>
      </w:r>
      <w:r>
        <w:rPr>
          <w:color w:val="auto"/>
          <w:highlight w:val="none"/>
        </w:rPr>
        <w:fldChar w:fldCharType="separate"/>
      </w:r>
      <w:r>
        <w:rPr>
          <w:rStyle w:val="77"/>
          <w:rFonts w:hint="eastAsia" w:hAnsi="宋体"/>
          <w:color w:val="auto"/>
          <w:sz w:val="24"/>
          <w:szCs w:val="24"/>
          <w:highlight w:val="none"/>
        </w:rPr>
        <w:t>培训</w:t>
      </w:r>
      <w:r>
        <w:rPr>
          <w:rStyle w:val="77"/>
          <w:rFonts w:hint="eastAsia" w:hAnsi="宋体"/>
          <w:color w:val="auto"/>
          <w:sz w:val="24"/>
          <w:szCs w:val="24"/>
          <w:highlight w:val="none"/>
        </w:rPr>
        <w:fldChar w:fldCharType="end"/>
      </w:r>
      <w:r>
        <w:rPr>
          <w:rFonts w:hint="eastAsia" w:hAnsi="宋体"/>
          <w:color w:val="auto"/>
          <w:sz w:val="24"/>
          <w:szCs w:val="24"/>
          <w:highlight w:val="none"/>
        </w:rPr>
        <w:t>，保证从业人员具备安全生产知识，熟悉安全生产规章制度和安全操作规程，掌握本岗位的安全操作技能，未经安全生产教育培训合格的人员不得上岗作业。建立新入场工人（或进入新的岗位）三级教育、经常性教育和班前安全交底制度，做好安全资料记录、收集、整理、归档工作。</w:t>
      </w:r>
    </w:p>
    <w:p w14:paraId="4F86DB61">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6）建立安全生产检查制度，公司、项目部定期对施工现场进行安全检查并做好书面记录，对工程所在地建筑安全监督机构下发的事故隐患整改通知书要及时整改并写出整改报告书，经建设单位、监理工程师及施工企业负责人验收签字后，报工程所在地建筑安全监督机构。</w:t>
      </w:r>
    </w:p>
    <w:p w14:paraId="1F1A4B22">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7）施工单位应当在施工组织设计中编制安全技术措施和施工现场临时用电方案，对达到一定规模的危险性较大的分部分项工程编制专项施工方案，并附具安全验算结果，经施工单位技术负责人、总监理工程师审批签字后实施，由专职安全生产管理人员进行现场监督。对涉及深基坑、土方开挖工程、高大模板等工程的专项施工方案，施工单位还应当组织专家进行论证、审查。专家组不得少于3人。</w:t>
      </w:r>
    </w:p>
    <w:p w14:paraId="5F914541">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9）对爆炸物品的购买、运输、储存、管理使用，必须按国家的法律法规的规定执行。</w:t>
      </w:r>
    </w:p>
    <w:p w14:paraId="660911F0">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10）安全生产监督检查人员进行安全监督检查时，乙方要主动接受检查，并积极配合，不得拒绝，阻挠和拖延，并在检查记录上签字。</w:t>
      </w:r>
    </w:p>
    <w:p w14:paraId="08DD67FE">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11）运输过程中，遵守有关法律法规的规定，保证车辆、行人、市政设施、专业管线及沿途的建筑物、构筑物的安全，防止污染城市环境，对造成的损害承担全部责任。</w:t>
      </w:r>
    </w:p>
    <w:p w14:paraId="6C1C8570">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12）除参加甲方召开的安全文明生产会议外，乙方每月至少召开一次安全文明生产会议，自查自纠不安全因素及隐患，保证工程顺利进行，会议记录上报监理单位及发包人备案。</w:t>
      </w:r>
    </w:p>
    <w:p w14:paraId="12EDC1B7">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13）建立安全生产事故报告处理制度。责任人及时如实向发包人项目负责人部和有关</w:t>
      </w:r>
      <w:r>
        <w:rPr>
          <w:color w:val="auto"/>
          <w:highlight w:val="none"/>
        </w:rPr>
        <w:fldChar w:fldCharType="begin"/>
      </w:r>
      <w:r>
        <w:rPr>
          <w:color w:val="auto"/>
          <w:highlight w:val="none"/>
        </w:rPr>
        <w:instrText xml:space="preserve"> HYPERLINK "http://www.govyi.com/gongwenxiezuo/zhineng/Index.shtml" </w:instrText>
      </w:r>
      <w:r>
        <w:rPr>
          <w:color w:val="auto"/>
          <w:highlight w:val="none"/>
        </w:rPr>
        <w:fldChar w:fldCharType="separate"/>
      </w:r>
      <w:r>
        <w:rPr>
          <w:rStyle w:val="77"/>
          <w:rFonts w:hint="eastAsia" w:hAnsi="宋体"/>
          <w:color w:val="auto"/>
          <w:sz w:val="24"/>
          <w:szCs w:val="24"/>
          <w:highlight w:val="none"/>
        </w:rPr>
        <w:t>职能</w:t>
      </w:r>
      <w:r>
        <w:rPr>
          <w:rStyle w:val="77"/>
          <w:rFonts w:hint="eastAsia" w:hAnsi="宋体"/>
          <w:color w:val="auto"/>
          <w:sz w:val="24"/>
          <w:szCs w:val="24"/>
          <w:highlight w:val="none"/>
        </w:rPr>
        <w:fldChar w:fldCharType="end"/>
      </w:r>
      <w:r>
        <w:rPr>
          <w:rFonts w:hint="eastAsia" w:hAnsi="宋体"/>
          <w:color w:val="auto"/>
          <w:sz w:val="24"/>
          <w:szCs w:val="24"/>
          <w:highlight w:val="none"/>
        </w:rPr>
        <w:t>部门报告安全事故。按有关规定实施事故报告、并按“四不放过”的原则调查处理事故。建立健全应急救援预案。</w:t>
      </w:r>
    </w:p>
    <w:p w14:paraId="0C13F928">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2、施工现场管理</w:t>
      </w:r>
    </w:p>
    <w:p w14:paraId="7A30F992">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1）进入施工现场必须佩戴安全帽。严禁赤脚、穿高跟鞋和拖鞋进入施工作业区。</w:t>
      </w:r>
    </w:p>
    <w:p w14:paraId="044506A0">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2）临建设施：施工现场临建房应符合牢固、整洁、环保、防火、通风、疏散等要求，推广使用符合规定要求的装配式房屋。严禁使用菱苦土板房及其它安全性较差的简易板房，不得使用泥砌或干砌砖房。严禁使用钢管搭设的简易床和通铺；宿舍内净高不得低于2.6m，每间宿舍居住人员不得超过16人；施工现场办公室应不小于20m2.</w:t>
      </w:r>
    </w:p>
    <w:p w14:paraId="311A3A64">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3）施工场地：施工现场应清晰划分作业区、办公区和生活区，并采取相应的隔离措施；主要道路必须硬化材料、构件、料具按总平面布置图堆放整齐且标出名称、规格、产地，易燃易爆物品妥善管理；</w:t>
      </w:r>
    </w:p>
    <w:p w14:paraId="593D44AD">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4）标牌和消防要求：施工现场必须在大门口或大门两侧醒目位置悬挂七牌两图即工程概况牌、管理人员名单及监督电话牌、消防保卫牌、安全生产牌、工程概况牌、安全活动记录牌、文明施工牌和施工现场平面图、工程效果图。施工现场应配备合适、足够的消防器材，并有专管人员做到责任到人。各类消防设施完好，配备合理；油库、危险品仓库等重点部位应配备足够数量种类合适的灭火机，木工间、油漆间等每25平方米建筑面积配备一只灭火机，非重点仓库等建筑物区域每100平方米建筑面积配备二只灭火机，脚手架每层配备灭火机。承包人必须严格执行三级动火审批制度，明火操作有专人监护，并配有灭火器及隔离措施。氧气和乙炔瓶的放置距离必须满足规范要求。油库、油漆间、木工间和化学品，易燃易爆物品均设有专间和专人负责，配备适合的灭火器，并要醒目易取。油库、危险品仓库应配备足够数量、种类的灭火器；仓库或堆料场内，应根据灭火对象的特性、分组布置酸碱、泡沫、二氧化碳等灭火器，每组灭火器不应少于4个，每组灭火器之间的距离不应大于30米。</w:t>
      </w:r>
    </w:p>
    <w:p w14:paraId="76FCD01B">
      <w:pPr>
        <w:spacing w:line="360" w:lineRule="auto"/>
        <w:ind w:firstLine="360" w:firstLineChars="150"/>
        <w:rPr>
          <w:rFonts w:hAnsi="宋体"/>
          <w:color w:val="auto"/>
          <w:sz w:val="24"/>
          <w:szCs w:val="24"/>
          <w:highlight w:val="none"/>
        </w:rPr>
      </w:pPr>
      <w:r>
        <w:rPr>
          <w:rFonts w:hint="eastAsia" w:hAnsi="宋体"/>
          <w:color w:val="auto"/>
          <w:sz w:val="24"/>
          <w:szCs w:val="24"/>
          <w:highlight w:val="none"/>
        </w:rPr>
        <w:t>5）施工用电：施工现场要认真贯彻执行新施工用电安全技术规范，配电箱、开关箱必须使用杭州市登记备案产品；配电应采用“三相五线制”TN－S系统（保护接零），必须使用五芯电缆，达到三级配电两级保护，“一机、一箱、一隔、一漏”要求；箱体颜色醒目、门锁全，有色标有编号。施工现场的用电线路、用电设施的安装和使用必须符合相关安全技术规范。危险潮湿场所的照明以及手持照明灯具，必须采用符合安全要求的电压。电气线路应严格按照施工组织设计进行架设，严禁任意拉线接电。夜间施工，现场必须设有保证施工安全要求的照明设施。总、分配电箱内均应贴上电路图。配电箱外要上锁，并应标明负责人（电工）姓名和联络电话。新进入工地的用电设备（包括手持电协工具）要由用电负责人和值班电工共同检查、进行绝缘电阻测试（做好记录），由电工负责配线，试车合格后方可使用，其它人不可随意接线。与建筑物接地网相连的塔吊、井架、钢管脚手架，须做好防雷接地，第一段架体安装时应应连续地线，并要测试接地电阻，合格后方可继续安装。卷扬机、搅拌机等设备检修时，必须将分电箱处电源线拆除并挂牌示警设专人看管，检修完毕后，要由用电负责人检查，验收合格后方可共同送电。办公室、宿舍、食堂等照明用电不许私自乱接，必须由专业电工单设置电箱，配线接好送电后使用。本工程面积大，作业人员多，要加强用电管理，必须由专业电工负责接线，履行检查手续和值班电工巡回检查制度，严禁非专业人员操作，杜绝触电事故的发生。</w:t>
      </w:r>
    </w:p>
    <w:p w14:paraId="0345F41E">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6）安全防护：认真做好“四口、五临边”安全防护。超过2.5cm的洞口必须进行防护。基坑深度超过2 m要进行放坡或进行有效的基坑支护，基坑深度超过5 m要制定专项施工方案；基坑临边必须进行防护，必要时夜间应设置警示灯。严禁夜间施工（当日22时至次日6时）噪声扰民。</w:t>
      </w:r>
    </w:p>
    <w:p w14:paraId="2558FA58">
      <w:pPr>
        <w:spacing w:line="360" w:lineRule="auto"/>
        <w:ind w:firstLine="480" w:firstLineChars="200"/>
        <w:rPr>
          <w:rFonts w:hAnsi="宋体"/>
          <w:color w:val="auto"/>
          <w:sz w:val="24"/>
          <w:szCs w:val="24"/>
          <w:highlight w:val="none"/>
        </w:rPr>
      </w:pPr>
      <w:r>
        <w:rPr>
          <w:rFonts w:hint="eastAsia" w:hAnsi="宋体"/>
          <w:color w:val="auto"/>
          <w:sz w:val="24"/>
          <w:szCs w:val="24"/>
          <w:highlight w:val="none"/>
        </w:rPr>
        <w:t>7）现场有安全宣传牌，主要施工部位、作业点和危险区域以及主要通道口应设醒目的安全宣传标牌和合适的安全警告牌等。现场张挂醒目的安全标语，设备旁挂安全操作规程牌。现场常用机械设备应设立操作告示牌，提醒操作工人随时注意安全操作守则。</w:t>
      </w:r>
    </w:p>
    <w:p w14:paraId="7C418E49">
      <w:pPr>
        <w:spacing w:line="360" w:lineRule="auto"/>
        <w:rPr>
          <w:rFonts w:hAnsi="宋体"/>
          <w:color w:val="auto"/>
          <w:sz w:val="24"/>
          <w:szCs w:val="24"/>
          <w:highlight w:val="none"/>
        </w:rPr>
      </w:pPr>
      <w:r>
        <w:rPr>
          <w:rFonts w:hint="eastAsia" w:hAnsi="宋体"/>
          <w:color w:val="auto"/>
          <w:sz w:val="24"/>
          <w:szCs w:val="24"/>
          <w:highlight w:val="none"/>
        </w:rPr>
        <w:t xml:space="preserve">    8）应当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34E36788">
      <w:pPr>
        <w:spacing w:line="360" w:lineRule="auto"/>
        <w:rPr>
          <w:rFonts w:hAnsi="宋体"/>
          <w:color w:val="auto"/>
          <w:sz w:val="24"/>
          <w:szCs w:val="24"/>
          <w:highlight w:val="none"/>
        </w:rPr>
      </w:pPr>
      <w:r>
        <w:rPr>
          <w:rFonts w:hint="eastAsia" w:hAnsi="宋体"/>
          <w:color w:val="auto"/>
          <w:sz w:val="24"/>
          <w:szCs w:val="24"/>
          <w:highlight w:val="none"/>
        </w:rPr>
        <w:t xml:space="preserve">    9）承包人应对现场地下管线位置设明显警示标志并有专人管理，如果因承包人原因导致地下管线发生事故，承包人应负全部责任。</w:t>
      </w:r>
    </w:p>
    <w:p w14:paraId="7E39C239">
      <w:pPr>
        <w:spacing w:line="360" w:lineRule="auto"/>
        <w:rPr>
          <w:rFonts w:hAnsi="宋体"/>
          <w:color w:val="auto"/>
          <w:sz w:val="24"/>
          <w:szCs w:val="24"/>
          <w:highlight w:val="none"/>
        </w:rPr>
      </w:pPr>
      <w:r>
        <w:rPr>
          <w:rFonts w:hint="eastAsia" w:hAnsi="宋体"/>
          <w:color w:val="auto"/>
          <w:sz w:val="24"/>
          <w:szCs w:val="24"/>
          <w:highlight w:val="none"/>
        </w:rPr>
        <w:t xml:space="preserve">    10）工程开工前或分部分项工程开工前以必须进行安全技术交底（必须有监理人员参加），并以书面形式向监理汇报，经认同后方可开工。施工中若由承包人原因造成工伤事故，发包人将暂停付款直至承包人整改完毕。</w:t>
      </w:r>
    </w:p>
    <w:p w14:paraId="1722B460">
      <w:pPr>
        <w:spacing w:line="360" w:lineRule="auto"/>
        <w:rPr>
          <w:rFonts w:hAnsi="宋体"/>
          <w:color w:val="auto"/>
          <w:sz w:val="24"/>
          <w:szCs w:val="24"/>
          <w:highlight w:val="none"/>
        </w:rPr>
      </w:pPr>
      <w:r>
        <w:rPr>
          <w:rFonts w:hint="eastAsia" w:hAnsi="宋体"/>
          <w:color w:val="auto"/>
          <w:sz w:val="24"/>
          <w:szCs w:val="24"/>
          <w:highlight w:val="none"/>
        </w:rPr>
        <w:t xml:space="preserve">    11）承包人项目部应设有专门的安全管理员，负责对整个工地的安全文明施工管理。作好机械设备及施工机具的安全管理工作，所有设备及机具经验收后方可使用。</w:t>
      </w:r>
    </w:p>
    <w:p w14:paraId="2BBFFE9E">
      <w:pPr>
        <w:spacing w:line="360" w:lineRule="auto"/>
        <w:rPr>
          <w:rFonts w:hAnsi="宋体"/>
          <w:color w:val="auto"/>
          <w:sz w:val="24"/>
          <w:szCs w:val="24"/>
          <w:highlight w:val="none"/>
        </w:rPr>
      </w:pPr>
      <w:r>
        <w:rPr>
          <w:rFonts w:hint="eastAsia" w:hAnsi="宋体"/>
          <w:color w:val="auto"/>
          <w:sz w:val="24"/>
          <w:szCs w:val="24"/>
          <w:highlight w:val="none"/>
        </w:rPr>
        <w:t xml:space="preserve">    12）承包人必须为从事危险作业的职工办理意外伤害保险，并为施工场地内自有人员生命财产和施工机械设备办理保险，支付保险费用。</w:t>
      </w:r>
    </w:p>
    <w:p w14:paraId="2060EDBC">
      <w:pPr>
        <w:spacing w:line="360" w:lineRule="auto"/>
        <w:rPr>
          <w:rFonts w:hAnsi="宋体"/>
          <w:color w:val="auto"/>
          <w:sz w:val="24"/>
          <w:szCs w:val="24"/>
          <w:highlight w:val="none"/>
        </w:rPr>
      </w:pPr>
      <w:r>
        <w:rPr>
          <w:rFonts w:hint="eastAsia" w:hAnsi="宋体"/>
          <w:color w:val="auto"/>
          <w:sz w:val="24"/>
          <w:szCs w:val="24"/>
          <w:highlight w:val="none"/>
        </w:rPr>
        <w:t xml:space="preserve">    13）施工期间由于承包人原因造成人员伤亡而导致停工，发包人将有权给承包人不高于1万元/天的扣款，且不免除因停工引起的工期赔偿责任。</w:t>
      </w:r>
    </w:p>
    <w:p w14:paraId="7371F685">
      <w:pPr>
        <w:spacing w:line="360" w:lineRule="auto"/>
        <w:rPr>
          <w:rFonts w:hAnsi="宋体"/>
          <w:color w:val="auto"/>
          <w:sz w:val="24"/>
          <w:szCs w:val="24"/>
          <w:highlight w:val="none"/>
        </w:rPr>
      </w:pPr>
      <w:r>
        <w:rPr>
          <w:rFonts w:hint="eastAsia" w:hAnsi="宋体"/>
          <w:color w:val="auto"/>
          <w:sz w:val="24"/>
          <w:szCs w:val="24"/>
          <w:highlight w:val="none"/>
        </w:rPr>
        <w:t xml:space="preserve">    14）施工期间由于承包人违反安全操作规范，被政府有关部门处罚，如通报批评、警告和罚款等，每次发包人将给予1万元罚款。</w:t>
      </w:r>
    </w:p>
    <w:p w14:paraId="56161BD0">
      <w:pPr>
        <w:spacing w:line="360" w:lineRule="auto"/>
        <w:rPr>
          <w:rFonts w:hAnsi="宋体"/>
          <w:color w:val="auto"/>
          <w:sz w:val="24"/>
          <w:szCs w:val="24"/>
          <w:highlight w:val="none"/>
        </w:rPr>
      </w:pPr>
      <w:r>
        <w:rPr>
          <w:rFonts w:hint="eastAsia" w:hAnsi="宋体"/>
          <w:color w:val="auto"/>
          <w:sz w:val="24"/>
          <w:szCs w:val="24"/>
          <w:highlight w:val="none"/>
        </w:rPr>
        <w:t xml:space="preserve">    15）发包人或监理有权对承包人的违章现象提出整改，承包人接书面整改通知后24小时内未采取相应整改措施，每次扣款1000元。累计3次罚款后，每次扣款5000元。</w:t>
      </w:r>
    </w:p>
    <w:p w14:paraId="1C329C0D">
      <w:pPr>
        <w:spacing w:line="360" w:lineRule="auto"/>
        <w:rPr>
          <w:rFonts w:hAnsi="宋体"/>
          <w:color w:val="auto"/>
          <w:sz w:val="24"/>
          <w:szCs w:val="24"/>
          <w:highlight w:val="none"/>
        </w:rPr>
      </w:pPr>
      <w:r>
        <w:rPr>
          <w:rFonts w:hint="eastAsia" w:hAnsi="宋体"/>
          <w:color w:val="auto"/>
          <w:sz w:val="24"/>
          <w:szCs w:val="24"/>
          <w:highlight w:val="none"/>
        </w:rPr>
        <w:t xml:space="preserve">    16）每月承包人必须组织进行一次施工安全检查及安全教育,3天内以书面形式向监理汇报。</w:t>
      </w:r>
    </w:p>
    <w:p w14:paraId="4A68915D">
      <w:pPr>
        <w:spacing w:line="360" w:lineRule="auto"/>
        <w:ind w:firstLine="570"/>
        <w:jc w:val="left"/>
        <w:rPr>
          <w:rFonts w:hAnsi="宋体"/>
          <w:color w:val="auto"/>
          <w:sz w:val="24"/>
          <w:szCs w:val="24"/>
          <w:highlight w:val="none"/>
        </w:rPr>
      </w:pPr>
      <w:r>
        <w:rPr>
          <w:rFonts w:hint="eastAsia" w:hAnsi="宋体"/>
          <w:color w:val="auto"/>
          <w:sz w:val="24"/>
          <w:szCs w:val="24"/>
          <w:highlight w:val="none"/>
        </w:rPr>
        <w:t>违约责任：因安全生产保证措施不力，或违反安全生产制度、操作规程造成伤亡事故或环境事故，由乙方承担全部责任和经济损失。并且甲方有权追究由此给甲方造成的其他相关损失。本协议作为本工程承包合同的附件，与工程承包合同具有同等法律效力。经双方签署盖章后，立即生效。</w:t>
      </w:r>
    </w:p>
    <w:p w14:paraId="2D533E8B">
      <w:pPr>
        <w:spacing w:line="620" w:lineRule="exact"/>
        <w:ind w:left="5039" w:leftChars="228" w:hanging="4560" w:hangingChars="1900"/>
        <w:rPr>
          <w:rFonts w:hAnsi="宋体"/>
          <w:color w:val="auto"/>
          <w:sz w:val="24"/>
          <w:szCs w:val="24"/>
          <w:highlight w:val="none"/>
        </w:rPr>
      </w:pPr>
      <w:r>
        <w:rPr>
          <w:rFonts w:hint="eastAsia" w:hAnsi="宋体"/>
          <w:color w:val="auto"/>
          <w:sz w:val="24"/>
          <w:szCs w:val="24"/>
          <w:highlight w:val="none"/>
        </w:rPr>
        <w:t>发包人：（公章）                      承包人：（公章）</w:t>
      </w:r>
    </w:p>
    <w:p w14:paraId="01DC1A4D">
      <w:pPr>
        <w:spacing w:line="620" w:lineRule="exact"/>
        <w:ind w:left="5039" w:leftChars="228" w:hanging="4560" w:hangingChars="1900"/>
        <w:rPr>
          <w:rFonts w:hAnsi="宋体"/>
          <w:color w:val="auto"/>
          <w:sz w:val="24"/>
          <w:szCs w:val="24"/>
          <w:highlight w:val="none"/>
        </w:rPr>
      </w:pPr>
      <w:r>
        <w:rPr>
          <w:rFonts w:hint="eastAsia" w:hAnsi="宋体"/>
          <w:color w:val="auto"/>
          <w:sz w:val="24"/>
          <w:szCs w:val="24"/>
          <w:highlight w:val="none"/>
        </w:rPr>
        <w:t>住所：                                住所：</w:t>
      </w:r>
    </w:p>
    <w:p w14:paraId="05773A36">
      <w:pPr>
        <w:spacing w:line="620" w:lineRule="exact"/>
        <w:rPr>
          <w:rFonts w:hAnsi="宋体"/>
          <w:color w:val="auto"/>
          <w:sz w:val="24"/>
          <w:szCs w:val="24"/>
          <w:highlight w:val="none"/>
        </w:rPr>
      </w:pPr>
      <w:r>
        <w:rPr>
          <w:rFonts w:hint="eastAsia" w:hAnsi="宋体"/>
          <w:color w:val="auto"/>
          <w:sz w:val="24"/>
          <w:szCs w:val="24"/>
          <w:highlight w:val="none"/>
        </w:rPr>
        <w:t xml:space="preserve">   法定代表人：                       法定代表人：</w:t>
      </w:r>
    </w:p>
    <w:p w14:paraId="2F3A80B6">
      <w:pPr>
        <w:spacing w:line="620" w:lineRule="exact"/>
        <w:ind w:firstLine="600" w:firstLineChars="250"/>
        <w:rPr>
          <w:rFonts w:hAnsi="宋体"/>
          <w:color w:val="auto"/>
          <w:sz w:val="24"/>
          <w:szCs w:val="24"/>
          <w:highlight w:val="none"/>
        </w:rPr>
      </w:pPr>
      <w:r>
        <w:rPr>
          <w:rFonts w:hint="eastAsia" w:hAnsi="宋体"/>
          <w:color w:val="auto"/>
          <w:sz w:val="24"/>
          <w:szCs w:val="24"/>
          <w:highlight w:val="none"/>
        </w:rPr>
        <w:t>电话：                           电话：</w:t>
      </w:r>
    </w:p>
    <w:p w14:paraId="6C5EB734">
      <w:pPr>
        <w:rPr>
          <w:color w:val="auto"/>
          <w:highlight w:val="none"/>
        </w:rPr>
      </w:pPr>
      <w:r>
        <w:rPr>
          <w:rFonts w:hint="eastAsia" w:hAnsi="宋体"/>
          <w:color w:val="auto"/>
          <w:sz w:val="24"/>
          <w:szCs w:val="24"/>
          <w:highlight w:val="none"/>
        </w:rPr>
        <w:t xml:space="preserve">     签订时间：</w:t>
      </w:r>
    </w:p>
    <w:p w14:paraId="18A020CF">
      <w:pPr>
        <w:keepNext w:val="0"/>
        <w:keepLines w:val="0"/>
        <w:pageBreakBefore w:val="0"/>
        <w:widowControl/>
        <w:suppressLineNumbers w:val="0"/>
        <w:kinsoku/>
        <w:overflowPunct/>
        <w:topLinePunct/>
        <w:bidi w:val="0"/>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p>
    <w:p w14:paraId="348888C5">
      <w:pPr>
        <w:spacing w:line="360" w:lineRule="auto"/>
        <w:ind w:left="-420" w:leftChars="-200" w:right="-420" w:rightChars="-200" w:firstLine="480" w:firstLineChars="200"/>
        <w:jc w:val="center"/>
        <w:outlineLvl w:val="0"/>
        <w:rPr>
          <w:rFonts w:ascii="宋体" w:hAnsi="宋体" w:cs="宋体"/>
          <w:color w:val="auto"/>
          <w:sz w:val="24"/>
          <w:highlight w:val="none"/>
        </w:rPr>
      </w:pPr>
    </w:p>
    <w:p w14:paraId="1B0BE4B7">
      <w:pPr>
        <w:spacing w:line="360" w:lineRule="auto"/>
        <w:ind w:left="-420" w:leftChars="-200" w:right="-420" w:rightChars="-200" w:firstLine="480" w:firstLineChars="200"/>
        <w:jc w:val="center"/>
        <w:outlineLvl w:val="0"/>
        <w:rPr>
          <w:rFonts w:ascii="宋体" w:hAnsi="宋体" w:cs="宋体"/>
          <w:color w:val="auto"/>
          <w:sz w:val="24"/>
          <w:highlight w:val="none"/>
        </w:rPr>
        <w:sectPr>
          <w:headerReference r:id="rId8" w:type="first"/>
          <w:footerReference r:id="rId10" w:type="first"/>
          <w:footerReference r:id="rId9" w:type="default"/>
          <w:pgSz w:w="11906" w:h="16838"/>
          <w:pgMar w:top="1440" w:right="1080" w:bottom="1440" w:left="1080" w:header="851" w:footer="992" w:gutter="0"/>
          <w:cols w:space="720" w:num="1"/>
          <w:titlePg/>
          <w:docGrid w:linePitch="312" w:charSpace="0"/>
        </w:sectPr>
      </w:pPr>
    </w:p>
    <w:p w14:paraId="0A4CC732">
      <w:pPr>
        <w:snapToGrid w:val="0"/>
        <w:spacing w:line="360" w:lineRule="auto"/>
        <w:jc w:val="center"/>
        <w:outlineLvl w:val="0"/>
        <w:rPr>
          <w:rFonts w:ascii="宋体" w:hAnsi="宋体" w:cs="宋体"/>
          <w:b/>
          <w:color w:val="auto"/>
          <w:sz w:val="36"/>
          <w:szCs w:val="20"/>
          <w:highlight w:val="none"/>
        </w:rPr>
      </w:pPr>
      <w:r>
        <w:rPr>
          <w:rFonts w:hint="eastAsia" w:ascii="宋体" w:hAnsi="宋体" w:cs="宋体"/>
          <w:b/>
          <w:color w:val="auto"/>
          <w:sz w:val="36"/>
          <w:szCs w:val="20"/>
          <w:highlight w:val="none"/>
        </w:rPr>
        <w:t>第六部分</w:t>
      </w:r>
      <w:bookmarkEnd w:id="397"/>
      <w:r>
        <w:rPr>
          <w:rFonts w:hint="eastAsia" w:ascii="宋体" w:hAnsi="宋体" w:cs="宋体"/>
          <w:b/>
          <w:color w:val="auto"/>
          <w:sz w:val="36"/>
          <w:szCs w:val="20"/>
          <w:highlight w:val="none"/>
        </w:rPr>
        <w:t xml:space="preserve"> </w:t>
      </w:r>
      <w:bookmarkEnd w:id="398"/>
      <w:r>
        <w:rPr>
          <w:rFonts w:hint="eastAsia" w:ascii="宋体" w:hAnsi="宋体" w:cs="宋体"/>
          <w:b/>
          <w:color w:val="auto"/>
          <w:sz w:val="36"/>
          <w:szCs w:val="20"/>
          <w:highlight w:val="none"/>
        </w:rPr>
        <w:t>应提交的有关格式范例</w:t>
      </w:r>
    </w:p>
    <w:p w14:paraId="3B7E1951">
      <w:pPr>
        <w:spacing w:line="360" w:lineRule="auto"/>
        <w:jc w:val="center"/>
        <w:outlineLvl w:val="0"/>
        <w:rPr>
          <w:rFonts w:ascii="宋体" w:hAnsi="宋体" w:cs="宋体"/>
          <w:b/>
          <w:color w:val="auto"/>
          <w:kern w:val="0"/>
          <w:sz w:val="36"/>
          <w:szCs w:val="36"/>
          <w:highlight w:val="none"/>
        </w:rPr>
      </w:pPr>
    </w:p>
    <w:p w14:paraId="7E83111C">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资格文件部分</w:t>
      </w:r>
    </w:p>
    <w:p w14:paraId="7A498FA2">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目录</w:t>
      </w:r>
    </w:p>
    <w:p w14:paraId="70D4978E">
      <w:pPr>
        <w:spacing w:line="360" w:lineRule="auto"/>
        <w:jc w:val="center"/>
        <w:outlineLvl w:val="0"/>
        <w:rPr>
          <w:rFonts w:ascii="宋体" w:hAnsi="宋体" w:cs="宋体"/>
          <w:b/>
          <w:color w:val="auto"/>
          <w:kern w:val="0"/>
          <w:sz w:val="36"/>
          <w:szCs w:val="36"/>
          <w:highlight w:val="none"/>
        </w:rPr>
      </w:pPr>
    </w:p>
    <w:p w14:paraId="1129372F">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（1）符合参加政府采购活动应当具备的一般条件的承诺函……………（页码）</w:t>
      </w:r>
    </w:p>
    <w:p w14:paraId="0C3F9264">
      <w:pPr>
        <w:snapToGrid w:val="0"/>
        <w:spacing w:line="360" w:lineRule="auto"/>
        <w:rPr>
          <w:rFonts w:ascii="宋体" w:hAnsi="宋体" w:cs="宋体"/>
          <w:color w:val="auto"/>
          <w:sz w:val="24"/>
          <w:highlight w:val="none"/>
        </w:rPr>
      </w:pPr>
      <w:r>
        <w:rPr>
          <w:rFonts w:hint="eastAsia" w:ascii="宋体" w:hAnsi="宋体" w:cs="宋体"/>
          <w:snapToGrid w:val="0"/>
          <w:color w:val="auto"/>
          <w:kern w:val="28"/>
          <w:sz w:val="24"/>
          <w:szCs w:val="20"/>
          <w:highlight w:val="none"/>
        </w:rPr>
        <w:t>（2）联合协议</w:t>
      </w:r>
      <w:r>
        <w:rPr>
          <w:rFonts w:hint="eastAsia" w:ascii="宋体" w:hAnsi="宋体" w:cs="宋体"/>
          <w:color w:val="auto"/>
          <w:sz w:val="24"/>
          <w:highlight w:val="none"/>
        </w:rPr>
        <w:t>………………………………………………………………（页码）</w:t>
      </w:r>
    </w:p>
    <w:p w14:paraId="68F8C85F">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）落实政府采购政策需满足的资格要求………………………………（页码）</w:t>
      </w:r>
    </w:p>
    <w:p w14:paraId="52E9E03D">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）本项目的特定资格要求………………………………………………（页码）</w:t>
      </w:r>
    </w:p>
    <w:p w14:paraId="6827C01B">
      <w:pPr>
        <w:snapToGrid w:val="0"/>
        <w:spacing w:line="360" w:lineRule="auto"/>
        <w:ind w:firstLine="480" w:firstLineChars="200"/>
        <w:rPr>
          <w:rFonts w:ascii="宋体" w:hAnsi="宋体" w:cs="宋体"/>
          <w:color w:val="auto"/>
          <w:sz w:val="24"/>
          <w:highlight w:val="none"/>
        </w:rPr>
      </w:pPr>
    </w:p>
    <w:p w14:paraId="337068AB">
      <w:pPr>
        <w:spacing w:line="360" w:lineRule="auto"/>
        <w:ind w:firstLine="480" w:firstLineChars="200"/>
        <w:rPr>
          <w:rFonts w:ascii="宋体" w:hAnsi="宋体" w:cs="宋体"/>
          <w:color w:val="auto"/>
          <w:sz w:val="24"/>
          <w:highlight w:val="none"/>
        </w:rPr>
      </w:pPr>
    </w:p>
    <w:p w14:paraId="14B6E639">
      <w:pPr>
        <w:snapToGrid w:val="0"/>
        <w:spacing w:line="360" w:lineRule="auto"/>
        <w:ind w:right="480"/>
        <w:jc w:val="center"/>
        <w:rPr>
          <w:rFonts w:ascii="宋体" w:hAnsi="宋体" w:cs="宋体"/>
          <w:b/>
          <w:color w:val="auto"/>
          <w:kern w:val="0"/>
          <w:sz w:val="32"/>
          <w:szCs w:val="32"/>
          <w:highlight w:val="none"/>
        </w:rPr>
      </w:pPr>
      <w:r>
        <w:rPr>
          <w:rFonts w:hint="eastAsia" w:ascii="宋体" w:hAnsi="宋体" w:cs="宋体"/>
          <w:color w:val="auto"/>
          <w:kern w:val="0"/>
          <w:sz w:val="24"/>
          <w:highlight w:val="none"/>
        </w:rPr>
        <w:br w:type="page"/>
      </w:r>
      <w:r>
        <w:rPr>
          <w:rFonts w:hint="eastAsia" w:ascii="宋体" w:hAnsi="宋体" w:cs="宋体"/>
          <w:b/>
          <w:color w:val="auto"/>
          <w:kern w:val="0"/>
          <w:sz w:val="32"/>
          <w:szCs w:val="32"/>
          <w:highlight w:val="none"/>
        </w:rPr>
        <w:t xml:space="preserve">  一、 符合参加政府采购活动应当具备的一般条件的承诺函</w:t>
      </w:r>
    </w:p>
    <w:p w14:paraId="44DE2B54">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（采购人）、（采购代理机构）：</w:t>
      </w:r>
    </w:p>
    <w:p w14:paraId="47197AD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我方参与（项目名称）【项目编号：（采购编号）】政府采购活动，郑重承诺：</w:t>
      </w:r>
    </w:p>
    <w:p w14:paraId="2CCB542B">
      <w:pPr>
        <w:snapToGrid w:val="0"/>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（一）具备《中华人民共和国政府采购法》第二十二条第一款规定的条件：</w:t>
      </w:r>
    </w:p>
    <w:p w14:paraId="16F18AF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1、具有独立承担民事责任的能力；</w:t>
      </w:r>
    </w:p>
    <w:p w14:paraId="31F47263">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2、具有良好的商业信誉和健全的财务会计制度； </w:t>
      </w:r>
    </w:p>
    <w:p w14:paraId="34ABDD0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3、具有履行合同所必需的设备和专业技术能力；</w:t>
      </w:r>
    </w:p>
    <w:p w14:paraId="3261B86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4、有依法缴纳税收和社会保障资金的良好记录；</w:t>
      </w:r>
    </w:p>
    <w:p w14:paraId="11933FB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5、参加政府采购活动前三年内，在经营活动中没有重大违法记录；</w:t>
      </w:r>
    </w:p>
    <w:p w14:paraId="28F9620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6、具有法律、行政法规规定的其他条件。</w:t>
      </w:r>
    </w:p>
    <w:p w14:paraId="0E8D90D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（二）未被信用中国（www.creditchina.gov.cn)、中国政府采购网（www.ccgp.gov.cn）列入失信被执行人、重大税收违法案件当事人名单、政府采购严重违法失信行为记录名单。</w:t>
      </w:r>
    </w:p>
    <w:p w14:paraId="7296B4F0">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（三）不存在以下情况：</w:t>
      </w:r>
    </w:p>
    <w:p w14:paraId="599C2613">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1、单位负责人为同一人或者存在直接控股、管理关系的不同供应商参加同一合同项下的政府采购活动的；</w:t>
      </w:r>
    </w:p>
    <w:p w14:paraId="424AEAF3">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2、为采购项目提供整体设计、规范编制或者项目管理、监理、检测等服务后再参加该采购项目的其他采购活动的。</w:t>
      </w:r>
    </w:p>
    <w:p w14:paraId="6DFC179E">
      <w:pPr>
        <w:snapToGrid w:val="0"/>
        <w:spacing w:line="360" w:lineRule="auto"/>
        <w:ind w:firstLine="5520" w:firstLineChars="2300"/>
        <w:rPr>
          <w:rFonts w:ascii="宋体" w:hAnsi="宋体" w:cs="宋体"/>
          <w:color w:val="auto"/>
          <w:kern w:val="0"/>
          <w:sz w:val="24"/>
          <w:highlight w:val="none"/>
        </w:rPr>
      </w:pPr>
      <w:r>
        <w:rPr>
          <w:rFonts w:hint="eastAsia" w:ascii="宋体" w:hAnsi="宋体" w:cs="宋体"/>
          <w:color w:val="auto"/>
          <w:kern w:val="0"/>
          <w:sz w:val="24"/>
          <w:highlight w:val="none"/>
          <w:lang w:val="zh-CN"/>
        </w:rPr>
        <w:t>供应商名称(电子签名)：</w:t>
      </w:r>
    </w:p>
    <w:p w14:paraId="3CD0643F">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 xml:space="preserve">：  年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w:t>
      </w:r>
    </w:p>
    <w:p w14:paraId="6525FE64">
      <w:pPr>
        <w:snapToGrid w:val="0"/>
        <w:spacing w:line="360" w:lineRule="auto"/>
        <w:ind w:right="480"/>
        <w:jc w:val="center"/>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6007BDDB">
      <w:pPr>
        <w:widowControl/>
        <w:spacing w:line="360" w:lineRule="auto"/>
        <w:ind w:firstLine="643" w:firstLineChars="20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二、联合协议（如果有）</w:t>
      </w:r>
    </w:p>
    <w:p w14:paraId="42A8A8DD">
      <w:pPr>
        <w:widowControl/>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[以联合体形式参与的，提供联合协议（附件5）；本项目不接受联合体或者供应商不以联合体形式投参与的，则不需要提供]</w:t>
      </w:r>
    </w:p>
    <w:p w14:paraId="3C6DFD96">
      <w:pPr>
        <w:snapToGrid w:val="0"/>
        <w:spacing w:line="360" w:lineRule="auto"/>
        <w:ind w:right="480"/>
        <w:jc w:val="center"/>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57CB17D0">
      <w:pPr>
        <w:snapToGrid w:val="0"/>
        <w:spacing w:line="360" w:lineRule="auto"/>
        <w:ind w:right="48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三、落实政府采购政策需满足的资格要求</w:t>
      </w:r>
    </w:p>
    <w:p w14:paraId="36F06CD1">
      <w:pPr>
        <w:spacing w:line="360" w:lineRule="auto"/>
        <w:rPr>
          <w:rFonts w:ascii="宋体" w:hAnsi="宋体" w:cs="宋体"/>
          <w:color w:val="auto"/>
          <w:sz w:val="24"/>
          <w:highlight w:val="none"/>
        </w:rPr>
      </w:pPr>
      <w:r>
        <w:rPr>
          <w:rFonts w:hint="eastAsia" w:ascii="宋体" w:hAnsi="宋体" w:cs="宋体"/>
          <w:color w:val="auto"/>
          <w:sz w:val="24"/>
          <w:highlight w:val="none"/>
        </w:rPr>
        <w:t>（根据竞争性磋商公告落实政府采购政策需满足的资格要求选择提供相应的材料；未要求的，无需提供）</w:t>
      </w:r>
    </w:p>
    <w:p w14:paraId="75771EE3">
      <w:pPr>
        <w:snapToGrid w:val="0"/>
        <w:spacing w:before="50" w:after="50" w:line="360" w:lineRule="auto"/>
        <w:ind w:firstLine="472" w:firstLineChars="196"/>
        <w:jc w:val="left"/>
        <w:rPr>
          <w:rFonts w:ascii="宋体" w:hAnsi="宋体" w:cs="宋体"/>
          <w:color w:val="auto"/>
          <w:sz w:val="24"/>
          <w:highlight w:val="none"/>
        </w:rPr>
      </w:pPr>
      <w:r>
        <w:rPr>
          <w:rFonts w:hint="eastAsia" w:ascii="宋体" w:hAnsi="宋体" w:cs="宋体"/>
          <w:b/>
          <w:color w:val="auto"/>
          <w:sz w:val="24"/>
          <w:highlight w:val="none"/>
        </w:rPr>
        <w:t>A</w:t>
      </w:r>
      <w:r>
        <w:rPr>
          <w:rFonts w:hint="eastAsia" w:ascii="宋体" w:hAnsi="宋体" w:cs="宋体"/>
          <w:color w:val="auto"/>
          <w:sz w:val="24"/>
          <w:highlight w:val="none"/>
        </w:rPr>
        <w:t>.专门面向中小企业，工程全部由符合政策要求的中小企业（或小微企业）承建的，提供相应的中小企业声明函（附件</w:t>
      </w:r>
      <w:r>
        <w:rPr>
          <w:rFonts w:ascii="宋体" w:hAnsi="宋体" w:cs="宋体"/>
          <w:color w:val="auto"/>
          <w:sz w:val="24"/>
          <w:highlight w:val="none"/>
        </w:rPr>
        <w:t>7</w:t>
      </w:r>
      <w:r>
        <w:rPr>
          <w:rFonts w:hint="eastAsia" w:ascii="宋体" w:hAnsi="宋体" w:cs="宋体"/>
          <w:color w:val="auto"/>
          <w:sz w:val="24"/>
          <w:highlight w:val="none"/>
        </w:rPr>
        <w:t xml:space="preserve">）。 </w:t>
      </w:r>
    </w:p>
    <w:p w14:paraId="0E98718B">
      <w:pPr>
        <w:widowControl/>
        <w:spacing w:line="360" w:lineRule="auto"/>
        <w:ind w:firstLine="480"/>
        <w:jc w:val="left"/>
        <w:rPr>
          <w:rFonts w:ascii="宋体" w:hAnsi="宋体" w:cs="宋体"/>
          <w:color w:val="auto"/>
          <w:sz w:val="24"/>
          <w:highlight w:val="none"/>
        </w:rPr>
      </w:pPr>
    </w:p>
    <w:p w14:paraId="7255E1A2">
      <w:pPr>
        <w:widowControl/>
        <w:spacing w:line="360" w:lineRule="auto"/>
        <w:ind w:firstLine="472" w:firstLineChars="196"/>
        <w:jc w:val="left"/>
        <w:rPr>
          <w:rFonts w:ascii="宋体" w:hAnsi="宋体" w:cs="宋体"/>
          <w:color w:val="auto"/>
          <w:sz w:val="24"/>
          <w:highlight w:val="none"/>
        </w:rPr>
      </w:pPr>
      <w:r>
        <w:rPr>
          <w:rFonts w:hint="eastAsia" w:ascii="宋体" w:hAnsi="宋体" w:cs="宋体"/>
          <w:b/>
          <w:color w:val="auto"/>
          <w:sz w:val="24"/>
          <w:highlight w:val="none"/>
        </w:rPr>
        <w:t>B.</w:t>
      </w:r>
      <w:r>
        <w:rPr>
          <w:rFonts w:hint="eastAsia" w:ascii="宋体" w:hAnsi="宋体" w:cs="宋体"/>
          <w:color w:val="auto"/>
          <w:sz w:val="24"/>
          <w:highlight w:val="none"/>
        </w:rPr>
        <w:t>要求以联合体形式参加的，提供联合协议（附件</w:t>
      </w:r>
      <w:r>
        <w:rPr>
          <w:rFonts w:ascii="宋体" w:hAnsi="宋体" w:cs="宋体"/>
          <w:color w:val="auto"/>
          <w:sz w:val="24"/>
          <w:highlight w:val="none"/>
        </w:rPr>
        <w:t>5</w:t>
      </w:r>
      <w:r>
        <w:rPr>
          <w:rFonts w:hint="eastAsia" w:ascii="宋体" w:hAnsi="宋体" w:cs="宋体"/>
          <w:color w:val="auto"/>
          <w:sz w:val="24"/>
          <w:highlight w:val="none"/>
        </w:rPr>
        <w:t>）和中小企业声明函（附件</w:t>
      </w:r>
      <w:r>
        <w:rPr>
          <w:rFonts w:ascii="宋体" w:hAnsi="宋体" w:cs="宋体"/>
          <w:color w:val="auto"/>
          <w:sz w:val="24"/>
          <w:highlight w:val="none"/>
        </w:rPr>
        <w:t>7</w:t>
      </w:r>
      <w:r>
        <w:rPr>
          <w:rFonts w:hint="eastAsia" w:ascii="宋体" w:hAnsi="宋体" w:cs="宋体"/>
          <w:color w:val="auto"/>
          <w:sz w:val="24"/>
          <w:highlight w:val="none"/>
        </w:rPr>
        <w:t>），联合协议中中小企业合同金额应当达到竞争性磋商公告载明的比例；如果供应商本身提供所有标的均由中小企业承建的，</w:t>
      </w:r>
      <w:r>
        <w:rPr>
          <w:rFonts w:hint="eastAsia" w:ascii="宋体" w:hAnsi="宋体" w:cs="宋体"/>
          <w:color w:val="auto"/>
          <w:spacing w:val="8"/>
          <w:kern w:val="0"/>
          <w:sz w:val="24"/>
          <w:highlight w:val="none"/>
        </w:rPr>
        <w:t>并相应达到了前述比例要求，</w:t>
      </w:r>
      <w:r>
        <w:rPr>
          <w:rFonts w:hint="eastAsia" w:ascii="宋体" w:hAnsi="宋体" w:cs="宋体"/>
          <w:color w:val="auto"/>
          <w:sz w:val="24"/>
          <w:highlight w:val="none"/>
        </w:rPr>
        <w:t>视同符合了资格条件，无需再与其他中小企业组成联合体参加政府采购活动，无需提供联合协议。</w:t>
      </w:r>
    </w:p>
    <w:p w14:paraId="0B3148CB">
      <w:pPr>
        <w:snapToGrid w:val="0"/>
        <w:spacing w:before="50" w:after="50" w:line="360" w:lineRule="auto"/>
        <w:jc w:val="center"/>
        <w:rPr>
          <w:rFonts w:ascii="宋体" w:hAnsi="宋体" w:cs="宋体"/>
          <w:color w:val="auto"/>
          <w:sz w:val="24"/>
          <w:highlight w:val="none"/>
        </w:rPr>
      </w:pPr>
      <w:r>
        <w:rPr>
          <w:rFonts w:hint="eastAsia" w:ascii="宋体" w:hAnsi="宋体" w:cs="宋体"/>
          <w:b/>
          <w:color w:val="auto"/>
          <w:sz w:val="24"/>
          <w:highlight w:val="none"/>
        </w:rPr>
        <w:t xml:space="preserve">    </w:t>
      </w:r>
    </w:p>
    <w:p w14:paraId="6DD7201B">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C、</w:t>
      </w:r>
      <w:r>
        <w:rPr>
          <w:rFonts w:hint="eastAsia" w:ascii="宋体" w:hAnsi="宋体" w:cs="宋体"/>
          <w:color w:val="auto"/>
          <w:sz w:val="24"/>
          <w:highlight w:val="none"/>
        </w:rPr>
        <w:t>要求合同分包的，提供分包意向协议（附件6）和中小企业声明函（附件</w:t>
      </w:r>
      <w:r>
        <w:rPr>
          <w:rFonts w:ascii="宋体" w:hAnsi="宋体" w:cs="宋体"/>
          <w:color w:val="auto"/>
          <w:sz w:val="24"/>
          <w:highlight w:val="none"/>
        </w:rPr>
        <w:t>7</w:t>
      </w:r>
      <w:r>
        <w:rPr>
          <w:rFonts w:hint="eastAsia" w:ascii="宋体" w:hAnsi="宋体" w:cs="宋体"/>
          <w:color w:val="auto"/>
          <w:sz w:val="24"/>
          <w:highlight w:val="none"/>
        </w:rPr>
        <w:t>），分包意向协议中中小企业合同金额应当达到竞争性磋商公告载明的比例；如果供应商本身提供所有标的均由中小企业承建，</w:t>
      </w:r>
      <w:r>
        <w:rPr>
          <w:rFonts w:hint="eastAsia" w:ascii="宋体" w:hAnsi="宋体" w:cs="宋体"/>
          <w:color w:val="auto"/>
          <w:spacing w:val="8"/>
          <w:kern w:val="0"/>
          <w:sz w:val="24"/>
          <w:highlight w:val="none"/>
        </w:rPr>
        <w:t>并相应达到了前述比例要求，</w:t>
      </w:r>
      <w:r>
        <w:rPr>
          <w:rFonts w:hint="eastAsia" w:ascii="宋体" w:hAnsi="宋体" w:cs="宋体"/>
          <w:color w:val="auto"/>
          <w:sz w:val="24"/>
          <w:highlight w:val="none"/>
        </w:rPr>
        <w:t>视同符合了资格条件，无需再向中小企业分包，无需提供分包意向协议。</w:t>
      </w:r>
    </w:p>
    <w:p w14:paraId="56DE406F">
      <w:pPr>
        <w:widowControl/>
        <w:spacing w:line="360" w:lineRule="auto"/>
        <w:ind w:left="150"/>
        <w:jc w:val="center"/>
        <w:rPr>
          <w:rFonts w:ascii="宋体" w:hAnsi="宋体" w:cs="宋体"/>
          <w:b/>
          <w:color w:val="auto"/>
          <w:kern w:val="0"/>
          <w:sz w:val="32"/>
          <w:szCs w:val="32"/>
          <w:highlight w:val="none"/>
        </w:rPr>
      </w:pPr>
    </w:p>
    <w:p w14:paraId="146A3814">
      <w:pPr>
        <w:rPr>
          <w:rFonts w:hint="eastAsia" w:ascii="宋体" w:hAnsi="宋体" w:cs="宋体"/>
          <w:b/>
          <w:color w:val="auto"/>
          <w:kern w:val="0"/>
          <w:sz w:val="32"/>
          <w:szCs w:val="32"/>
          <w:highlight w:val="none"/>
        </w:rPr>
      </w:pPr>
      <w:r>
        <w:rPr>
          <w:rFonts w:hint="eastAsia" w:ascii="宋体" w:hAnsi="宋体" w:cs="宋体"/>
          <w:b/>
          <w:color w:val="auto"/>
          <w:kern w:val="0"/>
          <w:sz w:val="32"/>
          <w:szCs w:val="32"/>
          <w:highlight w:val="none"/>
        </w:rPr>
        <w:br w:type="page"/>
      </w:r>
    </w:p>
    <w:p w14:paraId="4E002520">
      <w:pPr>
        <w:widowControl/>
        <w:spacing w:line="360" w:lineRule="auto"/>
        <w:ind w:left="15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四、本项目的特定资格要求</w:t>
      </w:r>
    </w:p>
    <w:p w14:paraId="683A862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（根据竞争性磋商公告本项目的特定资格要求提供相应的材料；未要求的，无需提供）</w:t>
      </w:r>
    </w:p>
    <w:p w14:paraId="4DEF2DC9">
      <w:pPr>
        <w:rPr>
          <w:rFonts w:ascii="宋体" w:hAnsi="宋体" w:cs="宋体"/>
          <w:color w:val="auto"/>
          <w:highlight w:val="none"/>
        </w:rPr>
      </w:pPr>
    </w:p>
    <w:p w14:paraId="65EFE460">
      <w:pPr>
        <w:snapToGrid w:val="0"/>
        <w:spacing w:line="360" w:lineRule="auto"/>
        <w:ind w:right="480"/>
        <w:jc w:val="center"/>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4E6CB013">
      <w:pPr>
        <w:pStyle w:val="3"/>
        <w:rPr>
          <w:rFonts w:ascii="宋体" w:hAnsi="宋体" w:cs="宋体"/>
          <w:b w:val="0"/>
          <w:color w:val="auto"/>
          <w:kern w:val="0"/>
          <w:sz w:val="36"/>
          <w:szCs w:val="36"/>
          <w:highlight w:val="none"/>
        </w:rPr>
      </w:pPr>
    </w:p>
    <w:p w14:paraId="52326ECD">
      <w:pPr>
        <w:spacing w:line="360" w:lineRule="auto"/>
        <w:ind w:right="420" w:firstLine="3614" w:firstLineChars="100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商务技术文件部分</w:t>
      </w:r>
    </w:p>
    <w:p w14:paraId="424C417F">
      <w:pPr>
        <w:spacing w:line="360" w:lineRule="auto"/>
        <w:jc w:val="center"/>
        <w:outlineLvl w:val="0"/>
        <w:rPr>
          <w:rFonts w:ascii="宋体" w:hAnsi="宋体" w:cs="宋体"/>
          <w:b/>
          <w:color w:val="auto"/>
          <w:kern w:val="0"/>
          <w:sz w:val="28"/>
          <w:szCs w:val="28"/>
          <w:highlight w:val="none"/>
        </w:rPr>
      </w:pPr>
      <w:r>
        <w:rPr>
          <w:rFonts w:hint="eastAsia" w:ascii="宋体" w:hAnsi="宋体" w:cs="宋体"/>
          <w:b/>
          <w:color w:val="auto"/>
          <w:kern w:val="0"/>
          <w:sz w:val="28"/>
          <w:szCs w:val="28"/>
          <w:highlight w:val="none"/>
        </w:rPr>
        <w:t>目录</w:t>
      </w:r>
    </w:p>
    <w:p w14:paraId="3365A3B2">
      <w:pPr>
        <w:numPr>
          <w:ilvl w:val="255"/>
          <w:numId w:val="0"/>
        </w:num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响应函……………………………………………………………………………（页码）</w:t>
      </w:r>
    </w:p>
    <w:p w14:paraId="5AD3A2B4">
      <w:pPr>
        <w:numPr>
          <w:ilvl w:val="255"/>
          <w:numId w:val="0"/>
        </w:num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2）授权委托书或法定代表人（单位负责人、自然人本人）身份证明</w:t>
      </w:r>
      <w:r>
        <w:rPr>
          <w:rFonts w:hint="eastAsia" w:ascii="宋体" w:hAnsi="宋体" w:cs="宋体"/>
          <w:color w:val="auto"/>
          <w:sz w:val="24"/>
          <w:highlight w:val="none"/>
        </w:rPr>
        <w:t>……………（页码）</w:t>
      </w:r>
    </w:p>
    <w:p w14:paraId="7B85ED86">
      <w:pPr>
        <w:snapToGrid w:val="0"/>
        <w:spacing w:line="360" w:lineRule="auto"/>
        <w:ind w:left="479" w:leftChars="228"/>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）分包意向协议………………………………………………………………………（页码）</w:t>
      </w:r>
    </w:p>
    <w:p w14:paraId="632BF32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）符合性审查资料……………………………………………………………………（页码）</w:t>
      </w:r>
    </w:p>
    <w:p w14:paraId="244834ED">
      <w:pPr>
        <w:snapToGrid w:val="0"/>
        <w:spacing w:line="360" w:lineRule="auto"/>
        <w:ind w:left="479" w:leftChars="228"/>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）评审标准相应的商务技术资料……………………………………………………（页码）（</w:t>
      </w:r>
      <w:r>
        <w:rPr>
          <w:rFonts w:ascii="宋体" w:hAnsi="宋体" w:cs="宋体"/>
          <w:color w:val="auto"/>
          <w:sz w:val="24"/>
          <w:highlight w:val="none"/>
        </w:rPr>
        <w:t>6</w:t>
      </w:r>
      <w:r>
        <w:rPr>
          <w:rFonts w:hint="eastAsia" w:ascii="宋体" w:hAnsi="宋体" w:cs="宋体"/>
          <w:color w:val="auto"/>
          <w:sz w:val="24"/>
          <w:highlight w:val="none"/>
        </w:rPr>
        <w:t>）商务技术偏离表……………………………………………………………………（页码）</w:t>
      </w:r>
    </w:p>
    <w:p w14:paraId="61DFB8F8">
      <w:pPr>
        <w:snapToGrid w:val="0"/>
        <w:spacing w:line="360" w:lineRule="auto"/>
        <w:ind w:left="479" w:leftChars="228"/>
        <w:rPr>
          <w:rFonts w:ascii="宋体" w:hAnsi="宋体" w:cs="宋体"/>
          <w:color w:val="auto"/>
          <w:sz w:val="24"/>
          <w:highlight w:val="none"/>
        </w:rPr>
      </w:pPr>
      <w:r>
        <w:rPr>
          <w:rFonts w:hint="eastAsia" w:ascii="宋体" w:hAnsi="宋体" w:cs="宋体"/>
          <w:color w:val="auto"/>
          <w:sz w:val="24"/>
          <w:highlight w:val="none"/>
          <w:lang w:val="zh-CN"/>
        </w:rPr>
        <w:t>（</w:t>
      </w:r>
      <w:r>
        <w:rPr>
          <w:rFonts w:ascii="宋体" w:hAnsi="宋体" w:cs="宋体"/>
          <w:color w:val="auto"/>
          <w:sz w:val="24"/>
          <w:highlight w:val="none"/>
        </w:rPr>
        <w:t>7</w:t>
      </w:r>
      <w:r>
        <w:rPr>
          <w:rFonts w:hint="eastAsia" w:ascii="宋体" w:hAnsi="宋体" w:cs="宋体"/>
          <w:color w:val="auto"/>
          <w:sz w:val="24"/>
          <w:highlight w:val="none"/>
          <w:lang w:val="zh-CN"/>
        </w:rPr>
        <w:t>）政府采购供应商廉洁自律承诺书</w:t>
      </w:r>
      <w:r>
        <w:rPr>
          <w:rFonts w:hint="eastAsia" w:ascii="宋体" w:hAnsi="宋体" w:cs="宋体"/>
          <w:color w:val="auto"/>
          <w:sz w:val="24"/>
          <w:highlight w:val="none"/>
        </w:rPr>
        <w:t>…………………………………………………（页码）</w:t>
      </w:r>
    </w:p>
    <w:p w14:paraId="3BB45A7C">
      <w:pPr>
        <w:snapToGrid w:val="0"/>
        <w:spacing w:line="360" w:lineRule="auto"/>
        <w:jc w:val="center"/>
        <w:rPr>
          <w:rFonts w:ascii="宋体" w:hAnsi="宋体" w:cs="宋体"/>
          <w:b/>
          <w:color w:val="auto"/>
          <w:kern w:val="0"/>
          <w:sz w:val="24"/>
          <w:szCs w:val="32"/>
          <w:highlight w:val="none"/>
          <w:lang w:val="zh-CN"/>
        </w:rPr>
        <w:sectPr>
          <w:pgSz w:w="11906" w:h="16838"/>
          <w:pgMar w:top="1440" w:right="1080" w:bottom="1440" w:left="1080" w:header="851" w:footer="992" w:gutter="0"/>
          <w:cols w:space="720" w:num="1"/>
          <w:titlePg/>
          <w:docGrid w:linePitch="312" w:charSpace="0"/>
        </w:sectPr>
      </w:pPr>
    </w:p>
    <w:p w14:paraId="2D26CC3D">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一、响应函</w:t>
      </w:r>
    </w:p>
    <w:p w14:paraId="3A52A9A3">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（采购人）、（采购代理机构）：</w:t>
      </w:r>
    </w:p>
    <w:p w14:paraId="536F08BB">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我方参加你方组织的（项目名称）【项目编号：（采购编号）】采购的有关活动，并对此项目提交响应文件及报价。为此：</w:t>
      </w:r>
    </w:p>
    <w:p w14:paraId="76DB1608">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1、我方承诺响应文件有效期从提交响应文件的截止之日起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天（不少于90天）</w:t>
      </w:r>
      <w:r>
        <w:rPr>
          <w:rFonts w:hint="eastAsia" w:ascii="宋体" w:hAnsi="宋体" w:cs="宋体"/>
          <w:color w:val="auto"/>
          <w:highlight w:val="none"/>
        </w:rPr>
        <w:t>，</w:t>
      </w:r>
      <w:r>
        <w:rPr>
          <w:rFonts w:hint="eastAsia" w:ascii="宋体" w:hAnsi="宋体" w:cs="宋体"/>
          <w:color w:val="auto"/>
          <w:sz w:val="24"/>
          <w:highlight w:val="none"/>
        </w:rPr>
        <w:t>本响应文件在响应文件有效期满之前均具有约束力。</w:t>
      </w:r>
    </w:p>
    <w:p w14:paraId="6ABAF1BB">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2、我方的响应文件包括以下内容：</w:t>
      </w:r>
    </w:p>
    <w:p w14:paraId="52CE22E4">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2.1资格文件：</w:t>
      </w:r>
    </w:p>
    <w:p w14:paraId="327FF253">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2.1.1承诺函；</w:t>
      </w:r>
    </w:p>
    <w:p w14:paraId="78F38CE3">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2.1.2</w:t>
      </w:r>
      <w:r>
        <w:rPr>
          <w:rFonts w:hint="eastAsia" w:ascii="宋体" w:hAnsi="宋体" w:cs="宋体"/>
          <w:snapToGrid w:val="0"/>
          <w:color w:val="auto"/>
          <w:kern w:val="28"/>
          <w:sz w:val="24"/>
          <w:szCs w:val="20"/>
          <w:highlight w:val="none"/>
        </w:rPr>
        <w:t>联合协议（如果有)；</w:t>
      </w:r>
    </w:p>
    <w:p w14:paraId="6F1E9373">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ascii="宋体" w:hAnsi="宋体" w:cs="宋体"/>
          <w:color w:val="auto"/>
          <w:sz w:val="24"/>
          <w:highlight w:val="none"/>
        </w:rPr>
        <w:t>.1.3</w:t>
      </w:r>
      <w:r>
        <w:rPr>
          <w:rFonts w:hint="eastAsia" w:ascii="宋体" w:hAnsi="宋体" w:cs="宋体"/>
          <w:color w:val="auto"/>
          <w:sz w:val="24"/>
          <w:highlight w:val="none"/>
        </w:rPr>
        <w:t>落实政府采购政策需满足的资格要求（如果有）；</w:t>
      </w:r>
    </w:p>
    <w:p w14:paraId="15DFDBF4">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w:t>
      </w:r>
      <w:r>
        <w:rPr>
          <w:rFonts w:ascii="宋体" w:hAnsi="宋体" w:cs="宋体"/>
          <w:color w:val="auto"/>
          <w:sz w:val="24"/>
          <w:highlight w:val="none"/>
        </w:rPr>
        <w:t>4</w:t>
      </w:r>
      <w:r>
        <w:rPr>
          <w:rFonts w:hint="eastAsia" w:ascii="宋体" w:hAnsi="宋体" w:cs="宋体"/>
          <w:color w:val="auto"/>
          <w:sz w:val="24"/>
          <w:highlight w:val="none"/>
        </w:rPr>
        <w:t>本项目的特定资格要求（如果有）。</w:t>
      </w:r>
    </w:p>
    <w:p w14:paraId="4B5CE22A">
      <w:pPr>
        <w:snapToGrid w:val="0"/>
        <w:spacing w:line="360" w:lineRule="auto"/>
        <w:ind w:left="210" w:leftChars="100" w:firstLine="480" w:firstLineChars="200"/>
        <w:rPr>
          <w:rFonts w:ascii="宋体" w:hAnsi="宋体" w:cs="宋体"/>
          <w:color w:val="auto"/>
          <w:sz w:val="24"/>
          <w:highlight w:val="none"/>
          <w:lang w:val="zh-CN"/>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2</w:t>
      </w:r>
      <w:r>
        <w:rPr>
          <w:rFonts w:hint="eastAsia" w:ascii="宋体" w:hAnsi="宋体" w:cs="宋体"/>
          <w:color w:val="auto"/>
          <w:sz w:val="24"/>
          <w:highlight w:val="none"/>
          <w:lang w:val="zh-CN"/>
        </w:rPr>
        <w:t xml:space="preserve"> </w:t>
      </w:r>
      <w:r>
        <w:rPr>
          <w:rFonts w:hint="eastAsia" w:ascii="宋体" w:hAnsi="宋体" w:cs="宋体"/>
          <w:color w:val="auto"/>
          <w:sz w:val="24"/>
          <w:highlight w:val="none"/>
        </w:rPr>
        <w:t>商务技术</w:t>
      </w:r>
      <w:r>
        <w:rPr>
          <w:rFonts w:hint="eastAsia" w:ascii="宋体" w:hAnsi="宋体" w:cs="宋体"/>
          <w:color w:val="auto"/>
          <w:sz w:val="24"/>
          <w:highlight w:val="none"/>
          <w:lang w:val="zh-CN"/>
        </w:rPr>
        <w:t>文件：</w:t>
      </w:r>
    </w:p>
    <w:p w14:paraId="7A354C32">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2.2.1响应函；</w:t>
      </w:r>
      <w:r>
        <w:rPr>
          <w:rFonts w:hint="eastAsia" w:ascii="宋体" w:hAnsi="宋体" w:cs="宋体"/>
          <w:color w:val="auto"/>
          <w:sz w:val="24"/>
          <w:highlight w:val="none"/>
          <w:lang w:val="zh-CN"/>
        </w:rPr>
        <w:t xml:space="preserve"> </w:t>
      </w:r>
    </w:p>
    <w:p w14:paraId="59E73EAE">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2.2.2授权委托书或法定代表人（单位负责人）身份证明；</w:t>
      </w:r>
    </w:p>
    <w:p w14:paraId="61184137">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3</w:t>
      </w:r>
      <w:r>
        <w:rPr>
          <w:rFonts w:hint="eastAsia" w:ascii="宋体" w:hAnsi="宋体" w:cs="宋体"/>
          <w:color w:val="auto"/>
          <w:sz w:val="24"/>
          <w:highlight w:val="none"/>
        </w:rPr>
        <w:t>分包意向协议（如果有）；</w:t>
      </w:r>
    </w:p>
    <w:p w14:paraId="4E587843">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4</w:t>
      </w:r>
      <w:r>
        <w:rPr>
          <w:rFonts w:hint="eastAsia" w:ascii="宋体" w:hAnsi="宋体" w:cs="宋体"/>
          <w:color w:val="auto"/>
          <w:sz w:val="24"/>
          <w:highlight w:val="none"/>
        </w:rPr>
        <w:t>符合性审查资料；</w:t>
      </w:r>
    </w:p>
    <w:p w14:paraId="47153C91">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5</w:t>
      </w:r>
      <w:r>
        <w:rPr>
          <w:rFonts w:hint="eastAsia" w:ascii="宋体" w:hAnsi="宋体" w:cs="宋体"/>
          <w:color w:val="auto"/>
          <w:sz w:val="24"/>
          <w:highlight w:val="none"/>
        </w:rPr>
        <w:t>评审标准相应的商务技术资料；</w:t>
      </w:r>
    </w:p>
    <w:p w14:paraId="387CAD5A">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2.2.6商务技术偏离表；</w:t>
      </w:r>
    </w:p>
    <w:p w14:paraId="43BAB12F">
      <w:pPr>
        <w:snapToGrid w:val="0"/>
        <w:spacing w:line="360" w:lineRule="auto"/>
        <w:ind w:left="420" w:leftChars="200" w:firstLine="480" w:firstLineChars="200"/>
        <w:rPr>
          <w:rFonts w:ascii="宋体" w:hAnsi="宋体" w:cs="宋体"/>
          <w:color w:val="auto"/>
          <w:sz w:val="24"/>
          <w:highlight w:val="none"/>
          <w:lang w:val="zh-CN"/>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7</w:t>
      </w:r>
      <w:r>
        <w:rPr>
          <w:rFonts w:hint="eastAsia" w:ascii="宋体" w:hAnsi="宋体" w:cs="宋体"/>
          <w:color w:val="auto"/>
          <w:sz w:val="24"/>
          <w:highlight w:val="none"/>
          <w:lang w:val="zh-CN"/>
        </w:rPr>
        <w:t>政府采购供应商廉洁自律承诺书；</w:t>
      </w:r>
    </w:p>
    <w:p w14:paraId="3690FFB2">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3报价文件</w:t>
      </w:r>
    </w:p>
    <w:p w14:paraId="6FC95ED2">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2.3.1报价单；</w:t>
      </w:r>
    </w:p>
    <w:p w14:paraId="552F27C2">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2.3.2已标价工程量清单；</w:t>
      </w:r>
    </w:p>
    <w:p w14:paraId="4CA9F7F1">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2.3.3中小企业声明函（如果有）。</w:t>
      </w:r>
    </w:p>
    <w:p w14:paraId="57D15C0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3、我方承诺除商务技术偏离表列出的偏离外，我方响应采购文件的全部要求。</w:t>
      </w:r>
    </w:p>
    <w:p w14:paraId="3383C8D8">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4、如我方成交，我方承诺：</w:t>
      </w:r>
    </w:p>
    <w:p w14:paraId="1496E03E">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4.1在收到成交通知书后，在成交通知书规定的期限内与你方签订合同； </w:t>
      </w:r>
    </w:p>
    <w:p w14:paraId="6205A4F7">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4.2在签订合同时不向你方提出附加条件； </w:t>
      </w:r>
    </w:p>
    <w:p w14:paraId="2F09001B">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4.3按照采购文件要求提交履约保证金； </w:t>
      </w:r>
    </w:p>
    <w:p w14:paraId="3E416919">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4.4在合同约定的期限内完成合同规定的全部义务。 </w:t>
      </w:r>
    </w:p>
    <w:p w14:paraId="22A5C12D">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5、其他补充说明: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EF8FAED">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供应商名称（电子签名）：                          </w:t>
      </w:r>
    </w:p>
    <w:p w14:paraId="51893D3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3DE05959">
      <w:pPr>
        <w:snapToGrid w:val="0"/>
        <w:spacing w:line="360" w:lineRule="auto"/>
        <w:ind w:left="420" w:leftChars="200" w:firstLine="4200" w:firstLineChars="1750"/>
        <w:rPr>
          <w:rFonts w:ascii="宋体" w:hAnsi="宋体" w:cs="宋体"/>
          <w:color w:val="auto"/>
          <w:kern w:val="0"/>
          <w:sz w:val="24"/>
          <w:highlight w:val="none"/>
          <w:u w:val="single"/>
        </w:rPr>
      </w:pPr>
    </w:p>
    <w:p w14:paraId="37339A6C">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5226B2AC">
      <w:pPr>
        <w:snapToGrid w:val="0"/>
        <w:spacing w:line="360" w:lineRule="auto"/>
        <w:jc w:val="center"/>
        <w:rPr>
          <w:rFonts w:ascii="宋体" w:hAnsi="宋体" w:cs="宋体"/>
          <w:b/>
          <w:color w:val="auto"/>
          <w:kern w:val="0"/>
          <w:sz w:val="32"/>
          <w:szCs w:val="32"/>
          <w:highlight w:val="none"/>
        </w:rPr>
      </w:pPr>
    </w:p>
    <w:p w14:paraId="66FC64DA">
      <w:pPr>
        <w:snapToGrid w:val="0"/>
        <w:spacing w:line="360" w:lineRule="auto"/>
        <w:rPr>
          <w:rFonts w:ascii="宋体" w:hAnsi="宋体" w:cs="宋体"/>
          <w:color w:val="auto"/>
          <w:sz w:val="24"/>
          <w:highlight w:val="none"/>
        </w:rPr>
      </w:pPr>
    </w:p>
    <w:p w14:paraId="0C65518B">
      <w:pPr>
        <w:jc w:val="center"/>
        <w:rPr>
          <w:rFonts w:ascii="宋体" w:hAnsi="宋体" w:cs="宋体"/>
          <w:b/>
          <w:color w:val="auto"/>
          <w:kern w:val="0"/>
          <w:sz w:val="32"/>
          <w:szCs w:val="32"/>
          <w:highlight w:val="none"/>
        </w:rPr>
      </w:pPr>
    </w:p>
    <w:p w14:paraId="260F3845">
      <w:pPr>
        <w:jc w:val="center"/>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09E610DA">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二、授权委托书或法定代表人（单位负责人、自然人本人）身份证明</w:t>
      </w:r>
    </w:p>
    <w:p w14:paraId="4D6101B9">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 xml:space="preserve">                                </w:t>
      </w:r>
    </w:p>
    <w:p w14:paraId="3320A479">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授权委托书（适用于非联合体</w:t>
      </w:r>
      <w:r>
        <w:rPr>
          <w:rFonts w:hint="eastAsia" w:ascii="宋体" w:hAnsi="宋体" w:cs="宋体"/>
          <w:b/>
          <w:bCs/>
          <w:color w:val="auto"/>
          <w:sz w:val="32"/>
          <w:szCs w:val="32"/>
          <w:highlight w:val="none"/>
        </w:rPr>
        <w:t>响应</w:t>
      </w:r>
      <w:r>
        <w:rPr>
          <w:rFonts w:hint="eastAsia" w:ascii="宋体" w:hAnsi="宋体" w:cs="宋体"/>
          <w:b/>
          <w:bCs/>
          <w:color w:val="auto"/>
          <w:sz w:val="32"/>
          <w:szCs w:val="32"/>
          <w:highlight w:val="none"/>
          <w:lang w:val="zh-CN"/>
        </w:rPr>
        <w:t>）</w:t>
      </w:r>
    </w:p>
    <w:p w14:paraId="18B77DA3">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50EAF249">
      <w:pPr>
        <w:snapToGrid w:val="0"/>
        <w:spacing w:line="360" w:lineRule="auto"/>
        <w:ind w:firstLine="576"/>
        <w:rPr>
          <w:rFonts w:ascii="宋体" w:hAnsi="宋体" w:cs="宋体"/>
          <w:color w:val="auto"/>
          <w:kern w:val="0"/>
          <w:sz w:val="24"/>
          <w:highlight w:val="none"/>
        </w:rPr>
      </w:pPr>
      <w:r>
        <w:rPr>
          <w:rFonts w:hint="eastAsia" w:ascii="宋体" w:hAnsi="宋体" w:cs="宋体"/>
          <w:color w:val="auto"/>
          <w:kern w:val="0"/>
          <w:sz w:val="24"/>
          <w:highlight w:val="none"/>
        </w:rPr>
        <w:t>现</w:t>
      </w:r>
      <w:r>
        <w:rPr>
          <w:rFonts w:hint="eastAsia" w:ascii="宋体" w:hAnsi="宋体" w:cs="宋体"/>
          <w:color w:val="auto"/>
          <w:kern w:val="0"/>
          <w:sz w:val="24"/>
          <w:highlight w:val="none"/>
          <w:lang w:val="zh-CN"/>
        </w:rPr>
        <w:t>委托</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（姓名）为我方代理人（身份证号码：</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，手机：</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），以我方名义处理</w:t>
      </w:r>
      <w:r>
        <w:rPr>
          <w:rFonts w:hint="eastAsia" w:ascii="宋体" w:hAnsi="宋体" w:cs="宋体"/>
          <w:color w:val="auto"/>
          <w:sz w:val="24"/>
          <w:highlight w:val="none"/>
        </w:rPr>
        <w:t>（项目名称）【项目编号：（采购编号）】</w:t>
      </w:r>
      <w:r>
        <w:rPr>
          <w:rFonts w:hint="eastAsia" w:ascii="宋体" w:hAnsi="宋体" w:cs="宋体"/>
          <w:color w:val="auto"/>
          <w:kern w:val="0"/>
          <w:sz w:val="24"/>
          <w:highlight w:val="none"/>
          <w:lang w:val="zh-CN"/>
        </w:rPr>
        <w:t>政府采购</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的一切事项，其法律后果由我方承担。</w:t>
      </w:r>
    </w:p>
    <w:p w14:paraId="42B7890A">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委托期限</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自</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日起至</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日止。</w:t>
      </w:r>
    </w:p>
    <w:p w14:paraId="042DCF3D">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特此告知。</w:t>
      </w:r>
    </w:p>
    <w:p w14:paraId="4899BEB5">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供应商名称(电子签名)：</w:t>
      </w:r>
    </w:p>
    <w:p w14:paraId="7814B1B3">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签发日期：  年  月   日</w:t>
      </w:r>
    </w:p>
    <w:p w14:paraId="08225D6B">
      <w:pPr>
        <w:snapToGrid w:val="0"/>
        <w:spacing w:line="360" w:lineRule="auto"/>
        <w:rPr>
          <w:rFonts w:ascii="宋体" w:hAnsi="宋体" w:cs="宋体"/>
          <w:color w:val="auto"/>
          <w:sz w:val="24"/>
          <w:highlight w:val="none"/>
        </w:rPr>
      </w:pPr>
    </w:p>
    <w:p w14:paraId="1DBDAAF6">
      <w:pPr>
        <w:snapToGrid w:val="0"/>
        <w:spacing w:line="360" w:lineRule="auto"/>
        <w:rPr>
          <w:rFonts w:ascii="宋体" w:hAnsi="宋体" w:cs="宋体"/>
          <w:color w:val="auto"/>
          <w:sz w:val="24"/>
          <w:highlight w:val="none"/>
        </w:rPr>
      </w:pPr>
    </w:p>
    <w:p w14:paraId="3F7BF45C">
      <w:pPr>
        <w:snapToGrid w:val="0"/>
        <w:spacing w:line="360" w:lineRule="auto"/>
        <w:rPr>
          <w:rFonts w:ascii="宋体" w:hAnsi="宋体" w:cs="宋体"/>
          <w:color w:val="auto"/>
          <w:sz w:val="24"/>
          <w:highlight w:val="none"/>
        </w:rPr>
      </w:pPr>
    </w:p>
    <w:p w14:paraId="11373F46">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授权委托书（适用于联合体</w:t>
      </w:r>
      <w:r>
        <w:rPr>
          <w:rFonts w:hint="eastAsia" w:ascii="宋体" w:hAnsi="宋体" w:cs="宋体"/>
          <w:b/>
          <w:bCs/>
          <w:color w:val="auto"/>
          <w:sz w:val="32"/>
          <w:szCs w:val="32"/>
          <w:highlight w:val="none"/>
        </w:rPr>
        <w:t>响应</w:t>
      </w:r>
      <w:r>
        <w:rPr>
          <w:rFonts w:hint="eastAsia" w:ascii="宋体" w:hAnsi="宋体" w:cs="宋体"/>
          <w:b/>
          <w:bCs/>
          <w:color w:val="auto"/>
          <w:sz w:val="32"/>
          <w:szCs w:val="32"/>
          <w:highlight w:val="none"/>
          <w:lang w:val="zh-CN"/>
        </w:rPr>
        <w:t>）</w:t>
      </w:r>
    </w:p>
    <w:p w14:paraId="46966606">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522A3792">
      <w:pPr>
        <w:snapToGrid w:val="0"/>
        <w:spacing w:line="360" w:lineRule="auto"/>
        <w:ind w:firstLine="576"/>
        <w:rPr>
          <w:rFonts w:ascii="宋体" w:hAnsi="宋体" w:cs="宋体"/>
          <w:color w:val="auto"/>
          <w:kern w:val="0"/>
          <w:sz w:val="24"/>
          <w:highlight w:val="none"/>
        </w:rPr>
      </w:pPr>
      <w:r>
        <w:rPr>
          <w:rFonts w:hint="eastAsia" w:ascii="宋体" w:hAnsi="宋体" w:cs="宋体"/>
          <w:color w:val="auto"/>
          <w:kern w:val="0"/>
          <w:sz w:val="24"/>
          <w:highlight w:val="none"/>
        </w:rPr>
        <w:t>现</w:t>
      </w:r>
      <w:r>
        <w:rPr>
          <w:rFonts w:hint="eastAsia" w:ascii="宋体" w:hAnsi="宋体" w:cs="宋体"/>
          <w:color w:val="auto"/>
          <w:kern w:val="0"/>
          <w:sz w:val="24"/>
          <w:highlight w:val="none"/>
          <w:lang w:val="zh-CN"/>
        </w:rPr>
        <w:t>委托</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（姓名）为我方代理人（身份证号码：</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，手机：</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），以我方名义处理</w:t>
      </w:r>
      <w:r>
        <w:rPr>
          <w:rFonts w:hint="eastAsia" w:ascii="宋体" w:hAnsi="宋体" w:cs="宋体"/>
          <w:color w:val="auto"/>
          <w:sz w:val="24"/>
          <w:highlight w:val="none"/>
        </w:rPr>
        <w:t>（项目名称）【项目编号：（采购编号）】</w:t>
      </w:r>
      <w:r>
        <w:rPr>
          <w:rFonts w:hint="eastAsia" w:ascii="宋体" w:hAnsi="宋体" w:cs="宋体"/>
          <w:color w:val="auto"/>
          <w:kern w:val="0"/>
          <w:sz w:val="24"/>
          <w:highlight w:val="none"/>
          <w:lang w:val="zh-CN"/>
        </w:rPr>
        <w:t>政府采购</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的一切事项，其法律后果由我方承担。</w:t>
      </w:r>
    </w:p>
    <w:p w14:paraId="0EFB83F9">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委托期限</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自</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日起至</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日止。</w:t>
      </w:r>
    </w:p>
    <w:p w14:paraId="478091C5">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特此告知。</w:t>
      </w:r>
    </w:p>
    <w:p w14:paraId="50864D52">
      <w:pPr>
        <w:jc w:val="center"/>
        <w:rPr>
          <w:rFonts w:ascii="宋体" w:hAnsi="宋体" w:cs="宋体"/>
          <w:b/>
          <w:color w:val="auto"/>
          <w:kern w:val="0"/>
          <w:sz w:val="32"/>
          <w:szCs w:val="32"/>
          <w:highlight w:val="none"/>
        </w:rPr>
      </w:pPr>
    </w:p>
    <w:p w14:paraId="5437D178">
      <w:pPr>
        <w:jc w:val="center"/>
        <w:rPr>
          <w:rFonts w:ascii="宋体" w:hAnsi="宋体" w:cs="宋体"/>
          <w:b/>
          <w:color w:val="auto"/>
          <w:kern w:val="0"/>
          <w:sz w:val="32"/>
          <w:szCs w:val="32"/>
          <w:highlight w:val="none"/>
        </w:rPr>
      </w:pPr>
    </w:p>
    <w:p w14:paraId="6BD326CD">
      <w:pPr>
        <w:jc w:val="center"/>
        <w:rPr>
          <w:rFonts w:ascii="宋体" w:hAnsi="宋体" w:cs="宋体"/>
          <w:b/>
          <w:color w:val="auto"/>
          <w:kern w:val="0"/>
          <w:sz w:val="32"/>
          <w:szCs w:val="32"/>
          <w:highlight w:val="none"/>
        </w:rPr>
      </w:pPr>
    </w:p>
    <w:p w14:paraId="6E2AC346">
      <w:pPr>
        <w:rPr>
          <w:rFonts w:ascii="宋体" w:hAnsi="宋体" w:cs="宋体"/>
          <w:color w:val="auto"/>
          <w:highlight w:val="none"/>
        </w:rPr>
      </w:pPr>
    </w:p>
    <w:p w14:paraId="65FBD6F0">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59F614FC">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443AC85D">
      <w:pPr>
        <w:snapToGrid w:val="0"/>
        <w:spacing w:line="360" w:lineRule="auto"/>
        <w:ind w:firstLine="5760" w:firstLineChars="2400"/>
        <w:rPr>
          <w:rFonts w:ascii="宋体" w:hAnsi="宋体" w:cs="宋体"/>
          <w:color w:val="auto"/>
          <w:highlight w:val="none"/>
        </w:rPr>
      </w:pPr>
      <w:r>
        <w:rPr>
          <w:rFonts w:hint="eastAsia" w:ascii="宋体" w:hAnsi="宋体" w:cs="宋体"/>
          <w:color w:val="auto"/>
          <w:kern w:val="0"/>
          <w:sz w:val="24"/>
          <w:highlight w:val="none"/>
          <w:lang w:val="zh-CN"/>
        </w:rPr>
        <w:t>……</w:t>
      </w:r>
    </w:p>
    <w:p w14:paraId="17682522">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5116068A">
      <w:pPr>
        <w:snapToGrid w:val="0"/>
        <w:jc w:val="center"/>
        <w:rPr>
          <w:rFonts w:hint="eastAsia" w:ascii="宋体" w:hAnsi="宋体" w:cs="宋体"/>
          <w:b/>
          <w:bCs/>
          <w:color w:val="auto"/>
          <w:sz w:val="32"/>
          <w:szCs w:val="32"/>
          <w:highlight w:val="none"/>
          <w:lang w:val="zh-CN"/>
        </w:rPr>
      </w:pPr>
    </w:p>
    <w:p w14:paraId="2827BBE3">
      <w:pPr>
        <w:snapToGrid w:val="0"/>
        <w:jc w:val="center"/>
        <w:rPr>
          <w:rFonts w:hint="eastAsia" w:ascii="宋体" w:hAnsi="宋体" w:cs="宋体"/>
          <w:b/>
          <w:bCs/>
          <w:color w:val="auto"/>
          <w:sz w:val="32"/>
          <w:szCs w:val="32"/>
          <w:highlight w:val="none"/>
          <w:lang w:val="zh-CN"/>
        </w:rPr>
      </w:pPr>
    </w:p>
    <w:p w14:paraId="55591C6F">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lang w:val="zh-CN"/>
        </w:rPr>
        <w:t>法定代表人、单位负责人或自然人本人</w:t>
      </w:r>
      <w:r>
        <w:rPr>
          <w:rFonts w:hint="eastAsia" w:ascii="宋体" w:hAnsi="宋体" w:cs="宋体"/>
          <w:b/>
          <w:bCs/>
          <w:color w:val="auto"/>
          <w:sz w:val="32"/>
          <w:szCs w:val="32"/>
          <w:highlight w:val="none"/>
        </w:rPr>
        <w:t>的身份证明（适用于法定代表人、单位负责人或者自然人本人代表供应商参加响应）</w:t>
      </w:r>
    </w:p>
    <w:p w14:paraId="67952781">
      <w:pPr>
        <w:pStyle w:val="150"/>
        <w:spacing w:line="360" w:lineRule="auto"/>
        <w:rPr>
          <w:rFonts w:hAnsi="宋体" w:cs="宋体"/>
          <w:bCs/>
          <w:color w:val="auto"/>
          <w:sz w:val="24"/>
          <w:highlight w:val="none"/>
        </w:rPr>
      </w:pPr>
      <w:r>
        <w:rPr>
          <w:rFonts w:hint="eastAsia" w:hAnsi="宋体" w:cs="宋体"/>
          <w:bCs/>
          <w:color w:val="auto"/>
          <w:sz w:val="24"/>
          <w:highlight w:val="none"/>
        </w:rPr>
        <w:t>身份证件扫描件：</w:t>
      </w:r>
    </w:p>
    <w:tbl>
      <w:tblPr>
        <w:tblStyle w:val="63"/>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585A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0ABEF0A9">
            <w:pPr>
              <w:pStyle w:val="150"/>
              <w:adjustRightInd w:val="0"/>
              <w:spacing w:line="360" w:lineRule="auto"/>
              <w:rPr>
                <w:rFonts w:hAnsi="宋体" w:cs="宋体"/>
                <w:bCs/>
                <w:color w:val="auto"/>
                <w:sz w:val="24"/>
                <w:highlight w:val="none"/>
              </w:rPr>
            </w:pPr>
            <w:r>
              <w:rPr>
                <w:rFonts w:hint="eastAsia" w:hAnsi="宋体" w:cs="宋体"/>
                <w:bCs/>
                <w:color w:val="auto"/>
                <w:sz w:val="24"/>
                <w:highlight w:val="none"/>
              </w:rPr>
              <w:t>正面：                                 反面：</w:t>
            </w:r>
          </w:p>
          <w:p w14:paraId="4473235C">
            <w:pPr>
              <w:pStyle w:val="150"/>
              <w:adjustRightInd w:val="0"/>
              <w:spacing w:line="360" w:lineRule="auto"/>
              <w:rPr>
                <w:rFonts w:hAnsi="宋体" w:cs="宋体"/>
                <w:bCs/>
                <w:color w:val="auto"/>
                <w:sz w:val="24"/>
                <w:highlight w:val="none"/>
              </w:rPr>
            </w:pPr>
          </w:p>
        </w:tc>
      </w:tr>
    </w:tbl>
    <w:p w14:paraId="0E330BB0">
      <w:pPr>
        <w:snapToGrid w:val="0"/>
        <w:spacing w:line="360" w:lineRule="auto"/>
        <w:ind w:firstLine="576"/>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w:t>
      </w:r>
    </w:p>
    <w:p w14:paraId="710AD786">
      <w:pPr>
        <w:snapToGrid w:val="0"/>
        <w:spacing w:line="360" w:lineRule="auto"/>
        <w:ind w:firstLine="576"/>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供应商名称(电子签名)：                              </w:t>
      </w:r>
    </w:p>
    <w:p w14:paraId="44C2FE0E">
      <w:pPr>
        <w:spacing w:line="360" w:lineRule="auto"/>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1CA6C078">
      <w:pPr>
        <w:jc w:val="center"/>
        <w:rPr>
          <w:rFonts w:ascii="宋体" w:hAnsi="宋体" w:cs="宋体"/>
          <w:b/>
          <w:color w:val="auto"/>
          <w:kern w:val="0"/>
          <w:sz w:val="32"/>
          <w:szCs w:val="32"/>
          <w:highlight w:val="none"/>
        </w:rPr>
      </w:pPr>
    </w:p>
    <w:p w14:paraId="73E0A63C">
      <w:pPr>
        <w:jc w:val="center"/>
        <w:rPr>
          <w:rFonts w:ascii="宋体" w:hAnsi="宋体" w:cs="宋体"/>
          <w:b/>
          <w:color w:val="auto"/>
          <w:kern w:val="0"/>
          <w:sz w:val="32"/>
          <w:szCs w:val="32"/>
          <w:highlight w:val="none"/>
        </w:rPr>
      </w:pPr>
    </w:p>
    <w:p w14:paraId="79852A43">
      <w:pPr>
        <w:jc w:val="center"/>
        <w:rPr>
          <w:rFonts w:ascii="宋体" w:hAnsi="宋体" w:cs="宋体"/>
          <w:b/>
          <w:color w:val="auto"/>
          <w:kern w:val="0"/>
          <w:sz w:val="32"/>
          <w:szCs w:val="32"/>
          <w:highlight w:val="none"/>
        </w:rPr>
      </w:pPr>
    </w:p>
    <w:p w14:paraId="59F04E2F">
      <w:pPr>
        <w:jc w:val="center"/>
        <w:rPr>
          <w:rFonts w:ascii="宋体" w:hAnsi="宋体" w:cs="宋体"/>
          <w:b/>
          <w:color w:val="auto"/>
          <w:kern w:val="0"/>
          <w:sz w:val="32"/>
          <w:szCs w:val="32"/>
          <w:highlight w:val="none"/>
        </w:rPr>
      </w:pPr>
    </w:p>
    <w:p w14:paraId="4C4FE83E">
      <w:pPr>
        <w:jc w:val="center"/>
        <w:rPr>
          <w:rFonts w:ascii="宋体" w:hAnsi="宋体" w:cs="宋体"/>
          <w:b/>
          <w:color w:val="auto"/>
          <w:kern w:val="0"/>
          <w:sz w:val="32"/>
          <w:szCs w:val="32"/>
          <w:highlight w:val="none"/>
        </w:rPr>
      </w:pPr>
    </w:p>
    <w:p w14:paraId="59B0A180">
      <w:pPr>
        <w:jc w:val="center"/>
        <w:rPr>
          <w:rFonts w:ascii="宋体" w:hAnsi="宋体" w:cs="宋体"/>
          <w:b/>
          <w:color w:val="auto"/>
          <w:kern w:val="0"/>
          <w:sz w:val="32"/>
          <w:szCs w:val="32"/>
          <w:highlight w:val="none"/>
        </w:rPr>
      </w:pPr>
    </w:p>
    <w:p w14:paraId="0B90338F">
      <w:pPr>
        <w:jc w:val="center"/>
        <w:rPr>
          <w:rFonts w:ascii="宋体" w:hAnsi="宋体" w:cs="宋体"/>
          <w:b/>
          <w:color w:val="auto"/>
          <w:kern w:val="0"/>
          <w:sz w:val="32"/>
          <w:szCs w:val="32"/>
          <w:highlight w:val="none"/>
        </w:rPr>
      </w:pPr>
    </w:p>
    <w:p w14:paraId="5B5B1FA4">
      <w:pPr>
        <w:jc w:val="center"/>
        <w:rPr>
          <w:rFonts w:ascii="宋体" w:hAnsi="宋体" w:cs="宋体"/>
          <w:b/>
          <w:color w:val="auto"/>
          <w:kern w:val="0"/>
          <w:sz w:val="32"/>
          <w:szCs w:val="32"/>
          <w:highlight w:val="none"/>
        </w:rPr>
      </w:pPr>
    </w:p>
    <w:p w14:paraId="43B4A20B">
      <w:pPr>
        <w:jc w:val="center"/>
        <w:rPr>
          <w:rFonts w:ascii="宋体" w:hAnsi="宋体" w:cs="宋体"/>
          <w:b/>
          <w:color w:val="auto"/>
          <w:kern w:val="0"/>
          <w:sz w:val="32"/>
          <w:szCs w:val="32"/>
          <w:highlight w:val="none"/>
        </w:rPr>
      </w:pPr>
    </w:p>
    <w:p w14:paraId="3E8E777F">
      <w:pPr>
        <w:jc w:val="center"/>
        <w:rPr>
          <w:rFonts w:ascii="宋体" w:hAnsi="宋体" w:cs="宋体"/>
          <w:b/>
          <w:color w:val="auto"/>
          <w:kern w:val="0"/>
          <w:sz w:val="32"/>
          <w:szCs w:val="32"/>
          <w:highlight w:val="none"/>
        </w:rPr>
      </w:pPr>
    </w:p>
    <w:p w14:paraId="389A6541">
      <w:pPr>
        <w:snapToGrid w:val="0"/>
        <w:spacing w:line="360" w:lineRule="auto"/>
        <w:ind w:right="480"/>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08D4681A">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三、分包意向协议</w:t>
      </w:r>
    </w:p>
    <w:p w14:paraId="28689C37">
      <w:pPr>
        <w:widowControl/>
        <w:spacing w:line="360" w:lineRule="auto"/>
        <w:ind w:firstLine="120" w:firstLineChars="50"/>
        <w:jc w:val="left"/>
        <w:rPr>
          <w:rFonts w:ascii="宋体" w:hAnsi="宋体" w:cs="宋体"/>
          <w:color w:val="auto"/>
          <w:sz w:val="24"/>
          <w:highlight w:val="none"/>
        </w:rPr>
      </w:pPr>
      <w:bookmarkStart w:id="922" w:name="_Hlk101169080"/>
      <w:r>
        <w:rPr>
          <w:rFonts w:hint="eastAsia" w:ascii="宋体" w:hAnsi="宋体" w:cs="宋体"/>
          <w:color w:val="auto"/>
          <w:sz w:val="24"/>
          <w:highlight w:val="none"/>
        </w:rPr>
        <w:t>[</w:t>
      </w:r>
      <w:r>
        <w:rPr>
          <w:rFonts w:hint="eastAsia" w:ascii="宋体" w:hAnsi="宋体" w:cs="宋体"/>
          <w:b/>
          <w:color w:val="auto"/>
          <w:sz w:val="24"/>
          <w:highlight w:val="none"/>
        </w:rPr>
        <w:t>成交后以分包方式履行合同的，提供分包意向协议(附件6</w:t>
      </w:r>
      <w:r>
        <w:rPr>
          <w:rFonts w:ascii="宋体" w:hAnsi="宋体" w:cs="宋体"/>
          <w:b/>
          <w:color w:val="auto"/>
          <w:sz w:val="24"/>
          <w:highlight w:val="none"/>
        </w:rPr>
        <w:t>)</w:t>
      </w:r>
      <w:r>
        <w:rPr>
          <w:rFonts w:hint="eastAsia" w:ascii="宋体" w:hAnsi="宋体" w:cs="宋体"/>
          <w:b/>
          <w:color w:val="auto"/>
          <w:sz w:val="24"/>
          <w:highlight w:val="none"/>
        </w:rPr>
        <w:t>；采购人不同意分包或者供应商成交后不以分包方式履行合同的，则不需要提供。</w:t>
      </w:r>
      <w:r>
        <w:rPr>
          <w:rFonts w:hint="eastAsia" w:ascii="宋体" w:hAnsi="宋体" w:cs="宋体"/>
          <w:color w:val="auto"/>
          <w:sz w:val="24"/>
          <w:highlight w:val="none"/>
        </w:rPr>
        <w:t>]</w:t>
      </w:r>
    </w:p>
    <w:bookmarkEnd w:id="922"/>
    <w:p w14:paraId="428A7F51">
      <w:pPr>
        <w:snapToGrid w:val="0"/>
        <w:spacing w:line="360" w:lineRule="auto"/>
        <w:rPr>
          <w:rFonts w:ascii="宋体" w:hAnsi="宋体" w:cs="宋体"/>
          <w:color w:val="auto"/>
          <w:kern w:val="0"/>
          <w:sz w:val="24"/>
          <w:highlight w:val="none"/>
        </w:rPr>
      </w:pPr>
    </w:p>
    <w:p w14:paraId="4EEB5A51">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四、符合性审查资料</w:t>
      </w:r>
    </w:p>
    <w:p w14:paraId="29EC1B53">
      <w:pPr>
        <w:jc w:val="center"/>
        <w:rPr>
          <w:rFonts w:ascii="宋体" w:hAnsi="宋体" w:cs="宋体"/>
          <w:b/>
          <w:color w:val="auto"/>
          <w:kern w:val="0"/>
          <w:sz w:val="32"/>
          <w:szCs w:val="32"/>
          <w:highlight w:val="none"/>
        </w:rPr>
      </w:pPr>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53343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5FDA14B1">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4991" w:type="dxa"/>
            <w:vAlign w:val="center"/>
          </w:tcPr>
          <w:p w14:paraId="6A03ECE8">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实质性要求</w:t>
            </w:r>
          </w:p>
        </w:tc>
        <w:tc>
          <w:tcPr>
            <w:tcW w:w="2551" w:type="dxa"/>
            <w:vAlign w:val="center"/>
          </w:tcPr>
          <w:p w14:paraId="1B1456B4">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需要提供的符合性审查资料</w:t>
            </w:r>
          </w:p>
        </w:tc>
        <w:tc>
          <w:tcPr>
            <w:tcW w:w="1418" w:type="dxa"/>
            <w:vAlign w:val="center"/>
          </w:tcPr>
          <w:p w14:paraId="19D337D4">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响应文件中的</w:t>
            </w:r>
          </w:p>
          <w:p w14:paraId="4B795028">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页码位置</w:t>
            </w:r>
          </w:p>
        </w:tc>
      </w:tr>
      <w:tr w14:paraId="0C052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F3A3A55">
            <w:pPr>
              <w:rPr>
                <w:rFonts w:ascii="宋体" w:hAnsi="宋体" w:cs="宋体"/>
                <w:color w:val="auto"/>
                <w:sz w:val="24"/>
                <w:highlight w:val="none"/>
              </w:rPr>
            </w:pPr>
            <w:r>
              <w:rPr>
                <w:rFonts w:hint="eastAsia" w:ascii="宋体" w:hAnsi="宋体" w:cs="宋体"/>
                <w:color w:val="auto"/>
                <w:sz w:val="24"/>
                <w:highlight w:val="none"/>
              </w:rPr>
              <w:t>1</w:t>
            </w:r>
          </w:p>
        </w:tc>
        <w:tc>
          <w:tcPr>
            <w:tcW w:w="4991" w:type="dxa"/>
            <w:vAlign w:val="center"/>
          </w:tcPr>
          <w:p w14:paraId="0978731E">
            <w:pPr>
              <w:spacing w:line="360" w:lineRule="auto"/>
              <w:rPr>
                <w:rFonts w:ascii="宋体" w:hAnsi="宋体" w:cs="宋体"/>
                <w:color w:val="auto"/>
                <w:sz w:val="24"/>
                <w:highlight w:val="none"/>
              </w:rPr>
            </w:pPr>
            <w:r>
              <w:rPr>
                <w:rFonts w:hint="eastAsia" w:ascii="宋体" w:hAnsi="宋体" w:cs="宋体"/>
                <w:color w:val="auto"/>
                <w:sz w:val="24"/>
                <w:highlight w:val="none"/>
              </w:rPr>
              <w:t>响应文件按照采购文件要求签署、盖章。</w:t>
            </w:r>
          </w:p>
        </w:tc>
        <w:tc>
          <w:tcPr>
            <w:tcW w:w="2551" w:type="dxa"/>
            <w:vAlign w:val="center"/>
          </w:tcPr>
          <w:p w14:paraId="446E5E51">
            <w:pPr>
              <w:rPr>
                <w:rFonts w:ascii="宋体" w:hAnsi="宋体" w:cs="宋体"/>
                <w:color w:val="auto"/>
                <w:sz w:val="24"/>
                <w:highlight w:val="none"/>
              </w:rPr>
            </w:pPr>
            <w:r>
              <w:rPr>
                <w:rFonts w:hint="eastAsia" w:ascii="宋体" w:hAnsi="宋体" w:cs="宋体"/>
                <w:color w:val="auto"/>
                <w:sz w:val="24"/>
                <w:highlight w:val="none"/>
              </w:rPr>
              <w:t>需要使用电子签名或者签字盖章的响应文件的组成部分</w:t>
            </w:r>
          </w:p>
        </w:tc>
        <w:tc>
          <w:tcPr>
            <w:tcW w:w="1418" w:type="dxa"/>
            <w:vAlign w:val="center"/>
          </w:tcPr>
          <w:p w14:paraId="403B7B36">
            <w:pPr>
              <w:rPr>
                <w:rFonts w:ascii="宋体" w:hAnsi="宋体" w:cs="宋体"/>
                <w:color w:val="auto"/>
                <w:sz w:val="24"/>
                <w:highlight w:val="none"/>
              </w:rPr>
            </w:pPr>
            <w:r>
              <w:rPr>
                <w:rFonts w:hint="eastAsia" w:ascii="宋体" w:hAnsi="宋体" w:cs="宋体"/>
                <w:color w:val="auto"/>
                <w:sz w:val="24"/>
                <w:highlight w:val="none"/>
              </w:rPr>
              <w:t>见响应文件</w:t>
            </w:r>
          </w:p>
          <w:p w14:paraId="1B994AEA">
            <w:pPr>
              <w:rPr>
                <w:rFonts w:ascii="宋体" w:hAnsi="宋体" w:cs="宋体"/>
                <w:color w:val="auto"/>
                <w:highlight w:val="none"/>
              </w:rPr>
            </w:pPr>
            <w:r>
              <w:rPr>
                <w:rFonts w:hint="eastAsia" w:ascii="宋体" w:hAnsi="宋体" w:cs="宋体"/>
                <w:color w:val="auto"/>
                <w:sz w:val="24"/>
                <w:highlight w:val="none"/>
              </w:rPr>
              <w:t>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0951D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356B626">
            <w:pPr>
              <w:spacing w:line="360" w:lineRule="auto"/>
              <w:rPr>
                <w:rFonts w:ascii="宋体" w:hAnsi="宋体" w:cs="宋体"/>
                <w:color w:val="auto"/>
                <w:sz w:val="24"/>
                <w:highlight w:val="none"/>
              </w:rPr>
            </w:pPr>
            <w:r>
              <w:rPr>
                <w:rFonts w:hint="eastAsia" w:ascii="宋体" w:hAnsi="宋体" w:cs="宋体"/>
                <w:color w:val="auto"/>
                <w:sz w:val="24"/>
                <w:highlight w:val="none"/>
              </w:rPr>
              <w:t>2</w:t>
            </w:r>
          </w:p>
        </w:tc>
        <w:tc>
          <w:tcPr>
            <w:tcW w:w="4991" w:type="dxa"/>
            <w:vAlign w:val="center"/>
          </w:tcPr>
          <w:p w14:paraId="027496E9">
            <w:pPr>
              <w:spacing w:line="360" w:lineRule="auto"/>
              <w:rPr>
                <w:rFonts w:ascii="宋体" w:hAnsi="宋体" w:cs="宋体"/>
                <w:color w:val="auto"/>
                <w:sz w:val="24"/>
                <w:highlight w:val="none"/>
              </w:rPr>
            </w:pPr>
            <w:r>
              <w:rPr>
                <w:rFonts w:hint="eastAsia" w:ascii="宋体" w:hAnsi="宋体" w:cs="宋体"/>
                <w:color w:val="auto"/>
                <w:sz w:val="24"/>
                <w:highlight w:val="none"/>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17C6BF12">
            <w:pPr>
              <w:rPr>
                <w:rFonts w:ascii="宋体" w:hAnsi="宋体" w:cs="宋体"/>
                <w:color w:val="auto"/>
                <w:sz w:val="24"/>
                <w:highlight w:val="none"/>
              </w:rPr>
            </w:pPr>
            <w:r>
              <w:rPr>
                <w:rFonts w:hint="eastAsia" w:ascii="宋体" w:hAnsi="宋体" w:cs="宋体"/>
                <w:color w:val="auto"/>
                <w:sz w:val="24"/>
                <w:highlight w:val="none"/>
              </w:rPr>
              <w:t>节能产品认证证书（本项目拟采购的产品不属于政府强制采购的节能产品品目清单范围的，无需提供）</w:t>
            </w:r>
          </w:p>
        </w:tc>
        <w:tc>
          <w:tcPr>
            <w:tcW w:w="1418" w:type="dxa"/>
            <w:vAlign w:val="center"/>
          </w:tcPr>
          <w:p w14:paraId="44A1E0BE">
            <w:pPr>
              <w:rPr>
                <w:rFonts w:ascii="宋体" w:hAnsi="宋体" w:cs="宋体"/>
                <w:color w:val="auto"/>
                <w:sz w:val="24"/>
                <w:highlight w:val="none"/>
              </w:rPr>
            </w:pPr>
            <w:r>
              <w:rPr>
                <w:rFonts w:hint="eastAsia" w:ascii="宋体" w:hAnsi="宋体" w:cs="宋体"/>
                <w:color w:val="auto"/>
                <w:sz w:val="24"/>
                <w:highlight w:val="none"/>
              </w:rPr>
              <w:t>见响应文件</w:t>
            </w:r>
          </w:p>
          <w:p w14:paraId="58B8E14C">
            <w:pPr>
              <w:pStyle w:val="3"/>
              <w:jc w:val="both"/>
              <w:rPr>
                <w:rFonts w:ascii="宋体" w:hAnsi="宋体" w:eastAsia="宋体" w:cs="宋体"/>
                <w:color w:val="auto"/>
                <w:highlight w:val="none"/>
                <w:lang w:val="en-US"/>
              </w:rPr>
            </w:pPr>
            <w:r>
              <w:rPr>
                <w:rFonts w:hint="eastAsia" w:ascii="宋体" w:hAnsi="宋体" w:eastAsia="宋体" w:cs="宋体"/>
                <w:b w:val="0"/>
                <w:bCs w:val="0"/>
                <w:color w:val="auto"/>
                <w:sz w:val="24"/>
                <w:szCs w:val="24"/>
                <w:highlight w:val="none"/>
                <w:lang w:val="en-US"/>
              </w:rPr>
              <w:t>第</w:t>
            </w:r>
            <w:r>
              <w:rPr>
                <w:rFonts w:hint="eastAsia" w:ascii="宋体" w:hAnsi="宋体" w:eastAsia="宋体" w:cs="宋体"/>
                <w:b w:val="0"/>
                <w:bCs w:val="0"/>
                <w:color w:val="auto"/>
                <w:sz w:val="24"/>
                <w:szCs w:val="24"/>
                <w:highlight w:val="none"/>
                <w:u w:val="single"/>
                <w:lang w:val="en-US"/>
              </w:rPr>
              <w:t xml:space="preserve">  </w:t>
            </w:r>
            <w:r>
              <w:rPr>
                <w:rFonts w:hint="eastAsia" w:ascii="宋体" w:hAnsi="宋体" w:eastAsia="宋体" w:cs="宋体"/>
                <w:b w:val="0"/>
                <w:bCs w:val="0"/>
                <w:color w:val="auto"/>
                <w:sz w:val="24"/>
                <w:szCs w:val="24"/>
                <w:highlight w:val="none"/>
                <w:lang w:val="en-US"/>
              </w:rPr>
              <w:t>页</w:t>
            </w:r>
          </w:p>
        </w:tc>
      </w:tr>
      <w:tr w14:paraId="4957E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FFB6C19">
            <w:pPr>
              <w:rPr>
                <w:rFonts w:ascii="宋体" w:hAnsi="宋体" w:cs="宋体"/>
                <w:color w:val="auto"/>
                <w:sz w:val="24"/>
                <w:highlight w:val="none"/>
              </w:rPr>
            </w:pPr>
            <w:r>
              <w:rPr>
                <w:rFonts w:hint="eastAsia" w:ascii="宋体" w:hAnsi="宋体" w:cs="宋体"/>
                <w:color w:val="auto"/>
                <w:sz w:val="24"/>
                <w:highlight w:val="none"/>
              </w:rPr>
              <w:t>3</w:t>
            </w:r>
          </w:p>
        </w:tc>
        <w:tc>
          <w:tcPr>
            <w:tcW w:w="4991" w:type="dxa"/>
            <w:vAlign w:val="center"/>
          </w:tcPr>
          <w:p w14:paraId="29419F61">
            <w:pPr>
              <w:spacing w:line="360" w:lineRule="auto"/>
              <w:rPr>
                <w:rFonts w:ascii="宋体" w:hAnsi="宋体" w:cs="宋体"/>
                <w:color w:val="auto"/>
                <w:sz w:val="24"/>
                <w:highlight w:val="none"/>
              </w:rPr>
            </w:pPr>
            <w:r>
              <w:rPr>
                <w:rFonts w:hint="eastAsia" w:ascii="宋体" w:hAnsi="宋体" w:cs="宋体"/>
                <w:color w:val="auto"/>
                <w:sz w:val="24"/>
                <w:highlight w:val="none"/>
              </w:rPr>
              <w:t>响应文件中承诺的响应文件有效期不少于采购文件中载明的响应文件有效期。</w:t>
            </w:r>
          </w:p>
        </w:tc>
        <w:tc>
          <w:tcPr>
            <w:tcW w:w="2551" w:type="dxa"/>
            <w:vAlign w:val="center"/>
          </w:tcPr>
          <w:p w14:paraId="6B615FFC">
            <w:pPr>
              <w:rPr>
                <w:rFonts w:ascii="宋体" w:hAnsi="宋体" w:cs="宋体"/>
                <w:color w:val="auto"/>
                <w:sz w:val="24"/>
                <w:highlight w:val="none"/>
              </w:rPr>
            </w:pPr>
            <w:r>
              <w:rPr>
                <w:rFonts w:hint="eastAsia" w:ascii="宋体" w:hAnsi="宋体" w:cs="宋体"/>
                <w:color w:val="auto"/>
                <w:sz w:val="24"/>
                <w:highlight w:val="none"/>
              </w:rPr>
              <w:t>响应函</w:t>
            </w:r>
          </w:p>
        </w:tc>
        <w:tc>
          <w:tcPr>
            <w:tcW w:w="1418" w:type="dxa"/>
            <w:vAlign w:val="center"/>
          </w:tcPr>
          <w:p w14:paraId="4650BC52">
            <w:pPr>
              <w:rPr>
                <w:rFonts w:ascii="宋体" w:hAnsi="宋体" w:cs="宋体"/>
                <w:color w:val="auto"/>
                <w:highlight w:val="none"/>
              </w:rPr>
            </w:pPr>
            <w:r>
              <w:rPr>
                <w:rFonts w:hint="eastAsia" w:ascii="宋体" w:hAnsi="宋体" w:cs="宋体"/>
                <w:color w:val="auto"/>
                <w:sz w:val="24"/>
                <w:highlight w:val="none"/>
              </w:rPr>
              <w:t>见响应文件第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6B6EE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FCA61C7">
            <w:pPr>
              <w:rPr>
                <w:rFonts w:ascii="宋体" w:hAnsi="宋体" w:cs="宋体"/>
                <w:color w:val="auto"/>
                <w:sz w:val="24"/>
                <w:highlight w:val="none"/>
              </w:rPr>
            </w:pPr>
            <w:r>
              <w:rPr>
                <w:rFonts w:hint="eastAsia" w:ascii="宋体" w:hAnsi="宋体" w:cs="宋体"/>
                <w:color w:val="auto"/>
                <w:sz w:val="24"/>
                <w:highlight w:val="none"/>
              </w:rPr>
              <w:t>4</w:t>
            </w:r>
          </w:p>
        </w:tc>
        <w:tc>
          <w:tcPr>
            <w:tcW w:w="4991" w:type="dxa"/>
            <w:vAlign w:val="center"/>
          </w:tcPr>
          <w:p w14:paraId="1E942E41">
            <w:pPr>
              <w:spacing w:line="360" w:lineRule="auto"/>
              <w:rPr>
                <w:rFonts w:ascii="宋体" w:hAnsi="宋体" w:cs="宋体"/>
                <w:color w:val="auto"/>
                <w:sz w:val="24"/>
                <w:highlight w:val="none"/>
              </w:rPr>
            </w:pPr>
            <w:r>
              <w:rPr>
                <w:rFonts w:hint="eastAsia" w:ascii="宋体" w:hAnsi="宋体" w:cs="宋体"/>
                <w:color w:val="auto"/>
                <w:sz w:val="24"/>
                <w:highlight w:val="none"/>
              </w:rPr>
              <w:t>响应文件满足采购文件的其它实质性要求。</w:t>
            </w:r>
          </w:p>
        </w:tc>
        <w:tc>
          <w:tcPr>
            <w:tcW w:w="2551" w:type="dxa"/>
            <w:vAlign w:val="center"/>
          </w:tcPr>
          <w:p w14:paraId="4F0CD837">
            <w:pPr>
              <w:rPr>
                <w:rFonts w:ascii="宋体" w:hAnsi="宋体" w:cs="宋体"/>
                <w:color w:val="auto"/>
                <w:sz w:val="24"/>
                <w:highlight w:val="none"/>
              </w:rPr>
            </w:pPr>
            <w:r>
              <w:rPr>
                <w:rFonts w:hint="eastAsia" w:ascii="宋体" w:hAnsi="宋体" w:cs="宋体"/>
                <w:color w:val="auto"/>
                <w:kern w:val="0"/>
                <w:sz w:val="24"/>
                <w:highlight w:val="none"/>
              </w:rPr>
              <w:t>采购文件其它实质性要求相应的材料（“▲” 系指实质性要求条款，采购文件无其它实质性要求的，无需提供）</w:t>
            </w:r>
          </w:p>
        </w:tc>
        <w:tc>
          <w:tcPr>
            <w:tcW w:w="1418" w:type="dxa"/>
            <w:vAlign w:val="center"/>
          </w:tcPr>
          <w:p w14:paraId="55EF3206">
            <w:pPr>
              <w:rPr>
                <w:rFonts w:ascii="宋体" w:hAnsi="宋体" w:cs="宋体"/>
                <w:color w:val="auto"/>
                <w:highlight w:val="none"/>
              </w:rPr>
            </w:pPr>
            <w:r>
              <w:rPr>
                <w:rFonts w:hint="eastAsia" w:ascii="宋体" w:hAnsi="宋体" w:cs="宋体"/>
                <w:color w:val="auto"/>
                <w:sz w:val="24"/>
                <w:highlight w:val="none"/>
              </w:rPr>
              <w:t>见响应文件第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bl>
    <w:p w14:paraId="77B2BF63">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1740F149">
      <w:pPr>
        <w:jc w:val="center"/>
        <w:rPr>
          <w:rFonts w:ascii="宋体" w:hAnsi="宋体" w:cs="宋体"/>
          <w:b/>
          <w:color w:val="auto"/>
          <w:kern w:val="0"/>
          <w:sz w:val="32"/>
          <w:szCs w:val="32"/>
          <w:highlight w:val="none"/>
        </w:rPr>
      </w:pPr>
    </w:p>
    <w:p w14:paraId="7D8198F6">
      <w:pPr>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 xml:space="preserve">            </w:t>
      </w:r>
    </w:p>
    <w:p w14:paraId="0CA665DF">
      <w:pPr>
        <w:jc w:val="center"/>
        <w:rPr>
          <w:rFonts w:ascii="宋体" w:hAnsi="宋体" w:cs="宋体"/>
          <w:b/>
          <w:color w:val="auto"/>
          <w:kern w:val="0"/>
          <w:sz w:val="32"/>
          <w:szCs w:val="32"/>
          <w:highlight w:val="none"/>
        </w:rPr>
      </w:pPr>
    </w:p>
    <w:p w14:paraId="746C3F29">
      <w:pPr>
        <w:jc w:val="center"/>
        <w:rPr>
          <w:rFonts w:ascii="宋体" w:hAnsi="宋体" w:cs="宋体"/>
          <w:b/>
          <w:color w:val="auto"/>
          <w:kern w:val="0"/>
          <w:sz w:val="32"/>
          <w:szCs w:val="32"/>
          <w:highlight w:val="none"/>
        </w:rPr>
      </w:pPr>
    </w:p>
    <w:p w14:paraId="6CBB3A98">
      <w:pPr>
        <w:jc w:val="center"/>
        <w:rPr>
          <w:rFonts w:ascii="宋体" w:hAnsi="宋体" w:cs="宋体"/>
          <w:b/>
          <w:color w:val="auto"/>
          <w:kern w:val="0"/>
          <w:sz w:val="32"/>
          <w:szCs w:val="32"/>
          <w:highlight w:val="none"/>
        </w:rPr>
      </w:pPr>
    </w:p>
    <w:p w14:paraId="38C3B883">
      <w:pPr>
        <w:jc w:val="center"/>
        <w:rPr>
          <w:rFonts w:ascii="宋体" w:hAnsi="宋体" w:cs="宋体"/>
          <w:b/>
          <w:color w:val="auto"/>
          <w:kern w:val="0"/>
          <w:sz w:val="32"/>
          <w:szCs w:val="32"/>
          <w:highlight w:val="none"/>
        </w:rPr>
      </w:pPr>
    </w:p>
    <w:p w14:paraId="5988E06A">
      <w:pPr>
        <w:jc w:val="center"/>
        <w:rPr>
          <w:rFonts w:ascii="宋体" w:hAnsi="宋体" w:cs="宋体"/>
          <w:b/>
          <w:color w:val="auto"/>
          <w:kern w:val="0"/>
          <w:sz w:val="32"/>
          <w:szCs w:val="32"/>
          <w:highlight w:val="none"/>
        </w:rPr>
      </w:pPr>
    </w:p>
    <w:p w14:paraId="126EADC9">
      <w:pPr>
        <w:jc w:val="center"/>
        <w:rPr>
          <w:rFonts w:ascii="宋体" w:hAnsi="宋体" w:cs="宋体"/>
          <w:b/>
          <w:color w:val="auto"/>
          <w:kern w:val="0"/>
          <w:sz w:val="32"/>
          <w:szCs w:val="32"/>
          <w:highlight w:val="none"/>
        </w:rPr>
      </w:pPr>
    </w:p>
    <w:p w14:paraId="433D766B">
      <w:pPr>
        <w:jc w:val="center"/>
        <w:rPr>
          <w:rFonts w:ascii="宋体" w:hAnsi="宋体" w:cs="宋体"/>
          <w:b/>
          <w:color w:val="auto"/>
          <w:kern w:val="0"/>
          <w:sz w:val="32"/>
          <w:szCs w:val="32"/>
          <w:highlight w:val="none"/>
        </w:rPr>
      </w:pPr>
    </w:p>
    <w:p w14:paraId="29E7C451">
      <w:pPr>
        <w:jc w:val="center"/>
        <w:rPr>
          <w:rFonts w:ascii="宋体" w:hAnsi="宋体" w:cs="宋体"/>
          <w:b/>
          <w:color w:val="auto"/>
          <w:kern w:val="0"/>
          <w:sz w:val="32"/>
          <w:szCs w:val="32"/>
          <w:highlight w:val="none"/>
        </w:rPr>
      </w:pPr>
    </w:p>
    <w:p w14:paraId="6D7D501A">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五、评审标准相应的商务技术资料</w:t>
      </w:r>
    </w:p>
    <w:p w14:paraId="3085F04B">
      <w:pPr>
        <w:snapToGrid w:val="0"/>
        <w:spacing w:line="360" w:lineRule="auto"/>
        <w:jc w:val="left"/>
        <w:rPr>
          <w:rFonts w:ascii="宋体" w:hAnsi="宋体" w:cs="宋体"/>
          <w:b/>
          <w:color w:val="auto"/>
          <w:sz w:val="24"/>
          <w:highlight w:val="none"/>
        </w:rPr>
      </w:pPr>
      <w:r>
        <w:rPr>
          <w:rFonts w:hint="eastAsia" w:ascii="宋体" w:hAnsi="宋体" w:cs="宋体"/>
          <w:b/>
          <w:color w:val="auto"/>
          <w:sz w:val="24"/>
          <w:highlight w:val="none"/>
        </w:rPr>
        <w:t>（按采购文件第四部分评审办法前附表中“响应文件中评审标准相应的商务技术资料目录”提供资料。）</w:t>
      </w:r>
    </w:p>
    <w:p w14:paraId="5D527A9F">
      <w:pPr>
        <w:jc w:val="center"/>
        <w:rPr>
          <w:rFonts w:ascii="宋体" w:hAnsi="宋体" w:cs="宋体"/>
          <w:b/>
          <w:color w:val="auto"/>
          <w:kern w:val="0"/>
          <w:sz w:val="32"/>
          <w:szCs w:val="32"/>
          <w:highlight w:val="none"/>
        </w:rPr>
      </w:pPr>
    </w:p>
    <w:p w14:paraId="606189B9">
      <w:pPr>
        <w:jc w:val="center"/>
        <w:rPr>
          <w:rFonts w:ascii="宋体" w:hAnsi="宋体" w:cs="宋体"/>
          <w:b/>
          <w:color w:val="auto"/>
          <w:kern w:val="0"/>
          <w:sz w:val="32"/>
          <w:szCs w:val="32"/>
          <w:highlight w:val="none"/>
        </w:rPr>
      </w:pPr>
    </w:p>
    <w:p w14:paraId="2E12C6FC">
      <w:pPr>
        <w:jc w:val="center"/>
        <w:rPr>
          <w:rFonts w:ascii="宋体" w:hAnsi="宋体" w:cs="宋体"/>
          <w:b/>
          <w:color w:val="auto"/>
          <w:kern w:val="0"/>
          <w:sz w:val="32"/>
          <w:szCs w:val="32"/>
          <w:highlight w:val="none"/>
        </w:rPr>
      </w:pPr>
    </w:p>
    <w:p w14:paraId="7E94EECE">
      <w:pPr>
        <w:jc w:val="center"/>
        <w:rPr>
          <w:rFonts w:ascii="宋体" w:hAnsi="宋体" w:cs="宋体"/>
          <w:b/>
          <w:color w:val="auto"/>
          <w:kern w:val="0"/>
          <w:sz w:val="32"/>
          <w:szCs w:val="32"/>
          <w:highlight w:val="none"/>
        </w:rPr>
      </w:pPr>
    </w:p>
    <w:p w14:paraId="54BA1D0A">
      <w:pPr>
        <w:jc w:val="center"/>
        <w:rPr>
          <w:rFonts w:ascii="宋体" w:hAnsi="宋体" w:cs="宋体"/>
          <w:b/>
          <w:color w:val="auto"/>
          <w:kern w:val="0"/>
          <w:sz w:val="32"/>
          <w:szCs w:val="32"/>
          <w:highlight w:val="none"/>
        </w:rPr>
      </w:pPr>
    </w:p>
    <w:p w14:paraId="6F7322A7">
      <w:pP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br w:type="page"/>
      </w:r>
    </w:p>
    <w:p w14:paraId="572ED3CB">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六、商务技术偏离表</w:t>
      </w:r>
    </w:p>
    <w:tbl>
      <w:tblPr>
        <w:tblStyle w:val="6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36F62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A7E0548">
            <w:pPr>
              <w:jc w:val="center"/>
              <w:rPr>
                <w:rFonts w:ascii="宋体" w:hAnsi="宋体" w:cs="宋体"/>
                <w:b/>
                <w:bCs/>
                <w:color w:val="auto"/>
                <w:sz w:val="24"/>
                <w:highlight w:val="none"/>
              </w:rPr>
            </w:pPr>
            <w:r>
              <w:rPr>
                <w:rFonts w:hint="eastAsia" w:ascii="宋体" w:hAnsi="宋体" w:cs="宋体"/>
                <w:b/>
                <w:bCs/>
                <w:color w:val="auto"/>
                <w:sz w:val="24"/>
                <w:highlight w:val="none"/>
              </w:rPr>
              <w:t>序号</w:t>
            </w:r>
          </w:p>
        </w:tc>
        <w:tc>
          <w:tcPr>
            <w:tcW w:w="3683" w:type="dxa"/>
          </w:tcPr>
          <w:p w14:paraId="4474E128">
            <w:pPr>
              <w:jc w:val="center"/>
              <w:rPr>
                <w:rFonts w:ascii="宋体" w:hAnsi="宋体" w:cs="宋体"/>
                <w:b/>
                <w:bCs/>
                <w:color w:val="auto"/>
                <w:sz w:val="24"/>
                <w:highlight w:val="none"/>
              </w:rPr>
            </w:pPr>
            <w:r>
              <w:rPr>
                <w:rFonts w:hint="eastAsia" w:ascii="宋体" w:hAnsi="宋体" w:cs="宋体"/>
                <w:b/>
                <w:bCs/>
                <w:color w:val="auto"/>
                <w:sz w:val="24"/>
                <w:highlight w:val="none"/>
              </w:rPr>
              <w:t>采购文件章节及具体内容</w:t>
            </w:r>
          </w:p>
        </w:tc>
        <w:tc>
          <w:tcPr>
            <w:tcW w:w="3546" w:type="dxa"/>
          </w:tcPr>
          <w:p w14:paraId="047F7F3F">
            <w:pPr>
              <w:jc w:val="center"/>
              <w:rPr>
                <w:rFonts w:ascii="宋体" w:hAnsi="宋体" w:cs="宋体"/>
                <w:b/>
                <w:bCs/>
                <w:color w:val="auto"/>
                <w:sz w:val="24"/>
                <w:highlight w:val="none"/>
              </w:rPr>
            </w:pPr>
            <w:r>
              <w:rPr>
                <w:rFonts w:hint="eastAsia" w:ascii="宋体" w:hAnsi="宋体" w:cs="宋体"/>
                <w:b/>
                <w:bCs/>
                <w:color w:val="auto"/>
                <w:sz w:val="24"/>
                <w:highlight w:val="none"/>
              </w:rPr>
              <w:t>响应文件章节及具体内容</w:t>
            </w:r>
          </w:p>
        </w:tc>
        <w:tc>
          <w:tcPr>
            <w:tcW w:w="1276" w:type="dxa"/>
          </w:tcPr>
          <w:p w14:paraId="5DC74CDC">
            <w:pPr>
              <w:jc w:val="center"/>
              <w:rPr>
                <w:rFonts w:ascii="宋体" w:hAnsi="宋体" w:cs="宋体"/>
                <w:b/>
                <w:bCs/>
                <w:color w:val="auto"/>
                <w:sz w:val="24"/>
                <w:highlight w:val="none"/>
              </w:rPr>
            </w:pPr>
            <w:r>
              <w:rPr>
                <w:rFonts w:hint="eastAsia" w:ascii="宋体" w:hAnsi="宋体" w:cs="宋体"/>
                <w:b/>
                <w:bCs/>
                <w:color w:val="auto"/>
                <w:sz w:val="24"/>
                <w:highlight w:val="none"/>
              </w:rPr>
              <w:t>偏离说明</w:t>
            </w:r>
          </w:p>
        </w:tc>
      </w:tr>
      <w:tr w14:paraId="524ED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FA68822">
            <w:pPr>
              <w:jc w:val="center"/>
              <w:rPr>
                <w:rFonts w:ascii="宋体" w:hAnsi="宋体" w:cs="宋体"/>
                <w:color w:val="auto"/>
                <w:kern w:val="0"/>
                <w:sz w:val="24"/>
                <w:highlight w:val="none"/>
              </w:rPr>
            </w:pPr>
            <w:r>
              <w:rPr>
                <w:rFonts w:hint="eastAsia" w:ascii="宋体" w:hAnsi="宋体" w:cs="宋体"/>
                <w:color w:val="auto"/>
                <w:kern w:val="0"/>
                <w:sz w:val="24"/>
                <w:highlight w:val="none"/>
              </w:rPr>
              <w:t>1</w:t>
            </w:r>
          </w:p>
        </w:tc>
        <w:tc>
          <w:tcPr>
            <w:tcW w:w="3683" w:type="dxa"/>
          </w:tcPr>
          <w:p w14:paraId="3B39F22E">
            <w:pPr>
              <w:jc w:val="center"/>
              <w:rPr>
                <w:rFonts w:ascii="宋体" w:hAnsi="宋体" w:cs="宋体"/>
                <w:b/>
                <w:color w:val="auto"/>
                <w:kern w:val="0"/>
                <w:sz w:val="32"/>
                <w:szCs w:val="32"/>
                <w:highlight w:val="none"/>
              </w:rPr>
            </w:pPr>
          </w:p>
        </w:tc>
        <w:tc>
          <w:tcPr>
            <w:tcW w:w="3546" w:type="dxa"/>
          </w:tcPr>
          <w:p w14:paraId="377A5E58">
            <w:pPr>
              <w:jc w:val="center"/>
              <w:rPr>
                <w:rFonts w:ascii="宋体" w:hAnsi="宋体" w:cs="宋体"/>
                <w:b/>
                <w:color w:val="auto"/>
                <w:kern w:val="0"/>
                <w:sz w:val="32"/>
                <w:szCs w:val="32"/>
                <w:highlight w:val="none"/>
              </w:rPr>
            </w:pPr>
          </w:p>
        </w:tc>
        <w:tc>
          <w:tcPr>
            <w:tcW w:w="1276" w:type="dxa"/>
          </w:tcPr>
          <w:p w14:paraId="58E9F604">
            <w:pPr>
              <w:jc w:val="center"/>
              <w:rPr>
                <w:rFonts w:ascii="宋体" w:hAnsi="宋体" w:cs="宋体"/>
                <w:b/>
                <w:color w:val="auto"/>
                <w:kern w:val="0"/>
                <w:sz w:val="32"/>
                <w:szCs w:val="32"/>
                <w:highlight w:val="none"/>
              </w:rPr>
            </w:pPr>
          </w:p>
        </w:tc>
      </w:tr>
      <w:tr w14:paraId="084B6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4569CC8">
            <w:pPr>
              <w:jc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3683" w:type="dxa"/>
          </w:tcPr>
          <w:p w14:paraId="2234C421">
            <w:pPr>
              <w:jc w:val="center"/>
              <w:rPr>
                <w:rFonts w:ascii="宋体" w:hAnsi="宋体" w:cs="宋体"/>
                <w:b/>
                <w:color w:val="auto"/>
                <w:kern w:val="0"/>
                <w:sz w:val="32"/>
                <w:szCs w:val="32"/>
                <w:highlight w:val="none"/>
              </w:rPr>
            </w:pPr>
          </w:p>
        </w:tc>
        <w:tc>
          <w:tcPr>
            <w:tcW w:w="3546" w:type="dxa"/>
          </w:tcPr>
          <w:p w14:paraId="35AC9992">
            <w:pPr>
              <w:jc w:val="center"/>
              <w:rPr>
                <w:rFonts w:ascii="宋体" w:hAnsi="宋体" w:cs="宋体"/>
                <w:b/>
                <w:color w:val="auto"/>
                <w:kern w:val="0"/>
                <w:sz w:val="32"/>
                <w:szCs w:val="32"/>
                <w:highlight w:val="none"/>
              </w:rPr>
            </w:pPr>
          </w:p>
        </w:tc>
        <w:tc>
          <w:tcPr>
            <w:tcW w:w="1276" w:type="dxa"/>
          </w:tcPr>
          <w:p w14:paraId="39A4F20C">
            <w:pPr>
              <w:jc w:val="center"/>
              <w:rPr>
                <w:rFonts w:ascii="宋体" w:hAnsi="宋体" w:cs="宋体"/>
                <w:b/>
                <w:color w:val="auto"/>
                <w:kern w:val="0"/>
                <w:sz w:val="32"/>
                <w:szCs w:val="32"/>
                <w:highlight w:val="none"/>
              </w:rPr>
            </w:pPr>
          </w:p>
        </w:tc>
      </w:tr>
      <w:tr w14:paraId="409C7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B4E9BB7">
            <w:pPr>
              <w:jc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3683" w:type="dxa"/>
          </w:tcPr>
          <w:p w14:paraId="49400E56">
            <w:pPr>
              <w:jc w:val="center"/>
              <w:rPr>
                <w:rFonts w:ascii="宋体" w:hAnsi="宋体" w:cs="宋体"/>
                <w:b/>
                <w:color w:val="auto"/>
                <w:kern w:val="0"/>
                <w:sz w:val="32"/>
                <w:szCs w:val="32"/>
                <w:highlight w:val="none"/>
              </w:rPr>
            </w:pPr>
          </w:p>
        </w:tc>
        <w:tc>
          <w:tcPr>
            <w:tcW w:w="3546" w:type="dxa"/>
          </w:tcPr>
          <w:p w14:paraId="16DDFC05">
            <w:pPr>
              <w:jc w:val="center"/>
              <w:rPr>
                <w:rFonts w:ascii="宋体" w:hAnsi="宋体" w:cs="宋体"/>
                <w:b/>
                <w:color w:val="auto"/>
                <w:kern w:val="0"/>
                <w:sz w:val="32"/>
                <w:szCs w:val="32"/>
                <w:highlight w:val="none"/>
              </w:rPr>
            </w:pPr>
          </w:p>
        </w:tc>
        <w:tc>
          <w:tcPr>
            <w:tcW w:w="1276" w:type="dxa"/>
          </w:tcPr>
          <w:p w14:paraId="2DBC8C40">
            <w:pPr>
              <w:jc w:val="center"/>
              <w:rPr>
                <w:rFonts w:ascii="宋体" w:hAnsi="宋体" w:cs="宋体"/>
                <w:b/>
                <w:color w:val="auto"/>
                <w:kern w:val="0"/>
                <w:sz w:val="32"/>
                <w:szCs w:val="32"/>
                <w:highlight w:val="none"/>
              </w:rPr>
            </w:pPr>
          </w:p>
        </w:tc>
      </w:tr>
    </w:tbl>
    <w:p w14:paraId="6639E33C">
      <w:pPr>
        <w:jc w:val="left"/>
        <w:rPr>
          <w:rFonts w:ascii="宋体" w:hAnsi="宋体" w:cs="宋体"/>
          <w:color w:val="auto"/>
          <w:kern w:val="0"/>
          <w:sz w:val="24"/>
          <w:highlight w:val="none"/>
        </w:rPr>
      </w:pPr>
      <w:r>
        <w:rPr>
          <w:rFonts w:hint="eastAsia" w:ascii="宋体" w:hAnsi="宋体" w:cs="宋体"/>
          <w:color w:val="auto"/>
          <w:kern w:val="0"/>
          <w:sz w:val="24"/>
          <w:highlight w:val="none"/>
        </w:rPr>
        <w:t>供应商保证：除商务技术偏离表列出的偏离外，供应商响应采购文件的全部要求</w:t>
      </w:r>
    </w:p>
    <w:p w14:paraId="5B23162C">
      <w:pPr>
        <w:jc w:val="center"/>
        <w:rPr>
          <w:rFonts w:ascii="宋体" w:hAnsi="宋体" w:cs="宋体"/>
          <w:b/>
          <w:color w:val="auto"/>
          <w:kern w:val="0"/>
          <w:sz w:val="32"/>
          <w:szCs w:val="32"/>
          <w:highlight w:val="none"/>
        </w:rPr>
      </w:pPr>
    </w:p>
    <w:p w14:paraId="234304A0">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5D514A14">
      <w:pPr>
        <w:ind w:firstLine="1911" w:firstLineChars="595"/>
        <w:rPr>
          <w:rFonts w:ascii="宋体" w:hAnsi="宋体" w:cs="宋体"/>
          <w:b/>
          <w:bCs/>
          <w:color w:val="auto"/>
          <w:sz w:val="32"/>
          <w:szCs w:val="32"/>
          <w:highlight w:val="none"/>
        </w:rPr>
        <w:sectPr>
          <w:footerReference r:id="rId12" w:type="first"/>
          <w:footerReference r:id="rId11" w:type="default"/>
          <w:pgSz w:w="11906" w:h="16838"/>
          <w:pgMar w:top="1440" w:right="1080" w:bottom="1440" w:left="1080" w:header="851" w:footer="992" w:gutter="0"/>
          <w:cols w:space="720" w:num="1"/>
          <w:titlePg/>
          <w:docGrid w:linePitch="312" w:charSpace="0"/>
        </w:sectPr>
      </w:pPr>
    </w:p>
    <w:p w14:paraId="4D746992">
      <w:pPr>
        <w:snapToGrid w:val="0"/>
        <w:jc w:val="center"/>
        <w:rPr>
          <w:rFonts w:ascii="宋体" w:hAnsi="宋体" w:cs="宋体"/>
          <w:b/>
          <w:color w:val="auto"/>
          <w:kern w:val="0"/>
          <w:sz w:val="32"/>
          <w:szCs w:val="32"/>
          <w:highlight w:val="none"/>
        </w:rPr>
      </w:pPr>
      <w:r>
        <w:rPr>
          <w:rFonts w:hint="eastAsia" w:ascii="宋体" w:hAnsi="宋体" w:cs="宋体"/>
          <w:b/>
          <w:bCs/>
          <w:color w:val="auto"/>
          <w:sz w:val="32"/>
          <w:szCs w:val="32"/>
          <w:highlight w:val="none"/>
        </w:rPr>
        <w:t>七</w:t>
      </w:r>
      <w:r>
        <w:rPr>
          <w:rFonts w:hint="eastAsia" w:ascii="宋体" w:hAnsi="宋体" w:cs="宋体"/>
          <w:b/>
          <w:color w:val="auto"/>
          <w:kern w:val="0"/>
          <w:sz w:val="32"/>
          <w:szCs w:val="32"/>
          <w:highlight w:val="none"/>
        </w:rPr>
        <w:t>、</w:t>
      </w:r>
      <w:r>
        <w:rPr>
          <w:rFonts w:hint="eastAsia" w:ascii="宋体" w:hAnsi="宋体" w:cs="宋体"/>
          <w:b/>
          <w:color w:val="auto"/>
          <w:kern w:val="0"/>
          <w:sz w:val="32"/>
          <w:szCs w:val="32"/>
          <w:highlight w:val="none"/>
          <w:lang w:val="zh-CN"/>
        </w:rPr>
        <w:t>政府采购供应商廉洁自律承诺书</w:t>
      </w:r>
    </w:p>
    <w:p w14:paraId="1796E362">
      <w:pPr>
        <w:snapToGrid w:val="0"/>
        <w:spacing w:line="360" w:lineRule="auto"/>
        <w:rPr>
          <w:rFonts w:ascii="宋体" w:hAnsi="宋体" w:cs="宋体"/>
          <w:color w:val="auto"/>
          <w:sz w:val="24"/>
          <w:highlight w:val="none"/>
        </w:rPr>
      </w:pPr>
    </w:p>
    <w:p w14:paraId="634E5541">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7FA6EEEC">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我单位响应你</w:t>
      </w:r>
      <w:r>
        <w:rPr>
          <w:rFonts w:hint="eastAsia" w:ascii="宋体" w:hAnsi="宋体" w:cs="宋体"/>
          <w:color w:val="auto"/>
          <w:sz w:val="24"/>
          <w:highlight w:val="none"/>
        </w:rPr>
        <w:t>单位</w:t>
      </w:r>
      <w:r>
        <w:rPr>
          <w:rFonts w:hint="eastAsia" w:ascii="宋体" w:hAnsi="宋体" w:cs="宋体"/>
          <w:color w:val="auto"/>
          <w:kern w:val="0"/>
          <w:sz w:val="24"/>
          <w:highlight w:val="none"/>
          <w:lang w:val="zh-CN"/>
        </w:rPr>
        <w:t>项目招标要求参加投标。在这次投标过程中和中标后，我们将严格遵守国家法律法规要求，并郑重承诺：</w:t>
      </w:r>
    </w:p>
    <w:p w14:paraId="545C1448">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一、不向项目有关人员及部门赠送礼金礼物、有价证券、回扣以及中介费、介绍费、咨询费等好处费； </w:t>
      </w:r>
    </w:p>
    <w:p w14:paraId="342AD30C">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二、不为项目有关人员及部门报销应由你方单位或个人支付的费用； </w:t>
      </w:r>
    </w:p>
    <w:p w14:paraId="2A6F2561">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三、不向项目有关人员及部门提供有可能影响公正的宴请和健身娱乐等活动； </w:t>
      </w:r>
    </w:p>
    <w:p w14:paraId="26E38E45">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四、不为项目有关人员及部门出国（境）、旅游等提供方便；</w:t>
      </w:r>
    </w:p>
    <w:p w14:paraId="483B4711">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五、不为项目有关人员个人装修住房、婚丧嫁娶、配偶子女工作安排等提供好处；</w:t>
      </w:r>
    </w:p>
    <w:p w14:paraId="2B835BBD">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7459F0DF">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7D454D2E">
      <w:pPr>
        <w:autoSpaceDE w:val="0"/>
        <w:autoSpaceDN w:val="0"/>
        <w:spacing w:line="360" w:lineRule="auto"/>
        <w:ind w:left="2"/>
        <w:jc w:val="left"/>
        <w:rPr>
          <w:rFonts w:ascii="宋体" w:hAnsi="宋体" w:cs="宋体"/>
          <w:color w:val="auto"/>
          <w:kern w:val="0"/>
          <w:sz w:val="24"/>
          <w:highlight w:val="none"/>
          <w:lang w:val="zh-CN"/>
        </w:rPr>
      </w:pPr>
    </w:p>
    <w:p w14:paraId="3E831D0A">
      <w:pPr>
        <w:autoSpaceDE w:val="0"/>
        <w:autoSpaceDN w:val="0"/>
        <w:spacing w:line="360" w:lineRule="auto"/>
        <w:ind w:left="2"/>
        <w:jc w:val="left"/>
        <w:rPr>
          <w:rFonts w:ascii="宋体" w:hAnsi="宋体" w:cs="宋体"/>
          <w:color w:val="auto"/>
          <w:kern w:val="0"/>
          <w:sz w:val="24"/>
          <w:highlight w:val="none"/>
          <w:lang w:val="zh-CN"/>
        </w:rPr>
      </w:pPr>
    </w:p>
    <w:p w14:paraId="5F1B7FD2">
      <w:pPr>
        <w:autoSpaceDE w:val="0"/>
        <w:autoSpaceDN w:val="0"/>
        <w:spacing w:line="360" w:lineRule="auto"/>
        <w:ind w:left="2"/>
        <w:jc w:val="left"/>
        <w:rPr>
          <w:rFonts w:ascii="宋体" w:hAnsi="宋体" w:cs="宋体"/>
          <w:color w:val="auto"/>
          <w:kern w:val="0"/>
          <w:sz w:val="24"/>
          <w:highlight w:val="none"/>
          <w:lang w:val="zh-CN"/>
        </w:rPr>
      </w:pPr>
    </w:p>
    <w:p w14:paraId="199A1EA2">
      <w:pPr>
        <w:autoSpaceDE w:val="0"/>
        <w:autoSpaceDN w:val="0"/>
        <w:spacing w:line="360" w:lineRule="auto"/>
        <w:ind w:left="2" w:leftChars="1" w:right="1120" w:firstLine="4560" w:firstLineChars="19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供应商名称（</w:t>
      </w:r>
      <w:r>
        <w:rPr>
          <w:rFonts w:hint="eastAsia" w:ascii="宋体" w:hAnsi="宋体" w:cs="宋体"/>
          <w:color w:val="auto"/>
          <w:sz w:val="24"/>
          <w:highlight w:val="none"/>
        </w:rPr>
        <w:t>电子签名</w:t>
      </w:r>
      <w:r>
        <w:rPr>
          <w:rFonts w:hint="eastAsia" w:ascii="宋体" w:hAnsi="宋体" w:cs="宋体"/>
          <w:color w:val="auto"/>
          <w:kern w:val="0"/>
          <w:sz w:val="24"/>
          <w:highlight w:val="none"/>
          <w:lang w:val="zh-CN"/>
        </w:rPr>
        <w:t xml:space="preserve">）：                                                                                                                                                                                                               </w:t>
      </w:r>
    </w:p>
    <w:p w14:paraId="3D2F7B29">
      <w:pPr>
        <w:spacing w:line="360" w:lineRule="auto"/>
        <w:ind w:left="4620" w:leftChars="2200"/>
        <w:rPr>
          <w:rFonts w:ascii="宋体" w:hAnsi="宋体" w:cs="宋体"/>
          <w:color w:val="auto"/>
          <w:sz w:val="24"/>
          <w:highlight w:val="none"/>
        </w:rPr>
      </w:pP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 xml:space="preserve">   年   月   日</w:t>
      </w:r>
    </w:p>
    <w:p w14:paraId="32E937E5">
      <w:pPr>
        <w:spacing w:line="360" w:lineRule="auto"/>
        <w:jc w:val="center"/>
        <w:rPr>
          <w:rFonts w:ascii="宋体" w:hAnsi="宋体" w:cs="宋体"/>
          <w:b/>
          <w:bCs/>
          <w:color w:val="auto"/>
          <w:sz w:val="24"/>
          <w:highlight w:val="none"/>
        </w:rPr>
      </w:pPr>
    </w:p>
    <w:p w14:paraId="230621FB">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7A0C9B2A">
      <w:pPr>
        <w:spacing w:line="360" w:lineRule="auto"/>
        <w:jc w:val="center"/>
        <w:rPr>
          <w:rFonts w:ascii="宋体" w:hAnsi="宋体" w:cs="宋体"/>
          <w:b/>
          <w:bCs/>
          <w:color w:val="auto"/>
          <w:sz w:val="24"/>
          <w:highlight w:val="none"/>
        </w:rPr>
        <w:sectPr>
          <w:pgSz w:w="11906" w:h="16838"/>
          <w:pgMar w:top="1440" w:right="1080" w:bottom="1440" w:left="1080" w:header="851" w:footer="992" w:gutter="0"/>
          <w:cols w:space="720" w:num="1"/>
          <w:titlePg/>
          <w:docGrid w:linePitch="312" w:charSpace="0"/>
        </w:sectPr>
      </w:pPr>
    </w:p>
    <w:p w14:paraId="6CCE0C6B">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报价文件部分</w:t>
      </w:r>
    </w:p>
    <w:p w14:paraId="20A991EA">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目录</w:t>
      </w:r>
    </w:p>
    <w:p w14:paraId="35AB2FCC">
      <w:pPr>
        <w:spacing w:line="360" w:lineRule="auto"/>
        <w:jc w:val="center"/>
        <w:outlineLvl w:val="0"/>
        <w:rPr>
          <w:rFonts w:ascii="宋体" w:hAnsi="宋体" w:cs="宋体"/>
          <w:b/>
          <w:color w:val="auto"/>
          <w:kern w:val="0"/>
          <w:sz w:val="36"/>
          <w:szCs w:val="36"/>
          <w:highlight w:val="none"/>
        </w:rPr>
      </w:pPr>
    </w:p>
    <w:p w14:paraId="11BB2DAE">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（1）报价单…………………………………………………………………………（页码）</w:t>
      </w:r>
    </w:p>
    <w:p w14:paraId="08A675F0">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（2）已标价工程量清单……………………………………………………………（页码）</w:t>
      </w:r>
    </w:p>
    <w:p w14:paraId="582EA4DB">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（3）中小企业声明函………………………………………………………………（页码）</w:t>
      </w:r>
    </w:p>
    <w:p w14:paraId="648F8DC3">
      <w:pPr>
        <w:snapToGrid w:val="0"/>
        <w:spacing w:line="360" w:lineRule="auto"/>
        <w:ind w:right="480"/>
        <w:jc w:val="center"/>
        <w:rPr>
          <w:rFonts w:ascii="宋体" w:hAnsi="宋体" w:cs="宋体"/>
          <w:b/>
          <w:color w:val="auto"/>
          <w:kern w:val="0"/>
          <w:sz w:val="32"/>
          <w:szCs w:val="32"/>
          <w:highlight w:val="none"/>
        </w:rPr>
      </w:pPr>
    </w:p>
    <w:p w14:paraId="0AE062BE">
      <w:pPr>
        <w:snapToGrid w:val="0"/>
        <w:spacing w:line="360" w:lineRule="auto"/>
        <w:ind w:right="480"/>
        <w:jc w:val="center"/>
        <w:rPr>
          <w:rFonts w:ascii="宋体" w:hAnsi="宋体" w:cs="宋体"/>
          <w:b/>
          <w:color w:val="auto"/>
          <w:kern w:val="0"/>
          <w:sz w:val="32"/>
          <w:szCs w:val="32"/>
          <w:highlight w:val="none"/>
        </w:rPr>
      </w:pPr>
    </w:p>
    <w:p w14:paraId="0F08777A">
      <w:pPr>
        <w:snapToGrid w:val="0"/>
        <w:spacing w:line="360" w:lineRule="auto"/>
        <w:ind w:right="480"/>
        <w:jc w:val="center"/>
        <w:rPr>
          <w:rFonts w:ascii="宋体" w:hAnsi="宋体" w:cs="宋体"/>
          <w:b/>
          <w:color w:val="auto"/>
          <w:kern w:val="0"/>
          <w:sz w:val="32"/>
          <w:szCs w:val="32"/>
          <w:highlight w:val="none"/>
        </w:rPr>
      </w:pPr>
    </w:p>
    <w:p w14:paraId="31FD0EA7">
      <w:pPr>
        <w:snapToGrid w:val="0"/>
        <w:spacing w:line="360" w:lineRule="auto"/>
        <w:ind w:right="480"/>
        <w:jc w:val="center"/>
        <w:rPr>
          <w:rFonts w:ascii="宋体" w:hAnsi="宋体" w:cs="宋体"/>
          <w:b/>
          <w:color w:val="auto"/>
          <w:kern w:val="0"/>
          <w:sz w:val="32"/>
          <w:szCs w:val="32"/>
          <w:highlight w:val="none"/>
        </w:rPr>
      </w:pPr>
    </w:p>
    <w:p w14:paraId="7342343F">
      <w:pPr>
        <w:snapToGrid w:val="0"/>
        <w:spacing w:line="360" w:lineRule="auto"/>
        <w:ind w:right="480"/>
        <w:jc w:val="center"/>
        <w:rPr>
          <w:rFonts w:ascii="宋体" w:hAnsi="宋体" w:cs="宋体"/>
          <w:b/>
          <w:color w:val="auto"/>
          <w:kern w:val="0"/>
          <w:sz w:val="32"/>
          <w:szCs w:val="32"/>
          <w:highlight w:val="none"/>
        </w:rPr>
      </w:pPr>
    </w:p>
    <w:p w14:paraId="79A40874">
      <w:pPr>
        <w:snapToGrid w:val="0"/>
        <w:spacing w:line="360" w:lineRule="auto"/>
        <w:ind w:right="480"/>
        <w:jc w:val="center"/>
        <w:rPr>
          <w:rFonts w:ascii="宋体" w:hAnsi="宋体" w:cs="宋体"/>
          <w:b/>
          <w:color w:val="auto"/>
          <w:kern w:val="0"/>
          <w:sz w:val="32"/>
          <w:szCs w:val="32"/>
          <w:highlight w:val="none"/>
        </w:rPr>
      </w:pPr>
    </w:p>
    <w:p w14:paraId="43892863">
      <w:pPr>
        <w:snapToGrid w:val="0"/>
        <w:spacing w:line="360" w:lineRule="auto"/>
        <w:ind w:right="480"/>
        <w:jc w:val="center"/>
        <w:rPr>
          <w:rFonts w:ascii="宋体" w:hAnsi="宋体" w:cs="宋体"/>
          <w:b/>
          <w:color w:val="auto"/>
          <w:kern w:val="0"/>
          <w:sz w:val="32"/>
          <w:szCs w:val="32"/>
          <w:highlight w:val="none"/>
        </w:rPr>
      </w:pPr>
    </w:p>
    <w:p w14:paraId="34DA9B9C">
      <w:pPr>
        <w:snapToGrid w:val="0"/>
        <w:spacing w:line="360" w:lineRule="auto"/>
        <w:ind w:right="480"/>
        <w:jc w:val="center"/>
        <w:rPr>
          <w:rFonts w:ascii="宋体" w:hAnsi="宋体" w:cs="宋体"/>
          <w:b/>
          <w:color w:val="auto"/>
          <w:kern w:val="0"/>
          <w:sz w:val="32"/>
          <w:szCs w:val="32"/>
          <w:highlight w:val="none"/>
        </w:rPr>
      </w:pPr>
    </w:p>
    <w:p w14:paraId="0C368CCD">
      <w:pPr>
        <w:snapToGrid w:val="0"/>
        <w:spacing w:line="360" w:lineRule="auto"/>
        <w:ind w:right="480"/>
        <w:jc w:val="center"/>
        <w:rPr>
          <w:rFonts w:ascii="宋体" w:hAnsi="宋体" w:cs="宋体"/>
          <w:b/>
          <w:color w:val="auto"/>
          <w:kern w:val="0"/>
          <w:sz w:val="32"/>
          <w:szCs w:val="32"/>
          <w:highlight w:val="none"/>
        </w:rPr>
      </w:pPr>
    </w:p>
    <w:p w14:paraId="48B4F231">
      <w:pPr>
        <w:snapToGrid w:val="0"/>
        <w:spacing w:line="360" w:lineRule="auto"/>
        <w:ind w:right="480"/>
        <w:jc w:val="center"/>
        <w:rPr>
          <w:rFonts w:ascii="宋体" w:hAnsi="宋体" w:cs="宋体"/>
          <w:b/>
          <w:color w:val="auto"/>
          <w:kern w:val="0"/>
          <w:sz w:val="32"/>
          <w:szCs w:val="32"/>
          <w:highlight w:val="none"/>
        </w:rPr>
      </w:pPr>
    </w:p>
    <w:p w14:paraId="7A540492">
      <w:pPr>
        <w:snapToGrid w:val="0"/>
        <w:spacing w:line="360" w:lineRule="auto"/>
        <w:ind w:right="480"/>
        <w:jc w:val="center"/>
        <w:rPr>
          <w:rFonts w:ascii="宋体" w:hAnsi="宋体" w:cs="宋体"/>
          <w:b/>
          <w:color w:val="auto"/>
          <w:kern w:val="0"/>
          <w:sz w:val="32"/>
          <w:szCs w:val="32"/>
          <w:highlight w:val="none"/>
        </w:rPr>
      </w:pPr>
    </w:p>
    <w:p w14:paraId="72C9EAC2">
      <w:pPr>
        <w:snapToGrid w:val="0"/>
        <w:spacing w:line="360" w:lineRule="auto"/>
        <w:ind w:right="480"/>
        <w:jc w:val="center"/>
        <w:rPr>
          <w:rFonts w:ascii="宋体" w:hAnsi="宋体" w:cs="宋体"/>
          <w:b/>
          <w:color w:val="auto"/>
          <w:kern w:val="0"/>
          <w:sz w:val="32"/>
          <w:szCs w:val="32"/>
          <w:highlight w:val="none"/>
        </w:rPr>
      </w:pPr>
    </w:p>
    <w:p w14:paraId="3A2F6C56">
      <w:pPr>
        <w:snapToGrid w:val="0"/>
        <w:spacing w:line="360" w:lineRule="auto"/>
        <w:ind w:right="480"/>
        <w:jc w:val="center"/>
        <w:rPr>
          <w:rFonts w:ascii="宋体" w:hAnsi="宋体" w:cs="宋体"/>
          <w:b/>
          <w:color w:val="auto"/>
          <w:kern w:val="0"/>
          <w:sz w:val="32"/>
          <w:szCs w:val="32"/>
          <w:highlight w:val="none"/>
        </w:rPr>
      </w:pPr>
    </w:p>
    <w:p w14:paraId="502BCAC3">
      <w:pPr>
        <w:snapToGrid w:val="0"/>
        <w:spacing w:line="360" w:lineRule="auto"/>
        <w:ind w:right="480"/>
        <w:jc w:val="center"/>
        <w:rPr>
          <w:rFonts w:ascii="宋体" w:hAnsi="宋体" w:cs="宋体"/>
          <w:b/>
          <w:color w:val="auto"/>
          <w:kern w:val="0"/>
          <w:sz w:val="32"/>
          <w:szCs w:val="32"/>
          <w:highlight w:val="none"/>
        </w:rPr>
      </w:pPr>
    </w:p>
    <w:p w14:paraId="5F755164">
      <w:pPr>
        <w:snapToGrid w:val="0"/>
        <w:spacing w:line="360" w:lineRule="auto"/>
        <w:ind w:right="480"/>
        <w:jc w:val="center"/>
        <w:rPr>
          <w:rFonts w:ascii="宋体" w:hAnsi="宋体" w:cs="宋体"/>
          <w:b/>
          <w:color w:val="auto"/>
          <w:kern w:val="0"/>
          <w:sz w:val="32"/>
          <w:szCs w:val="32"/>
          <w:highlight w:val="none"/>
        </w:rPr>
      </w:pPr>
    </w:p>
    <w:p w14:paraId="06131D4C">
      <w:pPr>
        <w:pStyle w:val="693"/>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sectPr>
          <w:footerReference r:id="rId15" w:type="first"/>
          <w:headerReference r:id="rId13" w:type="default"/>
          <w:footerReference r:id="rId14" w:type="default"/>
          <w:pgSz w:w="11906" w:h="16838"/>
          <w:pgMar w:top="1440" w:right="1080" w:bottom="1440" w:left="1080" w:header="851" w:footer="992" w:gutter="0"/>
          <w:cols w:space="720" w:num="1"/>
          <w:titlePg/>
          <w:docGrid w:linePitch="312" w:charSpace="0"/>
        </w:sectPr>
      </w:pPr>
    </w:p>
    <w:p w14:paraId="3FA06C65">
      <w:pPr>
        <w:pStyle w:val="693"/>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pPr>
      <w:r>
        <w:rPr>
          <w:rFonts w:hint="eastAsia" w:ascii="宋体" w:hAnsi="宋体" w:eastAsia="宋体" w:cs="宋体"/>
          <w:color w:val="auto"/>
          <w:kern w:val="2"/>
          <w:sz w:val="32"/>
          <w:szCs w:val="32"/>
          <w:highlight w:val="none"/>
        </w:rPr>
        <w:t>一、报价单</w:t>
      </w:r>
    </w:p>
    <w:p w14:paraId="0A99D2E5">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03CFCA21">
      <w:pPr>
        <w:snapToGrid w:val="0"/>
        <w:spacing w:line="360" w:lineRule="auto"/>
        <w:ind w:firstLine="482"/>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按你方采购文件要求，我们，本响应文件签字方，谨此向你方发出要约如下：如你方接受本投标，我方承诺按照如下报价单的价格完成</w:t>
      </w:r>
      <w:r>
        <w:rPr>
          <w:rFonts w:hint="eastAsia" w:ascii="宋体" w:hAnsi="宋体" w:cs="宋体"/>
          <w:color w:val="auto"/>
          <w:sz w:val="24"/>
          <w:highlight w:val="none"/>
        </w:rPr>
        <w:t>（项目名称）</w:t>
      </w:r>
      <w:r>
        <w:rPr>
          <w:rFonts w:hint="eastAsia" w:ascii="宋体" w:hAnsi="宋体" w:cs="宋体"/>
          <w:color w:val="auto"/>
          <w:kern w:val="0"/>
          <w:sz w:val="24"/>
          <w:highlight w:val="none"/>
          <w:lang w:val="zh-CN"/>
        </w:rPr>
        <w:t>【项目编号：</w:t>
      </w:r>
      <w:r>
        <w:rPr>
          <w:rFonts w:hint="eastAsia" w:ascii="宋体" w:hAnsi="宋体" w:cs="宋体"/>
          <w:color w:val="auto"/>
          <w:sz w:val="24"/>
          <w:highlight w:val="none"/>
        </w:rPr>
        <w:t>（采购编号）】的实施</w:t>
      </w:r>
      <w:r>
        <w:rPr>
          <w:rFonts w:hint="eastAsia" w:ascii="宋体" w:hAnsi="宋体" w:cs="宋体"/>
          <w:color w:val="auto"/>
          <w:kern w:val="0"/>
          <w:sz w:val="24"/>
          <w:highlight w:val="none"/>
          <w:lang w:val="zh-CN"/>
        </w:rPr>
        <w:t>。</w:t>
      </w:r>
    </w:p>
    <w:p w14:paraId="54BCCD85">
      <w:pPr>
        <w:spacing w:line="360" w:lineRule="auto"/>
        <w:jc w:val="center"/>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报价单(单位均为人民币元)</w:t>
      </w:r>
    </w:p>
    <w:tbl>
      <w:tblPr>
        <w:tblStyle w:val="63"/>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3118"/>
        <w:gridCol w:w="2552"/>
        <w:gridCol w:w="1984"/>
        <w:gridCol w:w="3119"/>
      </w:tblGrid>
      <w:tr w14:paraId="327DD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951" w:type="dxa"/>
            <w:vAlign w:val="center"/>
          </w:tcPr>
          <w:p w14:paraId="104BA39A">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项目名称</w:t>
            </w:r>
          </w:p>
        </w:tc>
        <w:tc>
          <w:tcPr>
            <w:tcW w:w="1843" w:type="dxa"/>
          </w:tcPr>
          <w:p w14:paraId="48543142">
            <w:pPr>
              <w:spacing w:line="360" w:lineRule="auto"/>
              <w:jc w:val="center"/>
              <w:rPr>
                <w:rFonts w:ascii="宋体" w:hAnsi="宋体" w:cs="宋体"/>
                <w:b/>
                <w:color w:val="auto"/>
                <w:sz w:val="24"/>
                <w:highlight w:val="none"/>
              </w:rPr>
            </w:pPr>
          </w:p>
          <w:p w14:paraId="19E5A159">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施工范围</w:t>
            </w:r>
          </w:p>
        </w:tc>
        <w:tc>
          <w:tcPr>
            <w:tcW w:w="3118" w:type="dxa"/>
            <w:vAlign w:val="center"/>
          </w:tcPr>
          <w:p w14:paraId="0A435414">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施工工期</w:t>
            </w:r>
          </w:p>
        </w:tc>
        <w:tc>
          <w:tcPr>
            <w:tcW w:w="2552" w:type="dxa"/>
            <w:vAlign w:val="center"/>
          </w:tcPr>
          <w:p w14:paraId="3A2B7B14">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项目经理</w:t>
            </w:r>
          </w:p>
        </w:tc>
        <w:tc>
          <w:tcPr>
            <w:tcW w:w="1984" w:type="dxa"/>
            <w:vAlign w:val="center"/>
          </w:tcPr>
          <w:p w14:paraId="3108E991">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执业证书信息</w:t>
            </w:r>
          </w:p>
        </w:tc>
        <w:tc>
          <w:tcPr>
            <w:tcW w:w="3119" w:type="dxa"/>
            <w:vAlign w:val="center"/>
          </w:tcPr>
          <w:p w14:paraId="7C8AA76A">
            <w:pPr>
              <w:spacing w:line="360" w:lineRule="auto"/>
              <w:jc w:val="center"/>
              <w:rPr>
                <w:rFonts w:ascii="宋体" w:hAnsi="宋体" w:cs="宋体"/>
                <w:b/>
                <w:color w:val="auto"/>
                <w:sz w:val="24"/>
                <w:highlight w:val="none"/>
              </w:rPr>
            </w:pPr>
          </w:p>
          <w:p w14:paraId="33A8B0D6">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备注（如果有）</w:t>
            </w:r>
          </w:p>
          <w:p w14:paraId="48197D50">
            <w:pPr>
              <w:spacing w:line="360" w:lineRule="auto"/>
              <w:jc w:val="center"/>
              <w:rPr>
                <w:rFonts w:ascii="宋体" w:hAnsi="宋体" w:cs="宋体"/>
                <w:b/>
                <w:color w:val="auto"/>
                <w:sz w:val="24"/>
                <w:highlight w:val="none"/>
              </w:rPr>
            </w:pPr>
          </w:p>
        </w:tc>
      </w:tr>
      <w:tr w14:paraId="04E8C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vAlign w:val="center"/>
          </w:tcPr>
          <w:p w14:paraId="657D73C2">
            <w:pPr>
              <w:snapToGrid w:val="0"/>
              <w:spacing w:line="360" w:lineRule="auto"/>
              <w:jc w:val="center"/>
              <w:rPr>
                <w:rFonts w:ascii="宋体" w:hAnsi="宋体" w:cs="宋体"/>
                <w:color w:val="auto"/>
                <w:sz w:val="24"/>
                <w:highlight w:val="none"/>
              </w:rPr>
            </w:pPr>
          </w:p>
        </w:tc>
        <w:tc>
          <w:tcPr>
            <w:tcW w:w="1843" w:type="dxa"/>
            <w:vAlign w:val="center"/>
          </w:tcPr>
          <w:p w14:paraId="3A11D23A">
            <w:pPr>
              <w:snapToGrid w:val="0"/>
              <w:spacing w:line="360" w:lineRule="auto"/>
              <w:jc w:val="center"/>
              <w:rPr>
                <w:rFonts w:ascii="宋体" w:hAnsi="宋体" w:cs="宋体"/>
                <w:color w:val="auto"/>
                <w:sz w:val="24"/>
                <w:highlight w:val="none"/>
              </w:rPr>
            </w:pPr>
          </w:p>
        </w:tc>
        <w:tc>
          <w:tcPr>
            <w:tcW w:w="3118" w:type="dxa"/>
            <w:vAlign w:val="center"/>
          </w:tcPr>
          <w:p w14:paraId="16A0947F">
            <w:pPr>
              <w:snapToGrid w:val="0"/>
              <w:spacing w:line="360" w:lineRule="auto"/>
              <w:jc w:val="center"/>
              <w:rPr>
                <w:rFonts w:ascii="宋体" w:hAnsi="宋体" w:cs="宋体"/>
                <w:color w:val="auto"/>
                <w:sz w:val="24"/>
                <w:highlight w:val="none"/>
              </w:rPr>
            </w:pPr>
          </w:p>
        </w:tc>
        <w:tc>
          <w:tcPr>
            <w:tcW w:w="2552" w:type="dxa"/>
            <w:vAlign w:val="center"/>
          </w:tcPr>
          <w:p w14:paraId="1B511A54">
            <w:pPr>
              <w:spacing w:line="360" w:lineRule="auto"/>
              <w:jc w:val="center"/>
              <w:rPr>
                <w:rFonts w:ascii="宋体" w:hAnsi="宋体" w:cs="宋体"/>
                <w:color w:val="auto"/>
                <w:sz w:val="24"/>
                <w:highlight w:val="none"/>
              </w:rPr>
            </w:pPr>
          </w:p>
        </w:tc>
        <w:tc>
          <w:tcPr>
            <w:tcW w:w="1984" w:type="dxa"/>
            <w:vAlign w:val="center"/>
          </w:tcPr>
          <w:p w14:paraId="5AA2CCDD">
            <w:pPr>
              <w:spacing w:line="360" w:lineRule="auto"/>
              <w:jc w:val="center"/>
              <w:rPr>
                <w:rFonts w:ascii="宋体" w:hAnsi="宋体" w:cs="宋体"/>
                <w:color w:val="auto"/>
                <w:sz w:val="24"/>
                <w:highlight w:val="none"/>
              </w:rPr>
            </w:pPr>
          </w:p>
        </w:tc>
        <w:tc>
          <w:tcPr>
            <w:tcW w:w="3119" w:type="dxa"/>
            <w:vAlign w:val="center"/>
          </w:tcPr>
          <w:p w14:paraId="1F840089">
            <w:pPr>
              <w:spacing w:line="360" w:lineRule="auto"/>
              <w:jc w:val="center"/>
              <w:rPr>
                <w:rFonts w:ascii="宋体" w:hAnsi="宋体" w:cs="宋体"/>
                <w:color w:val="auto"/>
                <w:sz w:val="24"/>
                <w:highlight w:val="none"/>
              </w:rPr>
            </w:pPr>
          </w:p>
        </w:tc>
      </w:tr>
      <w:tr w14:paraId="3FCD8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14:paraId="018049B2">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磋商报价（小写）</w:t>
            </w:r>
          </w:p>
        </w:tc>
        <w:tc>
          <w:tcPr>
            <w:tcW w:w="7655" w:type="dxa"/>
            <w:gridSpan w:val="3"/>
            <w:vAlign w:val="center"/>
          </w:tcPr>
          <w:p w14:paraId="7CE981AF">
            <w:pPr>
              <w:spacing w:line="360" w:lineRule="auto"/>
              <w:jc w:val="center"/>
              <w:rPr>
                <w:rFonts w:ascii="宋体" w:hAnsi="宋体" w:cs="宋体"/>
                <w:color w:val="auto"/>
                <w:sz w:val="24"/>
                <w:highlight w:val="none"/>
              </w:rPr>
            </w:pPr>
          </w:p>
        </w:tc>
      </w:tr>
      <w:tr w14:paraId="4DF1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vAlign w:val="center"/>
          </w:tcPr>
          <w:p w14:paraId="6D91D8EA">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磋商报价（大写）</w:t>
            </w:r>
          </w:p>
        </w:tc>
        <w:tc>
          <w:tcPr>
            <w:tcW w:w="7655" w:type="dxa"/>
            <w:gridSpan w:val="3"/>
            <w:vAlign w:val="center"/>
          </w:tcPr>
          <w:p w14:paraId="472FC97D">
            <w:pPr>
              <w:spacing w:line="360" w:lineRule="auto"/>
              <w:jc w:val="center"/>
              <w:rPr>
                <w:rFonts w:ascii="宋体" w:hAnsi="宋体" w:cs="宋体"/>
                <w:color w:val="auto"/>
                <w:sz w:val="24"/>
                <w:highlight w:val="none"/>
              </w:rPr>
            </w:pPr>
          </w:p>
        </w:tc>
      </w:tr>
    </w:tbl>
    <w:p w14:paraId="1EEAE5BE">
      <w:pPr>
        <w:snapToGrid w:val="0"/>
        <w:spacing w:line="360" w:lineRule="auto"/>
        <w:ind w:left="480"/>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注：</w:t>
      </w:r>
    </w:p>
    <w:p w14:paraId="67FF8119">
      <w:pPr>
        <w:spacing w:line="360" w:lineRule="auto"/>
        <w:ind w:left="-2" w:leftChars="-1"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1、供应商需按本表格式填写</w:t>
      </w:r>
      <w:r>
        <w:rPr>
          <w:rFonts w:hint="eastAsia" w:ascii="宋体" w:hAnsi="宋体" w:cs="宋体"/>
          <w:b/>
          <w:color w:val="auto"/>
          <w:kern w:val="0"/>
          <w:sz w:val="24"/>
          <w:highlight w:val="none"/>
          <w:lang w:val="zh-CN"/>
        </w:rPr>
        <w:t>，</w:t>
      </w:r>
      <w:r>
        <w:rPr>
          <w:rFonts w:hint="eastAsia" w:ascii="宋体" w:hAnsi="宋体" w:cs="宋体"/>
          <w:b/>
          <w:color w:val="auto"/>
          <w:kern w:val="0"/>
          <w:sz w:val="24"/>
          <w:highlight w:val="none"/>
        </w:rPr>
        <w:t>否则视为</w:t>
      </w:r>
      <w:r>
        <w:rPr>
          <w:rFonts w:hint="eastAsia" w:ascii="宋体" w:hAnsi="宋体" w:cs="宋体"/>
          <w:b/>
          <w:color w:val="auto"/>
          <w:sz w:val="24"/>
          <w:highlight w:val="none"/>
        </w:rPr>
        <w:t>响应文件含有采购人不能接受的附加条件，响应文件无效</w:t>
      </w:r>
      <w:r>
        <w:rPr>
          <w:rFonts w:hint="eastAsia" w:ascii="宋体" w:hAnsi="宋体" w:cs="宋体"/>
          <w:b/>
          <w:color w:val="auto"/>
          <w:kern w:val="0"/>
          <w:sz w:val="24"/>
          <w:highlight w:val="none"/>
          <w:lang w:val="zh-CN"/>
        </w:rPr>
        <w:t>；</w:t>
      </w:r>
      <w:r>
        <w:rPr>
          <w:rFonts w:hint="eastAsia" w:ascii="宋体" w:hAnsi="宋体" w:cs="宋体"/>
          <w:color w:val="auto"/>
          <w:kern w:val="0"/>
          <w:sz w:val="24"/>
          <w:highlight w:val="none"/>
          <w:lang w:val="zh-CN"/>
        </w:rPr>
        <w:t>。</w:t>
      </w:r>
    </w:p>
    <w:p w14:paraId="785DC9F2">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zh-CN"/>
        </w:rPr>
        <w:t>2、有关本项目实施所涉及的一切费用均计入报价。</w:t>
      </w:r>
      <w:r>
        <w:rPr>
          <w:rFonts w:hint="eastAsia" w:ascii="宋体" w:hAnsi="宋体" w:cs="宋体"/>
          <w:b/>
          <w:color w:val="auto"/>
          <w:kern w:val="0"/>
          <w:sz w:val="24"/>
          <w:highlight w:val="none"/>
          <w:lang w:val="zh-CN"/>
        </w:rPr>
        <w:t>采购人将以合同形式有偿取得货物或服务，不接受供应商给予的赠品、回扣或者与采购无关的其他商品、服务</w:t>
      </w:r>
      <w:r>
        <w:rPr>
          <w:rFonts w:hint="eastAsia" w:ascii="宋体" w:hAnsi="宋体" w:cs="宋体"/>
          <w:color w:val="auto"/>
          <w:kern w:val="0"/>
          <w:sz w:val="24"/>
          <w:highlight w:val="none"/>
          <w:lang w:val="zh-CN"/>
        </w:rPr>
        <w:t>，</w:t>
      </w:r>
      <w:r>
        <w:rPr>
          <w:rFonts w:hint="eastAsia" w:ascii="宋体" w:hAnsi="宋体" w:cs="宋体"/>
          <w:b/>
          <w:color w:val="auto"/>
          <w:kern w:val="0"/>
          <w:sz w:val="24"/>
          <w:highlight w:val="none"/>
          <w:lang w:val="zh-CN"/>
        </w:rPr>
        <w:t>不得出现“0元”“免费赠送”等形式的无偿报价，</w:t>
      </w:r>
      <w:r>
        <w:rPr>
          <w:rFonts w:hint="eastAsia" w:ascii="宋体" w:hAnsi="宋体" w:cs="宋体"/>
          <w:b/>
          <w:color w:val="auto"/>
          <w:kern w:val="0"/>
          <w:sz w:val="24"/>
          <w:highlight w:val="none"/>
        </w:rPr>
        <w:t>否则视为</w:t>
      </w:r>
      <w:r>
        <w:rPr>
          <w:rFonts w:hint="eastAsia" w:ascii="宋体" w:hAnsi="宋体" w:cs="宋体"/>
          <w:b/>
          <w:color w:val="auto"/>
          <w:sz w:val="24"/>
          <w:highlight w:val="none"/>
        </w:rPr>
        <w:t>响应文件含有采购人不能接受的附加条件，响应文件无效</w:t>
      </w:r>
      <w:r>
        <w:rPr>
          <w:rFonts w:hint="eastAsia" w:ascii="宋体" w:hAnsi="宋体" w:cs="宋体"/>
          <w:b/>
          <w:color w:val="auto"/>
          <w:kern w:val="0"/>
          <w:sz w:val="24"/>
          <w:highlight w:val="none"/>
          <w:lang w:val="zh-CN"/>
        </w:rPr>
        <w:t>；采购内容未包含在《报价单》名称栏中，供应商不能作出合理解释的，</w:t>
      </w:r>
      <w:r>
        <w:rPr>
          <w:rFonts w:hint="eastAsia" w:ascii="宋体" w:hAnsi="宋体" w:cs="宋体"/>
          <w:b/>
          <w:color w:val="auto"/>
          <w:kern w:val="0"/>
          <w:sz w:val="24"/>
          <w:highlight w:val="none"/>
        </w:rPr>
        <w:t>视为</w:t>
      </w:r>
      <w:r>
        <w:rPr>
          <w:rFonts w:hint="eastAsia" w:ascii="宋体" w:hAnsi="宋体" w:cs="宋体"/>
          <w:b/>
          <w:color w:val="auto"/>
          <w:sz w:val="24"/>
          <w:highlight w:val="none"/>
        </w:rPr>
        <w:t>响应文件含有采购人不能接受的附加条件的，响应文件无效。</w:t>
      </w:r>
    </w:p>
    <w:p w14:paraId="0A95D793">
      <w:pPr>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3、特别提示：采购机构将对项目名称和项目编号，成交供应商名称、地址和成交金额、施工范围、施工工期、项目经理、执业证书信息、品牌（如果有）、规格型号、数量、单价等予以公示。</w:t>
      </w:r>
    </w:p>
    <w:p w14:paraId="5A9ADC20">
      <w:pPr>
        <w:snapToGrid w:val="0"/>
        <w:spacing w:line="360" w:lineRule="auto"/>
        <w:ind w:firstLine="480" w:firstLineChars="200"/>
        <w:jc w:val="left"/>
        <w:rPr>
          <w:rFonts w:ascii="宋体" w:hAnsi="宋体" w:cs="宋体"/>
          <w:color w:val="auto"/>
          <w:kern w:val="0"/>
          <w:sz w:val="24"/>
          <w:highlight w:val="none"/>
          <w:lang w:val="zh-CN"/>
        </w:rPr>
      </w:pPr>
      <w:r>
        <w:rPr>
          <w:rFonts w:ascii="宋体" w:hAnsi="宋体" w:cs="宋体"/>
          <w:color w:val="auto"/>
          <w:kern w:val="0"/>
          <w:sz w:val="24"/>
          <w:szCs w:val="22"/>
          <w:highlight w:val="none"/>
          <w:lang w:val="zh-CN"/>
        </w:rPr>
        <w:t>4</w:t>
      </w:r>
      <w:r>
        <w:rPr>
          <w:rFonts w:hint="eastAsia" w:ascii="宋体" w:hAnsi="宋体" w:cs="宋体"/>
          <w:color w:val="auto"/>
          <w:kern w:val="0"/>
          <w:sz w:val="24"/>
          <w:szCs w:val="22"/>
          <w:highlight w:val="none"/>
          <w:lang w:val="zh-CN"/>
        </w:rPr>
        <w:t>、</w:t>
      </w:r>
      <w:r>
        <w:rPr>
          <w:rFonts w:hint="eastAsia" w:ascii="宋体" w:hAnsi="宋体" w:cs="宋体"/>
          <w:color w:val="auto"/>
          <w:kern w:val="0"/>
          <w:sz w:val="24"/>
          <w:highlight w:val="none"/>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14:paraId="3F206969">
      <w:pPr>
        <w:spacing w:line="360" w:lineRule="auto"/>
        <w:ind w:firstLine="482" w:firstLineChars="200"/>
        <w:rPr>
          <w:rFonts w:ascii="宋体" w:hAnsi="宋体" w:cs="宋体"/>
          <w:b/>
          <w:color w:val="auto"/>
          <w:kern w:val="0"/>
          <w:sz w:val="24"/>
          <w:highlight w:val="none"/>
        </w:rPr>
      </w:pPr>
    </w:p>
    <w:p w14:paraId="7820D23C">
      <w:pPr>
        <w:pStyle w:val="693"/>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pPr>
    </w:p>
    <w:p w14:paraId="4BB6CE10">
      <w:pPr>
        <w:pStyle w:val="693"/>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sectPr>
          <w:pgSz w:w="16838" w:h="11906" w:orient="landscape"/>
          <w:pgMar w:top="1440" w:right="1080" w:bottom="1440" w:left="1080" w:header="851" w:footer="992" w:gutter="0"/>
          <w:cols w:space="720" w:num="1"/>
          <w:titlePg/>
          <w:docGrid w:linePitch="312" w:charSpace="0"/>
        </w:sectPr>
      </w:pPr>
    </w:p>
    <w:p w14:paraId="5F5A7CC9">
      <w:pPr>
        <w:pStyle w:val="693"/>
        <w:keepNext w:val="0"/>
        <w:pageBreakBefore w:val="0"/>
        <w:tabs>
          <w:tab w:val="clear" w:pos="720"/>
        </w:tabs>
        <w:snapToGrid w:val="0"/>
        <w:spacing w:before="120" w:after="120"/>
        <w:outlineLvl w:val="9"/>
        <w:rPr>
          <w:rFonts w:ascii="宋体" w:hAnsi="宋体" w:eastAsia="宋体" w:cs="宋体"/>
          <w:color w:val="auto"/>
          <w:kern w:val="2"/>
          <w:sz w:val="32"/>
          <w:szCs w:val="32"/>
          <w:highlight w:val="none"/>
        </w:rPr>
      </w:pPr>
      <w:r>
        <w:rPr>
          <w:rFonts w:hint="eastAsia" w:ascii="宋体" w:hAnsi="宋体" w:eastAsia="宋体" w:cs="宋体"/>
          <w:color w:val="auto"/>
          <w:kern w:val="2"/>
          <w:sz w:val="32"/>
          <w:szCs w:val="32"/>
          <w:highlight w:val="none"/>
        </w:rPr>
        <w:t>二、已标价工程量清单</w:t>
      </w:r>
    </w:p>
    <w:p w14:paraId="7E976BA4">
      <w:pPr>
        <w:ind w:right="420"/>
        <w:rPr>
          <w:rFonts w:ascii="宋体" w:hAnsi="宋体" w:cs="宋体"/>
          <w:color w:val="auto"/>
          <w:sz w:val="24"/>
          <w:highlight w:val="none"/>
        </w:rPr>
      </w:pPr>
      <w:r>
        <w:rPr>
          <w:rFonts w:hint="eastAsia" w:ascii="宋体" w:hAnsi="宋体" w:cs="宋体"/>
          <w:color w:val="auto"/>
          <w:sz w:val="24"/>
          <w:highlight w:val="none"/>
        </w:rPr>
        <w:t xml:space="preserve">注：按采购文件工程量清单编制 </w:t>
      </w:r>
    </w:p>
    <w:p w14:paraId="6DDBA0B0">
      <w:pPr>
        <w:pStyle w:val="62"/>
        <w:ind w:firstLine="480"/>
        <w:rPr>
          <w:rFonts w:cs="宋体"/>
          <w:color w:val="auto"/>
          <w:sz w:val="24"/>
          <w:highlight w:val="none"/>
        </w:rPr>
      </w:pPr>
    </w:p>
    <w:p w14:paraId="12C6835C">
      <w:pPr>
        <w:pStyle w:val="62"/>
        <w:ind w:firstLine="480"/>
        <w:rPr>
          <w:rFonts w:cs="宋体"/>
          <w:color w:val="auto"/>
          <w:sz w:val="24"/>
          <w:highlight w:val="none"/>
        </w:rPr>
        <w:sectPr>
          <w:footerReference r:id="rId19" w:type="first"/>
          <w:headerReference r:id="rId16" w:type="default"/>
          <w:footerReference r:id="rId17" w:type="default"/>
          <w:footerReference r:id="rId18" w:type="even"/>
          <w:pgSz w:w="11906" w:h="16838"/>
          <w:pgMar w:top="1440" w:right="1080" w:bottom="1440" w:left="1080" w:header="851" w:footer="992" w:gutter="0"/>
          <w:cols w:space="720" w:num="1"/>
          <w:titlePg/>
          <w:docGrid w:linePitch="312" w:charSpace="0"/>
        </w:sectPr>
      </w:pPr>
    </w:p>
    <w:p w14:paraId="73E668CB">
      <w:pPr>
        <w:pStyle w:val="693"/>
        <w:keepNext w:val="0"/>
        <w:pageBreakBefore w:val="0"/>
        <w:tabs>
          <w:tab w:val="clear" w:pos="720"/>
        </w:tabs>
        <w:snapToGrid w:val="0"/>
        <w:spacing w:before="120" w:after="120"/>
        <w:ind w:firstLine="643"/>
        <w:outlineLvl w:val="9"/>
        <w:rPr>
          <w:rFonts w:ascii="宋体" w:hAnsi="宋体" w:eastAsia="宋体" w:cs="宋体"/>
          <w:color w:val="auto"/>
          <w:sz w:val="32"/>
          <w:szCs w:val="32"/>
          <w:highlight w:val="none"/>
        </w:rPr>
      </w:pPr>
      <w:r>
        <w:rPr>
          <w:rFonts w:hint="eastAsia" w:ascii="宋体" w:hAnsi="宋体" w:eastAsia="宋体" w:cs="宋体"/>
          <w:color w:val="auto"/>
          <w:kern w:val="2"/>
          <w:sz w:val="32"/>
          <w:szCs w:val="32"/>
          <w:highlight w:val="none"/>
        </w:rPr>
        <w:t>三、</w:t>
      </w:r>
      <w:r>
        <w:rPr>
          <w:rFonts w:hint="eastAsia" w:ascii="宋体" w:hAnsi="宋体" w:eastAsia="宋体" w:cs="宋体"/>
          <w:color w:val="auto"/>
          <w:sz w:val="32"/>
          <w:szCs w:val="32"/>
          <w:highlight w:val="none"/>
        </w:rPr>
        <w:t>中小企业声明函</w:t>
      </w:r>
      <w:bookmarkStart w:id="923" w:name="_Hlk101259491"/>
      <w:r>
        <w:rPr>
          <w:rFonts w:hint="eastAsia" w:ascii="宋体" w:hAnsi="宋体" w:eastAsia="宋体" w:cs="宋体"/>
          <w:color w:val="auto"/>
          <w:sz w:val="32"/>
          <w:szCs w:val="32"/>
          <w:highlight w:val="none"/>
        </w:rPr>
        <w:t>（如果有）</w:t>
      </w:r>
      <w:bookmarkEnd w:id="923"/>
    </w:p>
    <w:p w14:paraId="4E5AFE04">
      <w:pPr>
        <w:widowControl/>
        <w:spacing w:line="360" w:lineRule="auto"/>
        <w:ind w:firstLine="120" w:firstLineChars="50"/>
        <w:jc w:val="left"/>
        <w:rPr>
          <w:rFonts w:ascii="宋体" w:hAnsi="宋体" w:cs="宋体"/>
          <w:b/>
          <w:color w:val="auto"/>
          <w:sz w:val="24"/>
          <w:highlight w:val="none"/>
        </w:rPr>
      </w:pPr>
      <w:r>
        <w:rPr>
          <w:rFonts w:hint="eastAsia" w:ascii="宋体" w:hAnsi="宋体" w:cs="宋体"/>
          <w:b/>
          <w:color w:val="auto"/>
          <w:sz w:val="24"/>
          <w:highlight w:val="none"/>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color w:val="auto"/>
          <w:sz w:val="24"/>
          <w:highlight w:val="none"/>
        </w:rPr>
        <w:t>7</w:t>
      </w:r>
      <w:r>
        <w:rPr>
          <w:rFonts w:hint="eastAsia" w:ascii="宋体" w:hAnsi="宋体" w:cs="宋体"/>
          <w:b/>
          <w:color w:val="auto"/>
          <w:sz w:val="24"/>
          <w:highlight w:val="none"/>
        </w:rPr>
        <w:t>）。]</w:t>
      </w:r>
    </w:p>
    <w:p w14:paraId="63E14AA6">
      <w:pPr>
        <w:pStyle w:val="2"/>
        <w:keepNext w:val="0"/>
        <w:keepLines w:val="0"/>
        <w:pageBreakBefore/>
        <w:widowControl/>
        <w:spacing w:before="100" w:beforeAutospacing="1" w:after="100" w:afterAutospacing="1" w:line="360" w:lineRule="auto"/>
        <w:ind w:left="1290" w:firstLine="3092" w:firstLineChars="700"/>
        <w:rPr>
          <w:rFonts w:ascii="宋体" w:hAnsi="宋体" w:cs="宋体"/>
          <w:color w:val="auto"/>
          <w:highlight w:val="none"/>
        </w:rPr>
      </w:pPr>
      <w:bookmarkStart w:id="924" w:name="_Toc465665161"/>
      <w:r>
        <w:rPr>
          <w:rFonts w:hint="eastAsia" w:ascii="宋体" w:hAnsi="宋体" w:cs="宋体"/>
          <w:color w:val="auto"/>
          <w:highlight w:val="none"/>
        </w:rPr>
        <w:t>附件</w:t>
      </w:r>
      <w:bookmarkEnd w:id="924"/>
    </w:p>
    <w:p w14:paraId="3CD0B434">
      <w:pPr>
        <w:spacing w:line="360" w:lineRule="auto"/>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附件1：</w:t>
      </w:r>
    </w:p>
    <w:p w14:paraId="29E593B4">
      <w:pPr>
        <w:spacing w:line="360" w:lineRule="auto"/>
        <w:jc w:val="center"/>
        <w:rPr>
          <w:rFonts w:ascii="宋体" w:hAnsi="宋体" w:cs="宋体"/>
          <w:b/>
          <w:color w:val="auto"/>
          <w:spacing w:val="6"/>
          <w:sz w:val="32"/>
          <w:szCs w:val="32"/>
          <w:highlight w:val="none"/>
        </w:rPr>
      </w:pPr>
      <w:bookmarkStart w:id="925" w:name="OLE_LINK13"/>
      <w:bookmarkStart w:id="926" w:name="OLE_LINK14"/>
      <w:r>
        <w:rPr>
          <w:rFonts w:hint="eastAsia" w:ascii="宋体" w:hAnsi="宋体" w:cs="宋体"/>
          <w:b/>
          <w:color w:val="auto"/>
          <w:spacing w:val="6"/>
          <w:sz w:val="32"/>
          <w:szCs w:val="32"/>
          <w:highlight w:val="none"/>
        </w:rPr>
        <w:t>残疾人福利性单位声明函</w:t>
      </w:r>
    </w:p>
    <w:bookmarkEnd w:id="925"/>
    <w:bookmarkEnd w:id="926"/>
    <w:p w14:paraId="526F67E7">
      <w:pPr>
        <w:spacing w:line="360" w:lineRule="auto"/>
        <w:rPr>
          <w:rFonts w:ascii="宋体" w:hAnsi="宋体" w:cs="宋体"/>
          <w:b/>
          <w:color w:val="auto"/>
          <w:spacing w:val="6"/>
          <w:sz w:val="30"/>
          <w:szCs w:val="30"/>
          <w:highlight w:val="none"/>
        </w:rPr>
      </w:pPr>
    </w:p>
    <w:p w14:paraId="2CA83FC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A22466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本单位对上述声明的真实性负责。如有虚假，将依法承担相应责任。</w:t>
      </w:r>
    </w:p>
    <w:p w14:paraId="623C4677">
      <w:pPr>
        <w:spacing w:line="360" w:lineRule="auto"/>
        <w:ind w:firstLine="480" w:firstLineChars="200"/>
        <w:rPr>
          <w:rFonts w:ascii="宋体" w:hAnsi="宋体" w:cs="宋体"/>
          <w:color w:val="auto"/>
          <w:sz w:val="24"/>
          <w:highlight w:val="none"/>
        </w:rPr>
      </w:pPr>
    </w:p>
    <w:p w14:paraId="2A5A2991">
      <w:pPr>
        <w:spacing w:line="360" w:lineRule="auto"/>
        <w:ind w:firstLine="480" w:firstLineChars="200"/>
        <w:rPr>
          <w:rFonts w:ascii="宋体" w:hAnsi="宋体" w:cs="宋体"/>
          <w:color w:val="auto"/>
          <w:sz w:val="24"/>
          <w:highlight w:val="none"/>
        </w:rPr>
      </w:pPr>
    </w:p>
    <w:p w14:paraId="28818A1D">
      <w:pPr>
        <w:tabs>
          <w:tab w:val="left" w:pos="4860"/>
        </w:tabs>
        <w:spacing w:line="360" w:lineRule="auto"/>
        <w:ind w:right="1560" w:firstLine="480" w:firstLineChars="200"/>
        <w:jc w:val="center"/>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kern w:val="0"/>
          <w:sz w:val="24"/>
          <w:highlight w:val="none"/>
          <w:lang w:val="zh-CN"/>
        </w:rPr>
        <w:t>供应商名称（电子签名）</w:t>
      </w:r>
      <w:r>
        <w:rPr>
          <w:rFonts w:hint="eastAsia" w:ascii="宋体" w:hAnsi="宋体" w:cs="宋体"/>
          <w:color w:val="auto"/>
          <w:sz w:val="24"/>
          <w:highlight w:val="none"/>
        </w:rPr>
        <w:t>：</w:t>
      </w:r>
    </w:p>
    <w:p w14:paraId="52FE6DA4">
      <w:pPr>
        <w:tabs>
          <w:tab w:val="left" w:pos="4860"/>
        </w:tabs>
        <w:spacing w:line="360" w:lineRule="auto"/>
        <w:ind w:right="1560" w:firstLine="480" w:firstLineChars="200"/>
        <w:jc w:val="center"/>
        <w:rPr>
          <w:rFonts w:ascii="宋体" w:hAnsi="宋体" w:cs="宋体"/>
          <w:color w:val="auto"/>
          <w:sz w:val="24"/>
          <w:highlight w:val="none"/>
        </w:rPr>
      </w:pPr>
      <w:r>
        <w:rPr>
          <w:rFonts w:hint="eastAsia" w:ascii="宋体" w:hAnsi="宋体" w:cs="宋体"/>
          <w:color w:val="auto"/>
          <w:sz w:val="24"/>
          <w:highlight w:val="none"/>
        </w:rPr>
        <w:t xml:space="preserve">       日  期：</w:t>
      </w:r>
    </w:p>
    <w:p w14:paraId="770EBCD7">
      <w:pPr>
        <w:spacing w:line="360" w:lineRule="auto"/>
        <w:ind w:firstLine="480" w:firstLineChars="200"/>
        <w:rPr>
          <w:rFonts w:ascii="宋体" w:hAnsi="宋体" w:cs="宋体"/>
          <w:color w:val="auto"/>
          <w:sz w:val="24"/>
          <w:highlight w:val="none"/>
        </w:rPr>
      </w:pPr>
    </w:p>
    <w:p w14:paraId="0A6E2351">
      <w:pPr>
        <w:spacing w:line="360" w:lineRule="auto"/>
        <w:ind w:firstLine="420" w:firstLineChars="200"/>
        <w:rPr>
          <w:rFonts w:ascii="宋体" w:hAnsi="宋体" w:cs="宋体"/>
          <w:color w:val="auto"/>
          <w:highlight w:val="none"/>
        </w:rPr>
      </w:pPr>
    </w:p>
    <w:p w14:paraId="1BEF1134">
      <w:pPr>
        <w:spacing w:line="360" w:lineRule="auto"/>
        <w:ind w:firstLine="420" w:firstLineChars="200"/>
        <w:rPr>
          <w:rFonts w:ascii="宋体" w:hAnsi="宋体" w:cs="宋体"/>
          <w:color w:val="auto"/>
          <w:highlight w:val="none"/>
        </w:rPr>
      </w:pPr>
    </w:p>
    <w:p w14:paraId="3D7481C6">
      <w:pPr>
        <w:spacing w:line="360" w:lineRule="auto"/>
        <w:ind w:firstLine="420" w:firstLineChars="200"/>
        <w:rPr>
          <w:rFonts w:ascii="宋体" w:hAnsi="宋体" w:cs="宋体"/>
          <w:color w:val="auto"/>
          <w:highlight w:val="none"/>
        </w:rPr>
      </w:pPr>
    </w:p>
    <w:p w14:paraId="7E0E8E9E">
      <w:pPr>
        <w:spacing w:line="360" w:lineRule="auto"/>
        <w:ind w:firstLine="420" w:firstLineChars="200"/>
        <w:rPr>
          <w:rFonts w:ascii="宋体" w:hAnsi="宋体" w:cs="宋体"/>
          <w:color w:val="auto"/>
          <w:highlight w:val="none"/>
        </w:rPr>
      </w:pPr>
    </w:p>
    <w:p w14:paraId="31DDE39C">
      <w:pPr>
        <w:spacing w:line="360" w:lineRule="auto"/>
        <w:rPr>
          <w:rFonts w:ascii="宋体" w:hAnsi="宋体" w:cs="宋体"/>
          <w:b/>
          <w:color w:val="auto"/>
          <w:sz w:val="24"/>
          <w:highlight w:val="none"/>
        </w:rPr>
      </w:pPr>
    </w:p>
    <w:p w14:paraId="712B327E">
      <w:pPr>
        <w:spacing w:line="360" w:lineRule="auto"/>
        <w:rPr>
          <w:rFonts w:ascii="宋体" w:hAnsi="宋体" w:cs="宋体"/>
          <w:b/>
          <w:color w:val="auto"/>
          <w:sz w:val="24"/>
          <w:highlight w:val="none"/>
        </w:rPr>
      </w:pPr>
    </w:p>
    <w:p w14:paraId="643E8ED9">
      <w:pPr>
        <w:spacing w:line="360" w:lineRule="auto"/>
        <w:rPr>
          <w:rFonts w:ascii="宋体" w:hAnsi="宋体" w:cs="宋体"/>
          <w:b/>
          <w:color w:val="auto"/>
          <w:sz w:val="24"/>
          <w:highlight w:val="none"/>
        </w:rPr>
      </w:pPr>
    </w:p>
    <w:p w14:paraId="03066BB5">
      <w:pPr>
        <w:spacing w:line="360" w:lineRule="auto"/>
        <w:rPr>
          <w:rFonts w:ascii="宋体" w:hAnsi="宋体" w:cs="宋体"/>
          <w:b/>
          <w:color w:val="auto"/>
          <w:sz w:val="24"/>
          <w:highlight w:val="none"/>
        </w:rPr>
      </w:pPr>
    </w:p>
    <w:p w14:paraId="2B02C3B5">
      <w:pPr>
        <w:spacing w:line="360" w:lineRule="auto"/>
        <w:rPr>
          <w:rFonts w:ascii="宋体" w:hAnsi="宋体" w:cs="宋体"/>
          <w:b/>
          <w:color w:val="auto"/>
          <w:sz w:val="24"/>
          <w:highlight w:val="none"/>
        </w:rPr>
      </w:pPr>
    </w:p>
    <w:p w14:paraId="260016BD">
      <w:pPr>
        <w:spacing w:line="360" w:lineRule="auto"/>
        <w:rPr>
          <w:rFonts w:ascii="宋体" w:hAnsi="宋体" w:cs="宋体"/>
          <w:b/>
          <w:color w:val="auto"/>
          <w:sz w:val="24"/>
          <w:highlight w:val="none"/>
        </w:rPr>
      </w:pPr>
    </w:p>
    <w:p w14:paraId="6DF58481">
      <w:pPr>
        <w:spacing w:line="360" w:lineRule="auto"/>
        <w:rPr>
          <w:rFonts w:ascii="宋体" w:hAnsi="宋体" w:cs="宋体"/>
          <w:b/>
          <w:color w:val="auto"/>
          <w:sz w:val="24"/>
          <w:highlight w:val="none"/>
        </w:rPr>
      </w:pPr>
    </w:p>
    <w:p w14:paraId="1AD41068">
      <w:pPr>
        <w:spacing w:line="360" w:lineRule="auto"/>
        <w:rPr>
          <w:rFonts w:ascii="宋体" w:hAnsi="宋体" w:cs="宋体"/>
          <w:b/>
          <w:color w:val="auto"/>
          <w:sz w:val="24"/>
          <w:highlight w:val="none"/>
        </w:rPr>
      </w:pPr>
    </w:p>
    <w:p w14:paraId="3CBECFDF">
      <w:pPr>
        <w:spacing w:line="360" w:lineRule="auto"/>
        <w:jc w:val="left"/>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附件2：质疑函范本及制作说明</w:t>
      </w:r>
    </w:p>
    <w:p w14:paraId="6AE49DD4">
      <w:pPr>
        <w:spacing w:line="360" w:lineRule="auto"/>
        <w:jc w:val="cente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质疑函范本</w:t>
      </w:r>
    </w:p>
    <w:p w14:paraId="1260BBBA">
      <w:pPr>
        <w:snapToGrid w:val="0"/>
        <w:spacing w:before="240" w:beforeLines="100" w:line="360" w:lineRule="auto"/>
        <w:rPr>
          <w:rFonts w:ascii="宋体" w:hAnsi="宋体" w:cs="宋体"/>
          <w:bCs/>
          <w:color w:val="auto"/>
          <w:sz w:val="24"/>
          <w:highlight w:val="none"/>
        </w:rPr>
      </w:pPr>
      <w:r>
        <w:rPr>
          <w:rFonts w:hint="eastAsia" w:ascii="宋体" w:hAnsi="宋体" w:cs="宋体"/>
          <w:bCs/>
          <w:color w:val="auto"/>
          <w:sz w:val="24"/>
          <w:highlight w:val="none"/>
        </w:rPr>
        <w:t>一、质疑供应商基本信息</w:t>
      </w:r>
    </w:p>
    <w:p w14:paraId="6311E8D0">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质疑供应商：</w:t>
      </w:r>
      <w:r>
        <w:rPr>
          <w:rFonts w:hint="eastAsia" w:ascii="宋体" w:hAnsi="宋体" w:cs="宋体"/>
          <w:color w:val="auto"/>
          <w:sz w:val="24"/>
          <w:highlight w:val="none"/>
          <w:u w:val="dotted"/>
        </w:rPr>
        <w:t xml:space="preserve">                                        </w:t>
      </w:r>
    </w:p>
    <w:p w14:paraId="63AD4BB8">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p>
    <w:p w14:paraId="0FDD9654">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78A972F7">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授权代表：</w:t>
      </w:r>
      <w:r>
        <w:rPr>
          <w:rFonts w:hint="eastAsia" w:ascii="宋体" w:hAnsi="宋体" w:cs="宋体"/>
          <w:color w:val="auto"/>
          <w:sz w:val="24"/>
          <w:highlight w:val="none"/>
          <w:u w:val="dotted"/>
        </w:rPr>
        <w:t xml:space="preserve">                                          </w:t>
      </w:r>
    </w:p>
    <w:p w14:paraId="332E1077">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09B5FD50">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 xml:space="preserve">地址： </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p>
    <w:p w14:paraId="03AF4C35">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二、质疑项目基本情况</w:t>
      </w:r>
    </w:p>
    <w:p w14:paraId="78BF9F2B">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质疑项目的名称：</w:t>
      </w:r>
      <w:r>
        <w:rPr>
          <w:rFonts w:hint="eastAsia" w:ascii="宋体" w:hAnsi="宋体" w:cs="宋体"/>
          <w:color w:val="auto"/>
          <w:sz w:val="24"/>
          <w:highlight w:val="none"/>
          <w:u w:val="dotted"/>
        </w:rPr>
        <w:t xml:space="preserve">                                      </w:t>
      </w:r>
    </w:p>
    <w:p w14:paraId="105BB3BC">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质疑项目的编号：</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包号：</w:t>
      </w:r>
      <w:r>
        <w:rPr>
          <w:rFonts w:hint="eastAsia" w:ascii="宋体" w:hAnsi="宋体" w:cs="宋体"/>
          <w:color w:val="auto"/>
          <w:sz w:val="24"/>
          <w:highlight w:val="none"/>
          <w:u w:val="dotted"/>
        </w:rPr>
        <w:t xml:space="preserve">                 </w:t>
      </w:r>
    </w:p>
    <w:p w14:paraId="377C3395">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采购人名称：</w:t>
      </w:r>
      <w:r>
        <w:rPr>
          <w:rFonts w:hint="eastAsia" w:ascii="宋体" w:hAnsi="宋体" w:cs="宋体"/>
          <w:color w:val="auto"/>
          <w:sz w:val="24"/>
          <w:highlight w:val="none"/>
          <w:u w:val="dotted"/>
        </w:rPr>
        <w:t xml:space="preserve">                                         </w:t>
      </w:r>
    </w:p>
    <w:p w14:paraId="61A0ABD7">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采购文件获取日期：</w:t>
      </w:r>
      <w:r>
        <w:rPr>
          <w:rFonts w:hint="eastAsia" w:ascii="宋体" w:hAnsi="宋体" w:cs="宋体"/>
          <w:color w:val="auto"/>
          <w:sz w:val="24"/>
          <w:highlight w:val="none"/>
          <w:u w:val="dotted"/>
        </w:rPr>
        <w:t xml:space="preserve">                                           </w:t>
      </w:r>
    </w:p>
    <w:p w14:paraId="5B87D6F7">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三、质疑事项具体内容</w:t>
      </w:r>
    </w:p>
    <w:p w14:paraId="533D654D">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质疑事项1：</w:t>
      </w:r>
      <w:r>
        <w:rPr>
          <w:rFonts w:hint="eastAsia" w:ascii="宋体" w:hAnsi="宋体" w:cs="宋体"/>
          <w:color w:val="auto"/>
          <w:sz w:val="24"/>
          <w:highlight w:val="none"/>
          <w:u w:val="dotted"/>
        </w:rPr>
        <w:t xml:space="preserve">                                         </w:t>
      </w:r>
    </w:p>
    <w:p w14:paraId="4F9DC44B">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事实依据：</w:t>
      </w:r>
      <w:r>
        <w:rPr>
          <w:rFonts w:hint="eastAsia" w:ascii="宋体" w:hAnsi="宋体" w:cs="宋体"/>
          <w:color w:val="auto"/>
          <w:sz w:val="24"/>
          <w:highlight w:val="none"/>
          <w:u w:val="dotted"/>
        </w:rPr>
        <w:t xml:space="preserve">                                          </w:t>
      </w:r>
    </w:p>
    <w:p w14:paraId="7CFD22E9">
      <w:pPr>
        <w:snapToGrid w:val="0"/>
        <w:spacing w:line="360" w:lineRule="auto"/>
        <w:rPr>
          <w:rFonts w:ascii="宋体" w:hAnsi="宋体" w:cs="宋体"/>
          <w:color w:val="auto"/>
          <w:sz w:val="24"/>
          <w:highlight w:val="none"/>
        </w:rPr>
      </w:pPr>
      <w:r>
        <w:rPr>
          <w:rFonts w:hint="eastAsia" w:ascii="宋体" w:hAnsi="宋体" w:cs="宋体"/>
          <w:color w:val="auto"/>
          <w:sz w:val="24"/>
          <w:highlight w:val="none"/>
          <w:u w:val="dotted"/>
        </w:rPr>
        <w:t xml:space="preserve">                                                       </w:t>
      </w:r>
    </w:p>
    <w:p w14:paraId="189389AD">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法律依据：</w:t>
      </w:r>
      <w:r>
        <w:rPr>
          <w:rFonts w:hint="eastAsia" w:ascii="宋体" w:hAnsi="宋体" w:cs="宋体"/>
          <w:color w:val="auto"/>
          <w:sz w:val="24"/>
          <w:highlight w:val="none"/>
          <w:u w:val="dotted"/>
        </w:rPr>
        <w:t xml:space="preserve">                                          </w:t>
      </w:r>
    </w:p>
    <w:p w14:paraId="12034021">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277C8C78">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质疑事项2</w:t>
      </w:r>
    </w:p>
    <w:p w14:paraId="074BC9FC">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p>
    <w:p w14:paraId="579B3D2A">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四、与质疑事项相关的质疑请求</w:t>
      </w:r>
    </w:p>
    <w:p w14:paraId="57D0DAF5">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请求：</w:t>
      </w:r>
      <w:r>
        <w:rPr>
          <w:rFonts w:hint="eastAsia" w:ascii="宋体" w:hAnsi="宋体" w:cs="宋体"/>
          <w:color w:val="auto"/>
          <w:sz w:val="24"/>
          <w:highlight w:val="none"/>
          <w:u w:val="dotted"/>
        </w:rPr>
        <w:t xml:space="preserve">                                               </w:t>
      </w:r>
    </w:p>
    <w:p w14:paraId="590168AA">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签字(签章)：                   公章：                      </w:t>
      </w:r>
    </w:p>
    <w:p w14:paraId="55392502">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日期：    </w:t>
      </w:r>
    </w:p>
    <w:p w14:paraId="03F23D40">
      <w:pPr>
        <w:spacing w:line="360" w:lineRule="auto"/>
        <w:jc w:val="center"/>
        <w:rPr>
          <w:rFonts w:ascii="宋体" w:hAnsi="宋体" w:cs="宋体"/>
          <w:b/>
          <w:bCs/>
          <w:color w:val="auto"/>
          <w:sz w:val="24"/>
          <w:highlight w:val="none"/>
        </w:rPr>
      </w:pPr>
    </w:p>
    <w:p w14:paraId="3CC366A0">
      <w:pPr>
        <w:spacing w:line="360" w:lineRule="auto"/>
        <w:rPr>
          <w:rFonts w:ascii="宋体" w:hAnsi="宋体" w:cs="宋体"/>
          <w:b/>
          <w:color w:val="auto"/>
          <w:sz w:val="24"/>
          <w:highlight w:val="none"/>
        </w:rPr>
      </w:pPr>
    </w:p>
    <w:p w14:paraId="1A6FDD2E">
      <w:pPr>
        <w:spacing w:line="360" w:lineRule="auto"/>
        <w:rPr>
          <w:rFonts w:ascii="宋体" w:hAnsi="宋体" w:cs="宋体"/>
          <w:b/>
          <w:color w:val="auto"/>
          <w:sz w:val="24"/>
          <w:highlight w:val="none"/>
        </w:rPr>
      </w:pPr>
    </w:p>
    <w:p w14:paraId="26EDD237">
      <w:pPr>
        <w:spacing w:line="360" w:lineRule="auto"/>
        <w:rPr>
          <w:rFonts w:ascii="宋体" w:hAnsi="宋体" w:cs="宋体"/>
          <w:b/>
          <w:color w:val="auto"/>
          <w:sz w:val="24"/>
          <w:highlight w:val="none"/>
        </w:rPr>
      </w:pPr>
      <w:r>
        <w:rPr>
          <w:rFonts w:hint="eastAsia" w:ascii="宋体" w:hAnsi="宋体" w:cs="宋体"/>
          <w:b/>
          <w:color w:val="auto"/>
          <w:sz w:val="24"/>
          <w:highlight w:val="none"/>
        </w:rPr>
        <w:t>质疑函制作说明：</w:t>
      </w:r>
    </w:p>
    <w:p w14:paraId="3107201C">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1.供应商提出质疑时，应提交质疑函和必要的证明材料。</w:t>
      </w:r>
    </w:p>
    <w:p w14:paraId="0BF790A4">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2.质疑供应商若委托代理人进行质疑的，质疑函应按要求列明“授权代表”的有关内容，并在附件中提交由质疑</w:t>
      </w:r>
      <w:r>
        <w:rPr>
          <w:rFonts w:hint="eastAsia" w:ascii="宋体" w:hAnsi="宋体" w:cs="宋体"/>
          <w:color w:val="auto"/>
          <w:kern w:val="0"/>
          <w:sz w:val="24"/>
          <w:highlight w:val="none"/>
        </w:rPr>
        <w:t>供应商签署的授权委托书。授权委托书应载明代理人的姓名或者名称、代理事项、具体权限、期限和相关事项。</w:t>
      </w:r>
    </w:p>
    <w:p w14:paraId="12F0CD99">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3.质疑供应商若对项目的某一分包进行质疑，质疑函中应列明具体分包号。</w:t>
      </w:r>
    </w:p>
    <w:p w14:paraId="76F00B48">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4.质疑函的质疑事项应具体、明确，并有必要的事实依据和法律依据。</w:t>
      </w:r>
    </w:p>
    <w:p w14:paraId="46519A36">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5.质疑函的质疑请求应与质疑事项相关。</w:t>
      </w:r>
    </w:p>
    <w:p w14:paraId="7A96AE36">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14:paraId="096BF93D">
      <w:pPr>
        <w:widowControl/>
        <w:spacing w:line="360" w:lineRule="auto"/>
        <w:ind w:firstLine="600" w:firstLineChars="200"/>
        <w:jc w:val="left"/>
        <w:rPr>
          <w:rFonts w:ascii="宋体" w:hAnsi="宋体" w:cs="宋体"/>
          <w:color w:val="auto"/>
          <w:sz w:val="30"/>
          <w:szCs w:val="30"/>
          <w:highlight w:val="none"/>
        </w:rPr>
      </w:pPr>
    </w:p>
    <w:p w14:paraId="0A5E972E">
      <w:pPr>
        <w:spacing w:line="360" w:lineRule="auto"/>
        <w:jc w:val="center"/>
        <w:rPr>
          <w:rFonts w:ascii="宋体" w:hAnsi="宋体" w:cs="宋体"/>
          <w:b/>
          <w:color w:val="auto"/>
          <w:spacing w:val="6"/>
          <w:sz w:val="32"/>
          <w:szCs w:val="32"/>
          <w:highlight w:val="none"/>
        </w:rPr>
      </w:pPr>
    </w:p>
    <w:p w14:paraId="179CC08B">
      <w:pPr>
        <w:spacing w:line="360" w:lineRule="auto"/>
        <w:jc w:val="center"/>
        <w:rPr>
          <w:rFonts w:ascii="宋体" w:hAnsi="宋体" w:cs="宋体"/>
          <w:b/>
          <w:color w:val="auto"/>
          <w:spacing w:val="6"/>
          <w:sz w:val="32"/>
          <w:szCs w:val="32"/>
          <w:highlight w:val="none"/>
        </w:rPr>
      </w:pPr>
    </w:p>
    <w:p w14:paraId="3149F83E">
      <w:pPr>
        <w:spacing w:line="360" w:lineRule="auto"/>
        <w:jc w:val="center"/>
        <w:rPr>
          <w:rFonts w:ascii="宋体" w:hAnsi="宋体" w:cs="宋体"/>
          <w:b/>
          <w:color w:val="auto"/>
          <w:spacing w:val="6"/>
          <w:sz w:val="32"/>
          <w:szCs w:val="32"/>
          <w:highlight w:val="none"/>
        </w:rPr>
      </w:pPr>
    </w:p>
    <w:p w14:paraId="5B876D49">
      <w:pPr>
        <w:spacing w:line="360" w:lineRule="auto"/>
        <w:jc w:val="center"/>
        <w:rPr>
          <w:rFonts w:ascii="宋体" w:hAnsi="宋体" w:cs="宋体"/>
          <w:b/>
          <w:color w:val="auto"/>
          <w:spacing w:val="6"/>
          <w:sz w:val="32"/>
          <w:szCs w:val="32"/>
          <w:highlight w:val="none"/>
        </w:rPr>
      </w:pPr>
    </w:p>
    <w:p w14:paraId="095FCD21">
      <w:pPr>
        <w:spacing w:line="360" w:lineRule="auto"/>
        <w:jc w:val="center"/>
        <w:rPr>
          <w:rFonts w:ascii="宋体" w:hAnsi="宋体" w:cs="宋体"/>
          <w:b/>
          <w:color w:val="auto"/>
          <w:spacing w:val="6"/>
          <w:sz w:val="32"/>
          <w:szCs w:val="32"/>
          <w:highlight w:val="none"/>
        </w:rPr>
      </w:pPr>
    </w:p>
    <w:p w14:paraId="047FFACF">
      <w:pPr>
        <w:spacing w:line="360" w:lineRule="auto"/>
        <w:jc w:val="center"/>
        <w:rPr>
          <w:rFonts w:ascii="宋体" w:hAnsi="宋体" w:cs="宋体"/>
          <w:b/>
          <w:color w:val="auto"/>
          <w:spacing w:val="6"/>
          <w:sz w:val="32"/>
          <w:szCs w:val="32"/>
          <w:highlight w:val="none"/>
        </w:rPr>
      </w:pPr>
    </w:p>
    <w:p w14:paraId="11D8DE1B">
      <w:pPr>
        <w:spacing w:line="360" w:lineRule="auto"/>
        <w:jc w:val="center"/>
        <w:rPr>
          <w:rFonts w:ascii="宋体" w:hAnsi="宋体" w:cs="宋体"/>
          <w:b/>
          <w:color w:val="auto"/>
          <w:spacing w:val="6"/>
          <w:sz w:val="32"/>
          <w:szCs w:val="32"/>
          <w:highlight w:val="none"/>
        </w:rPr>
      </w:pPr>
    </w:p>
    <w:p w14:paraId="6E74A593">
      <w:pPr>
        <w:spacing w:line="360" w:lineRule="auto"/>
        <w:jc w:val="center"/>
        <w:rPr>
          <w:rFonts w:ascii="宋体" w:hAnsi="宋体" w:cs="宋体"/>
          <w:b/>
          <w:color w:val="auto"/>
          <w:spacing w:val="6"/>
          <w:sz w:val="32"/>
          <w:szCs w:val="32"/>
          <w:highlight w:val="none"/>
        </w:rPr>
      </w:pPr>
    </w:p>
    <w:p w14:paraId="26ACD588">
      <w:pPr>
        <w:spacing w:line="360" w:lineRule="auto"/>
        <w:jc w:val="center"/>
        <w:rPr>
          <w:rFonts w:ascii="宋体" w:hAnsi="宋体" w:cs="宋体"/>
          <w:b/>
          <w:color w:val="auto"/>
          <w:spacing w:val="6"/>
          <w:sz w:val="32"/>
          <w:szCs w:val="32"/>
          <w:highlight w:val="none"/>
        </w:rPr>
      </w:pPr>
    </w:p>
    <w:p w14:paraId="16AACFDC">
      <w:pPr>
        <w:spacing w:line="360" w:lineRule="auto"/>
        <w:jc w:val="center"/>
        <w:rPr>
          <w:rFonts w:ascii="宋体" w:hAnsi="宋体" w:cs="宋体"/>
          <w:b/>
          <w:color w:val="auto"/>
          <w:spacing w:val="6"/>
          <w:sz w:val="32"/>
          <w:szCs w:val="32"/>
          <w:highlight w:val="none"/>
        </w:rPr>
      </w:pPr>
    </w:p>
    <w:p w14:paraId="72C1A330">
      <w:pPr>
        <w:spacing w:line="360" w:lineRule="auto"/>
        <w:jc w:val="center"/>
        <w:rPr>
          <w:rFonts w:ascii="宋体" w:hAnsi="宋体" w:cs="宋体"/>
          <w:b/>
          <w:color w:val="auto"/>
          <w:spacing w:val="6"/>
          <w:sz w:val="32"/>
          <w:szCs w:val="32"/>
          <w:highlight w:val="none"/>
        </w:rPr>
      </w:pPr>
    </w:p>
    <w:p w14:paraId="59726426">
      <w:pPr>
        <w:spacing w:line="360" w:lineRule="auto"/>
        <w:jc w:val="center"/>
        <w:rPr>
          <w:rFonts w:ascii="宋体" w:hAnsi="宋体" w:cs="宋体"/>
          <w:b/>
          <w:color w:val="auto"/>
          <w:spacing w:val="6"/>
          <w:sz w:val="32"/>
          <w:szCs w:val="32"/>
          <w:highlight w:val="none"/>
        </w:rPr>
      </w:pPr>
    </w:p>
    <w:p w14:paraId="7A6EC335">
      <w:pPr>
        <w:spacing w:line="360" w:lineRule="auto"/>
        <w:jc w:val="left"/>
        <w:rPr>
          <w:rFonts w:ascii="宋体" w:hAnsi="宋体" w:cs="宋体"/>
          <w:b/>
          <w:color w:val="auto"/>
          <w:spacing w:val="6"/>
          <w:sz w:val="32"/>
          <w:szCs w:val="32"/>
          <w:highlight w:val="none"/>
        </w:rPr>
      </w:pPr>
    </w:p>
    <w:p w14:paraId="65182B75">
      <w:pPr>
        <w:spacing w:line="360" w:lineRule="auto"/>
        <w:jc w:val="left"/>
        <w:rPr>
          <w:rFonts w:ascii="宋体" w:hAnsi="宋体" w:cs="宋体"/>
          <w:b/>
          <w:color w:val="auto"/>
          <w:spacing w:val="6"/>
          <w:sz w:val="32"/>
          <w:szCs w:val="32"/>
          <w:highlight w:val="none"/>
        </w:rPr>
      </w:pPr>
    </w:p>
    <w:p w14:paraId="2D1B6977">
      <w:pPr>
        <w:spacing w:line="360" w:lineRule="auto"/>
        <w:jc w:val="left"/>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附件3：投诉书范本及制作说明</w:t>
      </w:r>
    </w:p>
    <w:p w14:paraId="6362BDAA">
      <w:pPr>
        <w:spacing w:line="360" w:lineRule="auto"/>
        <w:jc w:val="center"/>
        <w:rPr>
          <w:rFonts w:ascii="宋体" w:hAnsi="宋体" w:cs="宋体"/>
          <w:b/>
          <w:color w:val="auto"/>
          <w:sz w:val="24"/>
          <w:highlight w:val="none"/>
        </w:rPr>
      </w:pPr>
    </w:p>
    <w:p w14:paraId="3B9CF3C2">
      <w:pPr>
        <w:spacing w:line="360" w:lineRule="auto"/>
        <w:jc w:val="cente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投诉书范本</w:t>
      </w:r>
    </w:p>
    <w:p w14:paraId="380FAD19">
      <w:pPr>
        <w:spacing w:line="360" w:lineRule="auto"/>
        <w:rPr>
          <w:rFonts w:ascii="宋体" w:hAnsi="宋体" w:cs="宋体"/>
          <w:color w:val="auto"/>
          <w:sz w:val="24"/>
          <w:highlight w:val="none"/>
        </w:rPr>
      </w:pPr>
      <w:r>
        <w:rPr>
          <w:rFonts w:hint="eastAsia" w:ascii="宋体" w:hAnsi="宋体" w:cs="宋体"/>
          <w:color w:val="auto"/>
          <w:sz w:val="24"/>
          <w:highlight w:val="none"/>
        </w:rPr>
        <w:t>一、投诉相关主体基本情况</w:t>
      </w:r>
    </w:p>
    <w:p w14:paraId="1C93B418">
      <w:pPr>
        <w:spacing w:line="360" w:lineRule="auto"/>
        <w:rPr>
          <w:rFonts w:ascii="宋体" w:hAnsi="宋体" w:cs="宋体"/>
          <w:color w:val="auto"/>
          <w:sz w:val="24"/>
          <w:highlight w:val="none"/>
          <w:u w:val="dotted"/>
        </w:rPr>
      </w:pPr>
      <w:r>
        <w:rPr>
          <w:rFonts w:hint="eastAsia" w:ascii="宋体" w:hAnsi="宋体" w:cs="宋体"/>
          <w:color w:val="auto"/>
          <w:sz w:val="24"/>
          <w:highlight w:val="none"/>
        </w:rPr>
        <w:t>投诉人：</w:t>
      </w:r>
      <w:r>
        <w:rPr>
          <w:rFonts w:hint="eastAsia" w:ascii="宋体" w:hAnsi="宋体" w:cs="宋体"/>
          <w:color w:val="auto"/>
          <w:sz w:val="24"/>
          <w:highlight w:val="none"/>
          <w:u w:val="dotted"/>
        </w:rPr>
        <w:t xml:space="preserve">                                               </w:t>
      </w:r>
    </w:p>
    <w:p w14:paraId="08D4687E">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18DD25AE">
      <w:pPr>
        <w:tabs>
          <w:tab w:val="left" w:pos="6510"/>
        </w:tabs>
        <w:spacing w:line="360" w:lineRule="auto"/>
        <w:jc w:val="left"/>
        <w:rPr>
          <w:rFonts w:ascii="宋体" w:hAnsi="宋体" w:cs="宋体"/>
          <w:color w:val="auto"/>
          <w:sz w:val="24"/>
          <w:highlight w:val="none"/>
        </w:rPr>
      </w:pPr>
      <w:r>
        <w:rPr>
          <w:rFonts w:hint="eastAsia" w:ascii="宋体" w:hAnsi="宋体" w:cs="宋体"/>
          <w:color w:val="auto"/>
          <w:sz w:val="24"/>
          <w:highlight w:val="none"/>
        </w:rPr>
        <w:t>法定代表人/主要负责人：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5C4FEA81">
      <w:pPr>
        <w:tabs>
          <w:tab w:val="left" w:pos="6510"/>
        </w:tabs>
        <w:spacing w:line="360" w:lineRule="auto"/>
        <w:rPr>
          <w:rFonts w:ascii="宋体" w:hAnsi="宋体" w:cs="宋体"/>
          <w:color w:val="auto"/>
          <w:sz w:val="24"/>
          <w:highlight w:val="none"/>
          <w:u w:val="dotted"/>
        </w:rPr>
      </w:pP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357C0DD8">
      <w:pPr>
        <w:spacing w:line="360" w:lineRule="auto"/>
        <w:rPr>
          <w:rFonts w:ascii="宋体" w:hAnsi="宋体" w:cs="宋体"/>
          <w:color w:val="auto"/>
          <w:sz w:val="24"/>
          <w:highlight w:val="none"/>
          <w:u w:val="dotted"/>
        </w:rPr>
      </w:pPr>
      <w:r>
        <w:rPr>
          <w:rFonts w:hint="eastAsia" w:ascii="宋体" w:hAnsi="宋体" w:cs="宋体"/>
          <w:color w:val="auto"/>
          <w:sz w:val="24"/>
          <w:highlight w:val="none"/>
        </w:rPr>
        <w:t>授权代表：</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4A2A053F">
      <w:pPr>
        <w:spacing w:line="360" w:lineRule="auto"/>
        <w:rPr>
          <w:rFonts w:ascii="宋体" w:hAnsi="宋体" w:cs="宋体"/>
          <w:color w:val="auto"/>
          <w:sz w:val="24"/>
          <w:highlight w:val="none"/>
          <w:u w:val="dotted"/>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dotted"/>
        </w:rPr>
        <w:t xml:space="preserve">                   </w:t>
      </w:r>
    </w:p>
    <w:p w14:paraId="5CCF5ECA">
      <w:pPr>
        <w:spacing w:line="360" w:lineRule="auto"/>
        <w:rPr>
          <w:rFonts w:ascii="宋体" w:hAnsi="宋体" w:cs="宋体"/>
          <w:color w:val="auto"/>
          <w:sz w:val="24"/>
          <w:highlight w:val="none"/>
          <w:u w:val="single"/>
        </w:rPr>
      </w:pPr>
      <w:r>
        <w:rPr>
          <w:rFonts w:hint="eastAsia" w:ascii="宋体" w:hAnsi="宋体" w:cs="宋体"/>
          <w:color w:val="auto"/>
          <w:sz w:val="24"/>
          <w:highlight w:val="none"/>
        </w:rPr>
        <w:t>被投诉人1：</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2896C9CB">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6977E757">
      <w:pPr>
        <w:spacing w:line="360" w:lineRule="auto"/>
        <w:rPr>
          <w:rFonts w:ascii="宋体" w:hAnsi="宋体" w:cs="宋体"/>
          <w:color w:val="auto"/>
          <w:sz w:val="24"/>
          <w:highlight w:val="none"/>
          <w:u w:val="singl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1CFB9D3F">
      <w:pPr>
        <w:spacing w:line="360" w:lineRule="auto"/>
        <w:rPr>
          <w:rFonts w:ascii="宋体" w:hAnsi="宋体" w:cs="宋体"/>
          <w:color w:val="auto"/>
          <w:sz w:val="24"/>
          <w:highlight w:val="none"/>
        </w:rPr>
      </w:pPr>
      <w:r>
        <w:rPr>
          <w:rFonts w:hint="eastAsia" w:ascii="宋体" w:hAnsi="宋体" w:cs="宋体"/>
          <w:color w:val="auto"/>
          <w:sz w:val="24"/>
          <w:highlight w:val="none"/>
        </w:rPr>
        <w:t>被投诉人2</w:t>
      </w:r>
    </w:p>
    <w:p w14:paraId="31EB6B66">
      <w:pPr>
        <w:spacing w:line="360" w:lineRule="auto"/>
        <w:rPr>
          <w:rFonts w:ascii="宋体" w:hAnsi="宋体" w:cs="宋体"/>
          <w:color w:val="auto"/>
          <w:sz w:val="24"/>
          <w:highlight w:val="none"/>
          <w:u w:val="dotted"/>
        </w:rPr>
      </w:pPr>
      <w:r>
        <w:rPr>
          <w:rFonts w:hint="eastAsia" w:ascii="宋体" w:hAnsi="宋体" w:cs="宋体"/>
          <w:color w:val="auto"/>
          <w:sz w:val="24"/>
          <w:highlight w:val="none"/>
        </w:rPr>
        <w:t>……</w:t>
      </w:r>
    </w:p>
    <w:p w14:paraId="304E6D09">
      <w:pPr>
        <w:spacing w:line="360" w:lineRule="auto"/>
        <w:rPr>
          <w:rFonts w:ascii="宋体" w:hAnsi="宋体" w:cs="宋体"/>
          <w:color w:val="auto"/>
          <w:sz w:val="24"/>
          <w:highlight w:val="none"/>
          <w:u w:val="single"/>
        </w:rPr>
      </w:pPr>
      <w:r>
        <w:rPr>
          <w:rFonts w:hint="eastAsia" w:ascii="宋体" w:hAnsi="宋体" w:cs="宋体"/>
          <w:color w:val="auto"/>
          <w:sz w:val="24"/>
          <w:highlight w:val="none"/>
        </w:rPr>
        <w:t>相关供应商：</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3B7B68ED">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490F4D6E">
      <w:pPr>
        <w:spacing w:line="360" w:lineRule="auto"/>
        <w:rPr>
          <w:rFonts w:ascii="宋体" w:hAnsi="宋体" w:cs="宋体"/>
          <w:color w:val="auto"/>
          <w:sz w:val="24"/>
          <w:highlight w:val="none"/>
          <w:u w:val="singl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2A896D12">
      <w:pPr>
        <w:spacing w:line="360" w:lineRule="auto"/>
        <w:rPr>
          <w:rFonts w:ascii="宋体" w:hAnsi="宋体" w:cs="宋体"/>
          <w:color w:val="auto"/>
          <w:sz w:val="24"/>
          <w:highlight w:val="none"/>
        </w:rPr>
      </w:pPr>
      <w:r>
        <w:rPr>
          <w:rFonts w:hint="eastAsia" w:ascii="宋体" w:hAnsi="宋体" w:cs="宋体"/>
          <w:color w:val="auto"/>
          <w:sz w:val="24"/>
          <w:highlight w:val="none"/>
        </w:rPr>
        <w:t>二、投诉项目基本情况</w:t>
      </w:r>
    </w:p>
    <w:p w14:paraId="2916613B">
      <w:pPr>
        <w:spacing w:line="360" w:lineRule="auto"/>
        <w:rPr>
          <w:rFonts w:ascii="宋体" w:hAnsi="宋体" w:cs="宋体"/>
          <w:color w:val="auto"/>
          <w:sz w:val="24"/>
          <w:highlight w:val="none"/>
          <w:u w:val="dotted"/>
        </w:rPr>
      </w:pPr>
      <w:r>
        <w:rPr>
          <w:rFonts w:hint="eastAsia" w:ascii="宋体" w:hAnsi="宋体" w:cs="宋体"/>
          <w:color w:val="auto"/>
          <w:sz w:val="24"/>
          <w:highlight w:val="none"/>
        </w:rPr>
        <w:t>采购项目名称：</w:t>
      </w:r>
      <w:r>
        <w:rPr>
          <w:rFonts w:hint="eastAsia" w:ascii="宋体" w:hAnsi="宋体" w:cs="宋体"/>
          <w:color w:val="auto"/>
          <w:sz w:val="24"/>
          <w:highlight w:val="none"/>
          <w:u w:val="dotted"/>
        </w:rPr>
        <w:t xml:space="preserve">                                        </w:t>
      </w:r>
    </w:p>
    <w:p w14:paraId="448500B6">
      <w:pPr>
        <w:spacing w:line="360" w:lineRule="auto"/>
        <w:rPr>
          <w:rFonts w:ascii="宋体" w:hAnsi="宋体" w:cs="宋体"/>
          <w:color w:val="auto"/>
          <w:sz w:val="24"/>
          <w:highlight w:val="none"/>
          <w:u w:val="single"/>
        </w:rPr>
      </w:pPr>
      <w:r>
        <w:rPr>
          <w:rFonts w:hint="eastAsia" w:ascii="宋体" w:hAnsi="宋体" w:cs="宋体"/>
          <w:color w:val="auto"/>
          <w:sz w:val="24"/>
          <w:highlight w:val="none"/>
        </w:rPr>
        <w:t>采购项目编号：</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包号：</w:t>
      </w:r>
      <w:r>
        <w:rPr>
          <w:rFonts w:hint="eastAsia" w:ascii="宋体" w:hAnsi="宋体" w:cs="宋体"/>
          <w:color w:val="auto"/>
          <w:sz w:val="24"/>
          <w:highlight w:val="none"/>
          <w:u w:val="dotted"/>
        </w:rPr>
        <w:t xml:space="preserve">              </w:t>
      </w:r>
    </w:p>
    <w:p w14:paraId="2D5E8F5A">
      <w:pPr>
        <w:spacing w:line="360" w:lineRule="auto"/>
        <w:rPr>
          <w:rFonts w:ascii="宋体" w:hAnsi="宋体" w:cs="宋体"/>
          <w:color w:val="auto"/>
          <w:sz w:val="24"/>
          <w:highlight w:val="none"/>
        </w:rPr>
      </w:pPr>
      <w:r>
        <w:rPr>
          <w:rFonts w:hint="eastAsia" w:ascii="宋体" w:hAnsi="宋体" w:cs="宋体"/>
          <w:color w:val="auto"/>
          <w:sz w:val="24"/>
          <w:highlight w:val="none"/>
        </w:rPr>
        <w:t>采购人名称：</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08B3F72F">
      <w:pPr>
        <w:spacing w:line="360" w:lineRule="auto"/>
        <w:rPr>
          <w:rFonts w:ascii="宋体" w:hAnsi="宋体" w:cs="宋体"/>
          <w:color w:val="auto"/>
          <w:sz w:val="24"/>
          <w:highlight w:val="none"/>
          <w:u w:val="single"/>
        </w:rPr>
      </w:pPr>
      <w:r>
        <w:rPr>
          <w:rFonts w:hint="eastAsia" w:ascii="宋体" w:hAnsi="宋体" w:cs="宋体"/>
          <w:color w:val="auto"/>
          <w:sz w:val="24"/>
          <w:highlight w:val="none"/>
        </w:rPr>
        <w:t>代理机构名称：</w:t>
      </w:r>
      <w:r>
        <w:rPr>
          <w:rFonts w:hint="eastAsia" w:ascii="宋体" w:hAnsi="宋体" w:cs="宋体"/>
          <w:color w:val="auto"/>
          <w:sz w:val="24"/>
          <w:highlight w:val="none"/>
          <w:u w:val="dotted"/>
        </w:rPr>
        <w:t xml:space="preserve">                                         </w:t>
      </w:r>
    </w:p>
    <w:p w14:paraId="250FFABF">
      <w:pPr>
        <w:spacing w:line="360" w:lineRule="auto"/>
        <w:rPr>
          <w:rFonts w:ascii="宋体" w:hAnsi="宋体" w:cs="宋体"/>
          <w:color w:val="auto"/>
          <w:sz w:val="24"/>
          <w:highlight w:val="none"/>
          <w:u w:val="dotted"/>
        </w:rPr>
      </w:pPr>
      <w:r>
        <w:rPr>
          <w:rFonts w:hint="eastAsia" w:ascii="宋体" w:hAnsi="宋体" w:cs="宋体"/>
          <w:color w:val="auto"/>
          <w:sz w:val="24"/>
          <w:highlight w:val="none"/>
        </w:rPr>
        <w:t>采购文件公告:</w:t>
      </w:r>
      <w:r>
        <w:rPr>
          <w:rFonts w:hint="eastAsia" w:ascii="宋体" w:hAnsi="宋体" w:cs="宋体"/>
          <w:color w:val="auto"/>
          <w:sz w:val="24"/>
          <w:highlight w:val="none"/>
          <w:u w:val="dotted"/>
        </w:rPr>
        <w:t xml:space="preserve">是/否 </w:t>
      </w:r>
      <w:r>
        <w:rPr>
          <w:rFonts w:hint="eastAsia" w:ascii="宋体" w:hAnsi="宋体" w:cs="宋体"/>
          <w:color w:val="auto"/>
          <w:sz w:val="24"/>
          <w:highlight w:val="none"/>
        </w:rPr>
        <w:t>公告期限：</w:t>
      </w:r>
      <w:r>
        <w:rPr>
          <w:rFonts w:hint="eastAsia" w:ascii="宋体" w:hAnsi="宋体" w:cs="宋体"/>
          <w:color w:val="auto"/>
          <w:sz w:val="24"/>
          <w:highlight w:val="none"/>
          <w:u w:val="dotted"/>
        </w:rPr>
        <w:t xml:space="preserve">                                 </w:t>
      </w:r>
    </w:p>
    <w:p w14:paraId="7C387E8F">
      <w:pPr>
        <w:spacing w:line="360" w:lineRule="auto"/>
        <w:rPr>
          <w:rFonts w:ascii="宋体" w:hAnsi="宋体" w:cs="宋体"/>
          <w:color w:val="auto"/>
          <w:sz w:val="24"/>
          <w:highlight w:val="none"/>
          <w:u w:val="single"/>
        </w:rPr>
      </w:pPr>
      <w:r>
        <w:rPr>
          <w:rFonts w:hint="eastAsia" w:ascii="宋体" w:hAnsi="宋体" w:cs="宋体"/>
          <w:color w:val="auto"/>
          <w:sz w:val="24"/>
          <w:highlight w:val="none"/>
        </w:rPr>
        <w:t>采购结果公告:</w:t>
      </w:r>
      <w:r>
        <w:rPr>
          <w:rFonts w:hint="eastAsia" w:ascii="宋体" w:hAnsi="宋体" w:cs="宋体"/>
          <w:color w:val="auto"/>
          <w:sz w:val="24"/>
          <w:highlight w:val="none"/>
          <w:u w:val="dotted"/>
        </w:rPr>
        <w:t xml:space="preserve">是/否 </w:t>
      </w:r>
      <w:r>
        <w:rPr>
          <w:rFonts w:hint="eastAsia" w:ascii="宋体" w:hAnsi="宋体" w:cs="宋体"/>
          <w:color w:val="auto"/>
          <w:sz w:val="24"/>
          <w:highlight w:val="none"/>
        </w:rPr>
        <w:t>公告期限：</w:t>
      </w:r>
      <w:r>
        <w:rPr>
          <w:rFonts w:hint="eastAsia" w:ascii="宋体" w:hAnsi="宋体" w:cs="宋体"/>
          <w:color w:val="auto"/>
          <w:sz w:val="24"/>
          <w:highlight w:val="none"/>
          <w:u w:val="dotted"/>
        </w:rPr>
        <w:t xml:space="preserve">                        </w:t>
      </w:r>
    </w:p>
    <w:p w14:paraId="50FF286F">
      <w:pPr>
        <w:spacing w:line="360" w:lineRule="auto"/>
        <w:rPr>
          <w:rFonts w:ascii="宋体" w:hAnsi="宋体" w:cs="宋体"/>
          <w:color w:val="auto"/>
          <w:sz w:val="24"/>
          <w:highlight w:val="none"/>
        </w:rPr>
      </w:pPr>
      <w:r>
        <w:rPr>
          <w:rFonts w:hint="eastAsia" w:ascii="宋体" w:hAnsi="宋体" w:cs="宋体"/>
          <w:color w:val="auto"/>
          <w:sz w:val="24"/>
          <w:highlight w:val="none"/>
        </w:rPr>
        <w:t>三、质疑基本情况</w:t>
      </w:r>
    </w:p>
    <w:p w14:paraId="7A18D3CD">
      <w:pPr>
        <w:spacing w:line="360" w:lineRule="auto"/>
        <w:ind w:firstLine="480" w:firstLineChars="200"/>
        <w:rPr>
          <w:rFonts w:ascii="宋体" w:hAnsi="宋体" w:cs="宋体"/>
          <w:color w:val="auto"/>
          <w:sz w:val="24"/>
          <w:highlight w:val="none"/>
          <w:u w:val="dotted"/>
        </w:rPr>
      </w:pPr>
      <w:r>
        <w:rPr>
          <w:rFonts w:hint="eastAsia" w:ascii="宋体" w:hAnsi="宋体" w:cs="宋体"/>
          <w:color w:val="auto"/>
          <w:sz w:val="24"/>
          <w:highlight w:val="none"/>
        </w:rPr>
        <w:t>投诉人于</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日,向</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提出质疑，质疑事项为：</w:t>
      </w:r>
      <w:r>
        <w:rPr>
          <w:rFonts w:hint="eastAsia" w:ascii="宋体" w:hAnsi="宋体" w:cs="宋体"/>
          <w:color w:val="auto"/>
          <w:sz w:val="24"/>
          <w:highlight w:val="none"/>
          <w:u w:val="dotted"/>
        </w:rPr>
        <w:t xml:space="preserve">                                </w:t>
      </w:r>
    </w:p>
    <w:p w14:paraId="3E6FBE70">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6F16E01B">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u w:val="dotted"/>
        </w:rPr>
        <w:t>采购人/代理机构</w:t>
      </w:r>
      <w:r>
        <w:rPr>
          <w:rFonts w:hint="eastAsia" w:ascii="宋体" w:hAnsi="宋体" w:cs="宋体"/>
          <w:color w:val="auto"/>
          <w:sz w:val="24"/>
          <w:highlight w:val="none"/>
        </w:rPr>
        <w:t>于</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日,就质疑事项作出了答复/没有在法定期限内作出答复。</w:t>
      </w:r>
    </w:p>
    <w:p w14:paraId="0F13C464">
      <w:pPr>
        <w:spacing w:line="360" w:lineRule="auto"/>
        <w:rPr>
          <w:rFonts w:ascii="宋体" w:hAnsi="宋体" w:cs="宋体"/>
          <w:color w:val="auto"/>
          <w:sz w:val="24"/>
          <w:highlight w:val="none"/>
        </w:rPr>
      </w:pPr>
      <w:r>
        <w:rPr>
          <w:rFonts w:hint="eastAsia" w:ascii="宋体" w:hAnsi="宋体" w:cs="宋体"/>
          <w:color w:val="auto"/>
          <w:sz w:val="24"/>
          <w:highlight w:val="none"/>
        </w:rPr>
        <w:t>四、投诉事项具体内容</w:t>
      </w:r>
    </w:p>
    <w:p w14:paraId="76213F03">
      <w:pPr>
        <w:spacing w:line="360" w:lineRule="auto"/>
        <w:rPr>
          <w:rFonts w:ascii="宋体" w:hAnsi="宋体" w:cs="宋体"/>
          <w:color w:val="auto"/>
          <w:sz w:val="24"/>
          <w:highlight w:val="none"/>
          <w:u w:val="single"/>
        </w:rPr>
      </w:pPr>
      <w:r>
        <w:rPr>
          <w:rFonts w:hint="eastAsia" w:ascii="宋体" w:hAnsi="宋体" w:cs="宋体"/>
          <w:color w:val="auto"/>
          <w:sz w:val="24"/>
          <w:highlight w:val="none"/>
        </w:rPr>
        <w:t>投诉事项 1：</w:t>
      </w:r>
      <w:r>
        <w:rPr>
          <w:rFonts w:hint="eastAsia" w:ascii="宋体" w:hAnsi="宋体" w:cs="宋体"/>
          <w:color w:val="auto"/>
          <w:sz w:val="24"/>
          <w:highlight w:val="none"/>
          <w:u w:val="dotted"/>
        </w:rPr>
        <w:t xml:space="preserve">                                       </w:t>
      </w:r>
    </w:p>
    <w:p w14:paraId="47F3F652">
      <w:pPr>
        <w:spacing w:line="360" w:lineRule="auto"/>
        <w:rPr>
          <w:rFonts w:ascii="宋体" w:hAnsi="宋体" w:cs="宋体"/>
          <w:color w:val="auto"/>
          <w:sz w:val="24"/>
          <w:highlight w:val="none"/>
        </w:rPr>
      </w:pPr>
      <w:r>
        <w:rPr>
          <w:rFonts w:hint="eastAsia" w:ascii="宋体" w:hAnsi="宋体" w:cs="宋体"/>
          <w:color w:val="auto"/>
          <w:sz w:val="24"/>
          <w:highlight w:val="none"/>
        </w:rPr>
        <w:t>事实依据：</w:t>
      </w:r>
      <w:r>
        <w:rPr>
          <w:rFonts w:hint="eastAsia" w:ascii="宋体" w:hAnsi="宋体" w:cs="宋体"/>
          <w:color w:val="auto"/>
          <w:sz w:val="24"/>
          <w:highlight w:val="none"/>
          <w:u w:val="dotted"/>
        </w:rPr>
        <w:t xml:space="preserve">                                         </w:t>
      </w:r>
    </w:p>
    <w:p w14:paraId="004A4248">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6DDA1948">
      <w:pPr>
        <w:spacing w:line="360" w:lineRule="auto"/>
        <w:rPr>
          <w:rFonts w:ascii="宋体" w:hAnsi="宋体" w:cs="宋体"/>
          <w:color w:val="auto"/>
          <w:sz w:val="24"/>
          <w:highlight w:val="none"/>
          <w:u w:val="single"/>
        </w:rPr>
      </w:pPr>
      <w:r>
        <w:rPr>
          <w:rFonts w:hint="eastAsia" w:ascii="宋体" w:hAnsi="宋体" w:cs="宋体"/>
          <w:color w:val="auto"/>
          <w:sz w:val="24"/>
          <w:highlight w:val="none"/>
        </w:rPr>
        <w:t>法律依据：</w:t>
      </w:r>
      <w:r>
        <w:rPr>
          <w:rFonts w:hint="eastAsia" w:ascii="宋体" w:hAnsi="宋体" w:cs="宋体"/>
          <w:color w:val="auto"/>
          <w:sz w:val="24"/>
          <w:highlight w:val="none"/>
          <w:u w:val="dotted"/>
        </w:rPr>
        <w:t xml:space="preserve">                                          </w:t>
      </w:r>
    </w:p>
    <w:p w14:paraId="61B73BB5">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0875831D">
      <w:pPr>
        <w:spacing w:line="360" w:lineRule="auto"/>
        <w:rPr>
          <w:rFonts w:ascii="宋体" w:hAnsi="宋体" w:cs="宋体"/>
          <w:color w:val="auto"/>
          <w:sz w:val="24"/>
          <w:highlight w:val="none"/>
        </w:rPr>
      </w:pPr>
      <w:r>
        <w:rPr>
          <w:rFonts w:hint="eastAsia" w:ascii="宋体" w:hAnsi="宋体" w:cs="宋体"/>
          <w:color w:val="auto"/>
          <w:sz w:val="24"/>
          <w:highlight w:val="none"/>
        </w:rPr>
        <w:t>投诉事项2</w:t>
      </w:r>
    </w:p>
    <w:p w14:paraId="4DC5A4FB">
      <w:pPr>
        <w:spacing w:line="360" w:lineRule="auto"/>
        <w:rPr>
          <w:rFonts w:ascii="宋体" w:hAnsi="宋体" w:cs="宋体"/>
          <w:color w:val="auto"/>
          <w:sz w:val="24"/>
          <w:highlight w:val="none"/>
          <w:u w:val="dotted"/>
        </w:rPr>
      </w:pPr>
      <w:r>
        <w:rPr>
          <w:rFonts w:hint="eastAsia" w:ascii="宋体" w:hAnsi="宋体" w:cs="宋体"/>
          <w:color w:val="auto"/>
          <w:sz w:val="24"/>
          <w:highlight w:val="none"/>
        </w:rPr>
        <w:t>……</w:t>
      </w:r>
    </w:p>
    <w:p w14:paraId="6FA090A9">
      <w:pPr>
        <w:spacing w:line="360" w:lineRule="auto"/>
        <w:rPr>
          <w:rFonts w:ascii="宋体" w:hAnsi="宋体" w:cs="宋体"/>
          <w:color w:val="auto"/>
          <w:sz w:val="24"/>
          <w:highlight w:val="none"/>
        </w:rPr>
      </w:pPr>
      <w:r>
        <w:rPr>
          <w:rFonts w:hint="eastAsia" w:ascii="宋体" w:hAnsi="宋体" w:cs="宋体"/>
          <w:color w:val="auto"/>
          <w:sz w:val="24"/>
          <w:highlight w:val="none"/>
        </w:rPr>
        <w:t>五、与投诉事项相关的投诉请求</w:t>
      </w:r>
    </w:p>
    <w:p w14:paraId="0FEAFE29">
      <w:pPr>
        <w:spacing w:line="360" w:lineRule="auto"/>
        <w:rPr>
          <w:rFonts w:ascii="宋体" w:hAnsi="宋体" w:cs="宋体"/>
          <w:color w:val="auto"/>
          <w:sz w:val="24"/>
          <w:highlight w:val="none"/>
        </w:rPr>
      </w:pPr>
      <w:r>
        <w:rPr>
          <w:rFonts w:hint="eastAsia" w:ascii="宋体" w:hAnsi="宋体" w:cs="宋体"/>
          <w:color w:val="auto"/>
          <w:sz w:val="24"/>
          <w:highlight w:val="none"/>
        </w:rPr>
        <w:t>请求：</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384C0115">
      <w:pPr>
        <w:spacing w:line="360" w:lineRule="auto"/>
        <w:rPr>
          <w:rFonts w:ascii="宋体" w:hAnsi="宋体" w:cs="宋体"/>
          <w:color w:val="auto"/>
          <w:sz w:val="24"/>
          <w:highlight w:val="none"/>
          <w:u w:val="single"/>
        </w:rPr>
      </w:pPr>
      <w:r>
        <w:rPr>
          <w:rFonts w:hint="eastAsia" w:ascii="宋体" w:hAnsi="宋体" w:cs="宋体"/>
          <w:color w:val="auto"/>
          <w:sz w:val="24"/>
          <w:highlight w:val="none"/>
        </w:rPr>
        <w:t xml:space="preserve">                                                                                                    </w:t>
      </w:r>
    </w:p>
    <w:p w14:paraId="3A4ADC37">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签字(签章)：                   公章：                      </w:t>
      </w:r>
    </w:p>
    <w:p w14:paraId="2E91494A">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日期：    </w:t>
      </w:r>
    </w:p>
    <w:p w14:paraId="327927B6">
      <w:pPr>
        <w:spacing w:line="360" w:lineRule="auto"/>
        <w:rPr>
          <w:rFonts w:ascii="宋体" w:hAnsi="宋体" w:cs="宋体"/>
          <w:b/>
          <w:color w:val="auto"/>
          <w:sz w:val="24"/>
          <w:highlight w:val="none"/>
        </w:rPr>
      </w:pPr>
    </w:p>
    <w:p w14:paraId="4B2FCD6B">
      <w:pPr>
        <w:spacing w:line="360" w:lineRule="auto"/>
        <w:rPr>
          <w:rFonts w:ascii="宋体" w:hAnsi="宋体" w:cs="宋体"/>
          <w:b/>
          <w:color w:val="auto"/>
          <w:sz w:val="24"/>
          <w:highlight w:val="none"/>
        </w:rPr>
      </w:pPr>
    </w:p>
    <w:p w14:paraId="0FA51976">
      <w:pPr>
        <w:spacing w:line="360" w:lineRule="auto"/>
        <w:rPr>
          <w:rFonts w:ascii="宋体" w:hAnsi="宋体" w:cs="宋体"/>
          <w:b/>
          <w:color w:val="auto"/>
          <w:sz w:val="24"/>
          <w:highlight w:val="none"/>
        </w:rPr>
      </w:pPr>
      <w:r>
        <w:rPr>
          <w:rFonts w:hint="eastAsia" w:ascii="宋体" w:hAnsi="宋体" w:cs="宋体"/>
          <w:b/>
          <w:color w:val="auto"/>
          <w:sz w:val="24"/>
          <w:highlight w:val="none"/>
        </w:rPr>
        <w:t>投诉书制作说明：</w:t>
      </w:r>
    </w:p>
    <w:p w14:paraId="4FA299DA">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sz w:val="24"/>
          <w:highlight w:val="none"/>
        </w:rPr>
        <w:t>1.投诉人提起投诉时，应当提交投诉书和必要的证明材料，并按照被投诉人和与投诉事项有关的供应商数量提供投诉书副本。</w:t>
      </w:r>
    </w:p>
    <w:p w14:paraId="2E5C646F">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2.投诉人若委托代理人进行投诉的，投诉书应按照要求列明“授权代表”的有关内容，并在附件中提交由</w:t>
      </w:r>
      <w:r>
        <w:rPr>
          <w:rFonts w:hint="eastAsia" w:ascii="宋体" w:hAnsi="宋体" w:cs="宋体"/>
          <w:color w:val="auto"/>
          <w:kern w:val="0"/>
          <w:sz w:val="24"/>
          <w:highlight w:val="none"/>
        </w:rPr>
        <w:t>投诉人签署的授权委托书。授权委托书应当载明代理人的姓名或者名称、代理事项、具体权限、期限和相关事项。</w:t>
      </w:r>
    </w:p>
    <w:p w14:paraId="0939B2D6">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3.投诉人若对项目的某一分包进行投诉，投诉书应列明具体分包号。</w:t>
      </w:r>
    </w:p>
    <w:p w14:paraId="534EDD75">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4.投诉书应简要列明质疑事项，质疑函、质疑答复等作为附件材料提供。</w:t>
      </w:r>
    </w:p>
    <w:p w14:paraId="35930FE6">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5.投诉书的投诉事项应具体、明确，并有必要的事实依据和法律依据。</w:t>
      </w:r>
    </w:p>
    <w:p w14:paraId="7E3D3489">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6.投诉书的投诉请求应与投诉事项相关。</w:t>
      </w:r>
    </w:p>
    <w:p w14:paraId="447F144E">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7.投诉人为自然人的，投诉书应当由本人签字；投诉人为法人或者其他组织的，投诉书应当由法定代表人、主要负责人，或者其授权代表签字或者盖章，并加盖公章。</w:t>
      </w:r>
    </w:p>
    <w:p w14:paraId="2092DFDA">
      <w:pPr>
        <w:spacing w:line="360" w:lineRule="auto"/>
        <w:rPr>
          <w:rFonts w:ascii="宋体" w:hAnsi="宋体" w:cs="宋体"/>
          <w:b/>
          <w:color w:val="auto"/>
          <w:sz w:val="24"/>
          <w:highlight w:val="none"/>
        </w:rPr>
      </w:pPr>
    </w:p>
    <w:p w14:paraId="0EA99574">
      <w:pPr>
        <w:autoSpaceDE w:val="0"/>
        <w:autoSpaceDN w:val="0"/>
        <w:jc w:val="center"/>
        <w:rPr>
          <w:rFonts w:ascii="宋体" w:hAnsi="宋体" w:cs="宋体"/>
          <w:b/>
          <w:color w:val="auto"/>
          <w:spacing w:val="6"/>
          <w:sz w:val="32"/>
          <w:szCs w:val="32"/>
          <w:highlight w:val="none"/>
        </w:rPr>
      </w:pPr>
    </w:p>
    <w:p w14:paraId="51635FBB">
      <w:pPr>
        <w:autoSpaceDE w:val="0"/>
        <w:autoSpaceDN w:val="0"/>
        <w:jc w:val="center"/>
        <w:rPr>
          <w:rFonts w:hint="eastAsia" w:ascii="宋体" w:hAnsi="宋体" w:cs="宋体"/>
          <w:b/>
          <w:color w:val="auto"/>
          <w:spacing w:val="6"/>
          <w:sz w:val="32"/>
          <w:szCs w:val="32"/>
          <w:highlight w:val="none"/>
        </w:rPr>
      </w:pPr>
    </w:p>
    <w:p w14:paraId="38E181C3">
      <w:pPr>
        <w:autoSpaceDE w:val="0"/>
        <w:autoSpaceDN w:val="0"/>
        <w:jc w:val="center"/>
        <w:rPr>
          <w:rFonts w:ascii="宋体" w:hAnsi="宋体" w:cs="宋体"/>
          <w:b/>
          <w:bCs/>
          <w:color w:val="auto"/>
          <w:sz w:val="32"/>
          <w:szCs w:val="32"/>
          <w:highlight w:val="none"/>
        </w:rPr>
      </w:pPr>
      <w:r>
        <w:rPr>
          <w:rFonts w:hint="eastAsia" w:ascii="宋体" w:hAnsi="宋体" w:cs="宋体"/>
          <w:b/>
          <w:color w:val="auto"/>
          <w:spacing w:val="6"/>
          <w:sz w:val="32"/>
          <w:szCs w:val="32"/>
          <w:highlight w:val="none"/>
        </w:rPr>
        <w:t>附件4：</w:t>
      </w:r>
      <w:r>
        <w:rPr>
          <w:rFonts w:hint="eastAsia" w:ascii="宋体" w:hAnsi="宋体" w:cs="宋体"/>
          <w:b/>
          <w:bCs/>
          <w:color w:val="auto"/>
          <w:sz w:val="32"/>
          <w:szCs w:val="32"/>
          <w:highlight w:val="none"/>
        </w:rPr>
        <w:t>业务专用章使用说明函</w:t>
      </w:r>
    </w:p>
    <w:p w14:paraId="4B7A5CA2">
      <w:pPr>
        <w:spacing w:line="360" w:lineRule="auto"/>
        <w:rPr>
          <w:rFonts w:ascii="宋体" w:hAnsi="宋体" w:cs="宋体"/>
          <w:color w:val="auto"/>
          <w:sz w:val="24"/>
          <w:highlight w:val="none"/>
          <w:u w:val="single"/>
        </w:rPr>
      </w:pPr>
    </w:p>
    <w:p w14:paraId="5B177861">
      <w:pPr>
        <w:spacing w:line="360" w:lineRule="auto"/>
        <w:rPr>
          <w:rFonts w:ascii="宋体" w:hAnsi="宋体" w:cs="宋体"/>
          <w:color w:val="auto"/>
          <w:sz w:val="24"/>
          <w:highlight w:val="none"/>
        </w:rPr>
      </w:pPr>
      <w:r>
        <w:rPr>
          <w:rFonts w:hint="eastAsia" w:ascii="宋体" w:hAnsi="宋体" w:cs="宋体"/>
          <w:color w:val="auto"/>
          <w:sz w:val="24"/>
          <w:highlight w:val="none"/>
          <w:u w:val="single"/>
        </w:rPr>
        <w:t>（采购人）、（采购代理机构）</w:t>
      </w:r>
    </w:p>
    <w:p w14:paraId="7FD0BE61">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lang w:val="zh-CN"/>
        </w:rPr>
        <w:t>我方</w:t>
      </w:r>
      <w:r>
        <w:rPr>
          <w:rFonts w:hint="eastAsia" w:ascii="宋体" w:hAnsi="宋体" w:cs="宋体"/>
          <w:color w:val="auto"/>
          <w:kern w:val="0"/>
          <w:sz w:val="24"/>
          <w:highlight w:val="none"/>
          <w:u w:val="single"/>
          <w:lang w:val="zh-CN"/>
        </w:rPr>
        <w:t xml:space="preserve">                         </w:t>
      </w:r>
      <w:r>
        <w:rPr>
          <w:rFonts w:hint="eastAsia" w:ascii="宋体" w:hAnsi="宋体" w:cs="宋体"/>
          <w:color w:val="auto"/>
          <w:sz w:val="24"/>
          <w:highlight w:val="none"/>
        </w:rPr>
        <w:t>(供应商全称)是中华人民共和国依法登记注册的合法企业，</w:t>
      </w:r>
      <w:r>
        <w:rPr>
          <w:rFonts w:hint="eastAsia" w:ascii="宋体" w:hAnsi="宋体" w:cs="宋体"/>
          <w:bCs/>
          <w:color w:val="auto"/>
          <w:sz w:val="24"/>
          <w:highlight w:val="none"/>
        </w:rPr>
        <w:t>在参加</w:t>
      </w:r>
      <w:r>
        <w:rPr>
          <w:rFonts w:hint="eastAsia" w:ascii="宋体" w:hAnsi="宋体" w:cs="宋体"/>
          <w:color w:val="auto"/>
          <w:sz w:val="24"/>
          <w:highlight w:val="none"/>
        </w:rPr>
        <w:t>你方组织的（项目名称）项目【项目编号：（采购编号）】</w:t>
      </w:r>
      <w:r>
        <w:rPr>
          <w:rFonts w:hint="eastAsia" w:ascii="宋体" w:hAnsi="宋体" w:cs="宋体"/>
          <w:bCs/>
          <w:color w:val="auto"/>
          <w:sz w:val="24"/>
          <w:highlight w:val="none"/>
        </w:rPr>
        <w:t>投标活动中作如下说明：</w:t>
      </w:r>
      <w:r>
        <w:rPr>
          <w:rFonts w:hint="eastAsia" w:ascii="宋体" w:hAnsi="宋体" w:cs="宋体"/>
          <w:color w:val="auto"/>
          <w:sz w:val="24"/>
          <w:highlight w:val="none"/>
        </w:rPr>
        <w:t xml:space="preserve">我方所使用的“XX专用章”与法定名称章具有同等的法律效力，对使用“XX专用章”的行为予以完全承认，并愿意承担相应责任。   </w:t>
      </w:r>
    </w:p>
    <w:p w14:paraId="66C448F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特此说明。</w:t>
      </w:r>
    </w:p>
    <w:p w14:paraId="5137203F">
      <w:pPr>
        <w:spacing w:line="360" w:lineRule="auto"/>
        <w:ind w:firstLine="494"/>
        <w:rPr>
          <w:rFonts w:ascii="宋体" w:hAnsi="宋体" w:cs="宋体"/>
          <w:color w:val="auto"/>
          <w:sz w:val="24"/>
          <w:highlight w:val="none"/>
        </w:rPr>
      </w:pPr>
    </w:p>
    <w:p w14:paraId="2E4E2314">
      <w:pPr>
        <w:spacing w:line="360" w:lineRule="auto"/>
        <w:ind w:firstLine="494"/>
        <w:rPr>
          <w:rFonts w:ascii="宋体" w:hAnsi="宋体" w:cs="宋体"/>
          <w:color w:val="auto"/>
          <w:sz w:val="24"/>
          <w:highlight w:val="none"/>
        </w:rPr>
      </w:pPr>
    </w:p>
    <w:p w14:paraId="2D9DF682">
      <w:pPr>
        <w:spacing w:line="360" w:lineRule="auto"/>
        <w:ind w:firstLine="494"/>
        <w:rPr>
          <w:rFonts w:ascii="宋体" w:hAnsi="宋体" w:cs="宋体"/>
          <w:color w:val="auto"/>
          <w:sz w:val="24"/>
          <w:highlight w:val="none"/>
        </w:rPr>
      </w:pPr>
    </w:p>
    <w:p w14:paraId="74379CAD">
      <w:pPr>
        <w:spacing w:line="360" w:lineRule="auto"/>
        <w:ind w:firstLine="494"/>
        <w:rPr>
          <w:rFonts w:ascii="宋体" w:hAnsi="宋体" w:cs="宋体"/>
          <w:color w:val="auto"/>
          <w:sz w:val="24"/>
          <w:highlight w:val="none"/>
        </w:rPr>
      </w:pPr>
    </w:p>
    <w:p w14:paraId="04885F87">
      <w:pPr>
        <w:spacing w:line="360" w:lineRule="auto"/>
        <w:ind w:right="480" w:firstLine="4080" w:firstLineChars="1700"/>
        <w:rPr>
          <w:rFonts w:ascii="宋体" w:hAnsi="宋体" w:cs="宋体"/>
          <w:color w:val="auto"/>
          <w:sz w:val="24"/>
          <w:highlight w:val="none"/>
        </w:rPr>
      </w:pPr>
      <w:r>
        <w:rPr>
          <w:rFonts w:hint="eastAsia" w:ascii="宋体" w:hAnsi="宋体" w:cs="宋体"/>
          <w:color w:val="auto"/>
          <w:sz w:val="24"/>
          <w:highlight w:val="none"/>
        </w:rPr>
        <w:t>供应商（法定名称章）：</w:t>
      </w:r>
    </w:p>
    <w:p w14:paraId="00159FF5">
      <w:pPr>
        <w:ind w:right="1440" w:firstLine="494"/>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3D27E789">
      <w:pPr>
        <w:rPr>
          <w:rFonts w:ascii="宋体" w:hAnsi="宋体" w:cs="宋体"/>
          <w:color w:val="auto"/>
          <w:sz w:val="24"/>
          <w:highlight w:val="none"/>
        </w:rPr>
      </w:pPr>
      <w:r>
        <w:rPr>
          <w:rFonts w:hint="eastAsia" w:ascii="宋体" w:hAnsi="宋体" w:cs="宋体"/>
          <w:b/>
          <w:bCs/>
          <w:color w:val="auto"/>
          <w:sz w:val="24"/>
          <w:highlight w:val="none"/>
        </w:rPr>
        <w:t>附：</w:t>
      </w:r>
    </w:p>
    <w:p w14:paraId="2E79AB6E">
      <w:pPr>
        <w:spacing w:line="360" w:lineRule="auto"/>
        <w:rPr>
          <w:rFonts w:ascii="宋体" w:hAnsi="宋体" w:cs="宋体"/>
          <w:bCs/>
          <w:color w:val="auto"/>
          <w:sz w:val="24"/>
          <w:highlight w:val="none"/>
        </w:rPr>
      </w:pPr>
      <w:r>
        <w:rPr>
          <w:rFonts w:ascii="宋体" w:hAnsi="宋体" w:cs="宋体"/>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color w:val="auto"/>
          <w:sz w:val="24"/>
          <w:highlight w:val="none"/>
        </w:rPr>
        <w:t>供应商</w:t>
      </w:r>
      <w:r>
        <w:rPr>
          <w:rFonts w:hint="eastAsia" w:ascii="宋体" w:hAnsi="宋体" w:cs="宋体"/>
          <w:color w:val="auto"/>
          <w:sz w:val="24"/>
          <w:highlight w:val="none"/>
        </w:rPr>
        <w:t>法定名称章（印模）                供应商“XX专用章”（印模）</w:t>
      </w:r>
    </w:p>
    <w:p w14:paraId="6F5FA858">
      <w:pPr>
        <w:autoSpaceDE w:val="0"/>
        <w:autoSpaceDN w:val="0"/>
        <w:jc w:val="center"/>
        <w:rPr>
          <w:rFonts w:ascii="宋体" w:hAnsi="宋体" w:cs="宋体"/>
          <w:b/>
          <w:color w:val="auto"/>
          <w:spacing w:val="6"/>
          <w:sz w:val="32"/>
          <w:szCs w:val="32"/>
          <w:highlight w:val="none"/>
        </w:rPr>
      </w:pPr>
    </w:p>
    <w:p w14:paraId="2E2A0427">
      <w:pPr>
        <w:autoSpaceDE w:val="0"/>
        <w:autoSpaceDN w:val="0"/>
        <w:jc w:val="center"/>
        <w:rPr>
          <w:rFonts w:ascii="宋体" w:hAnsi="宋体" w:cs="宋体"/>
          <w:b/>
          <w:color w:val="auto"/>
          <w:spacing w:val="6"/>
          <w:sz w:val="32"/>
          <w:szCs w:val="32"/>
          <w:highlight w:val="none"/>
        </w:rPr>
      </w:pPr>
    </w:p>
    <w:p w14:paraId="7C2AF8EF">
      <w:pPr>
        <w:autoSpaceDE w:val="0"/>
        <w:autoSpaceDN w:val="0"/>
        <w:jc w:val="center"/>
        <w:rPr>
          <w:rFonts w:ascii="宋体" w:hAnsi="宋体" w:cs="宋体"/>
          <w:b/>
          <w:color w:val="auto"/>
          <w:spacing w:val="6"/>
          <w:sz w:val="32"/>
          <w:szCs w:val="32"/>
          <w:highlight w:val="none"/>
        </w:rPr>
      </w:pPr>
    </w:p>
    <w:p w14:paraId="1D3F00FA">
      <w:pPr>
        <w:autoSpaceDE w:val="0"/>
        <w:autoSpaceDN w:val="0"/>
        <w:jc w:val="center"/>
        <w:rPr>
          <w:rFonts w:ascii="宋体" w:hAnsi="宋体" w:cs="宋体"/>
          <w:b/>
          <w:color w:val="auto"/>
          <w:spacing w:val="6"/>
          <w:sz w:val="32"/>
          <w:szCs w:val="32"/>
          <w:highlight w:val="none"/>
        </w:rPr>
      </w:pPr>
    </w:p>
    <w:p w14:paraId="21F4104D">
      <w:pPr>
        <w:autoSpaceDE w:val="0"/>
        <w:autoSpaceDN w:val="0"/>
        <w:jc w:val="center"/>
        <w:rPr>
          <w:rFonts w:ascii="宋体" w:hAnsi="宋体" w:cs="宋体"/>
          <w:b/>
          <w:color w:val="auto"/>
          <w:spacing w:val="6"/>
          <w:sz w:val="32"/>
          <w:szCs w:val="32"/>
          <w:highlight w:val="none"/>
        </w:rPr>
      </w:pPr>
    </w:p>
    <w:p w14:paraId="1B4C78D6">
      <w:pPr>
        <w:autoSpaceDE w:val="0"/>
        <w:autoSpaceDN w:val="0"/>
        <w:jc w:val="center"/>
        <w:rPr>
          <w:rFonts w:ascii="宋体" w:hAnsi="宋体" w:cs="宋体"/>
          <w:b/>
          <w:color w:val="auto"/>
          <w:spacing w:val="6"/>
          <w:sz w:val="32"/>
          <w:szCs w:val="32"/>
          <w:highlight w:val="none"/>
        </w:rPr>
      </w:pPr>
    </w:p>
    <w:p w14:paraId="54402A7E">
      <w:pPr>
        <w:autoSpaceDE w:val="0"/>
        <w:autoSpaceDN w:val="0"/>
        <w:jc w:val="center"/>
        <w:rPr>
          <w:rFonts w:ascii="宋体" w:hAnsi="宋体" w:cs="宋体"/>
          <w:b/>
          <w:color w:val="auto"/>
          <w:spacing w:val="6"/>
          <w:sz w:val="32"/>
          <w:szCs w:val="32"/>
          <w:highlight w:val="none"/>
        </w:rPr>
      </w:pPr>
    </w:p>
    <w:p w14:paraId="11A5BE73">
      <w:pPr>
        <w:autoSpaceDE w:val="0"/>
        <w:autoSpaceDN w:val="0"/>
        <w:jc w:val="center"/>
        <w:rPr>
          <w:rFonts w:ascii="宋体" w:hAnsi="宋体" w:cs="宋体"/>
          <w:b/>
          <w:color w:val="auto"/>
          <w:spacing w:val="6"/>
          <w:sz w:val="32"/>
          <w:szCs w:val="32"/>
          <w:highlight w:val="none"/>
        </w:rPr>
      </w:pPr>
    </w:p>
    <w:p w14:paraId="198518C3">
      <w:pPr>
        <w:autoSpaceDE w:val="0"/>
        <w:autoSpaceDN w:val="0"/>
        <w:jc w:val="center"/>
        <w:rPr>
          <w:rFonts w:ascii="宋体" w:hAnsi="宋体" w:cs="宋体"/>
          <w:b/>
          <w:color w:val="auto"/>
          <w:spacing w:val="6"/>
          <w:sz w:val="32"/>
          <w:szCs w:val="32"/>
          <w:highlight w:val="none"/>
        </w:rPr>
      </w:pPr>
    </w:p>
    <w:p w14:paraId="5637A5FB">
      <w:pPr>
        <w:autoSpaceDE w:val="0"/>
        <w:autoSpaceDN w:val="0"/>
        <w:jc w:val="center"/>
        <w:rPr>
          <w:rFonts w:ascii="宋体" w:hAnsi="宋体" w:cs="宋体"/>
          <w:b/>
          <w:color w:val="auto"/>
          <w:spacing w:val="6"/>
          <w:sz w:val="32"/>
          <w:szCs w:val="32"/>
          <w:highlight w:val="none"/>
        </w:rPr>
      </w:pPr>
    </w:p>
    <w:p w14:paraId="27031BE4">
      <w:pPr>
        <w:autoSpaceDE w:val="0"/>
        <w:autoSpaceDN w:val="0"/>
        <w:jc w:val="center"/>
        <w:rPr>
          <w:rFonts w:ascii="宋体" w:hAnsi="宋体" w:cs="宋体"/>
          <w:b/>
          <w:color w:val="auto"/>
          <w:spacing w:val="6"/>
          <w:sz w:val="32"/>
          <w:szCs w:val="32"/>
          <w:highlight w:val="none"/>
        </w:rPr>
      </w:pPr>
    </w:p>
    <w:p w14:paraId="78CE66DA">
      <w:pPr>
        <w:autoSpaceDE w:val="0"/>
        <w:autoSpaceDN w:val="0"/>
        <w:jc w:val="center"/>
        <w:rPr>
          <w:rFonts w:ascii="宋体" w:hAnsi="宋体" w:cs="宋体"/>
          <w:b/>
          <w:color w:val="auto"/>
          <w:spacing w:val="6"/>
          <w:sz w:val="32"/>
          <w:szCs w:val="32"/>
          <w:highlight w:val="none"/>
        </w:rPr>
      </w:pPr>
    </w:p>
    <w:p w14:paraId="2CB9318D">
      <w:pPr>
        <w:autoSpaceDE w:val="0"/>
        <w:autoSpaceDN w:val="0"/>
        <w:jc w:val="center"/>
        <w:rPr>
          <w:rFonts w:ascii="宋体" w:hAnsi="宋体" w:cs="宋体"/>
          <w:b/>
          <w:color w:val="auto"/>
          <w:spacing w:val="6"/>
          <w:sz w:val="32"/>
          <w:szCs w:val="32"/>
          <w:highlight w:val="none"/>
        </w:rPr>
      </w:pPr>
    </w:p>
    <w:p w14:paraId="61FC1DA3">
      <w:pPr>
        <w:autoSpaceDE w:val="0"/>
        <w:autoSpaceDN w:val="0"/>
        <w:jc w:val="center"/>
        <w:rPr>
          <w:rFonts w:ascii="宋体" w:hAnsi="宋体" w:cs="宋体"/>
          <w:b/>
          <w:color w:val="auto"/>
          <w:spacing w:val="6"/>
          <w:sz w:val="32"/>
          <w:szCs w:val="32"/>
          <w:highlight w:val="none"/>
        </w:rPr>
      </w:pPr>
    </w:p>
    <w:p w14:paraId="6FC22213">
      <w:pPr>
        <w:autoSpaceDE w:val="0"/>
        <w:autoSpaceDN w:val="0"/>
        <w:jc w:val="center"/>
        <w:rPr>
          <w:rFonts w:ascii="宋体" w:hAnsi="宋体" w:cs="宋体"/>
          <w:b/>
          <w:color w:val="auto"/>
          <w:spacing w:val="6"/>
          <w:sz w:val="32"/>
          <w:szCs w:val="32"/>
          <w:highlight w:val="none"/>
        </w:rPr>
      </w:pPr>
    </w:p>
    <w:p w14:paraId="3A24BFBC">
      <w:pPr>
        <w:autoSpaceDE w:val="0"/>
        <w:autoSpaceDN w:val="0"/>
        <w:jc w:val="center"/>
        <w:rPr>
          <w:rFonts w:ascii="宋体" w:hAnsi="宋体" w:cs="宋体"/>
          <w:b/>
          <w:color w:val="auto"/>
          <w:spacing w:val="6"/>
          <w:sz w:val="32"/>
          <w:szCs w:val="32"/>
          <w:highlight w:val="none"/>
        </w:rPr>
      </w:pPr>
    </w:p>
    <w:p w14:paraId="377F53AB">
      <w:pPr>
        <w:autoSpaceDE w:val="0"/>
        <w:autoSpaceDN w:val="0"/>
        <w:jc w:val="center"/>
        <w:rPr>
          <w:rFonts w:ascii="宋体" w:hAnsi="宋体" w:cs="宋体"/>
          <w:b/>
          <w:color w:val="auto"/>
          <w:spacing w:val="6"/>
          <w:sz w:val="32"/>
          <w:szCs w:val="32"/>
          <w:highlight w:val="none"/>
        </w:rPr>
      </w:pPr>
    </w:p>
    <w:p w14:paraId="36D418BA">
      <w:pPr>
        <w:autoSpaceDE w:val="0"/>
        <w:autoSpaceDN w:val="0"/>
        <w:jc w:val="center"/>
        <w:rPr>
          <w:rFonts w:ascii="宋体" w:hAnsi="宋体" w:cs="宋体"/>
          <w:b/>
          <w:color w:val="auto"/>
          <w:kern w:val="0"/>
          <w:sz w:val="32"/>
          <w:szCs w:val="32"/>
          <w:highlight w:val="none"/>
          <w:lang w:val="zh-CN"/>
        </w:rPr>
      </w:pPr>
      <w:r>
        <w:rPr>
          <w:rFonts w:hint="eastAsia" w:ascii="宋体" w:hAnsi="宋体" w:cs="宋体"/>
          <w:b/>
          <w:color w:val="auto"/>
          <w:spacing w:val="6"/>
          <w:sz w:val="32"/>
          <w:szCs w:val="32"/>
          <w:highlight w:val="none"/>
        </w:rPr>
        <w:t>附件</w:t>
      </w:r>
      <w:r>
        <w:rPr>
          <w:rFonts w:ascii="宋体" w:hAnsi="宋体" w:cs="宋体"/>
          <w:b/>
          <w:color w:val="auto"/>
          <w:spacing w:val="6"/>
          <w:sz w:val="32"/>
          <w:szCs w:val="32"/>
          <w:highlight w:val="none"/>
        </w:rPr>
        <w:t>5</w:t>
      </w:r>
      <w:r>
        <w:rPr>
          <w:rFonts w:hint="eastAsia" w:ascii="宋体" w:hAnsi="宋体" w:cs="宋体"/>
          <w:b/>
          <w:color w:val="auto"/>
          <w:spacing w:val="6"/>
          <w:sz w:val="32"/>
          <w:szCs w:val="32"/>
          <w:highlight w:val="none"/>
        </w:rPr>
        <w:t>：</w:t>
      </w:r>
      <w:r>
        <w:rPr>
          <w:rFonts w:hint="eastAsia" w:ascii="宋体" w:hAnsi="宋体" w:cs="宋体"/>
          <w:b/>
          <w:color w:val="auto"/>
          <w:kern w:val="0"/>
          <w:sz w:val="32"/>
          <w:szCs w:val="32"/>
          <w:highlight w:val="none"/>
          <w:lang w:val="zh-CN"/>
        </w:rPr>
        <w:t>联合协议</w:t>
      </w:r>
    </w:p>
    <w:p w14:paraId="61687CA3">
      <w:pPr>
        <w:widowControl/>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（以联合体形式参与的，提供联合协议；本项目不接受联合体或者供应商不以联合体形式参与的，则不需要提供）</w:t>
      </w:r>
    </w:p>
    <w:p w14:paraId="0105288D">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（联合体所有成员名称）</w:t>
      </w:r>
      <w:r>
        <w:rPr>
          <w:rFonts w:hint="eastAsia" w:ascii="宋体" w:hAnsi="宋体" w:cs="宋体"/>
          <w:color w:val="auto"/>
          <w:kern w:val="0"/>
          <w:sz w:val="24"/>
          <w:highlight w:val="none"/>
        </w:rPr>
        <w:t>自愿</w:t>
      </w:r>
      <w:r>
        <w:rPr>
          <w:rFonts w:hint="eastAsia" w:ascii="宋体" w:hAnsi="宋体" w:cs="宋体"/>
          <w:color w:val="auto"/>
          <w:kern w:val="0"/>
          <w:sz w:val="24"/>
          <w:highlight w:val="none"/>
          <w:lang w:val="zh-CN"/>
        </w:rPr>
        <w:t>组成一个联合体，以一个供应商的身份</w:t>
      </w:r>
      <w:r>
        <w:rPr>
          <w:rFonts w:hint="eastAsia" w:ascii="宋体" w:hAnsi="宋体" w:cs="宋体"/>
          <w:color w:val="auto"/>
          <w:kern w:val="0"/>
          <w:sz w:val="24"/>
          <w:highlight w:val="none"/>
        </w:rPr>
        <w:t>参加</w:t>
      </w:r>
      <w:r>
        <w:rPr>
          <w:rFonts w:hint="eastAsia" w:ascii="宋体" w:hAnsi="宋体" w:cs="宋体"/>
          <w:color w:val="auto"/>
          <w:sz w:val="24"/>
          <w:highlight w:val="none"/>
        </w:rPr>
        <w:t>（项目名称）【项目编号：（采购编号）】</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 xml:space="preserve">。 </w:t>
      </w:r>
    </w:p>
    <w:p w14:paraId="07C5714D">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一、各方一致决定，</w:t>
      </w:r>
      <w:r>
        <w:rPr>
          <w:rFonts w:hint="eastAsia" w:ascii="宋体" w:hAnsi="宋体" w:cs="宋体"/>
          <w:color w:val="auto"/>
          <w:kern w:val="0"/>
          <w:sz w:val="24"/>
          <w:highlight w:val="none"/>
          <w:u w:val="single"/>
        </w:rPr>
        <w:t>（某联合体成员名称）</w:t>
      </w:r>
      <w:r>
        <w:rPr>
          <w:rFonts w:hint="eastAsia" w:ascii="宋体" w:hAnsi="宋体" w:cs="宋体"/>
          <w:color w:val="auto"/>
          <w:kern w:val="0"/>
          <w:sz w:val="24"/>
          <w:highlight w:val="none"/>
        </w:rPr>
        <w:t>为联合体</w:t>
      </w:r>
      <w:r>
        <w:rPr>
          <w:rFonts w:hint="eastAsia" w:ascii="宋体" w:hAnsi="宋体" w:cs="宋体"/>
          <w:color w:val="auto"/>
          <w:kern w:val="0"/>
          <w:sz w:val="24"/>
          <w:highlight w:val="none"/>
          <w:lang w:val="zh-CN"/>
        </w:rPr>
        <w:t>牵头人</w:t>
      </w:r>
      <w:r>
        <w:rPr>
          <w:rFonts w:hint="eastAsia" w:ascii="宋体" w:hAnsi="宋体" w:cs="宋体"/>
          <w:color w:val="auto"/>
          <w:sz w:val="24"/>
          <w:highlight w:val="none"/>
        </w:rPr>
        <w:t>，代表所有联合体成员负责投标和合同实施阶段的主办、协调工作</w:t>
      </w:r>
      <w:r>
        <w:rPr>
          <w:rFonts w:hint="eastAsia" w:ascii="宋体" w:hAnsi="宋体" w:cs="宋体"/>
          <w:color w:val="auto"/>
          <w:kern w:val="0"/>
          <w:sz w:val="24"/>
          <w:highlight w:val="none"/>
          <w:lang w:val="zh-CN"/>
        </w:rPr>
        <w:t>。</w:t>
      </w:r>
    </w:p>
    <w:p w14:paraId="4B2D4F2A">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二、</w:t>
      </w:r>
      <w:r>
        <w:rPr>
          <w:rFonts w:hint="eastAsia" w:ascii="宋体" w:hAnsi="宋体" w:cs="宋体"/>
          <w:color w:val="auto"/>
          <w:sz w:val="24"/>
          <w:highlight w:val="none"/>
        </w:rPr>
        <w:t>所有联合体成员各方签署授权书，授权书载明的</w:t>
      </w:r>
      <w:r>
        <w:rPr>
          <w:rFonts w:hint="eastAsia" w:ascii="宋体" w:hAnsi="宋体" w:cs="宋体"/>
          <w:color w:val="auto"/>
          <w:kern w:val="0"/>
          <w:sz w:val="24"/>
          <w:highlight w:val="none"/>
          <w:lang w:val="zh-CN"/>
        </w:rPr>
        <w:t>授权代表根据采购文件规定及</w:t>
      </w:r>
      <w:r>
        <w:rPr>
          <w:rFonts w:hint="eastAsia" w:ascii="宋体" w:hAnsi="宋体" w:cs="宋体"/>
          <w:color w:val="auto"/>
          <w:kern w:val="0"/>
          <w:sz w:val="24"/>
          <w:highlight w:val="none"/>
        </w:rPr>
        <w:t>响应内容</w:t>
      </w:r>
      <w:r>
        <w:rPr>
          <w:rFonts w:hint="eastAsia" w:ascii="宋体" w:hAnsi="宋体" w:cs="宋体"/>
          <w:color w:val="auto"/>
          <w:kern w:val="0"/>
          <w:sz w:val="24"/>
          <w:highlight w:val="none"/>
          <w:lang w:val="zh-CN"/>
        </w:rPr>
        <w:t>而对采购人、采购机构所作的任何合法承诺，包括书面澄清及相应等均对联合投标各方产生约束力。</w:t>
      </w:r>
    </w:p>
    <w:p w14:paraId="33C6B5B9">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三、本次联合</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中，分工如下：</w:t>
      </w:r>
    </w:p>
    <w:p w14:paraId="53BC6B4D">
      <w:pPr>
        <w:snapToGrid w:val="0"/>
        <w:spacing w:line="360" w:lineRule="auto"/>
        <w:ind w:firstLine="576"/>
        <w:rPr>
          <w:rFonts w:ascii="宋体" w:hAnsi="宋体" w:cs="宋体"/>
          <w:color w:val="auto"/>
          <w:kern w:val="0"/>
          <w:sz w:val="24"/>
          <w:highlight w:val="none"/>
          <w:lang w:val="zh-CN"/>
        </w:rPr>
      </w:pPr>
      <w:bookmarkStart w:id="927" w:name="_Hlk101134295"/>
      <w:r>
        <w:rPr>
          <w:rFonts w:hint="eastAsia" w:ascii="宋体" w:hAnsi="宋体" w:cs="宋体"/>
          <w:color w:val="auto"/>
          <w:kern w:val="0"/>
          <w:sz w:val="24"/>
          <w:highlight w:val="none"/>
          <w:u w:val="single"/>
        </w:rPr>
        <w:t>（联合体成员1）</w:t>
      </w:r>
      <w:r>
        <w:rPr>
          <w:rFonts w:hint="eastAsia" w:ascii="宋体" w:hAnsi="宋体" w:cs="宋体"/>
          <w:color w:val="auto"/>
          <w:kern w:val="0"/>
          <w:sz w:val="24"/>
          <w:highlight w:val="none"/>
          <w:lang w:val="zh-CN"/>
        </w:rPr>
        <w:t>承担的工作和义务为：</w:t>
      </w:r>
      <w:r>
        <w:rPr>
          <w:rFonts w:hint="eastAsia" w:ascii="宋体" w:hAnsi="宋体" w:cs="宋体"/>
          <w:color w:val="auto"/>
          <w:highlight w:val="none"/>
          <w:u w:val="single"/>
        </w:rPr>
        <w:t xml:space="preserve">             </w:t>
      </w:r>
      <w:r>
        <w:rPr>
          <w:rFonts w:hint="eastAsia" w:ascii="宋体" w:hAnsi="宋体" w:cs="宋体"/>
          <w:color w:val="auto"/>
          <w:kern w:val="0"/>
          <w:sz w:val="24"/>
          <w:highlight w:val="none"/>
          <w:lang w:val="zh-CN"/>
        </w:rPr>
        <w:t>；</w:t>
      </w:r>
    </w:p>
    <w:p w14:paraId="2E69272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（联合体成员</w:t>
      </w:r>
      <w:r>
        <w:rPr>
          <w:rFonts w:ascii="宋体" w:hAnsi="宋体" w:cs="宋体"/>
          <w:color w:val="auto"/>
          <w:kern w:val="0"/>
          <w:sz w:val="24"/>
          <w:highlight w:val="none"/>
          <w:u w:val="single"/>
        </w:rPr>
        <w:t>2</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lang w:val="zh-CN"/>
        </w:rPr>
        <w:t>承担的工作和义务为：</w:t>
      </w:r>
      <w:r>
        <w:rPr>
          <w:rFonts w:hint="eastAsia" w:ascii="宋体" w:hAnsi="宋体" w:cs="宋体"/>
          <w:color w:val="auto"/>
          <w:highlight w:val="none"/>
          <w:u w:val="single"/>
        </w:rPr>
        <w:t xml:space="preserve">             </w:t>
      </w:r>
      <w:r>
        <w:rPr>
          <w:rFonts w:hint="eastAsia" w:ascii="宋体" w:hAnsi="宋体" w:cs="宋体"/>
          <w:color w:val="auto"/>
          <w:kern w:val="0"/>
          <w:sz w:val="24"/>
          <w:highlight w:val="none"/>
          <w:lang w:val="zh-CN"/>
        </w:rPr>
        <w:t>；</w:t>
      </w:r>
    </w:p>
    <w:p w14:paraId="57573C0F">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w:t>
      </w:r>
    </w:p>
    <w:bookmarkEnd w:id="927"/>
    <w:p w14:paraId="74193266">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四、联合体成员中小企业合同份额。</w:t>
      </w:r>
    </w:p>
    <w:p w14:paraId="3E3712DC">
      <w:pPr>
        <w:snapToGrid w:val="0"/>
        <w:spacing w:line="360" w:lineRule="auto"/>
        <w:ind w:firstLine="576"/>
        <w:rPr>
          <w:rFonts w:ascii="宋体" w:hAnsi="宋体" w:cs="宋体"/>
          <w:b/>
          <w:color w:val="auto"/>
          <w:kern w:val="0"/>
          <w:sz w:val="24"/>
          <w:highlight w:val="none"/>
          <w:lang w:val="zh-CN"/>
        </w:rPr>
      </w:pPr>
      <w:r>
        <w:rPr>
          <w:rFonts w:hint="eastAsia" w:ascii="宋体" w:hAnsi="宋体" w:cs="宋体"/>
          <w:color w:val="auto"/>
          <w:kern w:val="0"/>
          <w:sz w:val="24"/>
          <w:highlight w:val="none"/>
          <w:lang w:val="zh-CN"/>
        </w:rPr>
        <w:t>1、</w:t>
      </w:r>
      <w:r>
        <w:rPr>
          <w:rFonts w:hint="eastAsia" w:ascii="宋体" w:hAnsi="宋体" w:cs="宋体"/>
          <w:color w:val="auto"/>
          <w:kern w:val="0"/>
          <w:sz w:val="24"/>
          <w:highlight w:val="none"/>
          <w:u w:val="single"/>
        </w:rPr>
        <w:t>（联合体成员</w:t>
      </w:r>
      <w:r>
        <w:rPr>
          <w:rFonts w:ascii="宋体" w:hAnsi="宋体" w:cs="宋体"/>
          <w:color w:val="auto"/>
          <w:kern w:val="0"/>
          <w:sz w:val="24"/>
          <w:highlight w:val="none"/>
          <w:u w:val="single"/>
        </w:rPr>
        <w:t>X,</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提供的全部工程由小微企业承建，其合同份额占到合同总金额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%以上；</w:t>
      </w:r>
      <w:r>
        <w:rPr>
          <w:rFonts w:hint="eastAsia" w:ascii="宋体" w:hAnsi="宋体" w:cs="宋体"/>
          <w:color w:val="auto"/>
          <w:kern w:val="0"/>
          <w:sz w:val="24"/>
          <w:highlight w:val="none"/>
          <w:lang w:val="zh-CN"/>
        </w:rPr>
        <w:t>……。</w:t>
      </w:r>
      <w:r>
        <w:rPr>
          <w:rFonts w:hint="eastAsia" w:ascii="宋体" w:hAnsi="宋体" w:cs="宋体"/>
          <w:b/>
          <w:color w:val="auto"/>
          <w:kern w:val="0"/>
          <w:sz w:val="24"/>
          <w:highlight w:val="none"/>
          <w:lang w:val="zh-CN"/>
        </w:rPr>
        <w:t>（未预留份额专门面向中小企业采购的的采购项目，以及预留份额中的非预留部分采购包，接受联合体</w:t>
      </w:r>
      <w:r>
        <w:rPr>
          <w:rFonts w:hint="eastAsia" w:ascii="宋体" w:hAnsi="宋体" w:cs="宋体"/>
          <w:b/>
          <w:color w:val="auto"/>
          <w:kern w:val="0"/>
          <w:sz w:val="24"/>
          <w:highlight w:val="none"/>
        </w:rPr>
        <w:t>磋商</w:t>
      </w:r>
      <w:r>
        <w:rPr>
          <w:rFonts w:hint="eastAsia" w:ascii="宋体" w:hAnsi="宋体" w:cs="宋体"/>
          <w:b/>
          <w:color w:val="auto"/>
          <w:kern w:val="0"/>
          <w:sz w:val="24"/>
          <w:highlight w:val="none"/>
          <w:lang w:val="zh-CN"/>
        </w:rPr>
        <w:t>的，联合协议约定小微企业的合同份额占到合同总金额30%以上的，对联合体报价给予</w:t>
      </w:r>
      <w:r>
        <w:rPr>
          <w:rFonts w:hint="eastAsia" w:ascii="宋体" w:hAnsi="宋体" w:cs="宋体"/>
          <w:b/>
          <w:color w:val="auto"/>
          <w:kern w:val="0"/>
          <w:sz w:val="24"/>
          <w:highlight w:val="none"/>
        </w:rPr>
        <w:t>2</w:t>
      </w:r>
      <w:r>
        <w:rPr>
          <w:rFonts w:hint="eastAsia" w:ascii="宋体" w:hAnsi="宋体" w:cs="宋体"/>
          <w:b/>
          <w:color w:val="auto"/>
          <w:kern w:val="0"/>
          <w:sz w:val="24"/>
          <w:highlight w:val="none"/>
          <w:lang w:val="zh-CN"/>
        </w:rPr>
        <w:t>%的扣除。供应商</w:t>
      </w:r>
      <w:r>
        <w:rPr>
          <w:rFonts w:hint="eastAsia" w:ascii="宋体" w:hAnsi="宋体" w:cs="宋体"/>
          <w:b/>
          <w:color w:val="auto"/>
          <w:sz w:val="24"/>
          <w:highlight w:val="none"/>
        </w:rPr>
        <w:t>拟享受以上价格扣除政策的，填写有关内容。</w:t>
      </w:r>
      <w:r>
        <w:rPr>
          <w:rFonts w:hint="eastAsia" w:ascii="宋体" w:hAnsi="宋体" w:cs="宋体"/>
          <w:b/>
          <w:color w:val="auto"/>
          <w:kern w:val="0"/>
          <w:sz w:val="24"/>
          <w:highlight w:val="none"/>
          <w:lang w:val="zh-CN"/>
        </w:rPr>
        <w:t>）</w:t>
      </w:r>
    </w:p>
    <w:p w14:paraId="2A58241C">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sz w:val="24"/>
          <w:highlight w:val="none"/>
        </w:rPr>
        <w:t>2、中小企业合同金额达到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%，小微企业合同金额达到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0"/>
          <w:sz w:val="24"/>
          <w:highlight w:val="none"/>
          <w:lang w:val="zh-CN"/>
        </w:rPr>
        <w:t>。</w:t>
      </w:r>
      <w:r>
        <w:rPr>
          <w:rFonts w:hint="eastAsia" w:ascii="宋体" w:hAnsi="宋体" w:cs="宋体"/>
          <w:b/>
          <w:bCs/>
          <w:color w:val="auto"/>
          <w:kern w:val="0"/>
          <w:sz w:val="24"/>
          <w:highlight w:val="none"/>
          <w:lang w:val="zh-CN"/>
        </w:rPr>
        <w:t>（</w:t>
      </w:r>
      <w:r>
        <w:rPr>
          <w:rFonts w:hint="eastAsia" w:ascii="宋体" w:hAnsi="宋体" w:cs="宋体"/>
          <w:b/>
          <w:bCs/>
          <w:color w:val="auto"/>
          <w:sz w:val="24"/>
          <w:highlight w:val="none"/>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color w:val="auto"/>
          <w:kern w:val="0"/>
          <w:sz w:val="24"/>
          <w:highlight w:val="none"/>
          <w:lang w:val="zh-CN"/>
        </w:rPr>
        <w:t>）</w:t>
      </w:r>
    </w:p>
    <w:p w14:paraId="3326D1F3">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五、如果成交，</w:t>
      </w:r>
      <w:r>
        <w:rPr>
          <w:rFonts w:hint="eastAsia" w:ascii="宋体" w:hAnsi="宋体" w:cs="宋体"/>
          <w:color w:val="auto"/>
          <w:sz w:val="24"/>
          <w:highlight w:val="none"/>
        </w:rPr>
        <w:t>联合体各成员方共同与采购人签订合同，并就采购合同约定的事项对采购人承担连带责任。</w:t>
      </w:r>
    </w:p>
    <w:p w14:paraId="76681A2B">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六、有关本次联合</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的其他事宜：</w:t>
      </w:r>
    </w:p>
    <w:p w14:paraId="27ED427C">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1、联合体各方不再单独参加或者与其他供应商另外组成联合体参加同一合同项下的政府采购活动。</w:t>
      </w:r>
    </w:p>
    <w:p w14:paraId="625570BF">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2、联合体中有同类资质的各方按照联合体分工承担相同工作的，按照资质等级较低的供应商确定资质等级。</w:t>
      </w:r>
    </w:p>
    <w:p w14:paraId="48E087C9">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3、本协议提交采购人、采购机构后，联合体各方不得以任何形式对上述内容进行修改或撤销。</w:t>
      </w:r>
    </w:p>
    <w:p w14:paraId="59B9D512">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565BD132">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360FE4CB">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1234D014">
      <w:pPr>
        <w:autoSpaceDE w:val="0"/>
        <w:autoSpaceDN w:val="0"/>
        <w:jc w:val="center"/>
        <w:rPr>
          <w:rFonts w:ascii="宋体" w:hAnsi="宋体" w:cs="宋体"/>
          <w:b/>
          <w:color w:val="auto"/>
          <w:spacing w:val="6"/>
          <w:sz w:val="32"/>
          <w:szCs w:val="32"/>
          <w:highlight w:val="none"/>
        </w:rPr>
        <w:sectPr>
          <w:pgSz w:w="11906" w:h="16838"/>
          <w:pgMar w:top="1440" w:right="1080" w:bottom="1440" w:left="1080" w:header="851" w:footer="992" w:gutter="0"/>
          <w:cols w:space="720" w:num="1"/>
          <w:titlePg/>
          <w:docGrid w:linePitch="312" w:charSpace="0"/>
        </w:sectPr>
      </w:pPr>
    </w:p>
    <w:p w14:paraId="6DB78D11">
      <w:pPr>
        <w:snapToGrid w:val="0"/>
        <w:spacing w:line="360" w:lineRule="auto"/>
        <w:jc w:val="center"/>
        <w:rPr>
          <w:rFonts w:ascii="宋体" w:hAnsi="宋体" w:cs="宋体"/>
          <w:b/>
          <w:color w:val="auto"/>
          <w:kern w:val="0"/>
          <w:sz w:val="32"/>
          <w:szCs w:val="32"/>
          <w:highlight w:val="none"/>
        </w:rPr>
      </w:pPr>
      <w:r>
        <w:rPr>
          <w:rFonts w:hint="eastAsia" w:ascii="宋体" w:hAnsi="宋体" w:cs="宋体"/>
          <w:b/>
          <w:color w:val="auto"/>
          <w:spacing w:val="6"/>
          <w:sz w:val="32"/>
          <w:szCs w:val="32"/>
          <w:highlight w:val="none"/>
        </w:rPr>
        <w:t>附件</w:t>
      </w:r>
      <w:r>
        <w:rPr>
          <w:rFonts w:ascii="宋体" w:hAnsi="宋体" w:cs="宋体"/>
          <w:b/>
          <w:color w:val="auto"/>
          <w:spacing w:val="6"/>
          <w:sz w:val="32"/>
          <w:szCs w:val="32"/>
          <w:highlight w:val="none"/>
        </w:rPr>
        <w:t>6</w:t>
      </w:r>
      <w:r>
        <w:rPr>
          <w:rFonts w:hint="eastAsia" w:ascii="宋体" w:hAnsi="宋体" w:cs="宋体"/>
          <w:b/>
          <w:color w:val="auto"/>
          <w:spacing w:val="6"/>
          <w:sz w:val="32"/>
          <w:szCs w:val="32"/>
          <w:highlight w:val="none"/>
        </w:rPr>
        <w:t>：</w:t>
      </w:r>
      <w:r>
        <w:rPr>
          <w:rFonts w:hint="eastAsia" w:ascii="宋体" w:hAnsi="宋体" w:cs="宋体"/>
          <w:b/>
          <w:color w:val="auto"/>
          <w:kern w:val="0"/>
          <w:sz w:val="32"/>
          <w:szCs w:val="32"/>
          <w:highlight w:val="none"/>
        </w:rPr>
        <w:t>分包意向协议</w:t>
      </w:r>
    </w:p>
    <w:p w14:paraId="3A746D36">
      <w:pPr>
        <w:widowControl/>
        <w:spacing w:line="360" w:lineRule="auto"/>
        <w:ind w:firstLine="120" w:firstLineChars="50"/>
        <w:jc w:val="left"/>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b/>
          <w:color w:val="auto"/>
          <w:sz w:val="24"/>
          <w:highlight w:val="none"/>
        </w:rPr>
        <w:t>成交后以分包方式履行合同的，提供分包意向协议；采购人不同意分包或者供应商成交后不以分包方式履行合同的，则不需要提供。</w:t>
      </w:r>
      <w:r>
        <w:rPr>
          <w:rFonts w:hint="eastAsia" w:ascii="宋体" w:hAnsi="宋体" w:cs="宋体"/>
          <w:color w:val="auto"/>
          <w:sz w:val="24"/>
          <w:highlight w:val="none"/>
        </w:rPr>
        <w:t>）</w:t>
      </w:r>
    </w:p>
    <w:p w14:paraId="71640DD1">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（供应商名称）</w:t>
      </w:r>
      <w:r>
        <w:rPr>
          <w:rFonts w:hint="eastAsia" w:ascii="宋体" w:hAnsi="宋体" w:cs="宋体"/>
          <w:color w:val="auto"/>
          <w:kern w:val="0"/>
          <w:sz w:val="24"/>
          <w:highlight w:val="none"/>
          <w:lang w:val="zh-CN"/>
        </w:rPr>
        <w:t>若成为</w:t>
      </w:r>
      <w:r>
        <w:rPr>
          <w:rFonts w:hint="eastAsia" w:ascii="宋体" w:hAnsi="宋体" w:cs="宋体"/>
          <w:color w:val="auto"/>
          <w:sz w:val="24"/>
          <w:highlight w:val="none"/>
        </w:rPr>
        <w:t>（项目名称）【项目编号：（采购编号）】</w:t>
      </w:r>
      <w:r>
        <w:rPr>
          <w:rFonts w:hint="eastAsia" w:ascii="宋体" w:hAnsi="宋体" w:cs="宋体"/>
          <w:color w:val="auto"/>
          <w:kern w:val="0"/>
          <w:sz w:val="24"/>
          <w:highlight w:val="none"/>
          <w:lang w:val="zh-CN"/>
        </w:rPr>
        <w:t>的成交供应商，将依法采取分包方式履行合同。</w:t>
      </w:r>
      <w:r>
        <w:rPr>
          <w:rFonts w:hint="eastAsia" w:ascii="宋体" w:hAnsi="宋体" w:cs="宋体"/>
          <w:color w:val="auto"/>
          <w:kern w:val="0"/>
          <w:sz w:val="24"/>
          <w:highlight w:val="none"/>
          <w:u w:val="single"/>
        </w:rPr>
        <w:t>（供应商名称）</w:t>
      </w:r>
      <w:r>
        <w:rPr>
          <w:rFonts w:hint="eastAsia" w:ascii="宋体" w:hAnsi="宋体" w:cs="宋体"/>
          <w:color w:val="auto"/>
          <w:kern w:val="0"/>
          <w:sz w:val="24"/>
          <w:highlight w:val="none"/>
        </w:rPr>
        <w:t>与</w:t>
      </w:r>
      <w:r>
        <w:rPr>
          <w:rFonts w:hint="eastAsia" w:ascii="宋体" w:hAnsi="宋体" w:cs="宋体"/>
          <w:color w:val="auto"/>
          <w:kern w:val="0"/>
          <w:sz w:val="24"/>
          <w:highlight w:val="none"/>
          <w:u w:val="single"/>
        </w:rPr>
        <w:t>（所有分包供应商名称）</w:t>
      </w:r>
      <w:r>
        <w:rPr>
          <w:rFonts w:hint="eastAsia" w:ascii="宋体" w:hAnsi="宋体" w:cs="宋体"/>
          <w:color w:val="auto"/>
          <w:kern w:val="0"/>
          <w:sz w:val="24"/>
          <w:highlight w:val="none"/>
        </w:rPr>
        <w:t>达成分包意向协议</w:t>
      </w:r>
      <w:r>
        <w:rPr>
          <w:rFonts w:hint="eastAsia" w:ascii="宋体" w:hAnsi="宋体" w:cs="宋体"/>
          <w:color w:val="auto"/>
          <w:kern w:val="0"/>
          <w:sz w:val="24"/>
          <w:highlight w:val="none"/>
          <w:lang w:val="zh-CN"/>
        </w:rPr>
        <w:t xml:space="preserve">。 </w:t>
      </w:r>
    </w:p>
    <w:p w14:paraId="656DE731">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一、分包标的及数量</w:t>
      </w:r>
    </w:p>
    <w:p w14:paraId="1EBB625A">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（供应商名称）</w:t>
      </w:r>
      <w:r>
        <w:rPr>
          <w:rFonts w:hint="eastAsia" w:ascii="宋体" w:hAnsi="宋体" w:cs="宋体"/>
          <w:color w:val="auto"/>
          <w:kern w:val="0"/>
          <w:sz w:val="24"/>
          <w:highlight w:val="none"/>
          <w:lang w:val="zh-CN"/>
        </w:rPr>
        <w:t>将</w:t>
      </w:r>
      <w:r>
        <w:rPr>
          <w:rFonts w:hint="eastAsia" w:ascii="宋体" w:hAnsi="宋体" w:cs="宋体"/>
          <w:color w:val="auto"/>
          <w:highlight w:val="none"/>
          <w:u w:val="single"/>
        </w:rPr>
        <w:t xml:space="preserve"> </w:t>
      </w:r>
      <w:r>
        <w:rPr>
          <w:rFonts w:ascii="宋体" w:hAnsi="宋体" w:cs="宋体"/>
          <w:color w:val="auto"/>
          <w:kern w:val="0"/>
          <w:sz w:val="24"/>
          <w:highlight w:val="none"/>
          <w:u w:val="single"/>
        </w:rPr>
        <w:t xml:space="preserve">  XX工作内容   </w:t>
      </w:r>
      <w:r>
        <w:rPr>
          <w:rFonts w:hint="eastAsia" w:ascii="宋体" w:hAnsi="宋体" w:cs="宋体"/>
          <w:color w:val="auto"/>
          <w:sz w:val="24"/>
          <w:highlight w:val="none"/>
        </w:rPr>
        <w:t>分包给</w:t>
      </w:r>
      <w:r>
        <w:rPr>
          <w:rFonts w:hint="eastAsia" w:ascii="宋体" w:hAnsi="宋体" w:cs="宋体"/>
          <w:color w:val="auto"/>
          <w:kern w:val="0"/>
          <w:sz w:val="24"/>
          <w:highlight w:val="none"/>
          <w:u w:val="single"/>
        </w:rPr>
        <w:t>（分包供应商1名称）</w:t>
      </w:r>
      <w:r>
        <w:rPr>
          <w:rFonts w:hint="eastAsia" w:ascii="宋体" w:hAnsi="宋体" w:cs="宋体"/>
          <w:color w:val="auto"/>
          <w:kern w:val="0"/>
          <w:sz w:val="24"/>
          <w:highlight w:val="none"/>
          <w:lang w:val="zh-CN"/>
        </w:rPr>
        <w:t>，</w:t>
      </w:r>
      <w:r>
        <w:rPr>
          <w:rFonts w:hint="eastAsia" w:ascii="宋体" w:hAnsi="宋体" w:cs="宋体"/>
          <w:color w:val="auto"/>
          <w:kern w:val="0"/>
          <w:sz w:val="24"/>
          <w:highlight w:val="none"/>
          <w:u w:val="single"/>
        </w:rPr>
        <w:t>（分包供应商1名称），</w:t>
      </w:r>
      <w:r>
        <w:rPr>
          <w:rFonts w:hint="eastAsia" w:ascii="宋体" w:hAnsi="宋体" w:cs="宋体"/>
          <w:color w:val="auto"/>
          <w:kern w:val="0"/>
          <w:sz w:val="24"/>
          <w:highlight w:val="none"/>
          <w:lang w:val="zh-CN"/>
        </w:rPr>
        <w:t>具备承</w:t>
      </w:r>
      <w:r>
        <w:rPr>
          <w:rFonts w:hint="eastAsia" w:ascii="宋体" w:hAnsi="宋体" w:cs="宋体"/>
          <w:color w:val="auto"/>
          <w:kern w:val="0"/>
          <w:sz w:val="24"/>
          <w:highlight w:val="none"/>
        </w:rPr>
        <w:t>担</w:t>
      </w:r>
      <w:r>
        <w:rPr>
          <w:rFonts w:hint="eastAsia" w:ascii="宋体" w:hAnsi="宋体" w:cs="宋体"/>
          <w:color w:val="auto"/>
          <w:kern w:val="0"/>
          <w:sz w:val="24"/>
          <w:highlight w:val="none"/>
          <w:u w:val="single"/>
          <w:lang w:val="zh-CN"/>
        </w:rPr>
        <w:t>XX工作内容</w:t>
      </w:r>
      <w:r>
        <w:rPr>
          <w:rFonts w:hint="eastAsia" w:ascii="宋体" w:hAnsi="宋体" w:cs="宋体"/>
          <w:color w:val="auto"/>
          <w:kern w:val="0"/>
          <w:sz w:val="24"/>
          <w:highlight w:val="none"/>
          <w:lang w:val="zh-CN"/>
        </w:rPr>
        <w:t>相应资质条件且不得再次分包；</w:t>
      </w:r>
    </w:p>
    <w:p w14:paraId="00A6F40D">
      <w:pPr>
        <w:pStyle w:val="3"/>
        <w:ind w:left="664" w:leftChars="316" w:firstLine="229" w:firstLineChars="9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p w14:paraId="2034388B">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二、分包供应商中小企业合同份额</w:t>
      </w:r>
    </w:p>
    <w:p w14:paraId="6E22CBE8">
      <w:pPr>
        <w:snapToGrid w:val="0"/>
        <w:spacing w:line="360" w:lineRule="auto"/>
        <w:ind w:firstLine="576"/>
        <w:rPr>
          <w:rFonts w:ascii="宋体" w:hAnsi="宋体" w:cs="宋体"/>
          <w:b/>
          <w:color w:val="auto"/>
          <w:kern w:val="0"/>
          <w:sz w:val="24"/>
          <w:highlight w:val="none"/>
          <w:lang w:val="zh-CN"/>
        </w:rPr>
      </w:pPr>
      <w:r>
        <w:rPr>
          <w:rFonts w:ascii="宋体" w:hAnsi="宋体" w:cs="宋体"/>
          <w:color w:val="auto"/>
          <w:kern w:val="0"/>
          <w:sz w:val="24"/>
          <w:highlight w:val="none"/>
        </w:rPr>
        <w:t>1、</w:t>
      </w:r>
      <w:r>
        <w:rPr>
          <w:rFonts w:hint="eastAsia" w:ascii="宋体" w:hAnsi="宋体" w:cs="宋体"/>
          <w:color w:val="auto"/>
          <w:kern w:val="0"/>
          <w:sz w:val="24"/>
          <w:highlight w:val="none"/>
          <w:u w:val="single"/>
        </w:rPr>
        <w:t>（分包供应商X</w:t>
      </w:r>
      <w:r>
        <w:rPr>
          <w:rFonts w:ascii="宋体" w:hAnsi="宋体" w:cs="宋体"/>
          <w:color w:val="auto"/>
          <w:kern w:val="0"/>
          <w:sz w:val="24"/>
          <w:highlight w:val="none"/>
          <w:u w:val="single"/>
        </w:rPr>
        <w:t>,</w:t>
      </w:r>
      <w:r>
        <w:rPr>
          <w:rFonts w:hint="eastAsia" w:ascii="宋体" w:hAnsi="宋体" w:cs="宋体"/>
          <w:color w:val="auto"/>
          <w:kern w:val="0"/>
          <w:sz w:val="24"/>
          <w:highlight w:val="none"/>
          <w:u w:val="single"/>
        </w:rPr>
        <w:t>……）提供的工程全部由小微企业承建，</w:t>
      </w:r>
      <w:r>
        <w:rPr>
          <w:rFonts w:hint="eastAsia" w:ascii="宋体" w:hAnsi="宋体" w:cs="宋体"/>
          <w:color w:val="auto"/>
          <w:kern w:val="0"/>
          <w:sz w:val="24"/>
          <w:highlight w:val="none"/>
        </w:rPr>
        <w:t>其合同份额占到合同总金额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%以上</w:t>
      </w:r>
      <w:r>
        <w:rPr>
          <w:rFonts w:hint="eastAsia" w:ascii="宋体" w:hAnsi="宋体" w:cs="宋体"/>
          <w:color w:val="auto"/>
          <w:highlight w:val="none"/>
        </w:rPr>
        <w:t>。</w:t>
      </w:r>
      <w:r>
        <w:rPr>
          <w:rFonts w:hint="eastAsia" w:ascii="宋体" w:hAnsi="宋体" w:cs="宋体"/>
          <w:b/>
          <w:color w:val="auto"/>
          <w:kern w:val="0"/>
          <w:sz w:val="24"/>
          <w:highlight w:val="none"/>
          <w:lang w:val="zh-CN"/>
        </w:rPr>
        <w:t>（未预留份额专门面向中小企业采购的的采购项目，以及预留份额中的非预留部分采购包，允许分包的，分包意向协议约定小微企业的合同份额占到合同总金额30%以上的，对大中型企业的报价给予</w:t>
      </w:r>
      <w:r>
        <w:rPr>
          <w:rFonts w:hint="eastAsia" w:ascii="宋体" w:hAnsi="宋体" w:cs="宋体"/>
          <w:b/>
          <w:color w:val="auto"/>
          <w:kern w:val="0"/>
          <w:sz w:val="24"/>
          <w:highlight w:val="none"/>
        </w:rPr>
        <w:t>2</w:t>
      </w:r>
      <w:r>
        <w:rPr>
          <w:rFonts w:hint="eastAsia" w:ascii="宋体" w:hAnsi="宋体" w:cs="宋体"/>
          <w:b/>
          <w:color w:val="auto"/>
          <w:kern w:val="0"/>
          <w:sz w:val="24"/>
          <w:highlight w:val="none"/>
          <w:lang w:val="zh-CN"/>
        </w:rPr>
        <w:t>%的扣除。供应商</w:t>
      </w:r>
      <w:r>
        <w:rPr>
          <w:rFonts w:hint="eastAsia" w:ascii="宋体" w:hAnsi="宋体" w:cs="宋体"/>
          <w:b/>
          <w:color w:val="auto"/>
          <w:sz w:val="24"/>
          <w:highlight w:val="none"/>
        </w:rPr>
        <w:t>拟享受以上价格扣除政策的，填写有关内容。</w:t>
      </w:r>
      <w:r>
        <w:rPr>
          <w:rFonts w:hint="eastAsia" w:ascii="宋体" w:hAnsi="宋体" w:cs="宋体"/>
          <w:b/>
          <w:color w:val="auto"/>
          <w:kern w:val="0"/>
          <w:sz w:val="24"/>
          <w:highlight w:val="none"/>
          <w:lang w:val="zh-CN"/>
        </w:rPr>
        <w:t>）</w:t>
      </w:r>
    </w:p>
    <w:p w14:paraId="41072F75">
      <w:pPr>
        <w:spacing w:line="360" w:lineRule="auto"/>
        <w:ind w:firstLine="480" w:firstLineChars="200"/>
        <w:rPr>
          <w:rFonts w:ascii="宋体" w:hAnsi="宋体" w:cs="宋体"/>
          <w:b/>
          <w:bCs/>
          <w:color w:val="auto"/>
          <w:kern w:val="0"/>
          <w:sz w:val="24"/>
          <w:highlight w:val="none"/>
          <w:lang w:val="zh-CN"/>
        </w:rPr>
      </w:pPr>
      <w:r>
        <w:rPr>
          <w:rFonts w:hint="eastAsia" w:ascii="宋体" w:hAnsi="宋体" w:cs="宋体"/>
          <w:color w:val="auto"/>
          <w:sz w:val="24"/>
          <w:highlight w:val="none"/>
        </w:rPr>
        <w:t>2、</w:t>
      </w:r>
      <w:bookmarkStart w:id="928" w:name="_Hlk101133173"/>
      <w:r>
        <w:rPr>
          <w:rFonts w:hint="eastAsia" w:ascii="宋体" w:hAnsi="宋体" w:cs="宋体"/>
          <w:color w:val="auto"/>
          <w:sz w:val="24"/>
          <w:highlight w:val="none"/>
        </w:rPr>
        <w:t>中小企业合同金额达到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%，小微企业合同金额达到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0"/>
          <w:sz w:val="24"/>
          <w:highlight w:val="none"/>
          <w:lang w:val="zh-CN"/>
        </w:rPr>
        <w:t>。</w:t>
      </w:r>
      <w:r>
        <w:rPr>
          <w:rFonts w:hint="eastAsia" w:ascii="宋体" w:hAnsi="宋体" w:cs="宋体"/>
          <w:b/>
          <w:bCs/>
          <w:color w:val="auto"/>
          <w:kern w:val="0"/>
          <w:sz w:val="24"/>
          <w:highlight w:val="none"/>
          <w:lang w:val="zh-CN"/>
        </w:rPr>
        <w:t>（</w:t>
      </w:r>
      <w:r>
        <w:rPr>
          <w:rFonts w:hint="eastAsia" w:ascii="宋体" w:hAnsi="宋体" w:cs="宋体"/>
          <w:b/>
          <w:bCs/>
          <w:color w:val="auto"/>
          <w:sz w:val="24"/>
          <w:highlight w:val="none"/>
        </w:rPr>
        <w:t>要求合同分包形式参加的项目或采购包，供应商按采购文件第一部分竞争性磋商公告申请人的资格要求中规定的</w:t>
      </w:r>
      <w:r>
        <w:rPr>
          <w:rFonts w:hint="eastAsia" w:ascii="宋体" w:hAnsi="宋体" w:cs="宋体"/>
          <w:b/>
          <w:color w:val="auto"/>
          <w:kern w:val="0"/>
          <w:sz w:val="24"/>
          <w:highlight w:val="none"/>
          <w:lang w:val="zh-CN"/>
        </w:rPr>
        <w:t>分包意向协议</w:t>
      </w:r>
      <w:r>
        <w:rPr>
          <w:rFonts w:hint="eastAsia" w:ascii="宋体" w:hAnsi="宋体" w:cs="宋体"/>
          <w:b/>
          <w:bCs/>
          <w:color w:val="auto"/>
          <w:sz w:val="24"/>
          <w:highlight w:val="none"/>
        </w:rPr>
        <w:t>中中小企业、小微企业合同金额应当达到的比例要求填写。</w:t>
      </w:r>
      <w:r>
        <w:rPr>
          <w:rFonts w:hint="eastAsia" w:ascii="宋体" w:hAnsi="宋体" w:cs="宋体"/>
          <w:b/>
          <w:bCs/>
          <w:color w:val="auto"/>
          <w:kern w:val="0"/>
          <w:sz w:val="24"/>
          <w:highlight w:val="none"/>
          <w:lang w:val="zh-CN"/>
        </w:rPr>
        <w:t>）</w:t>
      </w:r>
      <w:bookmarkEnd w:id="928"/>
    </w:p>
    <w:p w14:paraId="04F776C9">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三、分包工作履行期限、地点、方式</w:t>
      </w:r>
    </w:p>
    <w:p w14:paraId="66D7EE79">
      <w:pPr>
        <w:snapToGrid w:val="0"/>
        <w:spacing w:line="360" w:lineRule="auto"/>
        <w:ind w:firstLine="576"/>
        <w:rPr>
          <w:rFonts w:ascii="宋体" w:hAnsi="宋体" w:cs="宋体"/>
          <w:color w:val="auto"/>
          <w:highlight w:val="none"/>
          <w:u w:val="single"/>
        </w:rPr>
      </w:pPr>
      <w:r>
        <w:rPr>
          <w:rFonts w:hint="eastAsia" w:ascii="宋体" w:hAnsi="宋体" w:cs="宋体"/>
          <w:color w:val="auto"/>
          <w:highlight w:val="none"/>
          <w:u w:val="single"/>
        </w:rPr>
        <w:t xml:space="preserve">                                                                                  </w:t>
      </w:r>
    </w:p>
    <w:p w14:paraId="62021CB8">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四、质量</w:t>
      </w:r>
    </w:p>
    <w:p w14:paraId="503C9B6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5C68D683">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五、价款或者报酬</w:t>
      </w:r>
    </w:p>
    <w:p w14:paraId="37C6AC26">
      <w:pPr>
        <w:snapToGrid w:val="0"/>
        <w:spacing w:line="360" w:lineRule="auto"/>
        <w:ind w:left="573" w:leftChars="273"/>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7AF51B0D">
      <w:pPr>
        <w:snapToGrid w:val="0"/>
        <w:spacing w:line="360" w:lineRule="auto"/>
        <w:ind w:left="573" w:leftChars="273"/>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六、违约责任</w:t>
      </w:r>
    </w:p>
    <w:p w14:paraId="5CB181C5">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10C0739D">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七、争议解决的办法</w:t>
      </w:r>
    </w:p>
    <w:p w14:paraId="34071999">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1B4382E7">
      <w:pPr>
        <w:snapToGrid w:val="0"/>
        <w:spacing w:line="360" w:lineRule="auto"/>
        <w:ind w:left="5758" w:leftChars="342" w:hanging="5040" w:hanging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供应商名称(电子签名)：</w:t>
      </w:r>
    </w:p>
    <w:p w14:paraId="49A888AB">
      <w:pPr>
        <w:snapToGrid w:val="0"/>
        <w:spacing w:line="360" w:lineRule="auto"/>
        <w:ind w:firstLine="5640" w:firstLineChars="235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分包供应商名称：</w:t>
      </w:r>
    </w:p>
    <w:p w14:paraId="1BA5206A">
      <w:pPr>
        <w:snapToGrid w:val="0"/>
        <w:spacing w:line="360" w:lineRule="auto"/>
        <w:ind w:firstLine="5760" w:firstLineChars="2400"/>
        <w:rPr>
          <w:rFonts w:ascii="宋体" w:hAnsi="宋体" w:cs="宋体"/>
          <w:color w:val="auto"/>
          <w:highlight w:val="none"/>
        </w:rPr>
      </w:pPr>
      <w:r>
        <w:rPr>
          <w:rFonts w:hint="eastAsia" w:ascii="宋体" w:hAnsi="宋体" w:cs="宋体"/>
          <w:color w:val="auto"/>
          <w:kern w:val="0"/>
          <w:sz w:val="24"/>
          <w:highlight w:val="none"/>
          <w:lang w:val="zh-CN"/>
        </w:rPr>
        <w:t>……</w:t>
      </w:r>
    </w:p>
    <w:p w14:paraId="4988932F">
      <w:pPr>
        <w:spacing w:line="360" w:lineRule="auto"/>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5982A8DE">
      <w:pPr>
        <w:autoSpaceDE w:val="0"/>
        <w:autoSpaceDN w:val="0"/>
        <w:jc w:val="center"/>
        <w:rPr>
          <w:rFonts w:ascii="宋体" w:hAnsi="宋体" w:cs="宋体"/>
          <w:b/>
          <w:color w:val="auto"/>
          <w:spacing w:val="6"/>
          <w:sz w:val="32"/>
          <w:szCs w:val="32"/>
          <w:highlight w:val="none"/>
        </w:rPr>
      </w:pPr>
    </w:p>
    <w:p w14:paraId="679AD10A">
      <w:pPr>
        <w:autoSpaceDE w:val="0"/>
        <w:autoSpaceDN w:val="0"/>
        <w:jc w:val="center"/>
        <w:rPr>
          <w:rFonts w:ascii="宋体" w:hAnsi="宋体" w:cs="宋体"/>
          <w:b/>
          <w:color w:val="auto"/>
          <w:spacing w:val="6"/>
          <w:sz w:val="32"/>
          <w:szCs w:val="32"/>
          <w:highlight w:val="none"/>
        </w:rPr>
        <w:sectPr>
          <w:pgSz w:w="11906" w:h="16838"/>
          <w:pgMar w:top="1440" w:right="1080" w:bottom="1440" w:left="1080" w:header="851" w:footer="992" w:gutter="0"/>
          <w:cols w:space="720" w:num="1"/>
          <w:titlePg/>
          <w:docGrid w:linePitch="312" w:charSpace="0"/>
        </w:sectPr>
      </w:pPr>
    </w:p>
    <w:p w14:paraId="67B4D987">
      <w:pPr>
        <w:autoSpaceDE w:val="0"/>
        <w:autoSpaceDN w:val="0"/>
        <w:jc w:val="center"/>
        <w:rPr>
          <w:rFonts w:ascii="宋体" w:hAnsi="宋体" w:cs="宋体"/>
          <w:b/>
          <w:bCs/>
          <w:color w:val="auto"/>
          <w:sz w:val="32"/>
          <w:szCs w:val="32"/>
          <w:highlight w:val="none"/>
        </w:rPr>
      </w:pPr>
      <w:r>
        <w:rPr>
          <w:rFonts w:hint="eastAsia" w:ascii="宋体" w:hAnsi="宋体" w:cs="宋体"/>
          <w:b/>
          <w:color w:val="auto"/>
          <w:spacing w:val="6"/>
          <w:sz w:val="32"/>
          <w:szCs w:val="32"/>
          <w:highlight w:val="none"/>
        </w:rPr>
        <w:t>附件</w:t>
      </w:r>
      <w:r>
        <w:rPr>
          <w:rFonts w:ascii="宋体" w:hAnsi="宋体" w:cs="宋体"/>
          <w:b/>
          <w:color w:val="auto"/>
          <w:spacing w:val="6"/>
          <w:sz w:val="32"/>
          <w:szCs w:val="32"/>
          <w:highlight w:val="none"/>
        </w:rPr>
        <w:t>7</w:t>
      </w:r>
      <w:r>
        <w:rPr>
          <w:rFonts w:hint="eastAsia" w:ascii="宋体" w:hAnsi="宋体" w:cs="宋体"/>
          <w:b/>
          <w:color w:val="auto"/>
          <w:spacing w:val="6"/>
          <w:sz w:val="32"/>
          <w:szCs w:val="32"/>
          <w:highlight w:val="none"/>
        </w:rPr>
        <w:t>：</w:t>
      </w:r>
      <w:r>
        <w:rPr>
          <w:rFonts w:hint="eastAsia" w:ascii="宋体" w:hAnsi="宋体" w:cs="宋体"/>
          <w:b/>
          <w:color w:val="auto"/>
          <w:sz w:val="32"/>
          <w:szCs w:val="32"/>
          <w:highlight w:val="none"/>
        </w:rPr>
        <w:t>中小企业声明函</w:t>
      </w:r>
    </w:p>
    <w:p w14:paraId="3169EE56">
      <w:pPr>
        <w:spacing w:line="360" w:lineRule="auto"/>
        <w:jc w:val="center"/>
        <w:rPr>
          <w:rFonts w:ascii="宋体" w:hAnsi="宋体" w:cs="宋体"/>
          <w:color w:val="auto"/>
          <w:sz w:val="24"/>
          <w:highlight w:val="none"/>
          <w:u w:val="single"/>
        </w:rPr>
      </w:pPr>
    </w:p>
    <w:p w14:paraId="08F352E2">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中小企业声明函（工程）</w:t>
      </w:r>
    </w:p>
    <w:p w14:paraId="375B595A">
      <w:pPr>
        <w:spacing w:line="360" w:lineRule="auto"/>
        <w:ind w:firstLine="360" w:firstLineChars="150"/>
        <w:jc w:val="left"/>
        <w:rPr>
          <w:rFonts w:ascii="宋体" w:hAnsi="宋体" w:cs="宋体"/>
          <w:color w:val="auto"/>
          <w:sz w:val="24"/>
          <w:highlight w:val="none"/>
        </w:rPr>
      </w:pPr>
      <w:r>
        <w:rPr>
          <w:rFonts w:hint="eastAsia" w:ascii="宋体" w:hAnsi="宋体" w:cs="宋体"/>
          <w:color w:val="auto"/>
          <w:sz w:val="24"/>
          <w:highlight w:val="none"/>
        </w:rPr>
        <w:t xml:space="preserve">本公司（联合体）郑重声明，根据《政府采购促进中小企业发展管理办法》（财库﹝2020﹞46 号）的规定，本公司（联合体）参加 </w:t>
      </w:r>
      <w:r>
        <w:rPr>
          <w:rFonts w:hint="eastAsia" w:ascii="宋体" w:hAnsi="宋体" w:cs="宋体"/>
          <w:color w:val="auto"/>
          <w:sz w:val="24"/>
          <w:highlight w:val="none"/>
          <w:u w:val="single"/>
        </w:rPr>
        <w:t xml:space="preserve">（采购人） </w:t>
      </w:r>
      <w:r>
        <w:rPr>
          <w:rFonts w:hint="eastAsia" w:ascii="宋体" w:hAnsi="宋体" w:cs="宋体"/>
          <w:color w:val="auto"/>
          <w:sz w:val="24"/>
          <w:highlight w:val="none"/>
        </w:rPr>
        <w:t>的</w:t>
      </w:r>
      <w:r>
        <w:rPr>
          <w:rFonts w:hint="eastAsia" w:ascii="宋体" w:hAnsi="宋体" w:cs="宋体"/>
          <w:color w:val="auto"/>
          <w:sz w:val="24"/>
          <w:highlight w:val="none"/>
          <w:u w:val="single"/>
        </w:rPr>
        <w:t xml:space="preserve"> （项目名称） </w:t>
      </w:r>
      <w:r>
        <w:rPr>
          <w:rFonts w:hint="eastAsia" w:ascii="宋体" w:hAnsi="宋体"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2A48C121">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highlight w:val="none"/>
        </w:rPr>
        <w:t xml:space="preserve"> </w:t>
      </w:r>
      <w:r>
        <w:rPr>
          <w:rFonts w:hint="eastAsia" w:ascii="宋体" w:hAnsi="宋体" w:cs="宋体"/>
          <w:color w:val="auto"/>
          <w:sz w:val="24"/>
          <w:highlight w:val="none"/>
          <w:u w:val="single"/>
        </w:rPr>
        <w:t>（标的名称）</w:t>
      </w:r>
      <w:r>
        <w:rPr>
          <w:rFonts w:hint="eastAsia" w:ascii="宋体" w:hAnsi="宋体" w:cs="宋体"/>
          <w:color w:val="auto"/>
          <w:sz w:val="24"/>
          <w:highlight w:val="none"/>
        </w:rPr>
        <w:t xml:space="preserve">，属于 </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xml:space="preserve"> ；承建（承接）企业为 </w:t>
      </w:r>
      <w:r>
        <w:rPr>
          <w:rFonts w:hint="eastAsia" w:ascii="宋体" w:hAnsi="宋体" w:cs="宋体"/>
          <w:color w:val="auto"/>
          <w:sz w:val="24"/>
          <w:highlight w:val="none"/>
          <w:u w:val="single"/>
        </w:rPr>
        <w:t>（企业名称）</w:t>
      </w:r>
      <w:r>
        <w:rPr>
          <w:rFonts w:hint="eastAsia" w:ascii="宋体" w:hAnsi="宋体" w:cs="宋体"/>
          <w:color w:val="auto"/>
          <w:sz w:val="24"/>
          <w:highlight w:val="none"/>
        </w:rPr>
        <w:t xml:space="preserve"> ，从业人员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 xml:space="preserve"> （中型企业、小型企业、微型企业） </w:t>
      </w:r>
      <w:r>
        <w:rPr>
          <w:rFonts w:hint="eastAsia" w:ascii="宋体" w:hAnsi="宋体" w:cs="宋体"/>
          <w:color w:val="auto"/>
          <w:sz w:val="24"/>
          <w:highlight w:val="none"/>
        </w:rPr>
        <w:t>；</w:t>
      </w:r>
    </w:p>
    <w:p w14:paraId="5008AA0D">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highlight w:val="none"/>
        </w:rPr>
        <w:t xml:space="preserve"> </w:t>
      </w:r>
      <w:r>
        <w:rPr>
          <w:rFonts w:hint="eastAsia" w:ascii="宋体" w:hAnsi="宋体" w:cs="宋体"/>
          <w:color w:val="auto"/>
          <w:sz w:val="24"/>
          <w:highlight w:val="none"/>
          <w:u w:val="single"/>
        </w:rPr>
        <w:t>（标的名称）</w:t>
      </w:r>
      <w:r>
        <w:rPr>
          <w:rFonts w:hint="eastAsia" w:ascii="宋体" w:hAnsi="宋体" w:cs="宋体"/>
          <w:color w:val="auto"/>
          <w:sz w:val="24"/>
          <w:highlight w:val="none"/>
        </w:rPr>
        <w:t xml:space="preserve">，属于 </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xml:space="preserve"> ；承建（承接）企业为 </w:t>
      </w:r>
      <w:r>
        <w:rPr>
          <w:rFonts w:hint="eastAsia" w:ascii="宋体" w:hAnsi="宋体" w:cs="宋体"/>
          <w:color w:val="auto"/>
          <w:sz w:val="24"/>
          <w:highlight w:val="none"/>
          <w:u w:val="single"/>
        </w:rPr>
        <w:t>（企业名称）</w:t>
      </w:r>
      <w:r>
        <w:rPr>
          <w:rFonts w:hint="eastAsia" w:ascii="宋体" w:hAnsi="宋体" w:cs="宋体"/>
          <w:color w:val="auto"/>
          <w:sz w:val="24"/>
          <w:highlight w:val="none"/>
        </w:rPr>
        <w:t xml:space="preserve"> ，从业人员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 xml:space="preserve"> （中型企业、小型企业、微型企业） </w:t>
      </w:r>
      <w:r>
        <w:rPr>
          <w:rFonts w:hint="eastAsia" w:ascii="宋体" w:hAnsi="宋体" w:cs="宋体"/>
          <w:color w:val="auto"/>
          <w:sz w:val="24"/>
          <w:highlight w:val="none"/>
        </w:rPr>
        <w:t>；</w:t>
      </w:r>
    </w:p>
    <w:p w14:paraId="5E08A9AA">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w:t>
      </w:r>
    </w:p>
    <w:p w14:paraId="4EA9110A">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以上企业，不属于大企业的分支机构，不存在控股股东为大企业的情形，也不存在与大企业的负责人为同一人的情形。</w:t>
      </w:r>
    </w:p>
    <w:p w14:paraId="5E90653B">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本企业对上述声明内容的真实性负责。如有虚假，将依法承担相应责任。</w:t>
      </w:r>
    </w:p>
    <w:p w14:paraId="6C5D1F98">
      <w:pPr>
        <w:spacing w:line="360" w:lineRule="auto"/>
        <w:ind w:firstLine="480" w:firstLineChars="200"/>
        <w:rPr>
          <w:rFonts w:ascii="宋体" w:hAnsi="宋体" w:cs="宋体"/>
          <w:color w:val="auto"/>
          <w:sz w:val="24"/>
          <w:highlight w:val="none"/>
        </w:rPr>
      </w:pPr>
    </w:p>
    <w:p w14:paraId="6F450B14">
      <w:pPr>
        <w:snapToGrid w:val="0"/>
        <w:spacing w:line="360" w:lineRule="auto"/>
        <w:ind w:firstLine="5160" w:firstLineChars="2150"/>
        <w:rPr>
          <w:rFonts w:ascii="宋体" w:hAnsi="宋体" w:cs="宋体"/>
          <w:color w:val="auto"/>
          <w:kern w:val="0"/>
          <w:sz w:val="24"/>
          <w:highlight w:val="none"/>
        </w:rPr>
      </w:pPr>
      <w:r>
        <w:rPr>
          <w:rFonts w:hint="eastAsia" w:ascii="宋体" w:hAnsi="宋体" w:cs="宋体"/>
          <w:color w:val="auto"/>
          <w:kern w:val="0"/>
          <w:sz w:val="24"/>
          <w:highlight w:val="none"/>
          <w:lang w:val="zh-CN"/>
        </w:rPr>
        <w:t>供应商名称(电子签名)：</w:t>
      </w:r>
    </w:p>
    <w:p w14:paraId="5207EB09">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w:t>
      </w:r>
      <w:r>
        <w:rPr>
          <w:rFonts w:hint="eastAsia" w:ascii="宋体" w:hAnsi="宋体" w:cs="宋体"/>
          <w:color w:val="auto"/>
          <w:kern w:val="0"/>
          <w:sz w:val="24"/>
          <w:highlight w:val="none"/>
        </w:rPr>
        <w:t xml:space="preserve">：  年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w:t>
      </w:r>
    </w:p>
    <w:p w14:paraId="582A5192">
      <w:pPr>
        <w:spacing w:line="36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从业人员、营业收入、资产总额填报上一年度数据，无上一年度数据的新成立企业可不填报。</w:t>
      </w:r>
    </w:p>
    <w:p w14:paraId="384D8053">
      <w:pPr>
        <w:spacing w:line="360" w:lineRule="auto"/>
        <w:ind w:right="420" w:firstLine="480" w:firstLineChars="200"/>
        <w:rPr>
          <w:rFonts w:ascii="宋体" w:hAnsi="宋体" w:cs="宋体"/>
          <w:color w:val="auto"/>
          <w:sz w:val="24"/>
          <w:highlight w:val="none"/>
        </w:rPr>
      </w:pPr>
      <w:r>
        <w:rPr>
          <w:rFonts w:hint="eastAsia" w:ascii="宋体" w:hAnsi="宋体" w:cs="宋体"/>
          <w:color w:val="auto"/>
          <w:sz w:val="24"/>
          <w:highlight w:val="none"/>
        </w:rPr>
        <w:t>注：</w:t>
      </w:r>
    </w:p>
    <w:p w14:paraId="5B9E8310">
      <w:pPr>
        <w:spacing w:line="360" w:lineRule="auto"/>
        <w:ind w:right="420" w:firstLine="480" w:firstLineChars="200"/>
        <w:rPr>
          <w:rFonts w:ascii="宋体" w:hAnsi="宋体" w:cs="宋体"/>
          <w:color w:val="auto"/>
          <w:sz w:val="24"/>
          <w:highlight w:val="none"/>
        </w:rPr>
      </w:pPr>
      <w:r>
        <w:rPr>
          <w:rFonts w:hint="eastAsia" w:ascii="宋体" w:hAnsi="宋体" w:cs="宋体"/>
          <w:color w:val="auto"/>
          <w:sz w:val="24"/>
          <w:highlight w:val="none"/>
        </w:rPr>
        <w:t>1、填写要求：①“标的名称”、“采购文件中明确的所属行业”依据采购文件第二部分供应商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不享受中小企业扶持政策。声明内容不实的，属于提供虚假材料谋取中标、成交的，依法承担法律责任。</w:t>
      </w:r>
    </w:p>
    <w:p w14:paraId="573CD350">
      <w:pPr>
        <w:spacing w:line="360" w:lineRule="auto"/>
        <w:ind w:right="420" w:firstLine="480" w:firstLineChars="200"/>
        <w:rPr>
          <w:rFonts w:ascii="宋体" w:hAnsi="宋体" w:cs="宋体"/>
          <w:color w:val="auto"/>
          <w:sz w:val="24"/>
          <w:highlight w:val="none"/>
        </w:rPr>
      </w:pPr>
      <w:r>
        <w:rPr>
          <w:rFonts w:hint="eastAsia" w:ascii="宋体" w:hAnsi="宋体" w:cs="宋体"/>
          <w:color w:val="auto"/>
          <w:sz w:val="24"/>
          <w:highlight w:val="none"/>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14:paraId="173790CB">
      <w:pPr>
        <w:spacing w:line="360" w:lineRule="auto"/>
        <w:jc w:val="center"/>
        <w:rPr>
          <w:rFonts w:ascii="宋体" w:hAnsi="宋体" w:cs="宋体"/>
          <w:b/>
          <w:color w:val="auto"/>
          <w:sz w:val="32"/>
          <w:szCs w:val="32"/>
          <w:highlight w:val="none"/>
        </w:rPr>
      </w:pPr>
    </w:p>
    <w:p w14:paraId="45C33C25">
      <w:pPr>
        <w:spacing w:line="360" w:lineRule="auto"/>
        <w:jc w:val="center"/>
        <w:rPr>
          <w:rFonts w:ascii="宋体" w:hAnsi="宋体" w:cs="宋体"/>
          <w:b/>
          <w:color w:val="auto"/>
          <w:sz w:val="32"/>
          <w:szCs w:val="32"/>
          <w:highlight w:val="none"/>
        </w:rPr>
      </w:pPr>
    </w:p>
    <w:p w14:paraId="68BC6D20">
      <w:pPr>
        <w:spacing w:line="360" w:lineRule="auto"/>
        <w:jc w:val="center"/>
        <w:rPr>
          <w:rFonts w:ascii="宋体" w:hAnsi="宋体" w:cs="宋体"/>
          <w:b/>
          <w:color w:val="auto"/>
          <w:sz w:val="32"/>
          <w:szCs w:val="32"/>
          <w:highlight w:val="none"/>
        </w:rPr>
      </w:pPr>
    </w:p>
    <w:p w14:paraId="0C420360">
      <w:pPr>
        <w:spacing w:line="360" w:lineRule="auto"/>
        <w:jc w:val="center"/>
        <w:rPr>
          <w:rFonts w:ascii="宋体" w:hAnsi="宋体" w:cs="宋体"/>
          <w:b/>
          <w:color w:val="auto"/>
          <w:sz w:val="32"/>
          <w:szCs w:val="32"/>
          <w:highlight w:val="none"/>
        </w:rPr>
      </w:pPr>
    </w:p>
    <w:p w14:paraId="185E2101">
      <w:pPr>
        <w:spacing w:line="360" w:lineRule="auto"/>
        <w:jc w:val="center"/>
        <w:rPr>
          <w:rFonts w:ascii="宋体" w:hAnsi="宋体" w:cs="宋体"/>
          <w:b/>
          <w:color w:val="auto"/>
          <w:sz w:val="32"/>
          <w:szCs w:val="32"/>
          <w:highlight w:val="none"/>
        </w:rPr>
      </w:pPr>
    </w:p>
    <w:p w14:paraId="7D2B4C82">
      <w:pPr>
        <w:spacing w:line="360" w:lineRule="auto"/>
        <w:jc w:val="center"/>
        <w:rPr>
          <w:rFonts w:ascii="宋体" w:hAnsi="宋体" w:cs="宋体"/>
          <w:b/>
          <w:color w:val="auto"/>
          <w:sz w:val="32"/>
          <w:szCs w:val="32"/>
          <w:highlight w:val="none"/>
        </w:rPr>
      </w:pPr>
    </w:p>
    <w:p w14:paraId="220B1B5F">
      <w:pPr>
        <w:spacing w:line="360" w:lineRule="auto"/>
        <w:jc w:val="center"/>
        <w:rPr>
          <w:rFonts w:ascii="宋体" w:hAnsi="宋体" w:cs="宋体"/>
          <w:b/>
          <w:color w:val="auto"/>
          <w:sz w:val="32"/>
          <w:szCs w:val="32"/>
          <w:highlight w:val="none"/>
        </w:rPr>
      </w:pPr>
    </w:p>
    <w:p w14:paraId="10E7A2D2">
      <w:pPr>
        <w:spacing w:line="360" w:lineRule="auto"/>
        <w:jc w:val="center"/>
        <w:rPr>
          <w:rFonts w:ascii="宋体" w:hAnsi="宋体" w:cs="宋体"/>
          <w:b/>
          <w:color w:val="auto"/>
          <w:sz w:val="32"/>
          <w:szCs w:val="32"/>
          <w:highlight w:val="none"/>
        </w:rPr>
      </w:pPr>
    </w:p>
    <w:p w14:paraId="46D132BB">
      <w:pPr>
        <w:spacing w:line="360" w:lineRule="auto"/>
        <w:jc w:val="center"/>
        <w:rPr>
          <w:rFonts w:ascii="宋体" w:hAnsi="宋体" w:cs="宋体"/>
          <w:b/>
          <w:color w:val="auto"/>
          <w:sz w:val="32"/>
          <w:szCs w:val="32"/>
          <w:highlight w:val="none"/>
        </w:rPr>
      </w:pPr>
    </w:p>
    <w:p w14:paraId="047DA74B">
      <w:pPr>
        <w:spacing w:line="360" w:lineRule="auto"/>
        <w:jc w:val="center"/>
        <w:rPr>
          <w:rFonts w:ascii="宋体" w:hAnsi="宋体" w:cs="宋体"/>
          <w:b/>
          <w:color w:val="auto"/>
          <w:sz w:val="32"/>
          <w:szCs w:val="32"/>
          <w:highlight w:val="none"/>
        </w:rPr>
      </w:pPr>
    </w:p>
    <w:p w14:paraId="738AD452">
      <w:pPr>
        <w:spacing w:line="360" w:lineRule="auto"/>
        <w:jc w:val="center"/>
        <w:rPr>
          <w:rFonts w:ascii="宋体" w:hAnsi="宋体" w:cs="宋体"/>
          <w:b/>
          <w:color w:val="auto"/>
          <w:sz w:val="32"/>
          <w:szCs w:val="32"/>
          <w:highlight w:val="none"/>
        </w:rPr>
      </w:pPr>
    </w:p>
    <w:p w14:paraId="3A4A04A9">
      <w:pPr>
        <w:spacing w:line="360" w:lineRule="auto"/>
        <w:jc w:val="center"/>
        <w:rPr>
          <w:rFonts w:ascii="宋体" w:hAnsi="宋体" w:cs="宋体"/>
          <w:b/>
          <w:color w:val="auto"/>
          <w:sz w:val="32"/>
          <w:szCs w:val="32"/>
          <w:highlight w:val="none"/>
        </w:rPr>
      </w:pPr>
    </w:p>
    <w:p w14:paraId="64662564">
      <w:pPr>
        <w:spacing w:line="360" w:lineRule="auto"/>
        <w:jc w:val="center"/>
        <w:rPr>
          <w:rFonts w:ascii="宋体" w:hAnsi="宋体" w:cs="宋体"/>
          <w:b/>
          <w:color w:val="auto"/>
          <w:sz w:val="32"/>
          <w:szCs w:val="32"/>
          <w:highlight w:val="none"/>
        </w:rPr>
      </w:pPr>
    </w:p>
    <w:p w14:paraId="5DB86108">
      <w:pPr>
        <w:spacing w:line="360" w:lineRule="auto"/>
        <w:jc w:val="center"/>
        <w:rPr>
          <w:rFonts w:ascii="宋体" w:hAnsi="宋体" w:cs="宋体"/>
          <w:b/>
          <w:color w:val="auto"/>
          <w:sz w:val="32"/>
          <w:szCs w:val="32"/>
          <w:highlight w:val="none"/>
        </w:rPr>
      </w:pPr>
    </w:p>
    <w:p w14:paraId="54BA8A83">
      <w:pPr>
        <w:spacing w:line="360" w:lineRule="auto"/>
        <w:jc w:val="center"/>
        <w:rPr>
          <w:rFonts w:ascii="宋体" w:hAnsi="宋体" w:cs="宋体"/>
          <w:b/>
          <w:color w:val="auto"/>
          <w:sz w:val="32"/>
          <w:szCs w:val="32"/>
          <w:highlight w:val="none"/>
        </w:rPr>
      </w:pPr>
    </w:p>
    <w:p w14:paraId="2A24D388">
      <w:pPr>
        <w:spacing w:line="360" w:lineRule="auto"/>
        <w:jc w:val="center"/>
        <w:rPr>
          <w:rFonts w:ascii="宋体" w:hAnsi="宋体" w:cs="宋体"/>
          <w:b/>
          <w:color w:val="auto"/>
          <w:sz w:val="32"/>
          <w:szCs w:val="32"/>
          <w:highlight w:val="none"/>
        </w:rPr>
      </w:pPr>
    </w:p>
    <w:p w14:paraId="7DF92509">
      <w:pPr>
        <w:spacing w:line="360" w:lineRule="auto"/>
        <w:jc w:val="center"/>
        <w:rPr>
          <w:rFonts w:ascii="宋体" w:hAnsi="宋体" w:cs="宋体"/>
          <w:b/>
          <w:color w:val="auto"/>
          <w:sz w:val="32"/>
          <w:szCs w:val="32"/>
          <w:highlight w:val="none"/>
        </w:rPr>
      </w:pPr>
    </w:p>
    <w:p w14:paraId="6B99F445">
      <w:pPr>
        <w:spacing w:line="360" w:lineRule="auto"/>
        <w:rPr>
          <w:rFonts w:ascii="宋体" w:hAnsi="宋体" w:cs="宋体"/>
          <w:bCs/>
          <w:color w:val="auto"/>
          <w:sz w:val="24"/>
          <w:highlight w:val="none"/>
        </w:rPr>
        <w:sectPr>
          <w:pgSz w:w="11906" w:h="16838"/>
          <w:pgMar w:top="1440" w:right="1080" w:bottom="1440" w:left="1080" w:header="851" w:footer="992" w:gutter="0"/>
          <w:cols w:space="720" w:num="1"/>
          <w:titlePg/>
          <w:docGrid w:linePitch="312" w:charSpace="0"/>
        </w:sectPr>
      </w:pPr>
    </w:p>
    <w:p w14:paraId="09B1D499">
      <w:pPr>
        <w:spacing w:line="360" w:lineRule="auto"/>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附件8：工程量清单（另附）</w:t>
      </w:r>
    </w:p>
    <w:p w14:paraId="5F9CA955">
      <w:pPr>
        <w:spacing w:line="360" w:lineRule="auto"/>
        <w:rPr>
          <w:rFonts w:ascii="宋体" w:hAnsi="宋体" w:cs="宋体"/>
          <w:b/>
          <w:color w:val="auto"/>
          <w:spacing w:val="6"/>
          <w:sz w:val="32"/>
          <w:szCs w:val="32"/>
          <w:highlight w:val="none"/>
        </w:rPr>
      </w:pPr>
    </w:p>
    <w:p w14:paraId="209D31C7">
      <w:pPr>
        <w:spacing w:line="360" w:lineRule="auto"/>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附件9：图纸（另附）</w:t>
      </w:r>
    </w:p>
    <w:p w14:paraId="61CF67D2">
      <w:pPr>
        <w:pStyle w:val="24"/>
        <w:rPr>
          <w:color w:val="auto"/>
          <w:highlight w:val="none"/>
        </w:rPr>
      </w:pPr>
    </w:p>
    <w:sectPr>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Arial"/>
    <w:panose1 w:val="020B0500000000000000"/>
    <w:charset w:val="00"/>
    <w:family w:val="swiss"/>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1"/>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华文楷体">
    <w:panose1 w:val="02010600040101010101"/>
    <w:charset w:val="86"/>
    <w:family w:val="auto"/>
    <w:pitch w:val="default"/>
    <w:sig w:usb0="00000287" w:usb1="080F0000" w:usb2="00000000" w:usb3="00000000" w:csb0="0004009F" w:csb1="DFD70000"/>
  </w:font>
  <w:font w:name="MS Gothic">
    <w:panose1 w:val="020B0609070205080204"/>
    <w:charset w:val="80"/>
    <w:family w:val="modern"/>
    <w:pitch w:val="default"/>
    <w:sig w:usb0="E00002FF" w:usb1="6AC7FDFB" w:usb2="08000012" w:usb3="00000000" w:csb0="4002009F" w:csb1="DFD70000"/>
  </w:font>
  <w:font w:name="Microsoft Himalaya">
    <w:panose1 w:val="01010100010101010101"/>
    <w:charset w:val="00"/>
    <w:family w:val="auto"/>
    <w:pitch w:val="default"/>
    <w:sig w:usb0="80000003" w:usb1="00010000" w:usb2="0000004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9EE0A">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82</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40048">
    <w:pPr>
      <w:pStyle w:val="40"/>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81</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A1372">
    <w:pPr>
      <w:pStyle w:val="40"/>
      <w:framePr w:wrap="around" w:vAnchor="text" w:hAnchor="margin" w:xAlign="right" w:y="1"/>
      <w:rPr>
        <w:rStyle w:val="73"/>
      </w:rPr>
    </w:pPr>
    <w:r>
      <w:fldChar w:fldCharType="begin"/>
    </w:r>
    <w:r>
      <w:rPr>
        <w:rStyle w:val="73"/>
      </w:rPr>
      <w:instrText xml:space="preserve">PAGE  </w:instrText>
    </w:r>
    <w:r>
      <w:fldChar w:fldCharType="end"/>
    </w:r>
  </w:p>
  <w:p w14:paraId="68EF3A90">
    <w:pPr>
      <w:pStyle w:val="40"/>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62682">
    <w:pPr>
      <w:pStyle w:val="40"/>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bookmarkStart w:id="929" w:name="_Toc164085800"/>
    <w:bookmarkStart w:id="930" w:name="_Toc131845147"/>
    <w:bookmarkStart w:id="931" w:name="_Toc91899912"/>
    <w:bookmarkStart w:id="932" w:name="_Toc36110187"/>
    <w:r>
      <w:rPr>
        <w:rFonts w:hint="eastAsia" w:ascii="仿宋_GB2312" w:eastAsia="仿宋_GB2312"/>
        <w:kern w:val="0"/>
        <w:szCs w:val="21"/>
      </w:rPr>
      <w:t xml:space="preserve"> 页</w:t>
    </w:r>
    <w:bookmarkEnd w:id="929"/>
    <w:bookmarkEnd w:id="930"/>
    <w:bookmarkEnd w:id="931"/>
    <w:bookmarkEnd w:id="93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091BD">
    <w:pPr>
      <w:pStyle w:val="40"/>
      <w:framePr w:wrap="around" w:vAnchor="text" w:hAnchor="margin" w:xAlign="right" w:y="1"/>
      <w:rPr>
        <w:rStyle w:val="73"/>
      </w:rPr>
    </w:pPr>
    <w:r>
      <w:fldChar w:fldCharType="begin"/>
    </w:r>
    <w:r>
      <w:rPr>
        <w:rStyle w:val="73"/>
      </w:rPr>
      <w:instrText xml:space="preserve">PAGE  </w:instrText>
    </w:r>
    <w:r>
      <w:fldChar w:fldCharType="end"/>
    </w:r>
  </w:p>
  <w:p w14:paraId="593B0434">
    <w:pPr>
      <w:pStyle w:val="4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48D9E">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A8854">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w:t>
    </w:r>
  </w:p>
  <w:p w14:paraId="71D3D374">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8C462">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60</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60</w:t>
    </w:r>
    <w:r>
      <w:rPr>
        <w:rFonts w:hint="eastAsia" w:ascii="仿宋_GB2312" w:eastAsia="仿宋_GB2312"/>
        <w:kern w:val="0"/>
      </w:rPr>
      <w:fldChar w:fldCharType="end"/>
    </w:r>
    <w:r>
      <w:rPr>
        <w:rFonts w:hint="eastAsia" w:ascii="仿宋_GB2312" w:eastAsia="仿宋_GB2312"/>
        <w:kern w:val="0"/>
      </w:rPr>
      <w:t xml:space="preserve"> 页</w:t>
    </w:r>
  </w:p>
  <w:p w14:paraId="618020AD">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CE9E7">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63</w:t>
    </w:r>
    <w:r>
      <w:rPr>
        <w:rFonts w:hint="eastAsia" w:ascii="仿宋_GB2312" w:eastAsia="仿宋_GB2312"/>
        <w:kern w:val="0"/>
      </w:rPr>
      <w:fldChar w:fldCharType="end"/>
    </w:r>
    <w:r>
      <w:rPr>
        <w:rFonts w:hint="eastAsia" w:ascii="仿宋_GB2312" w:eastAsia="仿宋_GB2312"/>
        <w:kern w:val="0"/>
      </w:rPr>
      <w:t xml:space="preserve"> 页</w:t>
    </w:r>
  </w:p>
  <w:p w14:paraId="1247DFD0">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95131">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w:t>
    </w:r>
  </w:p>
  <w:p w14:paraId="54EEA153">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5F6FF">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w:t>
    </w:r>
  </w:p>
  <w:p w14:paraId="7BCFD75C">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A267A">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66</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66</w:t>
    </w:r>
    <w:r>
      <w:rPr>
        <w:rFonts w:hint="eastAsia" w:ascii="仿宋_GB2312" w:eastAsia="仿宋_GB2312"/>
        <w:kern w:val="0"/>
      </w:rPr>
      <w:fldChar w:fldCharType="end"/>
    </w:r>
    <w:r>
      <w:rPr>
        <w:rFonts w:hint="eastAsia" w:ascii="仿宋_GB2312" w:eastAsia="仿宋_GB2312"/>
        <w:kern w:val="0"/>
      </w:rPr>
      <w:t xml:space="preserve"> 页</w:t>
    </w:r>
  </w:p>
  <w:p w14:paraId="48FEDC05">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961CC">
    <w:pPr>
      <w:pStyle w:val="41"/>
      <w:pBdr>
        <w:bottom w:val="single" w:color="auto" w:sz="6" w:space="0"/>
      </w:pBdr>
      <w:jc w:val="right"/>
      <w:rPr>
        <w:rFonts w:ascii="仿宋_GB2312" w:eastAsia="仿宋_GB2312"/>
        <w:i/>
        <w:u w:val="single"/>
      </w:rPr>
    </w:pPr>
    <w:r>
      <w:rPr>
        <w:lang w:val="zh-CN"/>
      </w:rPr>
      <w:t>杭州市政府采购</w:t>
    </w: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12370">
    <w:pPr>
      <w:pStyle w:val="41"/>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14495">
    <w:pPr>
      <w:pStyle w:val="41"/>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18F69">
    <w:pPr>
      <w:pStyle w:val="41"/>
      <w:pBdr>
        <w:bottom w:val="single" w:color="auto" w:sz="6" w:space="0"/>
      </w:pBdr>
      <w:tabs>
        <w:tab w:val="center" w:pos="4535"/>
        <w:tab w:val="right" w:pos="9070"/>
        <w:tab w:val="clear" w:pos="4153"/>
        <w:tab w:val="clear" w:pos="8306"/>
      </w:tabs>
      <w:jc w:val="right"/>
      <w:rPr>
        <w:rFonts w:ascii="仿宋_GB2312" w:eastAsia="仿宋_GB2312"/>
        <w:b/>
        <w:i/>
        <w:u w:val="single"/>
      </w:rPr>
    </w:pPr>
    <w:r>
      <w:rPr>
        <w:lang w:val="zh-CN"/>
      </w:rPr>
      <w:t>杭州市政府采购</w:t>
    </w:r>
    <w:r>
      <w:rPr>
        <w:rFonts w:hint="eastAsia"/>
        <w:lang w:val="zh-CN"/>
      </w:rPr>
      <w:t>竞争性磋商文件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EF73A">
    <w:pPr>
      <w:pStyle w:val="41"/>
      <w:pBdr>
        <w:bottom w:val="single" w:color="auto" w:sz="6" w:space="0"/>
      </w:pBdr>
      <w:tabs>
        <w:tab w:val="center" w:pos="4535"/>
        <w:tab w:val="right" w:pos="9070"/>
        <w:tab w:val="clear" w:pos="4153"/>
        <w:tab w:val="clear" w:pos="8306"/>
      </w:tabs>
      <w:jc w:val="right"/>
      <w:rPr>
        <w:rFonts w:ascii="仿宋_GB2312"/>
        <w:b/>
        <w:i/>
        <w:iCs/>
        <w:u w:val="single"/>
      </w:rPr>
    </w:pPr>
    <w:r>
      <w:rPr>
        <w:lang w:val="zh-CN"/>
      </w:rPr>
      <w:t>杭州市政府采购</w:t>
    </w: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A74B6"/>
    <w:multiLevelType w:val="singleLevel"/>
    <w:tmpl w:val="83EA74B6"/>
    <w:lvl w:ilvl="0" w:tentative="0">
      <w:start w:val="1"/>
      <w:numFmt w:val="decimal"/>
      <w:suff w:val="nothing"/>
      <w:lvlText w:val="%1）"/>
      <w:lvlJc w:val="left"/>
    </w:lvl>
  </w:abstractNum>
  <w:abstractNum w:abstractNumId="1">
    <w:nsid w:val="99232E2D"/>
    <w:multiLevelType w:val="singleLevel"/>
    <w:tmpl w:val="99232E2D"/>
    <w:lvl w:ilvl="0" w:tentative="0">
      <w:start w:val="1"/>
      <w:numFmt w:val="decimal"/>
      <w:suff w:val="nothing"/>
      <w:lvlText w:val="%1）"/>
      <w:lvlJc w:val="left"/>
    </w:lvl>
  </w:abstractNum>
  <w:abstractNum w:abstractNumId="2">
    <w:nsid w:val="ABB6FFD3"/>
    <w:multiLevelType w:val="singleLevel"/>
    <w:tmpl w:val="ABB6FFD3"/>
    <w:lvl w:ilvl="0" w:tentative="0">
      <w:start w:val="1"/>
      <w:numFmt w:val="decimal"/>
      <w:suff w:val="nothing"/>
      <w:lvlText w:val="%1）"/>
      <w:lvlJc w:val="left"/>
    </w:lvl>
  </w:abstractNum>
  <w:abstractNum w:abstractNumId="3">
    <w:nsid w:val="BC074D7F"/>
    <w:multiLevelType w:val="singleLevel"/>
    <w:tmpl w:val="BC074D7F"/>
    <w:lvl w:ilvl="0" w:tentative="0">
      <w:start w:val="1"/>
      <w:numFmt w:val="decimal"/>
      <w:suff w:val="nothing"/>
      <w:lvlText w:val="%1）"/>
      <w:lvlJc w:val="left"/>
    </w:lvl>
  </w:abstractNum>
  <w:abstractNum w:abstractNumId="4">
    <w:nsid w:val="EF393887"/>
    <w:multiLevelType w:val="singleLevel"/>
    <w:tmpl w:val="EF393887"/>
    <w:lvl w:ilvl="0" w:tentative="0">
      <w:start w:val="1"/>
      <w:numFmt w:val="decimal"/>
      <w:suff w:val="nothing"/>
      <w:lvlText w:val="%1）"/>
      <w:lvlJc w:val="left"/>
    </w:lvl>
  </w:abstractNum>
  <w:abstractNum w:abstractNumId="5">
    <w:nsid w:val="3DA093CD"/>
    <w:multiLevelType w:val="singleLevel"/>
    <w:tmpl w:val="3DA093CD"/>
    <w:lvl w:ilvl="0" w:tentative="0">
      <w:start w:val="1"/>
      <w:numFmt w:val="decimal"/>
      <w:suff w:val="nothing"/>
      <w:lvlText w:val="%1）"/>
      <w:lvlJc w:val="left"/>
    </w:lvl>
  </w:abstractNum>
  <w:abstractNum w:abstractNumId="6">
    <w:nsid w:val="4918594F"/>
    <w:multiLevelType w:val="multilevel"/>
    <w:tmpl w:val="4918594F"/>
    <w:lvl w:ilvl="0" w:tentative="0">
      <w:start w:val="1"/>
      <w:numFmt w:val="decimal"/>
      <w:lvlText w:val="（%1）"/>
      <w:lvlJc w:val="left"/>
      <w:pPr>
        <w:ind w:left="720" w:hanging="7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0"/>
  </w:num>
  <w:num w:numId="2">
    <w:abstractNumId w:val="4"/>
  </w:num>
  <w:num w:numId="3">
    <w:abstractNumId w:val="1"/>
  </w:num>
  <w:num w:numId="4">
    <w:abstractNumId w:val="5"/>
  </w:num>
  <w:num w:numId="5">
    <w:abstractNumId w:val="3"/>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19"/>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kNmJkNmM0YmNmOTM4MDRjNzA2MWRjZDcyNDllM2E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9F7441"/>
    <w:rsid w:val="01B37585"/>
    <w:rsid w:val="01C65DA5"/>
    <w:rsid w:val="01D55165"/>
    <w:rsid w:val="01DF6BF8"/>
    <w:rsid w:val="01EC2C57"/>
    <w:rsid w:val="025F0711"/>
    <w:rsid w:val="026B2E25"/>
    <w:rsid w:val="02824D4D"/>
    <w:rsid w:val="02DC4B10"/>
    <w:rsid w:val="02DD76CE"/>
    <w:rsid w:val="02E04D1F"/>
    <w:rsid w:val="02F36323"/>
    <w:rsid w:val="02F5619C"/>
    <w:rsid w:val="0326446A"/>
    <w:rsid w:val="032D5555"/>
    <w:rsid w:val="036634D2"/>
    <w:rsid w:val="039D2DB9"/>
    <w:rsid w:val="03DD35E4"/>
    <w:rsid w:val="03F040A4"/>
    <w:rsid w:val="04076900"/>
    <w:rsid w:val="041A5A3B"/>
    <w:rsid w:val="042311BA"/>
    <w:rsid w:val="042B157A"/>
    <w:rsid w:val="048F763B"/>
    <w:rsid w:val="049F330E"/>
    <w:rsid w:val="04A0281C"/>
    <w:rsid w:val="04AA775C"/>
    <w:rsid w:val="04AF1889"/>
    <w:rsid w:val="04C41BED"/>
    <w:rsid w:val="04C64E6C"/>
    <w:rsid w:val="04F66F48"/>
    <w:rsid w:val="05251E14"/>
    <w:rsid w:val="05483AD3"/>
    <w:rsid w:val="05754124"/>
    <w:rsid w:val="05A16594"/>
    <w:rsid w:val="05A7762D"/>
    <w:rsid w:val="060E5941"/>
    <w:rsid w:val="06110FAF"/>
    <w:rsid w:val="061E21DC"/>
    <w:rsid w:val="06493CA7"/>
    <w:rsid w:val="065A6178"/>
    <w:rsid w:val="066F1CF3"/>
    <w:rsid w:val="06930BB8"/>
    <w:rsid w:val="07245D42"/>
    <w:rsid w:val="07264C62"/>
    <w:rsid w:val="0779354C"/>
    <w:rsid w:val="079850C9"/>
    <w:rsid w:val="07A46B95"/>
    <w:rsid w:val="08061376"/>
    <w:rsid w:val="08452D77"/>
    <w:rsid w:val="086401F8"/>
    <w:rsid w:val="08751CAA"/>
    <w:rsid w:val="087E4C40"/>
    <w:rsid w:val="08923AEE"/>
    <w:rsid w:val="08A871D0"/>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6495E"/>
    <w:rsid w:val="0A3E7710"/>
    <w:rsid w:val="0A5B7E63"/>
    <w:rsid w:val="0A703465"/>
    <w:rsid w:val="0AA374A5"/>
    <w:rsid w:val="0AAB7649"/>
    <w:rsid w:val="0ABC5606"/>
    <w:rsid w:val="0B30404E"/>
    <w:rsid w:val="0B4C6C14"/>
    <w:rsid w:val="0B547599"/>
    <w:rsid w:val="0B631A88"/>
    <w:rsid w:val="0B683D45"/>
    <w:rsid w:val="0B7F3F11"/>
    <w:rsid w:val="0B884417"/>
    <w:rsid w:val="0BF6188C"/>
    <w:rsid w:val="0BF73C91"/>
    <w:rsid w:val="0C170175"/>
    <w:rsid w:val="0C571A41"/>
    <w:rsid w:val="0C5C1171"/>
    <w:rsid w:val="0C5E1CBC"/>
    <w:rsid w:val="0C615B50"/>
    <w:rsid w:val="0C8445DA"/>
    <w:rsid w:val="0C87121B"/>
    <w:rsid w:val="0CC007F7"/>
    <w:rsid w:val="0CC617AC"/>
    <w:rsid w:val="0CE618DF"/>
    <w:rsid w:val="0CFE707A"/>
    <w:rsid w:val="0D063BDA"/>
    <w:rsid w:val="0D08375F"/>
    <w:rsid w:val="0D184CFB"/>
    <w:rsid w:val="0D4A7419"/>
    <w:rsid w:val="0D827401"/>
    <w:rsid w:val="0D84094E"/>
    <w:rsid w:val="0D8A00E9"/>
    <w:rsid w:val="0D8D589E"/>
    <w:rsid w:val="0DA01C73"/>
    <w:rsid w:val="0DD63300"/>
    <w:rsid w:val="0DF50604"/>
    <w:rsid w:val="0DF702FE"/>
    <w:rsid w:val="0E060E51"/>
    <w:rsid w:val="0E5604B2"/>
    <w:rsid w:val="0E6D5D79"/>
    <w:rsid w:val="0E9D0089"/>
    <w:rsid w:val="0EB803EE"/>
    <w:rsid w:val="0EF94D4B"/>
    <w:rsid w:val="0F4958DC"/>
    <w:rsid w:val="0F515DF7"/>
    <w:rsid w:val="0F596BA8"/>
    <w:rsid w:val="0F6248D2"/>
    <w:rsid w:val="0F693536"/>
    <w:rsid w:val="0F7B0511"/>
    <w:rsid w:val="0F7B76D9"/>
    <w:rsid w:val="0F816ACD"/>
    <w:rsid w:val="0F9832DB"/>
    <w:rsid w:val="0FBF3FD2"/>
    <w:rsid w:val="0FBF7FF3"/>
    <w:rsid w:val="10646583"/>
    <w:rsid w:val="107D4B15"/>
    <w:rsid w:val="108A3C80"/>
    <w:rsid w:val="10C26171"/>
    <w:rsid w:val="10F33360"/>
    <w:rsid w:val="10FC16EA"/>
    <w:rsid w:val="110F1D40"/>
    <w:rsid w:val="11266F33"/>
    <w:rsid w:val="118963A1"/>
    <w:rsid w:val="11C6522A"/>
    <w:rsid w:val="11E104CC"/>
    <w:rsid w:val="11E20309"/>
    <w:rsid w:val="12255233"/>
    <w:rsid w:val="12530213"/>
    <w:rsid w:val="127723A9"/>
    <w:rsid w:val="12862074"/>
    <w:rsid w:val="12883966"/>
    <w:rsid w:val="129E45B4"/>
    <w:rsid w:val="12CF1390"/>
    <w:rsid w:val="12D81596"/>
    <w:rsid w:val="13072A44"/>
    <w:rsid w:val="135F4BE2"/>
    <w:rsid w:val="139B1A0A"/>
    <w:rsid w:val="139D25C7"/>
    <w:rsid w:val="13BF3CE4"/>
    <w:rsid w:val="13EA231A"/>
    <w:rsid w:val="141008D8"/>
    <w:rsid w:val="14125FE6"/>
    <w:rsid w:val="146D271E"/>
    <w:rsid w:val="14982588"/>
    <w:rsid w:val="149A5AD9"/>
    <w:rsid w:val="14A7619D"/>
    <w:rsid w:val="150536C3"/>
    <w:rsid w:val="150C1963"/>
    <w:rsid w:val="151447A0"/>
    <w:rsid w:val="152B4878"/>
    <w:rsid w:val="154A6454"/>
    <w:rsid w:val="15762120"/>
    <w:rsid w:val="16A8729C"/>
    <w:rsid w:val="16B33777"/>
    <w:rsid w:val="16BC70A7"/>
    <w:rsid w:val="16C6339E"/>
    <w:rsid w:val="172F2D79"/>
    <w:rsid w:val="17557BEF"/>
    <w:rsid w:val="17D349C1"/>
    <w:rsid w:val="1830729E"/>
    <w:rsid w:val="1870062C"/>
    <w:rsid w:val="18817102"/>
    <w:rsid w:val="18830A15"/>
    <w:rsid w:val="18852B28"/>
    <w:rsid w:val="188B5321"/>
    <w:rsid w:val="18C1334C"/>
    <w:rsid w:val="19081EBD"/>
    <w:rsid w:val="19932372"/>
    <w:rsid w:val="19A20DD5"/>
    <w:rsid w:val="19AE03F1"/>
    <w:rsid w:val="1A071A03"/>
    <w:rsid w:val="1A1F16AE"/>
    <w:rsid w:val="1A3B5C77"/>
    <w:rsid w:val="1A984BAD"/>
    <w:rsid w:val="1AB8220E"/>
    <w:rsid w:val="1AE4166C"/>
    <w:rsid w:val="1AF06CFB"/>
    <w:rsid w:val="1AF11B8D"/>
    <w:rsid w:val="1B11359C"/>
    <w:rsid w:val="1B2A271F"/>
    <w:rsid w:val="1B530544"/>
    <w:rsid w:val="1B713184"/>
    <w:rsid w:val="1BA209CF"/>
    <w:rsid w:val="1BB4777D"/>
    <w:rsid w:val="1BD75AB8"/>
    <w:rsid w:val="1C0459C2"/>
    <w:rsid w:val="1C1B3B4A"/>
    <w:rsid w:val="1C7725CD"/>
    <w:rsid w:val="1C88086E"/>
    <w:rsid w:val="1D266CE1"/>
    <w:rsid w:val="1D3963AF"/>
    <w:rsid w:val="1D3D0FE5"/>
    <w:rsid w:val="1D6A673C"/>
    <w:rsid w:val="1D9247AE"/>
    <w:rsid w:val="1DB567EC"/>
    <w:rsid w:val="1DF51A98"/>
    <w:rsid w:val="1E3D060F"/>
    <w:rsid w:val="1E3F7D2E"/>
    <w:rsid w:val="1E4134E4"/>
    <w:rsid w:val="1E454BFC"/>
    <w:rsid w:val="1E5062B3"/>
    <w:rsid w:val="1E523514"/>
    <w:rsid w:val="1E714A66"/>
    <w:rsid w:val="1E802593"/>
    <w:rsid w:val="1E8B6156"/>
    <w:rsid w:val="1EA703CC"/>
    <w:rsid w:val="1EB7330C"/>
    <w:rsid w:val="1F0A0FF3"/>
    <w:rsid w:val="1F2831B5"/>
    <w:rsid w:val="1F5771FF"/>
    <w:rsid w:val="1F904124"/>
    <w:rsid w:val="1FE868A9"/>
    <w:rsid w:val="20034907"/>
    <w:rsid w:val="20173E4B"/>
    <w:rsid w:val="204E48BC"/>
    <w:rsid w:val="208921B3"/>
    <w:rsid w:val="20973DEB"/>
    <w:rsid w:val="20B26522"/>
    <w:rsid w:val="20B44310"/>
    <w:rsid w:val="211116EB"/>
    <w:rsid w:val="216133FC"/>
    <w:rsid w:val="21BC7A32"/>
    <w:rsid w:val="21D56769"/>
    <w:rsid w:val="21DD5A50"/>
    <w:rsid w:val="21E52EF3"/>
    <w:rsid w:val="21FB5D7B"/>
    <w:rsid w:val="22015E94"/>
    <w:rsid w:val="220B1C3D"/>
    <w:rsid w:val="221D1D20"/>
    <w:rsid w:val="22334A87"/>
    <w:rsid w:val="22930D9A"/>
    <w:rsid w:val="22BE6801"/>
    <w:rsid w:val="233500BF"/>
    <w:rsid w:val="23377FF7"/>
    <w:rsid w:val="236B425F"/>
    <w:rsid w:val="23836192"/>
    <w:rsid w:val="23901F29"/>
    <w:rsid w:val="239C0061"/>
    <w:rsid w:val="23B908A4"/>
    <w:rsid w:val="23E95BEF"/>
    <w:rsid w:val="23FD0064"/>
    <w:rsid w:val="245375B0"/>
    <w:rsid w:val="24642C0A"/>
    <w:rsid w:val="24B22173"/>
    <w:rsid w:val="24B95AD9"/>
    <w:rsid w:val="24BE24DA"/>
    <w:rsid w:val="24CF5825"/>
    <w:rsid w:val="24D663E6"/>
    <w:rsid w:val="24D77F2B"/>
    <w:rsid w:val="258B00E2"/>
    <w:rsid w:val="25A917A6"/>
    <w:rsid w:val="25BE27CC"/>
    <w:rsid w:val="25F74A5C"/>
    <w:rsid w:val="2628662C"/>
    <w:rsid w:val="262D45DE"/>
    <w:rsid w:val="26871DC8"/>
    <w:rsid w:val="26A53EF9"/>
    <w:rsid w:val="26A94201"/>
    <w:rsid w:val="26AC274F"/>
    <w:rsid w:val="27044A29"/>
    <w:rsid w:val="271D34C8"/>
    <w:rsid w:val="276142BF"/>
    <w:rsid w:val="27783712"/>
    <w:rsid w:val="27907362"/>
    <w:rsid w:val="28333E1D"/>
    <w:rsid w:val="28454BD6"/>
    <w:rsid w:val="28455253"/>
    <w:rsid w:val="28551971"/>
    <w:rsid w:val="285B1C53"/>
    <w:rsid w:val="289F7086"/>
    <w:rsid w:val="28C32028"/>
    <w:rsid w:val="28CC490F"/>
    <w:rsid w:val="28DE40AA"/>
    <w:rsid w:val="28FE49D7"/>
    <w:rsid w:val="29345E77"/>
    <w:rsid w:val="294C65AD"/>
    <w:rsid w:val="29806583"/>
    <w:rsid w:val="298B3C4C"/>
    <w:rsid w:val="29F26D24"/>
    <w:rsid w:val="2A15033F"/>
    <w:rsid w:val="2A1662C1"/>
    <w:rsid w:val="2A1C7367"/>
    <w:rsid w:val="2A2815FA"/>
    <w:rsid w:val="2A6D6092"/>
    <w:rsid w:val="2A7D76B4"/>
    <w:rsid w:val="2AF43EEE"/>
    <w:rsid w:val="2B437463"/>
    <w:rsid w:val="2B7807EE"/>
    <w:rsid w:val="2BA50BF7"/>
    <w:rsid w:val="2BBF00EC"/>
    <w:rsid w:val="2BC37CFD"/>
    <w:rsid w:val="2BD5237F"/>
    <w:rsid w:val="2BE536CE"/>
    <w:rsid w:val="2BE758D9"/>
    <w:rsid w:val="2C09049E"/>
    <w:rsid w:val="2C0A653C"/>
    <w:rsid w:val="2C191F85"/>
    <w:rsid w:val="2CE82D6F"/>
    <w:rsid w:val="2D343236"/>
    <w:rsid w:val="2D83129D"/>
    <w:rsid w:val="2DD15014"/>
    <w:rsid w:val="2DF72DE4"/>
    <w:rsid w:val="2E0220AF"/>
    <w:rsid w:val="2E4B082A"/>
    <w:rsid w:val="2E5D4E86"/>
    <w:rsid w:val="2E5D790B"/>
    <w:rsid w:val="2E9A3C18"/>
    <w:rsid w:val="2EBB0FEE"/>
    <w:rsid w:val="2EC63002"/>
    <w:rsid w:val="2F0A6B38"/>
    <w:rsid w:val="2F946CCB"/>
    <w:rsid w:val="2FD25781"/>
    <w:rsid w:val="2FDC745C"/>
    <w:rsid w:val="2FFA2FFA"/>
    <w:rsid w:val="2FFD7934"/>
    <w:rsid w:val="30733ACD"/>
    <w:rsid w:val="307B46D2"/>
    <w:rsid w:val="308C3862"/>
    <w:rsid w:val="309379D8"/>
    <w:rsid w:val="30A270F7"/>
    <w:rsid w:val="30DF1478"/>
    <w:rsid w:val="30EC586F"/>
    <w:rsid w:val="319C6071"/>
    <w:rsid w:val="31AC537E"/>
    <w:rsid w:val="31AF6988"/>
    <w:rsid w:val="31E3679B"/>
    <w:rsid w:val="31E732FD"/>
    <w:rsid w:val="32517576"/>
    <w:rsid w:val="32BE5C2C"/>
    <w:rsid w:val="32D63C1D"/>
    <w:rsid w:val="32D85EDE"/>
    <w:rsid w:val="32FB6478"/>
    <w:rsid w:val="332410BB"/>
    <w:rsid w:val="33263B3F"/>
    <w:rsid w:val="336963EB"/>
    <w:rsid w:val="33816EEB"/>
    <w:rsid w:val="33E56E1B"/>
    <w:rsid w:val="33EB55CD"/>
    <w:rsid w:val="33EC4C02"/>
    <w:rsid w:val="340D2360"/>
    <w:rsid w:val="3410665D"/>
    <w:rsid w:val="34211214"/>
    <w:rsid w:val="342E63AB"/>
    <w:rsid w:val="34950E68"/>
    <w:rsid w:val="34986E94"/>
    <w:rsid w:val="34AF62C9"/>
    <w:rsid w:val="34CB4388"/>
    <w:rsid w:val="34FA6E12"/>
    <w:rsid w:val="354D7158"/>
    <w:rsid w:val="358D5588"/>
    <w:rsid w:val="363A3B40"/>
    <w:rsid w:val="365302AE"/>
    <w:rsid w:val="36607A0A"/>
    <w:rsid w:val="366E227C"/>
    <w:rsid w:val="366F2E0D"/>
    <w:rsid w:val="367B6A5C"/>
    <w:rsid w:val="36A74ADA"/>
    <w:rsid w:val="36AD60D5"/>
    <w:rsid w:val="36B224F9"/>
    <w:rsid w:val="36EC0CC9"/>
    <w:rsid w:val="373F410B"/>
    <w:rsid w:val="37C531D9"/>
    <w:rsid w:val="37EE7094"/>
    <w:rsid w:val="37FF6EF3"/>
    <w:rsid w:val="38296C89"/>
    <w:rsid w:val="383002EB"/>
    <w:rsid w:val="38586797"/>
    <w:rsid w:val="38BC0149"/>
    <w:rsid w:val="38D87D1C"/>
    <w:rsid w:val="39636459"/>
    <w:rsid w:val="396B7F6C"/>
    <w:rsid w:val="39B417A9"/>
    <w:rsid w:val="39FC5695"/>
    <w:rsid w:val="3A006D8E"/>
    <w:rsid w:val="3A204F94"/>
    <w:rsid w:val="3A3534C1"/>
    <w:rsid w:val="3A3651E5"/>
    <w:rsid w:val="3A744481"/>
    <w:rsid w:val="3A8C7BEF"/>
    <w:rsid w:val="3A906246"/>
    <w:rsid w:val="3B2349B7"/>
    <w:rsid w:val="3B452288"/>
    <w:rsid w:val="3B5A363D"/>
    <w:rsid w:val="3B616CFF"/>
    <w:rsid w:val="3B6259F6"/>
    <w:rsid w:val="3B976654"/>
    <w:rsid w:val="3BC01EFC"/>
    <w:rsid w:val="3BCA786A"/>
    <w:rsid w:val="3BD31E2F"/>
    <w:rsid w:val="3BF15831"/>
    <w:rsid w:val="3C105946"/>
    <w:rsid w:val="3C471448"/>
    <w:rsid w:val="3C5F759A"/>
    <w:rsid w:val="3C6C525A"/>
    <w:rsid w:val="3CCE23CB"/>
    <w:rsid w:val="3CD17D17"/>
    <w:rsid w:val="3D3C7F39"/>
    <w:rsid w:val="3D440F09"/>
    <w:rsid w:val="3D4504A0"/>
    <w:rsid w:val="3D8734BB"/>
    <w:rsid w:val="3D9A11D4"/>
    <w:rsid w:val="3DA16D89"/>
    <w:rsid w:val="3DA364BE"/>
    <w:rsid w:val="3DE041CB"/>
    <w:rsid w:val="3E0D48F6"/>
    <w:rsid w:val="3E1868B4"/>
    <w:rsid w:val="3E377251"/>
    <w:rsid w:val="3E42664B"/>
    <w:rsid w:val="3E5A7334"/>
    <w:rsid w:val="3E7B5D6B"/>
    <w:rsid w:val="3E843E66"/>
    <w:rsid w:val="3E8F51FE"/>
    <w:rsid w:val="3E926F87"/>
    <w:rsid w:val="3E9362D2"/>
    <w:rsid w:val="3E9A59DE"/>
    <w:rsid w:val="3EAF4836"/>
    <w:rsid w:val="3EC33DFA"/>
    <w:rsid w:val="3F060E16"/>
    <w:rsid w:val="3F1D1096"/>
    <w:rsid w:val="3F2F0234"/>
    <w:rsid w:val="3F6363FE"/>
    <w:rsid w:val="3F756B8F"/>
    <w:rsid w:val="3F95482B"/>
    <w:rsid w:val="3FA30512"/>
    <w:rsid w:val="4019356B"/>
    <w:rsid w:val="40592157"/>
    <w:rsid w:val="406E1CAE"/>
    <w:rsid w:val="40A0133A"/>
    <w:rsid w:val="40C31A53"/>
    <w:rsid w:val="40FF545D"/>
    <w:rsid w:val="410067C8"/>
    <w:rsid w:val="416176D3"/>
    <w:rsid w:val="418F0D2A"/>
    <w:rsid w:val="41D01505"/>
    <w:rsid w:val="420C765B"/>
    <w:rsid w:val="42474939"/>
    <w:rsid w:val="424C3C57"/>
    <w:rsid w:val="42613FF3"/>
    <w:rsid w:val="42660D96"/>
    <w:rsid w:val="42813507"/>
    <w:rsid w:val="428667D2"/>
    <w:rsid w:val="42CD1CE0"/>
    <w:rsid w:val="42E1381E"/>
    <w:rsid w:val="42ED6459"/>
    <w:rsid w:val="42F3235A"/>
    <w:rsid w:val="42FE58DD"/>
    <w:rsid w:val="43174B3D"/>
    <w:rsid w:val="434B790E"/>
    <w:rsid w:val="4360274F"/>
    <w:rsid w:val="43977AB6"/>
    <w:rsid w:val="43A3342B"/>
    <w:rsid w:val="43C77C27"/>
    <w:rsid w:val="43DE09EE"/>
    <w:rsid w:val="44002FAD"/>
    <w:rsid w:val="441C37AA"/>
    <w:rsid w:val="44585CA5"/>
    <w:rsid w:val="447500EF"/>
    <w:rsid w:val="449101DD"/>
    <w:rsid w:val="44DE1391"/>
    <w:rsid w:val="451B225C"/>
    <w:rsid w:val="452410C9"/>
    <w:rsid w:val="45317DFB"/>
    <w:rsid w:val="456D3CE4"/>
    <w:rsid w:val="4579042C"/>
    <w:rsid w:val="457F0571"/>
    <w:rsid w:val="45851176"/>
    <w:rsid w:val="45C55BC2"/>
    <w:rsid w:val="45C63B94"/>
    <w:rsid w:val="460E7DA5"/>
    <w:rsid w:val="46422483"/>
    <w:rsid w:val="4659254A"/>
    <w:rsid w:val="465B0637"/>
    <w:rsid w:val="465E3F0D"/>
    <w:rsid w:val="466A16E6"/>
    <w:rsid w:val="46893F2B"/>
    <w:rsid w:val="46C444E6"/>
    <w:rsid w:val="46C4686E"/>
    <w:rsid w:val="477B778F"/>
    <w:rsid w:val="478203EC"/>
    <w:rsid w:val="47B025FA"/>
    <w:rsid w:val="4809698F"/>
    <w:rsid w:val="4811697D"/>
    <w:rsid w:val="487A3E25"/>
    <w:rsid w:val="488B5503"/>
    <w:rsid w:val="48937E21"/>
    <w:rsid w:val="489A0361"/>
    <w:rsid w:val="48B94FF3"/>
    <w:rsid w:val="48E37AAB"/>
    <w:rsid w:val="48FD4B4C"/>
    <w:rsid w:val="490A68E0"/>
    <w:rsid w:val="491055FE"/>
    <w:rsid w:val="493A4AAE"/>
    <w:rsid w:val="495F5B3E"/>
    <w:rsid w:val="496F77D7"/>
    <w:rsid w:val="497654FD"/>
    <w:rsid w:val="49B64211"/>
    <w:rsid w:val="49D41AAC"/>
    <w:rsid w:val="49F6167F"/>
    <w:rsid w:val="4A064FA0"/>
    <w:rsid w:val="4A16615C"/>
    <w:rsid w:val="4A4424D7"/>
    <w:rsid w:val="4AB82D0F"/>
    <w:rsid w:val="4AEB7664"/>
    <w:rsid w:val="4AFD7C19"/>
    <w:rsid w:val="4B0567D1"/>
    <w:rsid w:val="4B236AAE"/>
    <w:rsid w:val="4B2F799D"/>
    <w:rsid w:val="4B707271"/>
    <w:rsid w:val="4B9739F7"/>
    <w:rsid w:val="4BEE2503"/>
    <w:rsid w:val="4BF727EA"/>
    <w:rsid w:val="4C245A30"/>
    <w:rsid w:val="4C876B1B"/>
    <w:rsid w:val="4CB6685F"/>
    <w:rsid w:val="4CC367FE"/>
    <w:rsid w:val="4D077F3C"/>
    <w:rsid w:val="4D123355"/>
    <w:rsid w:val="4D297313"/>
    <w:rsid w:val="4D2A3B31"/>
    <w:rsid w:val="4D312C52"/>
    <w:rsid w:val="4D905305"/>
    <w:rsid w:val="4D964A72"/>
    <w:rsid w:val="4D9C1254"/>
    <w:rsid w:val="4D9E5B15"/>
    <w:rsid w:val="4E793892"/>
    <w:rsid w:val="4E800872"/>
    <w:rsid w:val="4EC569ED"/>
    <w:rsid w:val="4ED50EA1"/>
    <w:rsid w:val="4EEC050C"/>
    <w:rsid w:val="4F104EC3"/>
    <w:rsid w:val="4F47354A"/>
    <w:rsid w:val="4F911C54"/>
    <w:rsid w:val="4FE625E0"/>
    <w:rsid w:val="5021480F"/>
    <w:rsid w:val="505C301C"/>
    <w:rsid w:val="50962ECB"/>
    <w:rsid w:val="50A42E38"/>
    <w:rsid w:val="50A4577F"/>
    <w:rsid w:val="50B73D1F"/>
    <w:rsid w:val="50BD5BC9"/>
    <w:rsid w:val="50C11EEE"/>
    <w:rsid w:val="50E97CFC"/>
    <w:rsid w:val="50FA4028"/>
    <w:rsid w:val="510D65B7"/>
    <w:rsid w:val="511157AB"/>
    <w:rsid w:val="5142540C"/>
    <w:rsid w:val="518832C8"/>
    <w:rsid w:val="519D3C50"/>
    <w:rsid w:val="51A0432A"/>
    <w:rsid w:val="51A86090"/>
    <w:rsid w:val="51B7396D"/>
    <w:rsid w:val="522E4CC3"/>
    <w:rsid w:val="5244713B"/>
    <w:rsid w:val="52615633"/>
    <w:rsid w:val="526F4DE4"/>
    <w:rsid w:val="52977FD4"/>
    <w:rsid w:val="52A25790"/>
    <w:rsid w:val="52A96B6F"/>
    <w:rsid w:val="52B45975"/>
    <w:rsid w:val="52D94AA4"/>
    <w:rsid w:val="52EA3A62"/>
    <w:rsid w:val="52F50BB8"/>
    <w:rsid w:val="53097272"/>
    <w:rsid w:val="534C1537"/>
    <w:rsid w:val="53544462"/>
    <w:rsid w:val="5397158E"/>
    <w:rsid w:val="53E325D5"/>
    <w:rsid w:val="54013861"/>
    <w:rsid w:val="54487265"/>
    <w:rsid w:val="544D6070"/>
    <w:rsid w:val="54605E1E"/>
    <w:rsid w:val="54B3506A"/>
    <w:rsid w:val="54CA0D16"/>
    <w:rsid w:val="54DD4057"/>
    <w:rsid w:val="54E7490F"/>
    <w:rsid w:val="550764A4"/>
    <w:rsid w:val="550B2BF6"/>
    <w:rsid w:val="55214EB5"/>
    <w:rsid w:val="55364EFD"/>
    <w:rsid w:val="555D4828"/>
    <w:rsid w:val="557A4C8B"/>
    <w:rsid w:val="558931E1"/>
    <w:rsid w:val="55923347"/>
    <w:rsid w:val="55925180"/>
    <w:rsid w:val="55983B1B"/>
    <w:rsid w:val="55A8376B"/>
    <w:rsid w:val="55DC29B6"/>
    <w:rsid w:val="55DD4241"/>
    <w:rsid w:val="566B6D1E"/>
    <w:rsid w:val="57032A2C"/>
    <w:rsid w:val="570F5219"/>
    <w:rsid w:val="572E78E5"/>
    <w:rsid w:val="575D12B5"/>
    <w:rsid w:val="57610A87"/>
    <w:rsid w:val="577B1140"/>
    <w:rsid w:val="577B7F21"/>
    <w:rsid w:val="577F181B"/>
    <w:rsid w:val="57921984"/>
    <w:rsid w:val="579737F0"/>
    <w:rsid w:val="57AB7B30"/>
    <w:rsid w:val="57AF5251"/>
    <w:rsid w:val="57B26373"/>
    <w:rsid w:val="57B63F04"/>
    <w:rsid w:val="57CD20C2"/>
    <w:rsid w:val="57D675AB"/>
    <w:rsid w:val="57D95FDD"/>
    <w:rsid w:val="583D08F4"/>
    <w:rsid w:val="58917D2F"/>
    <w:rsid w:val="5894085C"/>
    <w:rsid w:val="58AA3909"/>
    <w:rsid w:val="58AE4F0C"/>
    <w:rsid w:val="58B85899"/>
    <w:rsid w:val="58E363A9"/>
    <w:rsid w:val="595E1678"/>
    <w:rsid w:val="596D5BD4"/>
    <w:rsid w:val="597E3DD8"/>
    <w:rsid w:val="59F80043"/>
    <w:rsid w:val="5A09252F"/>
    <w:rsid w:val="5A0B2778"/>
    <w:rsid w:val="5A2A7C7B"/>
    <w:rsid w:val="5A3E2560"/>
    <w:rsid w:val="5A5D3B6E"/>
    <w:rsid w:val="5A637A76"/>
    <w:rsid w:val="5A6D33BA"/>
    <w:rsid w:val="5A792B1F"/>
    <w:rsid w:val="5A874767"/>
    <w:rsid w:val="5AA85BE2"/>
    <w:rsid w:val="5AAD6F28"/>
    <w:rsid w:val="5ABE2749"/>
    <w:rsid w:val="5AD63A24"/>
    <w:rsid w:val="5AE51A4D"/>
    <w:rsid w:val="5B2E1A1D"/>
    <w:rsid w:val="5B843A1C"/>
    <w:rsid w:val="5B873E3F"/>
    <w:rsid w:val="5BAC3805"/>
    <w:rsid w:val="5C02690E"/>
    <w:rsid w:val="5C196DA7"/>
    <w:rsid w:val="5C2A048C"/>
    <w:rsid w:val="5C4D2220"/>
    <w:rsid w:val="5C80234E"/>
    <w:rsid w:val="5C8A680C"/>
    <w:rsid w:val="5D0C4701"/>
    <w:rsid w:val="5D0F0395"/>
    <w:rsid w:val="5D221076"/>
    <w:rsid w:val="5D2352AB"/>
    <w:rsid w:val="5D397964"/>
    <w:rsid w:val="5D5A391C"/>
    <w:rsid w:val="5D5F10C0"/>
    <w:rsid w:val="5D790E2F"/>
    <w:rsid w:val="5D891B7B"/>
    <w:rsid w:val="5DAD38EE"/>
    <w:rsid w:val="5E006862"/>
    <w:rsid w:val="5E0207B9"/>
    <w:rsid w:val="5E1834A1"/>
    <w:rsid w:val="5E261785"/>
    <w:rsid w:val="5E4A7017"/>
    <w:rsid w:val="5E552BBA"/>
    <w:rsid w:val="5E611C10"/>
    <w:rsid w:val="5E7A0F3F"/>
    <w:rsid w:val="5E9D44EE"/>
    <w:rsid w:val="5EFC7377"/>
    <w:rsid w:val="5F06174D"/>
    <w:rsid w:val="5F3A3602"/>
    <w:rsid w:val="5F45733B"/>
    <w:rsid w:val="5F6277C6"/>
    <w:rsid w:val="5F6D0B1D"/>
    <w:rsid w:val="5F8D0B82"/>
    <w:rsid w:val="5FCC5339"/>
    <w:rsid w:val="5FE34A5B"/>
    <w:rsid w:val="5FFE1E36"/>
    <w:rsid w:val="60232584"/>
    <w:rsid w:val="607330CE"/>
    <w:rsid w:val="60825176"/>
    <w:rsid w:val="609F2AC4"/>
    <w:rsid w:val="60FA2EE8"/>
    <w:rsid w:val="61054A27"/>
    <w:rsid w:val="610A52BC"/>
    <w:rsid w:val="610D059B"/>
    <w:rsid w:val="611D2366"/>
    <w:rsid w:val="61421856"/>
    <w:rsid w:val="615227C4"/>
    <w:rsid w:val="61654E3F"/>
    <w:rsid w:val="6182292A"/>
    <w:rsid w:val="619F7F92"/>
    <w:rsid w:val="61F94C26"/>
    <w:rsid w:val="62000E56"/>
    <w:rsid w:val="624F3E49"/>
    <w:rsid w:val="62632286"/>
    <w:rsid w:val="62885958"/>
    <w:rsid w:val="62F40B65"/>
    <w:rsid w:val="62FC2CFE"/>
    <w:rsid w:val="63024505"/>
    <w:rsid w:val="635600A5"/>
    <w:rsid w:val="635B1DB5"/>
    <w:rsid w:val="63711FED"/>
    <w:rsid w:val="63880DDC"/>
    <w:rsid w:val="638D750D"/>
    <w:rsid w:val="63AC6CC0"/>
    <w:rsid w:val="64055776"/>
    <w:rsid w:val="641F5B67"/>
    <w:rsid w:val="64240056"/>
    <w:rsid w:val="64290E1A"/>
    <w:rsid w:val="642A65A8"/>
    <w:rsid w:val="643E143A"/>
    <w:rsid w:val="64491666"/>
    <w:rsid w:val="648B6EEF"/>
    <w:rsid w:val="64C158BF"/>
    <w:rsid w:val="64CE2EAA"/>
    <w:rsid w:val="653C3090"/>
    <w:rsid w:val="65547784"/>
    <w:rsid w:val="65854376"/>
    <w:rsid w:val="658767BE"/>
    <w:rsid w:val="65892531"/>
    <w:rsid w:val="66195831"/>
    <w:rsid w:val="662E75B1"/>
    <w:rsid w:val="66342C2E"/>
    <w:rsid w:val="663E784C"/>
    <w:rsid w:val="668B6A45"/>
    <w:rsid w:val="67112C4A"/>
    <w:rsid w:val="672F3F24"/>
    <w:rsid w:val="673E055F"/>
    <w:rsid w:val="67431752"/>
    <w:rsid w:val="67551CE3"/>
    <w:rsid w:val="67A22552"/>
    <w:rsid w:val="67B22DCC"/>
    <w:rsid w:val="67BE71AA"/>
    <w:rsid w:val="67CF7323"/>
    <w:rsid w:val="67D90273"/>
    <w:rsid w:val="67DE5875"/>
    <w:rsid w:val="67E55852"/>
    <w:rsid w:val="67EB1AB4"/>
    <w:rsid w:val="67FA1285"/>
    <w:rsid w:val="68551F4F"/>
    <w:rsid w:val="687C10C9"/>
    <w:rsid w:val="68840C16"/>
    <w:rsid w:val="68876EFB"/>
    <w:rsid w:val="68884654"/>
    <w:rsid w:val="689F444F"/>
    <w:rsid w:val="68B96DBB"/>
    <w:rsid w:val="68CA2805"/>
    <w:rsid w:val="68E937A3"/>
    <w:rsid w:val="68FB149A"/>
    <w:rsid w:val="693E15D3"/>
    <w:rsid w:val="69627681"/>
    <w:rsid w:val="6977531D"/>
    <w:rsid w:val="69CC2BFF"/>
    <w:rsid w:val="69FD55B8"/>
    <w:rsid w:val="6A037DC1"/>
    <w:rsid w:val="6A0B1C62"/>
    <w:rsid w:val="6A2406C8"/>
    <w:rsid w:val="6A5E604F"/>
    <w:rsid w:val="6A9A1ADF"/>
    <w:rsid w:val="6ADE0BD1"/>
    <w:rsid w:val="6AE81378"/>
    <w:rsid w:val="6AE96859"/>
    <w:rsid w:val="6B147746"/>
    <w:rsid w:val="6B24787C"/>
    <w:rsid w:val="6B573233"/>
    <w:rsid w:val="6B5B6274"/>
    <w:rsid w:val="6B935D53"/>
    <w:rsid w:val="6C1316F7"/>
    <w:rsid w:val="6C196F71"/>
    <w:rsid w:val="6C226FCB"/>
    <w:rsid w:val="6C31226F"/>
    <w:rsid w:val="6C517EC7"/>
    <w:rsid w:val="6C552F0B"/>
    <w:rsid w:val="6C8C67B7"/>
    <w:rsid w:val="6C9D744C"/>
    <w:rsid w:val="6D167928"/>
    <w:rsid w:val="6D26299B"/>
    <w:rsid w:val="6D4772EC"/>
    <w:rsid w:val="6D9078AF"/>
    <w:rsid w:val="6DAA3FEF"/>
    <w:rsid w:val="6DC0172B"/>
    <w:rsid w:val="6DCB690C"/>
    <w:rsid w:val="6DD41A5B"/>
    <w:rsid w:val="6DF43C2E"/>
    <w:rsid w:val="6DF51CA3"/>
    <w:rsid w:val="6E8335BD"/>
    <w:rsid w:val="6E8E12EF"/>
    <w:rsid w:val="6E972936"/>
    <w:rsid w:val="6ED446C5"/>
    <w:rsid w:val="6F2A7D94"/>
    <w:rsid w:val="6F8331F1"/>
    <w:rsid w:val="6F9C1BBB"/>
    <w:rsid w:val="6FAE1A09"/>
    <w:rsid w:val="6FD75BF8"/>
    <w:rsid w:val="6FFB6495"/>
    <w:rsid w:val="706C207F"/>
    <w:rsid w:val="707723D0"/>
    <w:rsid w:val="70F5661B"/>
    <w:rsid w:val="71360107"/>
    <w:rsid w:val="713B688E"/>
    <w:rsid w:val="7148279F"/>
    <w:rsid w:val="71D43752"/>
    <w:rsid w:val="71EF2FDB"/>
    <w:rsid w:val="71F1796A"/>
    <w:rsid w:val="71FB63D5"/>
    <w:rsid w:val="72154626"/>
    <w:rsid w:val="72262B5D"/>
    <w:rsid w:val="72283FF7"/>
    <w:rsid w:val="722E7212"/>
    <w:rsid w:val="723A0474"/>
    <w:rsid w:val="725923E4"/>
    <w:rsid w:val="72864BF7"/>
    <w:rsid w:val="72866971"/>
    <w:rsid w:val="729023FC"/>
    <w:rsid w:val="72B229EC"/>
    <w:rsid w:val="73C0646E"/>
    <w:rsid w:val="742222F5"/>
    <w:rsid w:val="74476126"/>
    <w:rsid w:val="74706664"/>
    <w:rsid w:val="747F3682"/>
    <w:rsid w:val="749C4185"/>
    <w:rsid w:val="74B310ED"/>
    <w:rsid w:val="75067759"/>
    <w:rsid w:val="752E6DCD"/>
    <w:rsid w:val="7551380D"/>
    <w:rsid w:val="75600BE5"/>
    <w:rsid w:val="7564475C"/>
    <w:rsid w:val="7583797F"/>
    <w:rsid w:val="75D20F1D"/>
    <w:rsid w:val="75DA2C18"/>
    <w:rsid w:val="75F54412"/>
    <w:rsid w:val="761D08E0"/>
    <w:rsid w:val="765D347C"/>
    <w:rsid w:val="76826699"/>
    <w:rsid w:val="76C87133"/>
    <w:rsid w:val="76CD08D5"/>
    <w:rsid w:val="76DB4B92"/>
    <w:rsid w:val="76FF685D"/>
    <w:rsid w:val="77052AA4"/>
    <w:rsid w:val="77136511"/>
    <w:rsid w:val="77340A39"/>
    <w:rsid w:val="77351FD0"/>
    <w:rsid w:val="77472422"/>
    <w:rsid w:val="777F31F2"/>
    <w:rsid w:val="77D1700D"/>
    <w:rsid w:val="77EC04CC"/>
    <w:rsid w:val="78775729"/>
    <w:rsid w:val="78A42DB0"/>
    <w:rsid w:val="78A656AB"/>
    <w:rsid w:val="78B2245C"/>
    <w:rsid w:val="78E172CC"/>
    <w:rsid w:val="78EA1D1F"/>
    <w:rsid w:val="79036DC3"/>
    <w:rsid w:val="7904172F"/>
    <w:rsid w:val="79091540"/>
    <w:rsid w:val="790F7E27"/>
    <w:rsid w:val="792A231A"/>
    <w:rsid w:val="79316829"/>
    <w:rsid w:val="797E66A9"/>
    <w:rsid w:val="798518A4"/>
    <w:rsid w:val="79A97383"/>
    <w:rsid w:val="79E27E8B"/>
    <w:rsid w:val="79F850CE"/>
    <w:rsid w:val="79FD443C"/>
    <w:rsid w:val="7A1D1975"/>
    <w:rsid w:val="7A217DF7"/>
    <w:rsid w:val="7A3E5150"/>
    <w:rsid w:val="7A4670D6"/>
    <w:rsid w:val="7A534B63"/>
    <w:rsid w:val="7A615382"/>
    <w:rsid w:val="7A67303B"/>
    <w:rsid w:val="7AAB1D04"/>
    <w:rsid w:val="7ABA4368"/>
    <w:rsid w:val="7AD05746"/>
    <w:rsid w:val="7B257FFD"/>
    <w:rsid w:val="7B343476"/>
    <w:rsid w:val="7B5A2978"/>
    <w:rsid w:val="7B5A7E4C"/>
    <w:rsid w:val="7B667AF9"/>
    <w:rsid w:val="7B7468F8"/>
    <w:rsid w:val="7BEE0103"/>
    <w:rsid w:val="7C0A0FE4"/>
    <w:rsid w:val="7C254906"/>
    <w:rsid w:val="7C590818"/>
    <w:rsid w:val="7C7C10F6"/>
    <w:rsid w:val="7C853BEA"/>
    <w:rsid w:val="7C881368"/>
    <w:rsid w:val="7CD564F7"/>
    <w:rsid w:val="7CE27788"/>
    <w:rsid w:val="7D0C32F1"/>
    <w:rsid w:val="7D0F408D"/>
    <w:rsid w:val="7D491C6C"/>
    <w:rsid w:val="7D5429C0"/>
    <w:rsid w:val="7D6E6D43"/>
    <w:rsid w:val="7DB57A34"/>
    <w:rsid w:val="7DE60973"/>
    <w:rsid w:val="7DEF0916"/>
    <w:rsid w:val="7E1E5218"/>
    <w:rsid w:val="7E6C679B"/>
    <w:rsid w:val="7E9A4E1F"/>
    <w:rsid w:val="7EA7723A"/>
    <w:rsid w:val="7EBE4C52"/>
    <w:rsid w:val="7EF56FBB"/>
    <w:rsid w:val="7F0768EB"/>
    <w:rsid w:val="7F143BEC"/>
    <w:rsid w:val="7F715AF2"/>
    <w:rsid w:val="7F7B47F9"/>
    <w:rsid w:val="7F886E69"/>
    <w:rsid w:val="BB7FA927"/>
    <w:rsid w:val="F5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4"/>
    <w:autoRedefine/>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autoRedefine/>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autoRedefine/>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28"/>
    <w:autoRedefine/>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4"/>
    <w:autoRedefine/>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48"/>
    <w:autoRedefine/>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08"/>
    <w:autoRedefine/>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59"/>
    <w:autoRedefine/>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3"/>
    <w:autoRedefine/>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0">
    <w:name w:val="Default Paragraph Font"/>
    <w:autoRedefine/>
    <w:semiHidden/>
    <w:unhideWhenUsed/>
    <w:qFormat/>
    <w:uiPriority w:val="1"/>
  </w:style>
  <w:style w:type="table" w:default="1" w:styleId="63">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next w:val="1"/>
    <w:link w:val="194"/>
    <w:autoRedefine/>
    <w:qFormat/>
    <w:uiPriority w:val="0"/>
    <w:pPr>
      <w:widowControl/>
      <w:snapToGrid w:val="0"/>
      <w:spacing w:line="480" w:lineRule="exact"/>
      <w:ind w:firstLine="567"/>
    </w:pPr>
    <w:rPr>
      <w:rFonts w:ascii="宋体"/>
      <w:snapToGrid w:val="0"/>
      <w:color w:val="000000"/>
      <w:kern w:val="28"/>
      <w:sz w:val="28"/>
      <w:szCs w:val="20"/>
    </w:rPr>
  </w:style>
  <w:style w:type="paragraph" w:styleId="12">
    <w:name w:val="toc 7"/>
    <w:basedOn w:val="1"/>
    <w:next w:val="1"/>
    <w:autoRedefine/>
    <w:qFormat/>
    <w:uiPriority w:val="0"/>
    <w:pPr>
      <w:ind w:left="2520" w:leftChars="1200"/>
    </w:pPr>
  </w:style>
  <w:style w:type="paragraph" w:styleId="13">
    <w:name w:val="List Number 2"/>
    <w:basedOn w:val="1"/>
    <w:autoRedefine/>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autoRedefine/>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autoRedefine/>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caption"/>
    <w:basedOn w:val="1"/>
    <w:next w:val="1"/>
    <w:link w:val="230"/>
    <w:autoRedefine/>
    <w:qFormat/>
    <w:uiPriority w:val="0"/>
    <w:rPr>
      <w:b/>
      <w:sz w:val="28"/>
      <w:szCs w:val="20"/>
    </w:rPr>
  </w:style>
  <w:style w:type="paragraph" w:styleId="17">
    <w:name w:val="index 5"/>
    <w:basedOn w:val="1"/>
    <w:next w:val="1"/>
    <w:autoRedefine/>
    <w:qFormat/>
    <w:uiPriority w:val="0"/>
    <w:pPr>
      <w:adjustRightInd/>
      <w:ind w:left="800" w:leftChars="800" w:firstLine="200" w:firstLineChars="200"/>
    </w:pPr>
  </w:style>
  <w:style w:type="paragraph" w:styleId="18">
    <w:name w:val="Document Map"/>
    <w:basedOn w:val="1"/>
    <w:link w:val="203"/>
    <w:autoRedefine/>
    <w:qFormat/>
    <w:uiPriority w:val="0"/>
    <w:pPr>
      <w:shd w:val="clear" w:color="auto" w:fill="000080"/>
    </w:pPr>
  </w:style>
  <w:style w:type="paragraph" w:styleId="19">
    <w:name w:val="annotation text"/>
    <w:basedOn w:val="1"/>
    <w:link w:val="345"/>
    <w:autoRedefine/>
    <w:qFormat/>
    <w:uiPriority w:val="99"/>
    <w:pPr>
      <w:jc w:val="left"/>
    </w:pPr>
  </w:style>
  <w:style w:type="paragraph" w:styleId="20">
    <w:name w:val="Salutation"/>
    <w:basedOn w:val="1"/>
    <w:next w:val="1"/>
    <w:link w:val="299"/>
    <w:autoRedefine/>
    <w:qFormat/>
    <w:uiPriority w:val="0"/>
    <w:rPr>
      <w:rFonts w:ascii="仿宋_GB2312" w:eastAsia="仿宋_GB2312"/>
      <w:sz w:val="28"/>
      <w:szCs w:val="20"/>
    </w:rPr>
  </w:style>
  <w:style w:type="paragraph" w:styleId="21">
    <w:name w:val="Body Text 3"/>
    <w:basedOn w:val="1"/>
    <w:link w:val="331"/>
    <w:autoRedefine/>
    <w:qFormat/>
    <w:uiPriority w:val="0"/>
    <w:pPr>
      <w:jc w:val="center"/>
    </w:pPr>
    <w:rPr>
      <w:szCs w:val="20"/>
    </w:rPr>
  </w:style>
  <w:style w:type="paragraph" w:styleId="22">
    <w:name w:val="List Bullet 3"/>
    <w:basedOn w:val="1"/>
    <w:autoRedefine/>
    <w:unhideWhenUsed/>
    <w:qFormat/>
    <w:uiPriority w:val="0"/>
    <w:pPr>
      <w:snapToGrid w:val="0"/>
      <w:spacing w:line="360" w:lineRule="auto"/>
      <w:ind w:left="360" w:right="238" w:hanging="360"/>
      <w:contextualSpacing/>
    </w:pPr>
    <w:rPr>
      <w:sz w:val="24"/>
    </w:rPr>
  </w:style>
  <w:style w:type="paragraph" w:styleId="23">
    <w:name w:val="Body Text"/>
    <w:basedOn w:val="1"/>
    <w:link w:val="430"/>
    <w:autoRedefine/>
    <w:qFormat/>
    <w:uiPriority w:val="0"/>
    <w:pPr>
      <w:autoSpaceDE w:val="0"/>
      <w:autoSpaceDN w:val="0"/>
      <w:spacing w:line="360" w:lineRule="auto"/>
    </w:pPr>
    <w:rPr>
      <w:rFonts w:ascii="宋体" w:hAnsi="Arial" w:cs="Arial"/>
      <w:snapToGrid w:val="0"/>
      <w:sz w:val="24"/>
      <w:szCs w:val="21"/>
      <w:lang w:val="zh-CN"/>
    </w:rPr>
  </w:style>
  <w:style w:type="paragraph" w:styleId="24">
    <w:name w:val="Body Text Indent"/>
    <w:basedOn w:val="1"/>
    <w:next w:val="25"/>
    <w:link w:val="266"/>
    <w:autoRedefine/>
    <w:qFormat/>
    <w:uiPriority w:val="0"/>
    <w:pPr>
      <w:spacing w:line="480" w:lineRule="exact"/>
      <w:ind w:firstLine="480" w:firstLineChars="200"/>
    </w:pPr>
    <w:rPr>
      <w:rFonts w:ascii="宋体" w:hAnsi="宋体"/>
      <w:sz w:val="24"/>
    </w:rPr>
  </w:style>
  <w:style w:type="paragraph" w:styleId="25">
    <w:name w:val="envelope return"/>
    <w:basedOn w:val="1"/>
    <w:qFormat/>
    <w:uiPriority w:val="99"/>
    <w:pPr>
      <w:snapToGrid w:val="0"/>
    </w:pPr>
    <w:rPr>
      <w:rFonts w:ascii="Arial" w:hAnsi="Arial"/>
    </w:rPr>
  </w:style>
  <w:style w:type="paragraph" w:styleId="26">
    <w:name w:val="List Number 3"/>
    <w:basedOn w:val="1"/>
    <w:autoRedefine/>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7">
    <w:name w:val="List 2"/>
    <w:basedOn w:val="1"/>
    <w:autoRedefine/>
    <w:qFormat/>
    <w:uiPriority w:val="0"/>
    <w:pPr>
      <w:adjustRightInd/>
      <w:spacing w:line="360" w:lineRule="auto"/>
      <w:ind w:left="100" w:leftChars="200" w:hanging="200" w:hangingChars="200"/>
    </w:pPr>
    <w:rPr>
      <w:rFonts w:eastAsia="微软雅黑"/>
    </w:rPr>
  </w:style>
  <w:style w:type="paragraph" w:styleId="28">
    <w:name w:val="Block Text"/>
    <w:basedOn w:val="1"/>
    <w:autoRedefine/>
    <w:qFormat/>
    <w:uiPriority w:val="0"/>
    <w:pPr>
      <w:ind w:left="-359" w:leftChars="-171" w:right="-244" w:rightChars="-244" w:firstLine="501" w:firstLineChars="239"/>
    </w:pPr>
    <w:rPr>
      <w:rFonts w:ascii="仿宋_GB2312" w:eastAsia="仿宋_GB2312"/>
      <w:sz w:val="30"/>
      <w:szCs w:val="20"/>
    </w:rPr>
  </w:style>
  <w:style w:type="paragraph" w:styleId="29">
    <w:name w:val="List Bullet 2"/>
    <w:basedOn w:val="1"/>
    <w:autoRedefine/>
    <w:qFormat/>
    <w:uiPriority w:val="0"/>
    <w:pPr>
      <w:autoSpaceDE w:val="0"/>
      <w:autoSpaceDN w:val="0"/>
      <w:ind w:left="420"/>
      <w:jc w:val="left"/>
    </w:pPr>
    <w:rPr>
      <w:rFonts w:ascii="宋体" w:hAnsi="宋体"/>
      <w:color w:val="000000"/>
      <w:kern w:val="0"/>
      <w:sz w:val="24"/>
      <w:szCs w:val="20"/>
    </w:rPr>
  </w:style>
  <w:style w:type="paragraph" w:styleId="30">
    <w:name w:val="HTML Address"/>
    <w:basedOn w:val="1"/>
    <w:link w:val="220"/>
    <w:autoRedefine/>
    <w:qFormat/>
    <w:uiPriority w:val="0"/>
    <w:pPr>
      <w:widowControl/>
      <w:adjustRightInd/>
      <w:ind w:firstLine="200" w:firstLineChars="200"/>
      <w:jc w:val="left"/>
    </w:pPr>
    <w:rPr>
      <w:rFonts w:ascii="宋体" w:hAnsi="宋体"/>
      <w:i/>
      <w:iCs/>
      <w:kern w:val="0"/>
      <w:sz w:val="24"/>
    </w:rPr>
  </w:style>
  <w:style w:type="paragraph" w:styleId="31">
    <w:name w:val="toc 5"/>
    <w:basedOn w:val="1"/>
    <w:next w:val="1"/>
    <w:autoRedefine/>
    <w:qFormat/>
    <w:uiPriority w:val="0"/>
    <w:pPr>
      <w:ind w:left="1680" w:leftChars="800"/>
    </w:pPr>
  </w:style>
  <w:style w:type="paragraph" w:styleId="32">
    <w:name w:val="toc 3"/>
    <w:basedOn w:val="1"/>
    <w:next w:val="1"/>
    <w:autoRedefine/>
    <w:qFormat/>
    <w:uiPriority w:val="0"/>
    <w:pPr>
      <w:tabs>
        <w:tab w:val="right" w:leader="dot" w:pos="8268"/>
      </w:tabs>
      <w:spacing w:line="460" w:lineRule="exact"/>
      <w:ind w:left="840" w:leftChars="400" w:firstLine="482"/>
    </w:pPr>
    <w:rPr>
      <w:rFonts w:ascii="宋体" w:hAnsi="宋体"/>
    </w:rPr>
  </w:style>
  <w:style w:type="paragraph" w:styleId="33">
    <w:name w:val="Plain Text"/>
    <w:basedOn w:val="1"/>
    <w:link w:val="126"/>
    <w:autoRedefine/>
    <w:qFormat/>
    <w:uiPriority w:val="0"/>
    <w:rPr>
      <w:rFonts w:ascii="宋体" w:hAnsi="Courier New" w:cs="Arial"/>
      <w:snapToGrid w:val="0"/>
      <w:szCs w:val="21"/>
    </w:rPr>
  </w:style>
  <w:style w:type="paragraph" w:styleId="34">
    <w:name w:val="List Number 4"/>
    <w:basedOn w:val="1"/>
    <w:autoRedefine/>
    <w:qFormat/>
    <w:uiPriority w:val="0"/>
    <w:pPr>
      <w:tabs>
        <w:tab w:val="left" w:pos="840"/>
      </w:tabs>
      <w:autoSpaceDE w:val="0"/>
      <w:autoSpaceDN w:val="0"/>
      <w:spacing w:line="360" w:lineRule="atLeast"/>
      <w:ind w:left="840" w:hanging="420"/>
    </w:pPr>
    <w:rPr>
      <w:kern w:val="0"/>
      <w:sz w:val="24"/>
    </w:rPr>
  </w:style>
  <w:style w:type="paragraph" w:styleId="35">
    <w:name w:val="toc 8"/>
    <w:basedOn w:val="1"/>
    <w:next w:val="1"/>
    <w:autoRedefine/>
    <w:qFormat/>
    <w:uiPriority w:val="0"/>
    <w:pPr>
      <w:ind w:left="2940" w:leftChars="1400"/>
    </w:pPr>
  </w:style>
  <w:style w:type="paragraph" w:styleId="36">
    <w:name w:val="Date"/>
    <w:basedOn w:val="1"/>
    <w:next w:val="1"/>
    <w:link w:val="182"/>
    <w:autoRedefine/>
    <w:qFormat/>
    <w:uiPriority w:val="0"/>
    <w:pPr>
      <w:ind w:left="100" w:leftChars="2500"/>
    </w:pPr>
    <w:rPr>
      <w:rFonts w:ascii="宋体"/>
      <w:sz w:val="24"/>
      <w:szCs w:val="21"/>
      <w:lang w:val="zh-CN"/>
    </w:rPr>
  </w:style>
  <w:style w:type="paragraph" w:styleId="37">
    <w:name w:val="Body Text Indent 2"/>
    <w:basedOn w:val="1"/>
    <w:link w:val="309"/>
    <w:autoRedefine/>
    <w:qFormat/>
    <w:uiPriority w:val="0"/>
    <w:pPr>
      <w:spacing w:line="360" w:lineRule="auto"/>
      <w:ind w:firstLine="601"/>
      <w:textAlignment w:val="baseline"/>
    </w:pPr>
    <w:rPr>
      <w:rFonts w:ascii="宋体"/>
      <w:kern w:val="0"/>
      <w:sz w:val="28"/>
      <w:szCs w:val="20"/>
    </w:rPr>
  </w:style>
  <w:style w:type="paragraph" w:styleId="38">
    <w:name w:val="endnote text"/>
    <w:basedOn w:val="1"/>
    <w:link w:val="932"/>
    <w:autoRedefine/>
    <w:qFormat/>
    <w:uiPriority w:val="0"/>
    <w:rPr>
      <w:lang w:val="zh-CN"/>
    </w:rPr>
  </w:style>
  <w:style w:type="paragraph" w:styleId="39">
    <w:name w:val="Balloon Text"/>
    <w:basedOn w:val="1"/>
    <w:link w:val="189"/>
    <w:autoRedefine/>
    <w:qFormat/>
    <w:uiPriority w:val="0"/>
    <w:rPr>
      <w:sz w:val="18"/>
      <w:szCs w:val="18"/>
    </w:rPr>
  </w:style>
  <w:style w:type="paragraph" w:styleId="40">
    <w:name w:val="footer"/>
    <w:basedOn w:val="1"/>
    <w:link w:val="384"/>
    <w:autoRedefine/>
    <w:qFormat/>
    <w:uiPriority w:val="99"/>
    <w:pPr>
      <w:tabs>
        <w:tab w:val="center" w:pos="4153"/>
        <w:tab w:val="right" w:pos="8306"/>
      </w:tabs>
      <w:snapToGrid w:val="0"/>
      <w:jc w:val="left"/>
    </w:pPr>
    <w:rPr>
      <w:sz w:val="18"/>
      <w:szCs w:val="18"/>
    </w:rPr>
  </w:style>
  <w:style w:type="paragraph" w:styleId="41">
    <w:name w:val="header"/>
    <w:basedOn w:val="1"/>
    <w:link w:val="392"/>
    <w:autoRedefine/>
    <w:qFormat/>
    <w:uiPriority w:val="99"/>
    <w:pPr>
      <w:pBdr>
        <w:bottom w:val="single" w:color="auto" w:sz="6" w:space="1"/>
      </w:pBdr>
      <w:tabs>
        <w:tab w:val="center" w:pos="4153"/>
        <w:tab w:val="right" w:pos="8306"/>
      </w:tabs>
      <w:snapToGrid w:val="0"/>
      <w:jc w:val="center"/>
    </w:pPr>
    <w:rPr>
      <w:sz w:val="18"/>
      <w:szCs w:val="18"/>
    </w:rPr>
  </w:style>
  <w:style w:type="paragraph" w:styleId="42">
    <w:name w:val="Signature"/>
    <w:basedOn w:val="1"/>
    <w:link w:val="346"/>
    <w:autoRedefine/>
    <w:qFormat/>
    <w:uiPriority w:val="0"/>
    <w:pPr>
      <w:spacing w:after="600" w:line="312" w:lineRule="atLeast"/>
      <w:jc w:val="center"/>
      <w:textAlignment w:val="baseline"/>
    </w:pPr>
    <w:rPr>
      <w:rFonts w:eastAsia="仿宋_GB2312"/>
      <w:kern w:val="0"/>
      <w:sz w:val="24"/>
      <w:szCs w:val="20"/>
    </w:rPr>
  </w:style>
  <w:style w:type="paragraph" w:styleId="43">
    <w:name w:val="toc 1"/>
    <w:basedOn w:val="1"/>
    <w:next w:val="1"/>
    <w:autoRedefine/>
    <w:qFormat/>
    <w:uiPriority w:val="0"/>
  </w:style>
  <w:style w:type="paragraph" w:styleId="44">
    <w:name w:val="toc 4"/>
    <w:basedOn w:val="1"/>
    <w:next w:val="1"/>
    <w:autoRedefine/>
    <w:qFormat/>
    <w:uiPriority w:val="0"/>
    <w:pPr>
      <w:ind w:left="1260" w:leftChars="600"/>
    </w:pPr>
  </w:style>
  <w:style w:type="paragraph" w:styleId="45">
    <w:name w:val="index heading"/>
    <w:basedOn w:val="1"/>
    <w:next w:val="46"/>
    <w:autoRedefine/>
    <w:qFormat/>
    <w:uiPriority w:val="0"/>
    <w:pPr>
      <w:adjustRightInd/>
      <w:ind w:firstLine="200" w:firstLineChars="200"/>
    </w:pPr>
  </w:style>
  <w:style w:type="paragraph" w:styleId="46">
    <w:name w:val="index 1"/>
    <w:basedOn w:val="1"/>
    <w:next w:val="1"/>
    <w:autoRedefine/>
    <w:qFormat/>
    <w:uiPriority w:val="0"/>
    <w:pPr>
      <w:adjustRightInd/>
      <w:spacing w:line="360" w:lineRule="auto"/>
      <w:ind w:firstLine="200" w:firstLineChars="200"/>
      <w:jc w:val="center"/>
    </w:pPr>
    <w:rPr>
      <w:sz w:val="24"/>
      <w:szCs w:val="20"/>
    </w:rPr>
  </w:style>
  <w:style w:type="paragraph" w:styleId="47">
    <w:name w:val="Subtitle"/>
    <w:link w:val="134"/>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8">
    <w:name w:val="List Number 5"/>
    <w:basedOn w:val="1"/>
    <w:autoRedefine/>
    <w:qFormat/>
    <w:uiPriority w:val="0"/>
    <w:pPr>
      <w:tabs>
        <w:tab w:val="left" w:pos="902"/>
      </w:tabs>
      <w:adjustRightInd/>
      <w:spacing w:line="400" w:lineRule="exact"/>
      <w:ind w:left="902" w:hanging="420"/>
    </w:pPr>
    <w:rPr>
      <w:sz w:val="24"/>
      <w:szCs w:val="20"/>
    </w:rPr>
  </w:style>
  <w:style w:type="paragraph" w:styleId="49">
    <w:name w:val="List"/>
    <w:basedOn w:val="1"/>
    <w:autoRedefine/>
    <w:qFormat/>
    <w:uiPriority w:val="0"/>
    <w:pPr>
      <w:ind w:left="200" w:hanging="200" w:hangingChars="200"/>
    </w:pPr>
  </w:style>
  <w:style w:type="paragraph" w:styleId="50">
    <w:name w:val="footnote text"/>
    <w:basedOn w:val="5"/>
    <w:link w:val="311"/>
    <w:autoRedefine/>
    <w:qFormat/>
    <w:uiPriority w:val="0"/>
    <w:pPr>
      <w:adjustRightInd/>
      <w:snapToGrid/>
      <w:spacing w:before="60" w:after="60" w:line="300" w:lineRule="exact"/>
      <w:ind w:firstLine="0"/>
    </w:pPr>
    <w:rPr>
      <w:rFonts w:ascii="Calibri"/>
      <w:snapToGrid/>
      <w:color w:val="0000FF"/>
      <w:kern w:val="0"/>
      <w:sz w:val="21"/>
    </w:rPr>
  </w:style>
  <w:style w:type="paragraph" w:styleId="51">
    <w:name w:val="toc 6"/>
    <w:basedOn w:val="1"/>
    <w:next w:val="1"/>
    <w:autoRedefine/>
    <w:qFormat/>
    <w:uiPriority w:val="0"/>
    <w:pPr>
      <w:ind w:left="2100" w:leftChars="1000"/>
    </w:pPr>
  </w:style>
  <w:style w:type="paragraph" w:styleId="52">
    <w:name w:val="List 5"/>
    <w:basedOn w:val="1"/>
    <w:autoRedefine/>
    <w:qFormat/>
    <w:uiPriority w:val="0"/>
    <w:pPr>
      <w:adjustRightInd/>
      <w:ind w:left="100" w:leftChars="800" w:hanging="200" w:hangingChars="200"/>
    </w:pPr>
  </w:style>
  <w:style w:type="paragraph" w:styleId="53">
    <w:name w:val="Body Text Indent 3"/>
    <w:basedOn w:val="1"/>
    <w:link w:val="376"/>
    <w:autoRedefine/>
    <w:qFormat/>
    <w:uiPriority w:val="0"/>
    <w:pPr>
      <w:spacing w:line="360" w:lineRule="auto"/>
      <w:ind w:firstLine="420"/>
    </w:pPr>
    <w:rPr>
      <w:sz w:val="24"/>
      <w:szCs w:val="20"/>
    </w:rPr>
  </w:style>
  <w:style w:type="paragraph" w:styleId="54">
    <w:name w:val="toc 2"/>
    <w:basedOn w:val="1"/>
    <w:next w:val="1"/>
    <w:autoRedefine/>
    <w:qFormat/>
    <w:uiPriority w:val="0"/>
    <w:pPr>
      <w:ind w:left="420" w:leftChars="200"/>
    </w:pPr>
  </w:style>
  <w:style w:type="paragraph" w:styleId="55">
    <w:name w:val="toc 9"/>
    <w:basedOn w:val="1"/>
    <w:next w:val="1"/>
    <w:autoRedefine/>
    <w:qFormat/>
    <w:uiPriority w:val="0"/>
    <w:pPr>
      <w:ind w:left="3360" w:leftChars="1600"/>
    </w:pPr>
  </w:style>
  <w:style w:type="paragraph" w:styleId="56">
    <w:name w:val="Body Text 2"/>
    <w:basedOn w:val="1"/>
    <w:link w:val="303"/>
    <w:autoRedefine/>
    <w:qFormat/>
    <w:uiPriority w:val="0"/>
    <w:pPr>
      <w:spacing w:after="120" w:line="480" w:lineRule="auto"/>
    </w:pPr>
  </w:style>
  <w:style w:type="paragraph" w:styleId="57">
    <w:name w:val="HTML Preformatted"/>
    <w:basedOn w:val="1"/>
    <w:link w:val="302"/>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59">
    <w:name w:val="Title"/>
    <w:basedOn w:val="1"/>
    <w:link w:val="287"/>
    <w:autoRedefine/>
    <w:qFormat/>
    <w:uiPriority w:val="10"/>
    <w:pPr>
      <w:widowControl/>
      <w:overflowPunct w:val="0"/>
      <w:autoSpaceDE w:val="0"/>
      <w:autoSpaceDN w:val="0"/>
      <w:jc w:val="center"/>
      <w:textAlignment w:val="baseline"/>
    </w:pPr>
    <w:rPr>
      <w:b/>
      <w:kern w:val="0"/>
      <w:sz w:val="24"/>
      <w:szCs w:val="20"/>
      <w:lang w:val="en-GB"/>
    </w:rPr>
  </w:style>
  <w:style w:type="paragraph" w:styleId="60">
    <w:name w:val="annotation subject"/>
    <w:basedOn w:val="19"/>
    <w:next w:val="19"/>
    <w:link w:val="97"/>
    <w:autoRedefine/>
    <w:qFormat/>
    <w:uiPriority w:val="0"/>
    <w:rPr>
      <w:b/>
      <w:bCs/>
    </w:rPr>
  </w:style>
  <w:style w:type="paragraph" w:styleId="61">
    <w:name w:val="Body Text First Indent"/>
    <w:basedOn w:val="23"/>
    <w:next w:val="51"/>
    <w:link w:val="322"/>
    <w:autoRedefine/>
    <w:qFormat/>
    <w:uiPriority w:val="0"/>
    <w:pPr>
      <w:ind w:firstLine="420"/>
    </w:pPr>
    <w:rPr>
      <w:rFonts w:hAnsi="Calibri" w:cs="Times New Roman"/>
      <w:snapToGrid/>
      <w:szCs w:val="20"/>
    </w:rPr>
  </w:style>
  <w:style w:type="paragraph" w:styleId="62">
    <w:name w:val="Body Text First Indent 2"/>
    <w:basedOn w:val="24"/>
    <w:next w:val="1"/>
    <w:link w:val="122"/>
    <w:autoRedefine/>
    <w:qFormat/>
    <w:uiPriority w:val="0"/>
    <w:pPr>
      <w:adjustRightInd/>
      <w:spacing w:after="120" w:line="240" w:lineRule="auto"/>
      <w:ind w:left="420" w:leftChars="200" w:firstLine="210"/>
    </w:pPr>
    <w:rPr>
      <w:sz w:val="21"/>
    </w:rPr>
  </w:style>
  <w:style w:type="table" w:styleId="64">
    <w:name w:val="Table Grid"/>
    <w:basedOn w:val="6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Theme"/>
    <w:basedOn w:val="63"/>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6">
    <w:name w:val="Table Elegant"/>
    <w:basedOn w:val="63"/>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7">
    <w:name w:val="Table Grid 5"/>
    <w:basedOn w:val="63"/>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8">
    <w:name w:val="Table Grid 8"/>
    <w:basedOn w:val="63"/>
    <w:autoRedefine/>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9">
    <w:name w:val="Table Professional"/>
    <w:basedOn w:val="63"/>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1">
    <w:name w:val="Strong"/>
    <w:autoRedefine/>
    <w:qFormat/>
    <w:uiPriority w:val="22"/>
    <w:rPr>
      <w:b/>
      <w:bCs/>
    </w:rPr>
  </w:style>
  <w:style w:type="character" w:styleId="72">
    <w:name w:val="endnote reference"/>
    <w:autoRedefine/>
    <w:qFormat/>
    <w:uiPriority w:val="0"/>
    <w:rPr>
      <w:vertAlign w:val="superscript"/>
    </w:rPr>
  </w:style>
  <w:style w:type="character" w:styleId="73">
    <w:name w:val="page number"/>
    <w:basedOn w:val="70"/>
    <w:autoRedefine/>
    <w:qFormat/>
    <w:uiPriority w:val="0"/>
    <w:rPr>
      <w:rFonts w:ascii="Arial" w:hAnsi="Arial" w:eastAsia="黑体" w:cs="Arial"/>
      <w:snapToGrid w:val="0"/>
      <w:kern w:val="0"/>
      <w:szCs w:val="21"/>
    </w:rPr>
  </w:style>
  <w:style w:type="character" w:styleId="74">
    <w:name w:val="FollowedHyperlink"/>
    <w:autoRedefine/>
    <w:qFormat/>
    <w:uiPriority w:val="99"/>
    <w:rPr>
      <w:rFonts w:ascii="Arial" w:hAnsi="Arial" w:eastAsia="黑体" w:cs="Arial"/>
      <w:snapToGrid w:val="0"/>
      <w:color w:val="000000"/>
      <w:kern w:val="0"/>
      <w:sz w:val="18"/>
      <w:szCs w:val="18"/>
      <w:u w:val="none"/>
    </w:rPr>
  </w:style>
  <w:style w:type="character" w:styleId="75">
    <w:name w:val="Emphasis"/>
    <w:autoRedefine/>
    <w:qFormat/>
    <w:uiPriority w:val="20"/>
    <w:rPr>
      <w:color w:val="CC0033"/>
    </w:rPr>
  </w:style>
  <w:style w:type="character" w:styleId="76">
    <w:name w:val="line number"/>
    <w:basedOn w:val="70"/>
    <w:autoRedefine/>
    <w:qFormat/>
    <w:uiPriority w:val="0"/>
    <w:rPr>
      <w:rFonts w:ascii="Arial" w:hAnsi="Arial" w:eastAsia="黑体" w:cs="Arial"/>
      <w:snapToGrid w:val="0"/>
      <w:kern w:val="0"/>
      <w:szCs w:val="21"/>
    </w:rPr>
  </w:style>
  <w:style w:type="character" w:styleId="77">
    <w:name w:val="Hyperlink"/>
    <w:basedOn w:val="70"/>
    <w:autoRedefine/>
    <w:qFormat/>
    <w:uiPriority w:val="99"/>
    <w:rPr>
      <w:rFonts w:ascii="Arial" w:hAnsi="Arial" w:eastAsia="黑体" w:cs="Arial"/>
      <w:snapToGrid w:val="0"/>
      <w:color w:val="000000"/>
      <w:kern w:val="0"/>
      <w:sz w:val="18"/>
      <w:szCs w:val="18"/>
      <w:u w:val="none"/>
    </w:rPr>
  </w:style>
  <w:style w:type="character" w:styleId="78">
    <w:name w:val="HTML Code"/>
    <w:autoRedefine/>
    <w:qFormat/>
    <w:uiPriority w:val="0"/>
    <w:rPr>
      <w:rFonts w:ascii="黑体" w:hAnsi="Courier New" w:eastAsia="黑体" w:cs="楷体_GB2312"/>
      <w:sz w:val="20"/>
      <w:szCs w:val="20"/>
    </w:rPr>
  </w:style>
  <w:style w:type="character" w:styleId="79">
    <w:name w:val="annotation reference"/>
    <w:autoRedefine/>
    <w:qFormat/>
    <w:uiPriority w:val="99"/>
    <w:rPr>
      <w:sz w:val="21"/>
      <w:szCs w:val="21"/>
    </w:rPr>
  </w:style>
  <w:style w:type="character" w:styleId="80">
    <w:name w:val="footnote reference"/>
    <w:basedOn w:val="70"/>
    <w:autoRedefine/>
    <w:qFormat/>
    <w:uiPriority w:val="0"/>
    <w:rPr>
      <w:vertAlign w:val="superscript"/>
    </w:rPr>
  </w:style>
  <w:style w:type="paragraph" w:customStyle="1" w:styleId="81">
    <w:name w:val="段落"/>
    <w:basedOn w:val="82"/>
    <w:link w:val="389"/>
    <w:autoRedefine/>
    <w:qFormat/>
    <w:uiPriority w:val="0"/>
    <w:pPr>
      <w:adjustRightInd/>
      <w:spacing w:line="360" w:lineRule="auto"/>
      <w:ind w:firstLine="480" w:firstLineChars="200"/>
    </w:pPr>
    <w:rPr>
      <w:rFonts w:ascii="宋体" w:hAnsi="宋体"/>
      <w:kern w:val="0"/>
      <w:sz w:val="24"/>
      <w:szCs w:val="20"/>
    </w:rPr>
  </w:style>
  <w:style w:type="paragraph" w:customStyle="1" w:styleId="82">
    <w:name w:val="List Paragraph"/>
    <w:basedOn w:val="1"/>
    <w:autoRedefine/>
    <w:qFormat/>
    <w:uiPriority w:val="0"/>
    <w:pPr>
      <w:ind w:firstLine="420" w:firstLineChars="200"/>
    </w:pPr>
  </w:style>
  <w:style w:type="character" w:customStyle="1" w:styleId="83">
    <w:name w:val="表格非标题文字 Char"/>
    <w:link w:val="84"/>
    <w:autoRedefine/>
    <w:qFormat/>
    <w:uiPriority w:val="0"/>
    <w:rPr>
      <w:rFonts w:ascii="Futura Bk" w:hAnsi="Futura Bk"/>
      <w:kern w:val="2"/>
      <w:sz w:val="18"/>
      <w:szCs w:val="21"/>
      <w:lang w:val="en-US" w:eastAsia="zh-CN" w:bidi="ar-SA"/>
    </w:rPr>
  </w:style>
  <w:style w:type="paragraph" w:customStyle="1" w:styleId="84">
    <w:name w:val="表格非标题文字"/>
    <w:link w:val="83"/>
    <w:autoRedefine/>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5">
    <w:name w:val="*正文 Char"/>
    <w:link w:val="86"/>
    <w:autoRedefine/>
    <w:qFormat/>
    <w:locked/>
    <w:uiPriority w:val="0"/>
    <w:rPr>
      <w:rFonts w:ascii="宋体" w:hAnsi="宋体"/>
      <w:sz w:val="24"/>
    </w:rPr>
  </w:style>
  <w:style w:type="paragraph" w:customStyle="1" w:styleId="86">
    <w:name w:val="*正文"/>
    <w:basedOn w:val="1"/>
    <w:link w:val="85"/>
    <w:autoRedefine/>
    <w:qFormat/>
    <w:uiPriority w:val="0"/>
    <w:pPr>
      <w:snapToGrid w:val="0"/>
      <w:spacing w:line="360" w:lineRule="auto"/>
      <w:ind w:firstLine="482"/>
      <w:jc w:val="left"/>
    </w:pPr>
    <w:rPr>
      <w:rFonts w:ascii="宋体" w:hAnsi="宋体"/>
      <w:kern w:val="0"/>
      <w:sz w:val="24"/>
      <w:szCs w:val="20"/>
    </w:rPr>
  </w:style>
  <w:style w:type="character" w:customStyle="1" w:styleId="87">
    <w:name w:val="Char Char71"/>
    <w:autoRedefine/>
    <w:semiHidden/>
    <w:qFormat/>
    <w:uiPriority w:val="0"/>
    <w:rPr>
      <w:rFonts w:eastAsia="宋体"/>
      <w:kern w:val="2"/>
      <w:sz w:val="21"/>
      <w:szCs w:val="24"/>
      <w:lang w:val="en-US" w:eastAsia="zh-CN" w:bidi="ar-SA"/>
    </w:rPr>
  </w:style>
  <w:style w:type="character" w:customStyle="1" w:styleId="88">
    <w:name w:val="Char Char6"/>
    <w:autoRedefine/>
    <w:qFormat/>
    <w:uiPriority w:val="0"/>
    <w:rPr>
      <w:rFonts w:eastAsia="宋体"/>
      <w:kern w:val="2"/>
      <w:sz w:val="21"/>
      <w:szCs w:val="24"/>
      <w:lang w:val="en-US" w:eastAsia="zh-CN" w:bidi="ar-SA"/>
    </w:rPr>
  </w:style>
  <w:style w:type="character" w:customStyle="1" w:styleId="89">
    <w:name w:val="正文缩进 Char"/>
    <w:autoRedefine/>
    <w:qFormat/>
    <w:uiPriority w:val="0"/>
    <w:rPr>
      <w:rFonts w:eastAsia="宋体"/>
      <w:kern w:val="2"/>
      <w:sz w:val="21"/>
      <w:lang w:val="en-US" w:eastAsia="zh-CN"/>
    </w:rPr>
  </w:style>
  <w:style w:type="character" w:customStyle="1" w:styleId="90">
    <w:name w:val="正文首行缩进 Char1"/>
    <w:autoRedefine/>
    <w:qFormat/>
    <w:uiPriority w:val="0"/>
    <w:rPr>
      <w:rFonts w:ascii="宋体" w:hAnsi="Times New Roman" w:eastAsia="宋体" w:cs="Times New Roman"/>
      <w:snapToGrid w:val="0"/>
      <w:kern w:val="2"/>
      <w:sz w:val="24"/>
      <w:szCs w:val="21"/>
      <w:lang w:val="zh-CN"/>
    </w:rPr>
  </w:style>
  <w:style w:type="character" w:customStyle="1" w:styleId="91">
    <w:name w:val="Char Char28"/>
    <w:autoRedefine/>
    <w:qFormat/>
    <w:uiPriority w:val="6"/>
    <w:rPr>
      <w:rFonts w:ascii="仿宋_GB2312" w:hAnsi="仿宋_GB2312" w:eastAsia="仿宋_GB2312"/>
      <w:kern w:val="1"/>
      <w:sz w:val="28"/>
    </w:rPr>
  </w:style>
  <w:style w:type="character" w:customStyle="1" w:styleId="92">
    <w:name w:val="标题 3 Char1"/>
    <w:autoRedefine/>
    <w:qFormat/>
    <w:uiPriority w:val="0"/>
    <w:rPr>
      <w:rFonts w:hint="eastAsia" w:ascii="华文中宋" w:hAnsi="华文中宋" w:eastAsia="华文中宋"/>
      <w:b/>
      <w:bCs/>
      <w:kern w:val="2"/>
      <w:sz w:val="32"/>
      <w:szCs w:val="32"/>
      <w:lang w:val="en-US" w:eastAsia="zh-CN" w:bidi="ar-SA"/>
    </w:rPr>
  </w:style>
  <w:style w:type="character" w:customStyle="1" w:styleId="93">
    <w:name w:val="Heading 1 Char"/>
    <w:autoRedefine/>
    <w:qFormat/>
    <w:uiPriority w:val="6"/>
    <w:rPr>
      <w:rFonts w:ascii="Times New Roman" w:hAnsi="Times New Roman" w:eastAsia="黑体" w:cs="Times New Roman"/>
      <w:b/>
      <w:kern w:val="0"/>
      <w:sz w:val="24"/>
      <w:szCs w:val="24"/>
    </w:rPr>
  </w:style>
  <w:style w:type="character" w:customStyle="1" w:styleId="94">
    <w:name w:val="U_正文 Char"/>
    <w:link w:val="95"/>
    <w:autoRedefine/>
    <w:qFormat/>
    <w:uiPriority w:val="0"/>
    <w:rPr>
      <w:sz w:val="24"/>
      <w:szCs w:val="24"/>
    </w:rPr>
  </w:style>
  <w:style w:type="paragraph" w:customStyle="1" w:styleId="95">
    <w:name w:val="U_正文"/>
    <w:basedOn w:val="1"/>
    <w:link w:val="94"/>
    <w:autoRedefine/>
    <w:qFormat/>
    <w:uiPriority w:val="0"/>
    <w:pPr>
      <w:adjustRightInd/>
      <w:spacing w:beforeLines="20" w:afterLines="20" w:line="300" w:lineRule="auto"/>
      <w:ind w:firstLine="200" w:firstLineChars="200"/>
    </w:pPr>
    <w:rPr>
      <w:kern w:val="0"/>
      <w:sz w:val="24"/>
    </w:rPr>
  </w:style>
  <w:style w:type="character" w:customStyle="1" w:styleId="96">
    <w:name w:val="HTML 地址 Char1"/>
    <w:autoRedefine/>
    <w:qFormat/>
    <w:uiPriority w:val="0"/>
    <w:rPr>
      <w:rFonts w:ascii="Times New Roman" w:hAnsi="Times New Roman" w:eastAsia="宋体" w:cs="Times New Roman"/>
      <w:i/>
      <w:iCs/>
      <w:szCs w:val="24"/>
    </w:rPr>
  </w:style>
  <w:style w:type="character" w:customStyle="1" w:styleId="97">
    <w:name w:val="批注主题 Char1"/>
    <w:link w:val="60"/>
    <w:autoRedefine/>
    <w:qFormat/>
    <w:uiPriority w:val="0"/>
    <w:rPr>
      <w:b/>
      <w:bCs/>
      <w:kern w:val="2"/>
      <w:sz w:val="21"/>
      <w:szCs w:val="24"/>
    </w:rPr>
  </w:style>
  <w:style w:type="character" w:customStyle="1" w:styleId="98">
    <w:name w:val="Char Char51"/>
    <w:autoRedefine/>
    <w:qFormat/>
    <w:uiPriority w:val="0"/>
    <w:rPr>
      <w:rFonts w:ascii="宋体" w:hAnsi="Courier New" w:eastAsia="宋体"/>
      <w:kern w:val="2"/>
      <w:sz w:val="21"/>
      <w:lang w:val="en-US" w:eastAsia="zh-CN"/>
    </w:rPr>
  </w:style>
  <w:style w:type="character" w:customStyle="1" w:styleId="99">
    <w:name w:val="表正文 Char"/>
    <w:autoRedefine/>
    <w:qFormat/>
    <w:uiPriority w:val="0"/>
    <w:rPr>
      <w:rFonts w:ascii="宋体" w:eastAsia="宋体"/>
      <w:snapToGrid w:val="0"/>
      <w:color w:val="000000"/>
      <w:kern w:val="28"/>
      <w:sz w:val="28"/>
      <w:lang w:val="en-US" w:eastAsia="zh-CN" w:bidi="ar-SA"/>
    </w:rPr>
  </w:style>
  <w:style w:type="character" w:customStyle="1" w:styleId="100">
    <w:name w:val="Char Char34"/>
    <w:autoRedefine/>
    <w:qFormat/>
    <w:uiPriority w:val="6"/>
    <w:rPr>
      <w:b/>
      <w:kern w:val="1"/>
      <w:sz w:val="28"/>
      <w:szCs w:val="28"/>
    </w:rPr>
  </w:style>
  <w:style w:type="character" w:customStyle="1" w:styleId="101">
    <w:name w:val="Normal Indent Char"/>
    <w:autoRedefine/>
    <w:qFormat/>
    <w:locked/>
    <w:uiPriority w:val="0"/>
    <w:rPr>
      <w:rFonts w:ascii="Calibri" w:hAnsi="Calibri" w:eastAsia="宋体" w:cs="黑体"/>
      <w:snapToGrid w:val="0"/>
      <w:kern w:val="2"/>
      <w:sz w:val="24"/>
      <w:szCs w:val="22"/>
      <w:lang w:val="en-US" w:eastAsia="zh-CN" w:bidi="ar-SA"/>
    </w:rPr>
  </w:style>
  <w:style w:type="character" w:customStyle="1" w:styleId="102">
    <w:name w:val="哈哈正文 Char"/>
    <w:link w:val="103"/>
    <w:autoRedefine/>
    <w:qFormat/>
    <w:uiPriority w:val="0"/>
    <w:rPr>
      <w:rFonts w:ascii="宋体" w:hAnsi="宋体" w:eastAsia="宋体"/>
      <w:kern w:val="2"/>
      <w:sz w:val="24"/>
      <w:lang w:bidi="ar-SA"/>
    </w:rPr>
  </w:style>
  <w:style w:type="paragraph" w:customStyle="1" w:styleId="103">
    <w:name w:val="哈哈正文"/>
    <w:basedOn w:val="1"/>
    <w:link w:val="102"/>
    <w:autoRedefine/>
    <w:qFormat/>
    <w:uiPriority w:val="0"/>
    <w:pPr>
      <w:adjustRightInd/>
      <w:spacing w:line="360" w:lineRule="auto"/>
      <w:ind w:firstLine="200" w:firstLineChars="200"/>
    </w:pPr>
    <w:rPr>
      <w:rFonts w:ascii="宋体" w:hAnsi="宋体"/>
      <w:sz w:val="24"/>
      <w:szCs w:val="20"/>
    </w:rPr>
  </w:style>
  <w:style w:type="character" w:customStyle="1" w:styleId="104">
    <w:name w:val="未处理的提及1"/>
    <w:autoRedefine/>
    <w:qFormat/>
    <w:uiPriority w:val="0"/>
    <w:rPr>
      <w:color w:val="808080"/>
      <w:shd w:val="clear" w:color="auto" w:fill="E6E6E6"/>
    </w:rPr>
  </w:style>
  <w:style w:type="character" w:customStyle="1" w:styleId="105">
    <w:name w:val="txt"/>
    <w:autoRedefine/>
    <w:qFormat/>
    <w:uiPriority w:val="0"/>
    <w:rPr>
      <w:rFonts w:ascii="仿宋_GB2312" w:eastAsia="微软雅黑"/>
      <w:b/>
      <w:kern w:val="2"/>
      <w:sz w:val="32"/>
      <w:szCs w:val="32"/>
      <w:lang w:val="en-US" w:eastAsia="zh-CN" w:bidi="ar-SA"/>
    </w:rPr>
  </w:style>
  <w:style w:type="character" w:customStyle="1" w:styleId="106">
    <w:name w:val="二级标题 Char Char"/>
    <w:autoRedefine/>
    <w:qFormat/>
    <w:uiPriority w:val="0"/>
    <w:rPr>
      <w:rFonts w:ascii="宋体" w:hAnsi="宋体" w:eastAsia="宋体"/>
      <w:b/>
      <w:snapToGrid w:val="0"/>
      <w:kern w:val="2"/>
      <w:sz w:val="24"/>
      <w:szCs w:val="24"/>
      <w:lang w:val="en-US" w:eastAsia="zh-CN" w:bidi="ar-SA"/>
    </w:rPr>
  </w:style>
  <w:style w:type="character" w:customStyle="1" w:styleId="107">
    <w:name w:val="Char Char32"/>
    <w:autoRedefine/>
    <w:qFormat/>
    <w:uiPriority w:val="6"/>
    <w:rPr>
      <w:b/>
      <w:kern w:val="1"/>
      <w:sz w:val="24"/>
      <w:szCs w:val="24"/>
    </w:rPr>
  </w:style>
  <w:style w:type="character" w:customStyle="1" w:styleId="108">
    <w:name w:val="PI Char1"/>
    <w:autoRedefine/>
    <w:qFormat/>
    <w:uiPriority w:val="0"/>
    <w:rPr>
      <w:rFonts w:ascii="宋体" w:hAnsi="宋体"/>
      <w:kern w:val="2"/>
      <w:sz w:val="24"/>
      <w:szCs w:val="24"/>
    </w:rPr>
  </w:style>
  <w:style w:type="character" w:customStyle="1" w:styleId="109">
    <w:name w:val="tw4winTerm"/>
    <w:autoRedefine/>
    <w:qFormat/>
    <w:uiPriority w:val="0"/>
    <w:rPr>
      <w:color w:val="0000FF"/>
    </w:rPr>
  </w:style>
  <w:style w:type="character" w:customStyle="1" w:styleId="110">
    <w:name w:val="Footer Char"/>
    <w:autoRedefine/>
    <w:qFormat/>
    <w:locked/>
    <w:uiPriority w:val="0"/>
    <w:rPr>
      <w:rFonts w:eastAsia="宋体"/>
      <w:kern w:val="2"/>
      <w:sz w:val="18"/>
      <w:lang w:val="en-US" w:eastAsia="zh-CN" w:bidi="ar-SA"/>
    </w:rPr>
  </w:style>
  <w:style w:type="character" w:customStyle="1" w:styleId="111">
    <w:name w:val="普通文字 Char Char1"/>
    <w:autoRedefine/>
    <w:qFormat/>
    <w:uiPriority w:val="0"/>
    <w:rPr>
      <w:rFonts w:ascii="宋体" w:hAnsi="Courier New"/>
      <w:kern w:val="2"/>
      <w:sz w:val="21"/>
    </w:rPr>
  </w:style>
  <w:style w:type="character" w:customStyle="1" w:styleId="112">
    <w:name w:val="Char Char101"/>
    <w:autoRedefine/>
    <w:qFormat/>
    <w:uiPriority w:val="6"/>
    <w:rPr>
      <w:rFonts w:ascii="宋体" w:hAnsi="宋体"/>
      <w:kern w:val="2"/>
      <w:sz w:val="21"/>
      <w:szCs w:val="24"/>
      <w:lang w:val="en-US" w:eastAsia="zh-CN"/>
    </w:rPr>
  </w:style>
  <w:style w:type="character" w:customStyle="1" w:styleId="113">
    <w:name w:val="标题 4 Char"/>
    <w:autoRedefine/>
    <w:qFormat/>
    <w:uiPriority w:val="0"/>
    <w:rPr>
      <w:rFonts w:ascii="Arial" w:hAnsi="Arial" w:eastAsia="黑体"/>
      <w:b/>
      <w:kern w:val="2"/>
      <w:sz w:val="28"/>
    </w:rPr>
  </w:style>
  <w:style w:type="character" w:customStyle="1" w:styleId="114">
    <w:name w:val="链接"/>
    <w:autoRedefine/>
    <w:qFormat/>
    <w:uiPriority w:val="0"/>
    <w:rPr>
      <w:color w:val="0000FF"/>
      <w:sz w:val="21"/>
      <w:szCs w:val="21"/>
      <w:u w:val="single"/>
    </w:rPr>
  </w:style>
  <w:style w:type="character" w:customStyle="1" w:styleId="115">
    <w:name w:val="h4 Char"/>
    <w:autoRedefine/>
    <w:qFormat/>
    <w:uiPriority w:val="0"/>
    <w:rPr>
      <w:rFonts w:ascii="Arial" w:hAnsi="Arial" w:eastAsia="黑体"/>
      <w:b/>
      <w:bCs/>
      <w:kern w:val="2"/>
      <w:sz w:val="28"/>
      <w:szCs w:val="28"/>
      <w:lang w:val="zh-CN" w:eastAsia="zh-CN" w:bidi="ar-SA"/>
    </w:rPr>
  </w:style>
  <w:style w:type="character" w:customStyle="1" w:styleId="116">
    <w:name w:val="5正文 Char"/>
    <w:link w:val="117"/>
    <w:autoRedefine/>
    <w:qFormat/>
    <w:uiPriority w:val="0"/>
    <w:rPr>
      <w:rFonts w:ascii="仿宋_GB2312" w:hAnsi="微软雅黑" w:eastAsia="仿宋_GB2312"/>
      <w:sz w:val="28"/>
      <w:szCs w:val="21"/>
    </w:rPr>
  </w:style>
  <w:style w:type="paragraph" w:customStyle="1" w:styleId="117">
    <w:name w:val="5正文"/>
    <w:basedOn w:val="1"/>
    <w:link w:val="116"/>
    <w:autoRedefine/>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8">
    <w:name w:val="标题 3 字符"/>
    <w:autoRedefine/>
    <w:qFormat/>
    <w:uiPriority w:val="9"/>
    <w:rPr>
      <w:b/>
      <w:bCs/>
      <w:kern w:val="2"/>
      <w:sz w:val="32"/>
      <w:szCs w:val="32"/>
    </w:rPr>
  </w:style>
  <w:style w:type="character" w:customStyle="1" w:styleId="119">
    <w:name w:val="样式6 Char"/>
    <w:autoRedefine/>
    <w:qFormat/>
    <w:uiPriority w:val="0"/>
    <w:rPr>
      <w:rFonts w:ascii="仿宋_GB2312" w:hAnsi="宋体" w:eastAsia="仿宋_GB2312"/>
      <w:b/>
      <w:bCs/>
      <w:kern w:val="2"/>
      <w:sz w:val="24"/>
      <w:szCs w:val="24"/>
      <w:lang w:val="en-US" w:eastAsia="zh-CN" w:bidi="ar-SA"/>
    </w:rPr>
  </w:style>
  <w:style w:type="character" w:customStyle="1" w:styleId="120">
    <w:name w:val="Char Char14"/>
    <w:autoRedefine/>
    <w:qFormat/>
    <w:uiPriority w:val="6"/>
    <w:rPr>
      <w:rFonts w:ascii="黑体" w:hAnsi="黑体" w:eastAsia="黑体"/>
    </w:rPr>
  </w:style>
  <w:style w:type="character" w:customStyle="1" w:styleId="121">
    <w:name w:val="Heading 2 Hidden Char"/>
    <w:autoRedefine/>
    <w:qFormat/>
    <w:uiPriority w:val="0"/>
    <w:rPr>
      <w:rFonts w:ascii="仿宋_GB2312" w:eastAsia="仿宋_GB2312"/>
      <w:b/>
      <w:bCs/>
      <w:kern w:val="2"/>
      <w:sz w:val="24"/>
      <w:szCs w:val="24"/>
      <w:lang w:val="zh-CN" w:eastAsia="zh-CN" w:bidi="ar-SA"/>
    </w:rPr>
  </w:style>
  <w:style w:type="character" w:customStyle="1" w:styleId="122">
    <w:name w:val="正文首行缩进 2 Char"/>
    <w:link w:val="62"/>
    <w:autoRedefine/>
    <w:qFormat/>
    <w:uiPriority w:val="0"/>
    <w:rPr>
      <w:rFonts w:ascii="宋体" w:hAnsi="宋体"/>
      <w:kern w:val="2"/>
      <w:sz w:val="21"/>
      <w:szCs w:val="24"/>
    </w:rPr>
  </w:style>
  <w:style w:type="character" w:customStyle="1" w:styleId="123">
    <w:name w:val="font11"/>
    <w:autoRedefine/>
    <w:qFormat/>
    <w:uiPriority w:val="0"/>
    <w:rPr>
      <w:rFonts w:hint="default" w:ascii="Times New Roman" w:hAnsi="Times New Roman" w:cs="Times New Roman"/>
      <w:color w:val="000000"/>
      <w:sz w:val="22"/>
      <w:szCs w:val="22"/>
      <w:u w:val="none"/>
    </w:rPr>
  </w:style>
  <w:style w:type="character" w:customStyle="1" w:styleId="124">
    <w:name w:val="表正文 Char1"/>
    <w:autoRedefine/>
    <w:qFormat/>
    <w:uiPriority w:val="0"/>
    <w:rPr>
      <w:rFonts w:ascii="宋体" w:eastAsia="宋体"/>
      <w:snapToGrid w:val="0"/>
      <w:color w:val="000000"/>
      <w:kern w:val="28"/>
      <w:sz w:val="28"/>
    </w:rPr>
  </w:style>
  <w:style w:type="character" w:customStyle="1" w:styleId="125">
    <w:name w:val="blue1"/>
    <w:basedOn w:val="70"/>
    <w:autoRedefine/>
    <w:qFormat/>
    <w:uiPriority w:val="0"/>
    <w:rPr>
      <w:rFonts w:ascii="Arial" w:hAnsi="Arial" w:eastAsia="黑体" w:cs="Arial"/>
      <w:snapToGrid w:val="0"/>
      <w:kern w:val="0"/>
      <w:szCs w:val="21"/>
    </w:rPr>
  </w:style>
  <w:style w:type="character" w:customStyle="1" w:styleId="126">
    <w:name w:val="纯文本 Char"/>
    <w:link w:val="33"/>
    <w:autoRedefine/>
    <w:qFormat/>
    <w:uiPriority w:val="0"/>
    <w:rPr>
      <w:rFonts w:ascii="宋体" w:hAnsi="Courier New" w:eastAsia="宋体" w:cs="Arial"/>
      <w:snapToGrid w:val="0"/>
      <w:kern w:val="2"/>
      <w:sz w:val="21"/>
      <w:szCs w:val="21"/>
      <w:lang w:val="en-US" w:eastAsia="zh-CN" w:bidi="ar-SA"/>
    </w:rPr>
  </w:style>
  <w:style w:type="character" w:customStyle="1" w:styleId="127">
    <w:name w:val="标书1 Char"/>
    <w:autoRedefine/>
    <w:qFormat/>
    <w:uiPriority w:val="0"/>
    <w:rPr>
      <w:rFonts w:eastAsia="宋体"/>
      <w:b/>
      <w:bCs/>
      <w:kern w:val="44"/>
      <w:sz w:val="44"/>
      <w:szCs w:val="44"/>
      <w:lang w:val="en-US" w:eastAsia="zh-CN" w:bidi="ar-SA"/>
    </w:rPr>
  </w:style>
  <w:style w:type="character" w:customStyle="1" w:styleId="128">
    <w:name w:val="样式5 Char"/>
    <w:autoRedefine/>
    <w:qFormat/>
    <w:uiPriority w:val="0"/>
    <w:rPr>
      <w:rFonts w:ascii="仿宋_GB2312" w:hAnsi="仿宋" w:eastAsia="仿宋_GB2312"/>
      <w:kern w:val="2"/>
      <w:sz w:val="24"/>
      <w:szCs w:val="24"/>
    </w:rPr>
  </w:style>
  <w:style w:type="character" w:customStyle="1" w:styleId="129">
    <w:name w:val="样式4 Char"/>
    <w:autoRedefine/>
    <w:qFormat/>
    <w:uiPriority w:val="0"/>
    <w:rPr>
      <w:rFonts w:ascii="仿宋_GB2312" w:hAnsi="仿宋" w:eastAsia="仿宋_GB2312"/>
      <w:b/>
      <w:kern w:val="2"/>
      <w:sz w:val="32"/>
      <w:szCs w:val="32"/>
      <w:lang w:bidi="ar-SA"/>
    </w:rPr>
  </w:style>
  <w:style w:type="character" w:customStyle="1" w:styleId="130">
    <w:name w:val="插图说明 Char"/>
    <w:autoRedefine/>
    <w:qFormat/>
    <w:uiPriority w:val="0"/>
    <w:rPr>
      <w:rFonts w:eastAsia="黑体"/>
      <w:sz w:val="24"/>
      <w:lang w:val="en-US" w:eastAsia="zh-CN"/>
    </w:rPr>
  </w:style>
  <w:style w:type="character" w:customStyle="1" w:styleId="131">
    <w:name w:val="正文2 Char Char"/>
    <w:link w:val="132"/>
    <w:autoRedefine/>
    <w:qFormat/>
    <w:uiPriority w:val="0"/>
    <w:rPr>
      <w:rFonts w:eastAsia="宋体"/>
      <w:kern w:val="2"/>
      <w:sz w:val="24"/>
      <w:lang w:val="en-US" w:eastAsia="zh-CN" w:bidi="ar-SA"/>
    </w:rPr>
  </w:style>
  <w:style w:type="paragraph" w:customStyle="1" w:styleId="132">
    <w:name w:val="正文2"/>
    <w:basedOn w:val="1"/>
    <w:link w:val="131"/>
    <w:autoRedefine/>
    <w:qFormat/>
    <w:uiPriority w:val="0"/>
    <w:pPr>
      <w:spacing w:before="156" w:line="360" w:lineRule="auto"/>
      <w:ind w:firstLine="510" w:firstLineChars="200"/>
    </w:pPr>
    <w:rPr>
      <w:sz w:val="24"/>
      <w:szCs w:val="20"/>
    </w:rPr>
  </w:style>
  <w:style w:type="character" w:customStyle="1" w:styleId="133">
    <w:name w:val="Char Char24"/>
    <w:autoRedefine/>
    <w:qFormat/>
    <w:uiPriority w:val="6"/>
    <w:rPr>
      <w:kern w:val="1"/>
      <w:sz w:val="21"/>
    </w:rPr>
  </w:style>
  <w:style w:type="character" w:customStyle="1" w:styleId="134">
    <w:name w:val="副标题 Char"/>
    <w:link w:val="47"/>
    <w:autoRedefine/>
    <w:qFormat/>
    <w:uiPriority w:val="0"/>
    <w:rPr>
      <w:rFonts w:ascii="Arial" w:hAnsi="Arial" w:eastAsia="隶书"/>
      <w:b/>
      <w:bCs/>
      <w:kern w:val="28"/>
      <w:sz w:val="44"/>
      <w:szCs w:val="32"/>
      <w:lang w:val="en-US" w:eastAsia="zh-CN" w:bidi="ar-SA"/>
    </w:rPr>
  </w:style>
  <w:style w:type="character" w:customStyle="1" w:styleId="135">
    <w:name w:val="普通文字 Char1 Char"/>
    <w:autoRedefine/>
    <w:qFormat/>
    <w:uiPriority w:val="0"/>
    <w:rPr>
      <w:rFonts w:ascii="宋体" w:hAnsi="Courier New" w:eastAsia="宋体"/>
      <w:kern w:val="2"/>
      <w:sz w:val="21"/>
      <w:szCs w:val="24"/>
      <w:lang w:val="en-US" w:eastAsia="zh-CN" w:bidi="ar-SA"/>
    </w:rPr>
  </w:style>
  <w:style w:type="character" w:customStyle="1" w:styleId="136">
    <w:name w:val="h3 Char1"/>
    <w:autoRedefine/>
    <w:qFormat/>
    <w:uiPriority w:val="0"/>
    <w:rPr>
      <w:rFonts w:eastAsia="宋体"/>
      <w:b/>
      <w:bCs/>
      <w:kern w:val="2"/>
      <w:sz w:val="32"/>
      <w:szCs w:val="32"/>
      <w:lang w:bidi="ar-SA"/>
    </w:rPr>
  </w:style>
  <w:style w:type="character" w:customStyle="1" w:styleId="137">
    <w:name w:val="标题 Char1"/>
    <w:autoRedefine/>
    <w:qFormat/>
    <w:uiPriority w:val="0"/>
    <w:rPr>
      <w:rFonts w:ascii="Cambria" w:hAnsi="Cambria" w:eastAsia="宋体" w:cs="Times New Roman"/>
      <w:b/>
      <w:bCs/>
      <w:sz w:val="32"/>
      <w:szCs w:val="32"/>
      <w:lang w:bidi="ar-SA"/>
    </w:rPr>
  </w:style>
  <w:style w:type="character" w:customStyle="1" w:styleId="138">
    <w:name w:val="gf正文1 Char"/>
    <w:autoRedefine/>
    <w:qFormat/>
    <w:uiPriority w:val="0"/>
    <w:rPr>
      <w:rFonts w:ascii="宋体" w:hAnsi="宋体" w:eastAsia="宋体" w:cs="宋体"/>
      <w:kern w:val="2"/>
      <w:sz w:val="24"/>
      <w:szCs w:val="24"/>
      <w:lang w:val="en-US" w:eastAsia="zh-CN" w:bidi="ar-SA"/>
    </w:rPr>
  </w:style>
  <w:style w:type="character" w:customStyle="1" w:styleId="139">
    <w:name w:val="正文文本缩进 Char1"/>
    <w:autoRedefine/>
    <w:qFormat/>
    <w:uiPriority w:val="0"/>
    <w:rPr>
      <w:rFonts w:ascii="Calibri" w:hAnsi="Calibri"/>
      <w:sz w:val="28"/>
    </w:rPr>
  </w:style>
  <w:style w:type="character" w:customStyle="1" w:styleId="140">
    <w:name w:val="No Spacing Char"/>
    <w:link w:val="141"/>
    <w:autoRedefine/>
    <w:qFormat/>
    <w:uiPriority w:val="1"/>
    <w:rPr>
      <w:sz w:val="22"/>
      <w:szCs w:val="22"/>
      <w:lang w:val="en-US" w:eastAsia="zh-CN" w:bidi="ar-SA"/>
    </w:rPr>
  </w:style>
  <w:style w:type="paragraph" w:customStyle="1" w:styleId="141">
    <w:name w:val="无间隔1"/>
    <w:link w:val="140"/>
    <w:autoRedefine/>
    <w:qFormat/>
    <w:uiPriority w:val="1"/>
    <w:rPr>
      <w:rFonts w:ascii="Times New Roman" w:hAnsi="Times New Roman" w:eastAsia="宋体" w:cs="Times New Roman"/>
      <w:sz w:val="22"/>
      <w:szCs w:val="22"/>
      <w:lang w:val="en-US" w:eastAsia="zh-CN" w:bidi="ar-SA"/>
    </w:rPr>
  </w:style>
  <w:style w:type="character" w:customStyle="1" w:styleId="142">
    <w:name w:val="样式7 Char"/>
    <w:autoRedefine/>
    <w:qFormat/>
    <w:uiPriority w:val="0"/>
    <w:rPr>
      <w:rFonts w:ascii="仿宋_GB2312" w:hAnsi="仿宋" w:eastAsia="仿宋_GB2312"/>
      <w:b/>
      <w:kern w:val="2"/>
      <w:sz w:val="24"/>
      <w:szCs w:val="24"/>
    </w:rPr>
  </w:style>
  <w:style w:type="character" w:customStyle="1" w:styleId="143">
    <w:name w:val="font12gray1"/>
    <w:autoRedefine/>
    <w:qFormat/>
    <w:uiPriority w:val="0"/>
    <w:rPr>
      <w:rFonts w:ascii="仿宋_GB2312" w:eastAsia="微软雅黑"/>
      <w:b/>
      <w:spacing w:val="300"/>
      <w:kern w:val="2"/>
      <w:sz w:val="18"/>
      <w:szCs w:val="18"/>
      <w:lang w:val="en-US" w:eastAsia="zh-CN" w:bidi="ar-SA"/>
    </w:rPr>
  </w:style>
  <w:style w:type="character" w:customStyle="1" w:styleId="144">
    <w:name w:val="Char Char7"/>
    <w:autoRedefine/>
    <w:semiHidden/>
    <w:qFormat/>
    <w:uiPriority w:val="0"/>
    <w:rPr>
      <w:rFonts w:eastAsia="宋体"/>
      <w:kern w:val="2"/>
      <w:sz w:val="21"/>
      <w:szCs w:val="24"/>
      <w:lang w:val="en-US" w:eastAsia="zh-CN" w:bidi="ar-SA"/>
    </w:rPr>
  </w:style>
  <w:style w:type="character" w:customStyle="1" w:styleId="145">
    <w:name w:val="表名 Char"/>
    <w:autoRedefine/>
    <w:qFormat/>
    <w:uiPriority w:val="0"/>
    <w:rPr>
      <w:rFonts w:eastAsia="宋体"/>
      <w:b/>
      <w:bCs/>
      <w:kern w:val="2"/>
      <w:sz w:val="24"/>
      <w:szCs w:val="24"/>
      <w:lang w:val="en-US" w:eastAsia="zh-CN" w:bidi="ar-SA"/>
    </w:rPr>
  </w:style>
  <w:style w:type="character" w:customStyle="1" w:styleId="146">
    <w:name w:val="Document Map Char"/>
    <w:autoRedefine/>
    <w:qFormat/>
    <w:locked/>
    <w:uiPriority w:val="0"/>
    <w:rPr>
      <w:rFonts w:eastAsia="宋体"/>
      <w:kern w:val="2"/>
      <w:sz w:val="21"/>
      <w:szCs w:val="24"/>
      <w:lang w:val="en-US" w:eastAsia="zh-CN" w:bidi="ar-SA"/>
    </w:rPr>
  </w:style>
  <w:style w:type="character" w:customStyle="1" w:styleId="147">
    <w:name w:val="font41"/>
    <w:autoRedefine/>
    <w:qFormat/>
    <w:uiPriority w:val="0"/>
    <w:rPr>
      <w:rFonts w:hint="eastAsia" w:ascii="仿宋_GB2312" w:eastAsia="仿宋_GB2312" w:cs="仿宋_GB2312"/>
      <w:color w:val="000000"/>
      <w:sz w:val="22"/>
      <w:szCs w:val="22"/>
      <w:u w:val="none"/>
    </w:rPr>
  </w:style>
  <w:style w:type="character" w:customStyle="1" w:styleId="148">
    <w:name w:val="标题 6 Char"/>
    <w:link w:val="8"/>
    <w:autoRedefine/>
    <w:qFormat/>
    <w:uiPriority w:val="0"/>
    <w:rPr>
      <w:rFonts w:ascii="Arial" w:hAnsi="Arial" w:eastAsia="黑体"/>
      <w:b/>
      <w:bCs/>
      <w:kern w:val="2"/>
      <w:sz w:val="24"/>
      <w:szCs w:val="24"/>
    </w:rPr>
  </w:style>
  <w:style w:type="character" w:customStyle="1" w:styleId="149">
    <w:name w:val="纯文本 Char_0"/>
    <w:link w:val="150"/>
    <w:autoRedefine/>
    <w:qFormat/>
    <w:uiPriority w:val="0"/>
    <w:rPr>
      <w:rFonts w:ascii="宋体" w:hAnsi="Courier New"/>
      <w:kern w:val="2"/>
      <w:sz w:val="21"/>
      <w:szCs w:val="21"/>
      <w:lang w:val="en-US" w:eastAsia="zh-CN"/>
    </w:rPr>
  </w:style>
  <w:style w:type="paragraph" w:customStyle="1" w:styleId="150">
    <w:name w:val="纯文本_0_0"/>
    <w:basedOn w:val="151"/>
    <w:link w:val="149"/>
    <w:autoRedefine/>
    <w:qFormat/>
    <w:uiPriority w:val="0"/>
    <w:rPr>
      <w:rFonts w:ascii="宋体" w:hAnsi="Courier New"/>
      <w:szCs w:val="21"/>
    </w:rPr>
  </w:style>
  <w:style w:type="paragraph" w:customStyle="1" w:styleId="151">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2">
    <w:name w:val="Balloon Text Char"/>
    <w:autoRedefine/>
    <w:qFormat/>
    <w:locked/>
    <w:uiPriority w:val="0"/>
    <w:rPr>
      <w:rFonts w:eastAsia="宋体"/>
      <w:kern w:val="2"/>
      <w:sz w:val="18"/>
      <w:szCs w:val="18"/>
      <w:lang w:val="en-US" w:eastAsia="zh-CN" w:bidi="ar-SA"/>
    </w:rPr>
  </w:style>
  <w:style w:type="character" w:customStyle="1" w:styleId="153">
    <w:name w:val="正文 项目2 Char"/>
    <w:basedOn w:val="154"/>
    <w:autoRedefine/>
    <w:qFormat/>
    <w:uiPriority w:val="0"/>
    <w:rPr>
      <w:rFonts w:ascii="仿宋_GB2312" w:hAnsi="仿宋_GB2312" w:eastAsia="仿宋_GB2312"/>
      <w:kern w:val="2"/>
      <w:sz w:val="24"/>
      <w:lang w:bidi="ar-SA"/>
    </w:rPr>
  </w:style>
  <w:style w:type="character" w:customStyle="1" w:styleId="154">
    <w:name w:val="正文 项目 Char"/>
    <w:autoRedefine/>
    <w:qFormat/>
    <w:uiPriority w:val="0"/>
    <w:rPr>
      <w:rFonts w:ascii="仿宋_GB2312" w:hAnsi="仿宋_GB2312" w:eastAsia="仿宋_GB2312"/>
      <w:kern w:val="2"/>
      <w:sz w:val="24"/>
      <w:lang w:bidi="ar-SA"/>
    </w:rPr>
  </w:style>
  <w:style w:type="character" w:customStyle="1" w:styleId="155">
    <w:name w:val="h Char Char1"/>
    <w:autoRedefine/>
    <w:qFormat/>
    <w:uiPriority w:val="0"/>
    <w:rPr>
      <w:rFonts w:eastAsia="宋体"/>
      <w:kern w:val="2"/>
      <w:sz w:val="18"/>
      <w:szCs w:val="18"/>
      <w:lang w:val="en-US" w:eastAsia="zh-CN" w:bidi="ar-SA"/>
    </w:rPr>
  </w:style>
  <w:style w:type="character" w:customStyle="1" w:styleId="156">
    <w:name w:val="Char Char27"/>
    <w:autoRedefine/>
    <w:qFormat/>
    <w:uiPriority w:val="6"/>
    <w:rPr>
      <w:rFonts w:ascii="宋体" w:hAnsi="宋体" w:eastAsia="宋体"/>
      <w:color w:val="000000"/>
      <w:kern w:val="1"/>
      <w:sz w:val="28"/>
      <w:lang w:val="en-US" w:eastAsia="zh-CN" w:bidi="ar-SA"/>
    </w:rPr>
  </w:style>
  <w:style w:type="character" w:customStyle="1" w:styleId="157">
    <w:name w:val="px14"/>
    <w:autoRedefine/>
    <w:qFormat/>
    <w:uiPriority w:val="0"/>
    <w:rPr>
      <w:rFonts w:ascii="仿宋_GB2312" w:eastAsia="微软雅黑" w:cs="Times New Roman"/>
      <w:b/>
      <w:kern w:val="2"/>
      <w:sz w:val="32"/>
      <w:szCs w:val="32"/>
      <w:lang w:val="en-US" w:eastAsia="zh-CN" w:bidi="ar-SA"/>
    </w:rPr>
  </w:style>
  <w:style w:type="character" w:customStyle="1" w:styleId="158">
    <w:name w:val="HTML 预设格式 Char1"/>
    <w:autoRedefine/>
    <w:qFormat/>
    <w:uiPriority w:val="0"/>
    <w:rPr>
      <w:rFonts w:ascii="Courier New" w:hAnsi="Courier New" w:eastAsia="宋体" w:cs="Courier New"/>
      <w:sz w:val="20"/>
      <w:szCs w:val="20"/>
    </w:rPr>
  </w:style>
  <w:style w:type="character" w:customStyle="1" w:styleId="159">
    <w:name w:val="普通文字 Char1"/>
    <w:autoRedefine/>
    <w:qFormat/>
    <w:uiPriority w:val="0"/>
    <w:rPr>
      <w:rFonts w:ascii="宋体" w:hAnsi="Courier New" w:eastAsia="宋体"/>
      <w:kern w:val="2"/>
      <w:sz w:val="21"/>
      <w:lang w:val="en-US" w:eastAsia="zh-CN"/>
    </w:rPr>
  </w:style>
  <w:style w:type="character" w:customStyle="1" w:styleId="160">
    <w:name w:val="hei16b1"/>
    <w:autoRedefine/>
    <w:qFormat/>
    <w:uiPriority w:val="0"/>
    <w:rPr>
      <w:rFonts w:hint="default" w:ascii="Arial" w:hAnsi="Arial" w:cs="Arial"/>
      <w:b/>
      <w:bCs/>
      <w:color w:val="000000"/>
      <w:sz w:val="24"/>
      <w:szCs w:val="24"/>
    </w:rPr>
  </w:style>
  <w:style w:type="character" w:customStyle="1" w:styleId="161">
    <w:name w:val="正文（绿盟科技） Char"/>
    <w:link w:val="162"/>
    <w:autoRedefine/>
    <w:qFormat/>
    <w:uiPriority w:val="0"/>
    <w:rPr>
      <w:rFonts w:ascii="Arial" w:hAnsi="Arial"/>
      <w:sz w:val="21"/>
      <w:szCs w:val="21"/>
    </w:rPr>
  </w:style>
  <w:style w:type="paragraph" w:customStyle="1" w:styleId="162">
    <w:name w:val="正文（绿盟科技）"/>
    <w:link w:val="161"/>
    <w:autoRedefine/>
    <w:qFormat/>
    <w:uiPriority w:val="0"/>
    <w:pPr>
      <w:spacing w:line="300" w:lineRule="auto"/>
    </w:pPr>
    <w:rPr>
      <w:rFonts w:ascii="Arial" w:hAnsi="Arial" w:eastAsia="宋体" w:cs="Times New Roman"/>
      <w:sz w:val="21"/>
      <w:szCs w:val="21"/>
      <w:lang w:val="en-US" w:eastAsia="zh-CN" w:bidi="ar-SA"/>
    </w:rPr>
  </w:style>
  <w:style w:type="character" w:customStyle="1" w:styleId="163">
    <w:name w:val="Char Char19"/>
    <w:autoRedefine/>
    <w:qFormat/>
    <w:uiPriority w:val="6"/>
    <w:rPr>
      <w:rFonts w:ascii="宋体" w:hAnsi="宋体"/>
      <w:i/>
      <w:sz w:val="24"/>
      <w:szCs w:val="24"/>
    </w:rPr>
  </w:style>
  <w:style w:type="character" w:customStyle="1" w:styleId="164">
    <w:name w:val="页脚 Char"/>
    <w:autoRedefine/>
    <w:qFormat/>
    <w:uiPriority w:val="0"/>
    <w:rPr>
      <w:rFonts w:eastAsia="仿宋_GB2312"/>
      <w:kern w:val="2"/>
      <w:sz w:val="18"/>
      <w:lang w:val="en-US" w:eastAsia="zh-CN"/>
    </w:rPr>
  </w:style>
  <w:style w:type="character" w:customStyle="1" w:styleId="165">
    <w:name w:val="批注主题 Char"/>
    <w:autoRedefine/>
    <w:qFormat/>
    <w:uiPriority w:val="0"/>
    <w:rPr>
      <w:rFonts w:eastAsia="宋体"/>
      <w:b/>
      <w:bCs/>
      <w:kern w:val="2"/>
      <w:sz w:val="21"/>
      <w:szCs w:val="24"/>
      <w:lang w:val="en-US" w:eastAsia="zh-CN" w:bidi="ar-SA"/>
    </w:rPr>
  </w:style>
  <w:style w:type="character" w:customStyle="1" w:styleId="166">
    <w:name w:val="Comment Text Char"/>
    <w:autoRedefine/>
    <w:qFormat/>
    <w:locked/>
    <w:uiPriority w:val="0"/>
    <w:rPr>
      <w:rFonts w:ascii="宋体" w:hAnsi="宋体" w:eastAsia="宋体"/>
      <w:kern w:val="2"/>
      <w:sz w:val="24"/>
      <w:lang w:val="en-US" w:eastAsia="zh-CN" w:bidi="ar-SA"/>
    </w:rPr>
  </w:style>
  <w:style w:type="character" w:customStyle="1" w:styleId="167">
    <w:name w:val="标题 2 字符"/>
    <w:autoRedefine/>
    <w:qFormat/>
    <w:uiPriority w:val="1"/>
    <w:rPr>
      <w:rFonts w:ascii="仿宋_GB2312" w:hAnsi="Times New Roman" w:eastAsia="仿宋_GB2312" w:cs="Times New Roman"/>
      <w:b/>
      <w:kern w:val="2"/>
      <w:sz w:val="24"/>
      <w:lang w:val="zh-CN"/>
    </w:rPr>
  </w:style>
  <w:style w:type="character" w:customStyle="1" w:styleId="168">
    <w:name w:val="Char Char72"/>
    <w:autoRedefine/>
    <w:qFormat/>
    <w:uiPriority w:val="0"/>
    <w:rPr>
      <w:rFonts w:eastAsia="宋体"/>
      <w:kern w:val="2"/>
      <w:sz w:val="21"/>
      <w:szCs w:val="24"/>
      <w:lang w:val="en-US" w:eastAsia="zh-CN" w:bidi="ar-SA"/>
    </w:rPr>
  </w:style>
  <w:style w:type="character" w:customStyle="1" w:styleId="169">
    <w:name w:val="正文文本缩进 Char2"/>
    <w:autoRedefine/>
    <w:qFormat/>
    <w:uiPriority w:val="0"/>
    <w:rPr>
      <w:rFonts w:ascii="Times New Roman" w:hAnsi="Times New Roman" w:eastAsia="宋体" w:cs="Times New Roman"/>
      <w:snapToGrid w:val="0"/>
      <w:kern w:val="0"/>
      <w:szCs w:val="24"/>
    </w:rPr>
  </w:style>
  <w:style w:type="character" w:customStyle="1" w:styleId="170">
    <w:name w:val="样式2 Char"/>
    <w:autoRedefine/>
    <w:qFormat/>
    <w:uiPriority w:val="0"/>
    <w:rPr>
      <w:rFonts w:ascii="仿宋_GB2312" w:hAnsi="仿宋" w:eastAsia="仿宋_GB2312" w:cs="仿宋_GB2312"/>
      <w:b/>
      <w:bCs/>
      <w:sz w:val="32"/>
      <w:szCs w:val="30"/>
      <w:lang w:val="zh-CN"/>
    </w:rPr>
  </w:style>
  <w:style w:type="character" w:customStyle="1" w:styleId="171">
    <w:name w:val="表格名称[858D7CFB-ED40-4347-BF05-701D383B685F]"/>
    <w:link w:val="172"/>
    <w:autoRedefine/>
    <w:qFormat/>
    <w:uiPriority w:val="0"/>
    <w:rPr>
      <w:sz w:val="32"/>
    </w:rPr>
  </w:style>
  <w:style w:type="paragraph" w:customStyle="1" w:styleId="172">
    <w:name w:val="表格名称"/>
    <w:basedOn w:val="3"/>
    <w:link w:val="171"/>
    <w:autoRedefine/>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3">
    <w:name w:val="Char Char4"/>
    <w:autoRedefine/>
    <w:qFormat/>
    <w:uiPriority w:val="0"/>
    <w:rPr>
      <w:rFonts w:eastAsia="宋体"/>
      <w:b/>
      <w:sz w:val="24"/>
      <w:lang w:val="en-GB" w:eastAsia="zh-CN" w:bidi="ar-SA"/>
    </w:rPr>
  </w:style>
  <w:style w:type="character" w:customStyle="1" w:styleId="174">
    <w:name w:val="c7 style3"/>
    <w:autoRedefine/>
    <w:qFormat/>
    <w:uiPriority w:val="0"/>
  </w:style>
  <w:style w:type="character" w:customStyle="1" w:styleId="175">
    <w:name w:val="正文文本 3 Char1"/>
    <w:autoRedefine/>
    <w:semiHidden/>
    <w:qFormat/>
    <w:uiPriority w:val="99"/>
    <w:rPr>
      <w:rFonts w:ascii="Times New Roman" w:hAnsi="Times New Roman" w:eastAsia="宋体" w:cs="Times New Roman"/>
      <w:sz w:val="16"/>
      <w:szCs w:val="16"/>
    </w:rPr>
  </w:style>
  <w:style w:type="character" w:customStyle="1" w:styleId="176">
    <w:name w:val="tw4winInternal"/>
    <w:autoRedefine/>
    <w:qFormat/>
    <w:uiPriority w:val="0"/>
    <w:rPr>
      <w:rFonts w:ascii="Courier New" w:hAnsi="Courier New" w:cs="Courier New"/>
      <w:color w:val="FF0000"/>
      <w:lang w:val="en-US" w:eastAsia="zh-CN"/>
    </w:rPr>
  </w:style>
  <w:style w:type="character" w:customStyle="1" w:styleId="177">
    <w:name w:val="Char Char10"/>
    <w:autoRedefine/>
    <w:semiHidden/>
    <w:qFormat/>
    <w:uiPriority w:val="0"/>
    <w:rPr>
      <w:rFonts w:ascii="宋体" w:hAnsi="宋体"/>
      <w:kern w:val="2"/>
      <w:sz w:val="21"/>
      <w:szCs w:val="24"/>
      <w:lang w:val="en-US" w:eastAsia="zh-CN"/>
    </w:rPr>
  </w:style>
  <w:style w:type="character" w:customStyle="1" w:styleId="178">
    <w:name w:val="shadow11"/>
    <w:autoRedefine/>
    <w:qFormat/>
    <w:uiPriority w:val="0"/>
    <w:rPr>
      <w:color w:val="000000"/>
      <w:sz w:val="21"/>
    </w:rPr>
  </w:style>
  <w:style w:type="character" w:customStyle="1" w:styleId="179">
    <w:name w:val="正文非缩进 Char3"/>
    <w:autoRedefine/>
    <w:qFormat/>
    <w:uiPriority w:val="0"/>
    <w:rPr>
      <w:rFonts w:ascii="宋体" w:eastAsia="宋体"/>
      <w:snapToGrid w:val="0"/>
      <w:color w:val="000000"/>
      <w:kern w:val="28"/>
      <w:sz w:val="28"/>
      <w:lang w:val="en-US" w:eastAsia="zh-CN" w:bidi="ar-SA"/>
    </w:rPr>
  </w:style>
  <w:style w:type="character" w:customStyle="1" w:styleId="180">
    <w:name w:val="Char Char"/>
    <w:autoRedefine/>
    <w:qFormat/>
    <w:uiPriority w:val="0"/>
    <w:rPr>
      <w:rFonts w:ascii="宋体" w:hAnsi="Courier New" w:eastAsia="宋体"/>
      <w:kern w:val="2"/>
      <w:sz w:val="21"/>
      <w:lang w:val="en-US" w:eastAsia="zh-CN" w:bidi="ar-SA"/>
    </w:rPr>
  </w:style>
  <w:style w:type="character" w:customStyle="1" w:styleId="181">
    <w:name w:val="签名 Char1"/>
    <w:autoRedefine/>
    <w:qFormat/>
    <w:uiPriority w:val="0"/>
    <w:rPr>
      <w:rFonts w:ascii="Times New Roman" w:hAnsi="Times New Roman" w:eastAsia="宋体" w:cs="Times New Roman"/>
      <w:szCs w:val="24"/>
    </w:rPr>
  </w:style>
  <w:style w:type="character" w:customStyle="1" w:styleId="182">
    <w:name w:val="日期 Char"/>
    <w:link w:val="36"/>
    <w:autoRedefine/>
    <w:qFormat/>
    <w:uiPriority w:val="0"/>
    <w:rPr>
      <w:rFonts w:ascii="宋体"/>
      <w:kern w:val="2"/>
      <w:sz w:val="24"/>
      <w:szCs w:val="21"/>
      <w:lang w:val="zh-CN"/>
    </w:rPr>
  </w:style>
  <w:style w:type="character" w:customStyle="1" w:styleId="183">
    <w:name w:val="标题 9 Char"/>
    <w:link w:val="11"/>
    <w:autoRedefine/>
    <w:qFormat/>
    <w:uiPriority w:val="0"/>
    <w:rPr>
      <w:rFonts w:ascii="Arial" w:hAnsi="Arial" w:eastAsia="黑体"/>
      <w:kern w:val="2"/>
      <w:sz w:val="21"/>
      <w:szCs w:val="21"/>
    </w:rPr>
  </w:style>
  <w:style w:type="character" w:customStyle="1" w:styleId="184">
    <w:name w:val="Char Char18"/>
    <w:autoRedefine/>
    <w:qFormat/>
    <w:uiPriority w:val="6"/>
    <w:rPr>
      <w:rFonts w:ascii="宋体" w:hAnsi="宋体"/>
      <w:sz w:val="28"/>
    </w:rPr>
  </w:style>
  <w:style w:type="character" w:customStyle="1" w:styleId="185">
    <w:name w:val="批注文字 Char"/>
    <w:autoRedefine/>
    <w:qFormat/>
    <w:uiPriority w:val="99"/>
    <w:rPr>
      <w:kern w:val="2"/>
      <w:sz w:val="21"/>
      <w:szCs w:val="24"/>
    </w:rPr>
  </w:style>
  <w:style w:type="character" w:customStyle="1" w:styleId="186">
    <w:name w:val="Char Char22"/>
    <w:autoRedefine/>
    <w:qFormat/>
    <w:uiPriority w:val="6"/>
    <w:rPr>
      <w:rFonts w:ascii="宋体" w:hAnsi="宋体"/>
      <w:kern w:val="1"/>
      <w:sz w:val="24"/>
      <w:szCs w:val="24"/>
    </w:rPr>
  </w:style>
  <w:style w:type="character" w:customStyle="1" w:styleId="187">
    <w:name w:val="pt141"/>
    <w:autoRedefine/>
    <w:qFormat/>
    <w:uiPriority w:val="0"/>
    <w:rPr>
      <w:color w:val="330066"/>
      <w:sz w:val="22"/>
      <w:szCs w:val="22"/>
    </w:rPr>
  </w:style>
  <w:style w:type="character" w:customStyle="1" w:styleId="188">
    <w:name w:val="正文文本缩进 2 Char1"/>
    <w:autoRedefine/>
    <w:semiHidden/>
    <w:qFormat/>
    <w:uiPriority w:val="99"/>
    <w:rPr>
      <w:rFonts w:ascii="Times New Roman" w:hAnsi="Times New Roman" w:eastAsia="宋体" w:cs="Times New Roman"/>
      <w:szCs w:val="24"/>
    </w:rPr>
  </w:style>
  <w:style w:type="character" w:customStyle="1" w:styleId="189">
    <w:name w:val="批注框文本 Char"/>
    <w:link w:val="39"/>
    <w:autoRedefine/>
    <w:qFormat/>
    <w:uiPriority w:val="0"/>
    <w:rPr>
      <w:kern w:val="2"/>
      <w:sz w:val="18"/>
      <w:szCs w:val="18"/>
    </w:rPr>
  </w:style>
  <w:style w:type="character" w:customStyle="1" w:styleId="190">
    <w:name w:val="Char Char611"/>
    <w:autoRedefine/>
    <w:qFormat/>
    <w:uiPriority w:val="0"/>
    <w:rPr>
      <w:rFonts w:eastAsia="宋体"/>
      <w:kern w:val="2"/>
      <w:sz w:val="21"/>
      <w:szCs w:val="24"/>
      <w:lang w:val="en-US" w:eastAsia="zh-CN" w:bidi="ar-SA"/>
    </w:rPr>
  </w:style>
  <w:style w:type="character" w:customStyle="1" w:styleId="191">
    <w:name w:val="highlight1"/>
    <w:autoRedefine/>
    <w:qFormat/>
    <w:uiPriority w:val="0"/>
    <w:rPr>
      <w:rFonts w:ascii="仿宋_GB2312" w:eastAsia="微软雅黑"/>
      <w:b/>
      <w:kern w:val="2"/>
      <w:sz w:val="23"/>
      <w:szCs w:val="23"/>
      <w:lang w:val="en-US" w:eastAsia="zh-CN" w:bidi="ar-SA"/>
    </w:rPr>
  </w:style>
  <w:style w:type="character" w:customStyle="1" w:styleId="192">
    <w:name w:val="my正文 Char"/>
    <w:link w:val="193"/>
    <w:autoRedefine/>
    <w:qFormat/>
    <w:locked/>
    <w:uiPriority w:val="0"/>
    <w:rPr>
      <w:rFonts w:ascii="Tahoma" w:hAnsi="Tahoma"/>
      <w:sz w:val="24"/>
      <w:szCs w:val="24"/>
    </w:rPr>
  </w:style>
  <w:style w:type="paragraph" w:customStyle="1" w:styleId="193">
    <w:name w:val="my正文"/>
    <w:basedOn w:val="1"/>
    <w:link w:val="192"/>
    <w:autoRedefine/>
    <w:qFormat/>
    <w:uiPriority w:val="0"/>
    <w:pPr>
      <w:adjustRightInd/>
      <w:spacing w:line="360" w:lineRule="auto"/>
      <w:ind w:firstLine="480" w:firstLineChars="200"/>
    </w:pPr>
    <w:rPr>
      <w:rFonts w:ascii="Tahoma" w:hAnsi="Tahoma"/>
      <w:kern w:val="0"/>
      <w:sz w:val="24"/>
    </w:rPr>
  </w:style>
  <w:style w:type="character" w:customStyle="1" w:styleId="194">
    <w:name w:val="正文缩进 Char2"/>
    <w:link w:val="5"/>
    <w:autoRedefine/>
    <w:qFormat/>
    <w:uiPriority w:val="0"/>
    <w:rPr>
      <w:rFonts w:ascii="宋体" w:eastAsia="宋体"/>
      <w:snapToGrid w:val="0"/>
      <w:color w:val="000000"/>
      <w:kern w:val="28"/>
      <w:sz w:val="28"/>
      <w:lang w:val="en-US" w:eastAsia="zh-CN" w:bidi="ar-SA"/>
    </w:rPr>
  </w:style>
  <w:style w:type="character" w:customStyle="1" w:styleId="195">
    <w:name w:val="Used by Word for text of Help footnotes Char Char1"/>
    <w:autoRedefine/>
    <w:qFormat/>
    <w:uiPriority w:val="0"/>
    <w:rPr>
      <w:color w:val="0000FF"/>
      <w:sz w:val="21"/>
    </w:rPr>
  </w:style>
  <w:style w:type="character" w:customStyle="1" w:styleId="196">
    <w:name w:val="页眉 Char"/>
    <w:autoRedefine/>
    <w:qFormat/>
    <w:uiPriority w:val="0"/>
    <w:rPr>
      <w:rFonts w:eastAsia="仿宋_GB2312"/>
      <w:kern w:val="2"/>
      <w:sz w:val="18"/>
      <w:lang w:val="en-US" w:eastAsia="zh-CN"/>
    </w:rPr>
  </w:style>
  <w:style w:type="character" w:customStyle="1" w:styleId="197">
    <w:name w:val="FA正文 Char Char"/>
    <w:autoRedefine/>
    <w:qFormat/>
    <w:uiPriority w:val="0"/>
    <w:rPr>
      <w:rFonts w:hAnsi="宋体"/>
      <w:kern w:val="2"/>
      <w:sz w:val="24"/>
      <w:lang w:bidi="ar-SA"/>
    </w:rPr>
  </w:style>
  <w:style w:type="character" w:customStyle="1" w:styleId="198">
    <w:name w:val="纯文本 字符"/>
    <w:autoRedefine/>
    <w:qFormat/>
    <w:uiPriority w:val="0"/>
    <w:rPr>
      <w:rFonts w:ascii="宋体" w:hAnsi="Courier New" w:eastAsia="宋体" w:cs="Arial"/>
      <w:snapToGrid w:val="0"/>
      <w:kern w:val="2"/>
      <w:sz w:val="21"/>
      <w:szCs w:val="21"/>
      <w:lang w:val="en-US" w:eastAsia="zh-CN" w:bidi="ar-SA"/>
    </w:rPr>
  </w:style>
  <w:style w:type="character" w:customStyle="1" w:styleId="199">
    <w:name w:val="3级 Char"/>
    <w:link w:val="200"/>
    <w:autoRedefine/>
    <w:qFormat/>
    <w:uiPriority w:val="0"/>
    <w:rPr>
      <w:rFonts w:ascii="宋体" w:hAnsi="宋体"/>
      <w:b/>
      <w:bCs/>
      <w:snapToGrid/>
      <w:sz w:val="28"/>
    </w:rPr>
  </w:style>
  <w:style w:type="paragraph" w:customStyle="1" w:styleId="200">
    <w:name w:val="3级"/>
    <w:basedOn w:val="201"/>
    <w:link w:val="199"/>
    <w:autoRedefine/>
    <w:qFormat/>
    <w:uiPriority w:val="0"/>
    <w:pPr>
      <w:ind w:left="0" w:right="466" w:firstLine="288"/>
    </w:pPr>
    <w:rPr>
      <w:rFonts w:hAnsi="宋体"/>
      <w:snapToGrid/>
    </w:rPr>
  </w:style>
  <w:style w:type="paragraph" w:customStyle="1" w:styleId="201">
    <w:name w:val="样式 标题 3h33rd level3BOD 0H3l3CTHeading 3 - oldLevel 3 He..."/>
    <w:basedOn w:val="4"/>
    <w:autoRedefine/>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2">
    <w:name w:val="myp11"/>
    <w:autoRedefine/>
    <w:qFormat/>
    <w:uiPriority w:val="0"/>
    <w:rPr>
      <w:rFonts w:ascii="仿宋_GB2312" w:eastAsia="微软雅黑"/>
      <w:b/>
      <w:kern w:val="2"/>
      <w:sz w:val="32"/>
      <w:szCs w:val="32"/>
      <w:lang w:val="en-US" w:eastAsia="zh-CN" w:bidi="ar-SA"/>
    </w:rPr>
  </w:style>
  <w:style w:type="character" w:customStyle="1" w:styleId="203">
    <w:name w:val="文档结构图 Char1"/>
    <w:link w:val="18"/>
    <w:autoRedefine/>
    <w:qFormat/>
    <w:uiPriority w:val="0"/>
    <w:rPr>
      <w:kern w:val="2"/>
      <w:sz w:val="21"/>
      <w:szCs w:val="24"/>
      <w:shd w:val="clear" w:color="auto" w:fill="000080"/>
    </w:rPr>
  </w:style>
  <w:style w:type="character" w:customStyle="1" w:styleId="204">
    <w:name w:val="H6 Char"/>
    <w:autoRedefine/>
    <w:qFormat/>
    <w:uiPriority w:val="0"/>
    <w:rPr>
      <w:rFonts w:ascii="Arial" w:hAnsi="Arial" w:eastAsia="黑体"/>
      <w:b/>
      <w:bCs/>
      <w:kern w:val="2"/>
      <w:sz w:val="24"/>
      <w:szCs w:val="24"/>
    </w:rPr>
  </w:style>
  <w:style w:type="character" w:customStyle="1" w:styleId="205">
    <w:name w:val="Char Char91"/>
    <w:autoRedefine/>
    <w:qFormat/>
    <w:uiPriority w:val="0"/>
    <w:rPr>
      <w:rFonts w:eastAsia="宋体"/>
      <w:kern w:val="2"/>
      <w:sz w:val="18"/>
      <w:szCs w:val="18"/>
      <w:lang w:val="en-US" w:eastAsia="zh-CN" w:bidi="ar-SA"/>
    </w:rPr>
  </w:style>
  <w:style w:type="character" w:customStyle="1" w:styleId="206">
    <w:name w:val="副标题 Char1"/>
    <w:autoRedefine/>
    <w:qFormat/>
    <w:uiPriority w:val="0"/>
    <w:rPr>
      <w:rFonts w:ascii="Cambria" w:hAnsi="Cambria" w:eastAsia="宋体" w:cs="Times New Roman"/>
      <w:b/>
      <w:bCs/>
      <w:snapToGrid w:val="0"/>
      <w:kern w:val="28"/>
      <w:sz w:val="32"/>
      <w:szCs w:val="32"/>
    </w:rPr>
  </w:style>
  <w:style w:type="character" w:customStyle="1" w:styleId="207">
    <w:name w:val="font61"/>
    <w:autoRedefine/>
    <w:qFormat/>
    <w:uiPriority w:val="0"/>
    <w:rPr>
      <w:rFonts w:hint="eastAsia" w:ascii="仿宋" w:hAnsi="仿宋" w:eastAsia="仿宋" w:cs="仿宋"/>
      <w:color w:val="000000"/>
      <w:sz w:val="20"/>
      <w:szCs w:val="20"/>
      <w:u w:val="none"/>
    </w:rPr>
  </w:style>
  <w:style w:type="character" w:customStyle="1" w:styleId="208">
    <w:name w:val="bod1"/>
    <w:autoRedefine/>
    <w:qFormat/>
    <w:uiPriority w:val="0"/>
    <w:rPr>
      <w:rFonts w:ascii="MS Sans Serif" w:hAnsi="MS Sans Serif" w:eastAsia="微软雅黑" w:cs="Times New Roman"/>
      <w:b/>
      <w:color w:val="000000"/>
      <w:kern w:val="2"/>
      <w:sz w:val="20"/>
      <w:szCs w:val="20"/>
      <w:lang w:val="en-US" w:eastAsia="zh-CN" w:bidi="ar-SA"/>
    </w:rPr>
  </w:style>
  <w:style w:type="character" w:customStyle="1" w:styleId="209">
    <w:name w:val="Char Char211"/>
    <w:autoRedefine/>
    <w:qFormat/>
    <w:uiPriority w:val="0"/>
    <w:rPr>
      <w:rFonts w:eastAsia="宋体"/>
      <w:b/>
      <w:bCs/>
      <w:kern w:val="2"/>
      <w:sz w:val="21"/>
      <w:szCs w:val="24"/>
      <w:lang w:val="en-US" w:eastAsia="zh-CN" w:bidi="ar-SA"/>
    </w:rPr>
  </w:style>
  <w:style w:type="character" w:customStyle="1" w:styleId="210">
    <w:name w:val="标题 2 Char"/>
    <w:autoRedefine/>
    <w:qFormat/>
    <w:uiPriority w:val="0"/>
    <w:rPr>
      <w:rFonts w:ascii="Arial" w:hAnsi="Arial" w:eastAsia="黑体"/>
      <w:b/>
      <w:kern w:val="2"/>
      <w:sz w:val="32"/>
      <w:lang w:val="en-US" w:eastAsia="zh-CN"/>
    </w:rPr>
  </w:style>
  <w:style w:type="character" w:customStyle="1" w:styleId="211">
    <w:name w:val="maywed421"/>
    <w:autoRedefine/>
    <w:qFormat/>
    <w:uiPriority w:val="0"/>
    <w:rPr>
      <w:color w:val="366FB6"/>
      <w:u w:val="none"/>
    </w:rPr>
  </w:style>
  <w:style w:type="character" w:customStyle="1" w:styleId="212">
    <w:name w:val="正文文本缩进 Char"/>
    <w:autoRedefine/>
    <w:qFormat/>
    <w:uiPriority w:val="0"/>
    <w:rPr>
      <w:rFonts w:ascii="宋体" w:hAnsi="宋体"/>
      <w:kern w:val="2"/>
      <w:sz w:val="24"/>
      <w:szCs w:val="24"/>
    </w:rPr>
  </w:style>
  <w:style w:type="character" w:customStyle="1" w:styleId="213">
    <w:name w:val="Char Char102"/>
    <w:autoRedefine/>
    <w:semiHidden/>
    <w:qFormat/>
    <w:uiPriority w:val="0"/>
    <w:rPr>
      <w:rFonts w:ascii="宋体" w:hAnsi="宋体"/>
      <w:kern w:val="2"/>
      <w:sz w:val="21"/>
      <w:szCs w:val="24"/>
      <w:lang w:val="en-US" w:eastAsia="zh-CN"/>
    </w:rPr>
  </w:style>
  <w:style w:type="character" w:customStyle="1" w:styleId="214">
    <w:name w:val="页眉 Char1"/>
    <w:autoRedefine/>
    <w:qFormat/>
    <w:uiPriority w:val="0"/>
    <w:rPr>
      <w:rFonts w:eastAsia="宋体"/>
      <w:kern w:val="2"/>
      <w:sz w:val="18"/>
      <w:szCs w:val="18"/>
      <w:lang w:val="en-US" w:eastAsia="zh-CN" w:bidi="ar-SA"/>
    </w:rPr>
  </w:style>
  <w:style w:type="character" w:customStyle="1" w:styleId="215">
    <w:name w:val="md"/>
    <w:basedOn w:val="70"/>
    <w:autoRedefine/>
    <w:qFormat/>
    <w:uiPriority w:val="0"/>
    <w:rPr>
      <w:rFonts w:ascii="Arial" w:hAnsi="Arial" w:eastAsia="黑体" w:cs="Arial"/>
      <w:snapToGrid w:val="0"/>
      <w:kern w:val="0"/>
      <w:szCs w:val="21"/>
    </w:rPr>
  </w:style>
  <w:style w:type="character" w:customStyle="1" w:styleId="216">
    <w:name w:val="big1"/>
    <w:autoRedefine/>
    <w:qFormat/>
    <w:uiPriority w:val="0"/>
    <w:rPr>
      <w:rFonts w:hint="eastAsia" w:ascii="宋体" w:hAnsi="宋体" w:eastAsia="宋体"/>
      <w:color w:val="333333"/>
      <w:sz w:val="22"/>
      <w:szCs w:val="22"/>
    </w:rPr>
  </w:style>
  <w:style w:type="character" w:customStyle="1" w:styleId="217">
    <w:name w:val="Char Char311"/>
    <w:autoRedefine/>
    <w:qFormat/>
    <w:uiPriority w:val="0"/>
    <w:rPr>
      <w:rFonts w:eastAsia="宋体"/>
      <w:kern w:val="2"/>
      <w:sz w:val="21"/>
      <w:szCs w:val="24"/>
      <w:lang w:val="en-US" w:eastAsia="zh-CN" w:bidi="ar-SA"/>
    </w:rPr>
  </w:style>
  <w:style w:type="character" w:customStyle="1" w:styleId="218">
    <w:name w:val="Char Char81"/>
    <w:autoRedefine/>
    <w:qFormat/>
    <w:uiPriority w:val="6"/>
    <w:rPr>
      <w:rFonts w:eastAsia="宋体"/>
      <w:b/>
      <w:sz w:val="24"/>
      <w:lang w:val="en-GB" w:eastAsia="zh-CN"/>
    </w:rPr>
  </w:style>
  <w:style w:type="character" w:customStyle="1" w:styleId="219">
    <w:name w:val="样式3 Char"/>
    <w:basedOn w:val="170"/>
    <w:autoRedefine/>
    <w:qFormat/>
    <w:uiPriority w:val="0"/>
    <w:rPr>
      <w:rFonts w:ascii="仿宋_GB2312" w:hAnsi="仿宋" w:eastAsia="仿宋_GB2312" w:cs="仿宋_GB2312"/>
      <w:sz w:val="32"/>
      <w:szCs w:val="30"/>
      <w:lang w:val="zh-CN"/>
    </w:rPr>
  </w:style>
  <w:style w:type="character" w:customStyle="1" w:styleId="220">
    <w:name w:val="HTML 地址 Char"/>
    <w:link w:val="30"/>
    <w:autoRedefine/>
    <w:qFormat/>
    <w:uiPriority w:val="0"/>
    <w:rPr>
      <w:rFonts w:ascii="宋体" w:hAnsi="宋体"/>
      <w:i/>
      <w:iCs/>
      <w:sz w:val="24"/>
      <w:szCs w:val="24"/>
    </w:rPr>
  </w:style>
  <w:style w:type="character" w:customStyle="1" w:styleId="221">
    <w:name w:val="正文首行缩进 2 Char1"/>
    <w:autoRedefine/>
    <w:qFormat/>
    <w:uiPriority w:val="0"/>
    <w:rPr>
      <w:rFonts w:ascii="Times New Roman" w:hAnsi="Times New Roman" w:eastAsia="宋体" w:cs="Times New Roman"/>
      <w:kern w:val="2"/>
      <w:sz w:val="24"/>
      <w:szCs w:val="24"/>
    </w:rPr>
  </w:style>
  <w:style w:type="character" w:customStyle="1" w:styleId="222">
    <w:name w:val="副标题 Char2"/>
    <w:autoRedefine/>
    <w:qFormat/>
    <w:uiPriority w:val="0"/>
    <w:rPr>
      <w:rFonts w:ascii="Cambria" w:hAnsi="Cambria" w:eastAsia="宋体" w:cs="Times New Roman"/>
      <w:b/>
      <w:bCs/>
      <w:snapToGrid w:val="0"/>
      <w:kern w:val="28"/>
      <w:sz w:val="32"/>
      <w:szCs w:val="32"/>
    </w:rPr>
  </w:style>
  <w:style w:type="character" w:customStyle="1" w:styleId="223">
    <w:name w:val="标题4-dyf Char"/>
    <w:link w:val="224"/>
    <w:autoRedefine/>
    <w:qFormat/>
    <w:uiPriority w:val="0"/>
    <w:rPr>
      <w:rFonts w:ascii="Cambria" w:hAnsi="Cambria"/>
      <w:b/>
      <w:bCs/>
      <w:color w:val="000000"/>
      <w:kern w:val="2"/>
      <w:sz w:val="21"/>
      <w:szCs w:val="21"/>
    </w:rPr>
  </w:style>
  <w:style w:type="paragraph" w:customStyle="1" w:styleId="224">
    <w:name w:val="标题4-dyf"/>
    <w:basedOn w:val="6"/>
    <w:link w:val="223"/>
    <w:autoRedefine/>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5">
    <w:name w:val="dectext1"/>
    <w:autoRedefine/>
    <w:qFormat/>
    <w:uiPriority w:val="0"/>
    <w:rPr>
      <w:rFonts w:ascii="宋体" w:hAnsi="宋体" w:eastAsia="宋体"/>
      <w:color w:val="333333"/>
      <w:sz w:val="21"/>
      <w:szCs w:val="21"/>
      <w:u w:val="none"/>
    </w:rPr>
  </w:style>
  <w:style w:type="character" w:customStyle="1" w:styleId="226">
    <w:name w:val="冯 Char"/>
    <w:link w:val="227"/>
    <w:autoRedefine/>
    <w:qFormat/>
    <w:uiPriority w:val="0"/>
    <w:rPr>
      <w:rFonts w:ascii="宋体" w:hAnsi="宋体"/>
      <w:color w:val="000000"/>
      <w:sz w:val="24"/>
      <w:szCs w:val="24"/>
    </w:rPr>
  </w:style>
  <w:style w:type="paragraph" w:customStyle="1" w:styleId="227">
    <w:name w:val="冯"/>
    <w:basedOn w:val="1"/>
    <w:link w:val="226"/>
    <w:autoRedefine/>
    <w:qFormat/>
    <w:uiPriority w:val="0"/>
    <w:pPr>
      <w:widowControl/>
      <w:adjustRightInd/>
      <w:spacing w:line="360" w:lineRule="auto"/>
      <w:ind w:firstLine="480" w:firstLineChars="200"/>
    </w:pPr>
    <w:rPr>
      <w:rFonts w:ascii="宋体" w:hAnsi="宋体"/>
      <w:color w:val="000000"/>
      <w:kern w:val="0"/>
      <w:sz w:val="24"/>
    </w:rPr>
  </w:style>
  <w:style w:type="character" w:customStyle="1" w:styleId="228">
    <w:name w:val="Header Char"/>
    <w:autoRedefine/>
    <w:qFormat/>
    <w:locked/>
    <w:uiPriority w:val="0"/>
    <w:rPr>
      <w:rFonts w:eastAsia="宋体"/>
      <w:kern w:val="2"/>
      <w:sz w:val="18"/>
      <w:szCs w:val="18"/>
      <w:lang w:val="en-US" w:eastAsia="zh-CN" w:bidi="ar-SA"/>
    </w:rPr>
  </w:style>
  <w:style w:type="character" w:customStyle="1" w:styleId="229">
    <w:name w:val="Char Char12"/>
    <w:autoRedefine/>
    <w:qFormat/>
    <w:uiPriority w:val="0"/>
    <w:rPr>
      <w:rFonts w:ascii="仿宋_GB2312" w:eastAsia="仿宋_GB2312"/>
      <w:b/>
      <w:bCs/>
      <w:kern w:val="2"/>
      <w:sz w:val="24"/>
      <w:szCs w:val="24"/>
      <w:lang w:val="zh-CN" w:eastAsia="zh-CN" w:bidi="ar-SA"/>
    </w:rPr>
  </w:style>
  <w:style w:type="character" w:customStyle="1" w:styleId="230">
    <w:name w:val="题注 Char"/>
    <w:link w:val="16"/>
    <w:autoRedefine/>
    <w:qFormat/>
    <w:uiPriority w:val="0"/>
    <w:rPr>
      <w:b/>
      <w:kern w:val="2"/>
      <w:sz w:val="28"/>
    </w:rPr>
  </w:style>
  <w:style w:type="character" w:customStyle="1" w:styleId="231">
    <w:name w:val="普通文字 Char3"/>
    <w:autoRedefine/>
    <w:qFormat/>
    <w:uiPriority w:val="0"/>
    <w:rPr>
      <w:rFonts w:ascii="宋体" w:hAnsi="Courier New" w:eastAsia="宋体"/>
      <w:kern w:val="2"/>
      <w:sz w:val="21"/>
      <w:lang w:val="en-US" w:eastAsia="zh-CN" w:bidi="ar-SA"/>
    </w:rPr>
  </w:style>
  <w:style w:type="character" w:customStyle="1" w:styleId="232">
    <w:name w:val="公文正文 Char"/>
    <w:autoRedefine/>
    <w:qFormat/>
    <w:uiPriority w:val="0"/>
    <w:rPr>
      <w:rFonts w:ascii="仿宋_GB2312" w:eastAsia="仿宋_GB2312"/>
      <w:kern w:val="2"/>
      <w:sz w:val="24"/>
      <w:szCs w:val="24"/>
      <w:lang w:val="en-US" w:eastAsia="zh-CN" w:bidi="ar-SA"/>
    </w:rPr>
  </w:style>
  <w:style w:type="character" w:customStyle="1" w:styleId="233">
    <w:name w:val="正文首行缩进 Char Char Char Char Char"/>
    <w:autoRedefine/>
    <w:qFormat/>
    <w:uiPriority w:val="0"/>
    <w:rPr>
      <w:rFonts w:ascii="宋体"/>
      <w:kern w:val="2"/>
      <w:sz w:val="24"/>
      <w:lang w:val="zh-CN"/>
    </w:rPr>
  </w:style>
  <w:style w:type="character" w:customStyle="1" w:styleId="234">
    <w:name w:val="PI Char"/>
    <w:autoRedefine/>
    <w:qFormat/>
    <w:uiPriority w:val="0"/>
    <w:rPr>
      <w:rFonts w:ascii="宋体" w:hAnsi="宋体" w:eastAsia="宋体"/>
      <w:kern w:val="2"/>
      <w:sz w:val="24"/>
      <w:szCs w:val="24"/>
      <w:lang w:val="en-US" w:eastAsia="zh-CN" w:bidi="ar-SA"/>
    </w:rPr>
  </w:style>
  <w:style w:type="character" w:customStyle="1" w:styleId="235">
    <w:name w:val="Default Char"/>
    <w:link w:val="236"/>
    <w:autoRedefine/>
    <w:qFormat/>
    <w:uiPriority w:val="0"/>
    <w:rPr>
      <w:rFonts w:ascii="仿宋_GB2312" w:eastAsia="仿宋_GB2312" w:cs="仿宋_GB2312"/>
      <w:color w:val="000000"/>
      <w:sz w:val="24"/>
      <w:szCs w:val="24"/>
      <w:lang w:val="en-US" w:eastAsia="zh-CN" w:bidi="ar-SA"/>
    </w:rPr>
  </w:style>
  <w:style w:type="paragraph" w:customStyle="1" w:styleId="236">
    <w:name w:val="Default"/>
    <w:link w:val="235"/>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7">
    <w:name w:val="style91"/>
    <w:autoRedefine/>
    <w:qFormat/>
    <w:uiPriority w:val="0"/>
    <w:rPr>
      <w:color w:val="333333"/>
    </w:rPr>
  </w:style>
  <w:style w:type="character" w:customStyle="1" w:styleId="238">
    <w:name w:val="列出段落 Char2"/>
    <w:autoRedefine/>
    <w:qFormat/>
    <w:uiPriority w:val="34"/>
    <w:rPr>
      <w:rFonts w:ascii="Calibri" w:hAnsi="Calibri"/>
      <w:kern w:val="2"/>
      <w:sz w:val="28"/>
    </w:rPr>
  </w:style>
  <w:style w:type="character" w:customStyle="1" w:styleId="239">
    <w:name w:val="mdeck"/>
    <w:autoRedefine/>
    <w:qFormat/>
    <w:uiPriority w:val="0"/>
    <w:rPr>
      <w:rFonts w:ascii="仿宋_GB2312" w:eastAsia="微软雅黑"/>
      <w:b/>
      <w:kern w:val="2"/>
      <w:sz w:val="32"/>
      <w:szCs w:val="32"/>
      <w:lang w:val="en-US" w:eastAsia="zh-CN" w:bidi="ar-SA"/>
    </w:rPr>
  </w:style>
  <w:style w:type="character" w:customStyle="1" w:styleId="240">
    <w:name w:val="unnamed11"/>
    <w:autoRedefine/>
    <w:qFormat/>
    <w:uiPriority w:val="0"/>
    <w:rPr>
      <w:sz w:val="20"/>
      <w:szCs w:val="20"/>
    </w:rPr>
  </w:style>
  <w:style w:type="character" w:customStyle="1" w:styleId="241">
    <w:name w:val="正文文本 Char2"/>
    <w:autoRedefine/>
    <w:semiHidden/>
    <w:qFormat/>
    <w:uiPriority w:val="99"/>
    <w:rPr>
      <w:rFonts w:ascii="Times New Roman" w:hAnsi="Times New Roman" w:eastAsia="宋体" w:cs="Times New Roman"/>
      <w:snapToGrid w:val="0"/>
      <w:kern w:val="0"/>
      <w:szCs w:val="24"/>
    </w:rPr>
  </w:style>
  <w:style w:type="character" w:customStyle="1" w:styleId="242">
    <w:name w:val="标书正文格式 Char"/>
    <w:autoRedefine/>
    <w:qFormat/>
    <w:uiPriority w:val="0"/>
    <w:rPr>
      <w:rFonts w:eastAsia="楷体_GB2312"/>
      <w:kern w:val="2"/>
      <w:sz w:val="24"/>
      <w:szCs w:val="24"/>
      <w:lang w:bidi="ar-SA"/>
    </w:rPr>
  </w:style>
  <w:style w:type="character" w:customStyle="1" w:styleId="243">
    <w:name w:val="Char Char11"/>
    <w:autoRedefine/>
    <w:qFormat/>
    <w:locked/>
    <w:uiPriority w:val="0"/>
    <w:rPr>
      <w:rFonts w:ascii="宋体" w:hAnsi="宋体" w:eastAsia="宋体"/>
      <w:b/>
      <w:kern w:val="2"/>
      <w:sz w:val="24"/>
      <w:szCs w:val="24"/>
      <w:lang w:val="en-US" w:eastAsia="zh-CN" w:bidi="ar-SA"/>
    </w:rPr>
  </w:style>
  <w:style w:type="character" w:customStyle="1" w:styleId="244">
    <w:name w:val="ca-131"/>
    <w:autoRedefine/>
    <w:qFormat/>
    <w:uiPriority w:val="0"/>
    <w:rPr>
      <w:rFonts w:hint="eastAsia" w:ascii="仿宋_GB2312" w:eastAsia="仿宋_GB2312"/>
      <w:b/>
      <w:bCs/>
      <w:color w:val="000000"/>
      <w:spacing w:val="-20"/>
      <w:sz w:val="24"/>
      <w:szCs w:val="24"/>
    </w:rPr>
  </w:style>
  <w:style w:type="character" w:customStyle="1" w:styleId="245">
    <w:name w:val="tw4winMark"/>
    <w:autoRedefine/>
    <w:qFormat/>
    <w:uiPriority w:val="0"/>
    <w:rPr>
      <w:rFonts w:ascii="Courier New" w:hAnsi="Courier New" w:cs="Courier New"/>
      <w:vanish/>
      <w:color w:val="800080"/>
      <w:sz w:val="24"/>
      <w:szCs w:val="24"/>
      <w:vertAlign w:val="subscript"/>
    </w:rPr>
  </w:style>
  <w:style w:type="character" w:customStyle="1" w:styleId="246">
    <w:name w:val="正文样式 Char"/>
    <w:link w:val="247"/>
    <w:autoRedefine/>
    <w:qFormat/>
    <w:uiPriority w:val="0"/>
    <w:rPr>
      <w:rFonts w:ascii="Calibri" w:hAnsi="Calibri"/>
      <w:sz w:val="24"/>
      <w:szCs w:val="24"/>
    </w:rPr>
  </w:style>
  <w:style w:type="paragraph" w:customStyle="1" w:styleId="247">
    <w:name w:val="正文样式"/>
    <w:basedOn w:val="1"/>
    <w:link w:val="246"/>
    <w:autoRedefine/>
    <w:qFormat/>
    <w:uiPriority w:val="0"/>
    <w:pPr>
      <w:adjustRightInd/>
      <w:spacing w:line="360" w:lineRule="auto"/>
      <w:ind w:firstLine="480" w:firstLineChars="200"/>
    </w:pPr>
    <w:rPr>
      <w:kern w:val="0"/>
      <w:sz w:val="24"/>
    </w:rPr>
  </w:style>
  <w:style w:type="character" w:customStyle="1" w:styleId="248">
    <w:name w:val="表正文 Char3"/>
    <w:autoRedefine/>
    <w:qFormat/>
    <w:uiPriority w:val="0"/>
    <w:rPr>
      <w:rFonts w:eastAsia="宋体"/>
    </w:rPr>
  </w:style>
  <w:style w:type="character" w:customStyle="1" w:styleId="249">
    <w:name w:val="H5 Char"/>
    <w:autoRedefine/>
    <w:qFormat/>
    <w:uiPriority w:val="0"/>
    <w:rPr>
      <w:b/>
      <w:bCs/>
      <w:kern w:val="2"/>
      <w:sz w:val="28"/>
      <w:szCs w:val="28"/>
    </w:rPr>
  </w:style>
  <w:style w:type="character" w:customStyle="1" w:styleId="250">
    <w:name w:val="Char Char3"/>
    <w:autoRedefine/>
    <w:qFormat/>
    <w:uiPriority w:val="0"/>
    <w:rPr>
      <w:rFonts w:eastAsia="宋体"/>
      <w:kern w:val="2"/>
      <w:sz w:val="21"/>
      <w:szCs w:val="24"/>
      <w:lang w:val="en-US" w:eastAsia="zh-CN" w:bidi="ar-SA"/>
    </w:rPr>
  </w:style>
  <w:style w:type="character" w:customStyle="1" w:styleId="251">
    <w:name w:val="正文 编号 Char"/>
    <w:autoRedefine/>
    <w:qFormat/>
    <w:uiPriority w:val="0"/>
    <w:rPr>
      <w:rFonts w:ascii="仿宋_GB2312" w:hAnsi="仿宋_GB2312" w:eastAsia="仿宋_GB2312"/>
      <w:kern w:val="2"/>
      <w:sz w:val="24"/>
      <w:lang w:bidi="ar-SA"/>
    </w:rPr>
  </w:style>
  <w:style w:type="character" w:customStyle="1" w:styleId="252">
    <w:name w:val="question-title2"/>
    <w:autoRedefine/>
    <w:qFormat/>
    <w:uiPriority w:val="6"/>
    <w:rPr>
      <w:rFonts w:ascii="Arial" w:hAnsi="Arial" w:eastAsia="黑体" w:cs="Arial"/>
      <w:snapToGrid w:val="0"/>
      <w:kern w:val="0"/>
      <w:szCs w:val="21"/>
    </w:rPr>
  </w:style>
  <w:style w:type="character" w:customStyle="1" w:styleId="253">
    <w:name w:val="gf正文1 Char Char"/>
    <w:link w:val="254"/>
    <w:autoRedefine/>
    <w:qFormat/>
    <w:uiPriority w:val="0"/>
    <w:rPr>
      <w:rFonts w:ascii="宋体" w:hAnsi="宋体" w:cs="宋体"/>
      <w:kern w:val="2"/>
      <w:sz w:val="24"/>
      <w:szCs w:val="24"/>
    </w:rPr>
  </w:style>
  <w:style w:type="paragraph" w:customStyle="1" w:styleId="254">
    <w:name w:val="gf正文1"/>
    <w:basedOn w:val="1"/>
    <w:link w:val="253"/>
    <w:autoRedefine/>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5">
    <w:name w:val="Char Char15"/>
    <w:autoRedefine/>
    <w:qFormat/>
    <w:uiPriority w:val="6"/>
    <w:rPr>
      <w:rFonts w:ascii="宋体" w:hAnsi="宋体"/>
      <w:kern w:val="1"/>
      <w:sz w:val="21"/>
    </w:rPr>
  </w:style>
  <w:style w:type="character" w:customStyle="1" w:styleId="256">
    <w:name w:val="正文缩进 Char3"/>
    <w:autoRedefine/>
    <w:qFormat/>
    <w:uiPriority w:val="0"/>
    <w:rPr>
      <w:rFonts w:ascii="宋体" w:eastAsia="宋体"/>
      <w:snapToGrid w:val="0"/>
      <w:color w:val="000000"/>
      <w:kern w:val="28"/>
      <w:sz w:val="28"/>
      <w:lang w:val="en-US" w:eastAsia="zh-CN" w:bidi="ar-SA"/>
    </w:rPr>
  </w:style>
  <w:style w:type="character" w:customStyle="1" w:styleId="257">
    <w:name w:val="列出段落 Char1"/>
    <w:link w:val="258"/>
    <w:autoRedefine/>
    <w:qFormat/>
    <w:uiPriority w:val="0"/>
    <w:rPr>
      <w:rFonts w:ascii="Calibri" w:hAnsi="Calibri"/>
      <w:sz w:val="24"/>
      <w:lang w:eastAsia="en-US"/>
    </w:rPr>
  </w:style>
  <w:style w:type="paragraph" w:customStyle="1" w:styleId="258">
    <w:name w:val="列表1"/>
    <w:basedOn w:val="1"/>
    <w:next w:val="259"/>
    <w:link w:val="257"/>
    <w:autoRedefine/>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59">
    <w:name w:val="列出段落1"/>
    <w:basedOn w:val="1"/>
    <w:autoRedefine/>
    <w:qFormat/>
    <w:uiPriority w:val="34"/>
    <w:pPr>
      <w:spacing w:line="360" w:lineRule="auto"/>
      <w:ind w:firstLine="200" w:firstLineChars="200"/>
    </w:pPr>
    <w:rPr>
      <w:rFonts w:eastAsia="楷体_GB2312" w:cs="Lucida Sans"/>
      <w:sz w:val="24"/>
    </w:rPr>
  </w:style>
  <w:style w:type="character" w:customStyle="1" w:styleId="260">
    <w:name w:val="Char Char8"/>
    <w:autoRedefine/>
    <w:qFormat/>
    <w:uiPriority w:val="0"/>
    <w:rPr>
      <w:rFonts w:eastAsia="宋体"/>
      <w:b/>
      <w:sz w:val="24"/>
      <w:lang w:val="en-GB" w:eastAsia="zh-CN"/>
    </w:rPr>
  </w:style>
  <w:style w:type="character" w:customStyle="1" w:styleId="261">
    <w:name w:val="Normal Indent Char Char"/>
    <w:autoRedefine/>
    <w:qFormat/>
    <w:uiPriority w:val="0"/>
    <w:rPr>
      <w:rFonts w:eastAsia="宋体"/>
      <w:kern w:val="2"/>
      <w:sz w:val="21"/>
      <w:lang w:val="en-US" w:eastAsia="zh-CN" w:bidi="ar-SA"/>
    </w:rPr>
  </w:style>
  <w:style w:type="character" w:customStyle="1" w:styleId="262">
    <w:name w:val="列表段落 字符"/>
    <w:autoRedefine/>
    <w:qFormat/>
    <w:uiPriority w:val="99"/>
  </w:style>
  <w:style w:type="character" w:customStyle="1" w:styleId="263">
    <w:name w:val="Ò³Ã¼ Char Char1"/>
    <w:autoRedefine/>
    <w:qFormat/>
    <w:uiPriority w:val="0"/>
    <w:rPr>
      <w:rFonts w:eastAsia="宋体"/>
      <w:kern w:val="2"/>
      <w:sz w:val="18"/>
      <w:szCs w:val="18"/>
      <w:lang w:val="en-US" w:eastAsia="zh-CN" w:bidi="ar-SA"/>
    </w:rPr>
  </w:style>
  <w:style w:type="character" w:customStyle="1" w:styleId="264">
    <w:name w:val="方案正文 Char"/>
    <w:autoRedefine/>
    <w:qFormat/>
    <w:uiPriority w:val="0"/>
    <w:rPr>
      <w:rFonts w:ascii="仿宋_GB2312" w:eastAsia="仿宋_GB2312"/>
      <w:b/>
      <w:color w:val="000000"/>
      <w:kern w:val="2"/>
      <w:sz w:val="24"/>
      <w:lang w:val="en-US" w:eastAsia="zh-CN" w:bidi="ar-SA"/>
    </w:rPr>
  </w:style>
  <w:style w:type="character" w:customStyle="1" w:styleId="265">
    <w:name w:val="Char Char30"/>
    <w:autoRedefine/>
    <w:qFormat/>
    <w:uiPriority w:val="6"/>
    <w:rPr>
      <w:rFonts w:ascii="Arial" w:hAnsi="Arial" w:eastAsia="黑体"/>
      <w:kern w:val="1"/>
      <w:sz w:val="21"/>
      <w:szCs w:val="21"/>
    </w:rPr>
  </w:style>
  <w:style w:type="character" w:customStyle="1" w:styleId="266">
    <w:name w:val="正文文本缩进 Char3"/>
    <w:link w:val="24"/>
    <w:autoRedefine/>
    <w:qFormat/>
    <w:uiPriority w:val="0"/>
    <w:rPr>
      <w:rFonts w:ascii="宋体" w:hAnsi="宋体"/>
      <w:kern w:val="2"/>
      <w:sz w:val="24"/>
      <w:szCs w:val="24"/>
    </w:rPr>
  </w:style>
  <w:style w:type="character" w:customStyle="1" w:styleId="267">
    <w:name w:val="font01"/>
    <w:autoRedefine/>
    <w:qFormat/>
    <w:uiPriority w:val="0"/>
    <w:rPr>
      <w:rFonts w:hint="eastAsia" w:ascii="微软雅黑" w:hAnsi="微软雅黑" w:eastAsia="微软雅黑" w:cs="微软雅黑"/>
      <w:color w:val="000000"/>
      <w:sz w:val="20"/>
      <w:szCs w:val="20"/>
      <w:u w:val="none"/>
    </w:rPr>
  </w:style>
  <w:style w:type="character" w:customStyle="1" w:styleId="268">
    <w:name w:val="Char Char20"/>
    <w:autoRedefine/>
    <w:qFormat/>
    <w:uiPriority w:val="6"/>
    <w:rPr>
      <w:kern w:val="1"/>
      <w:sz w:val="24"/>
    </w:rPr>
  </w:style>
  <w:style w:type="character" w:customStyle="1" w:styleId="269">
    <w:name w:val="tw4winExternal"/>
    <w:autoRedefine/>
    <w:qFormat/>
    <w:uiPriority w:val="0"/>
    <w:rPr>
      <w:rFonts w:ascii="Courier New" w:hAnsi="Courier New" w:cs="Courier New"/>
      <w:color w:val="808080"/>
      <w:lang w:val="en-US" w:eastAsia="zh-CN"/>
    </w:rPr>
  </w:style>
  <w:style w:type="character" w:customStyle="1" w:styleId="270">
    <w:name w:val="标题 4 Char1"/>
    <w:autoRedefine/>
    <w:qFormat/>
    <w:uiPriority w:val="9"/>
    <w:rPr>
      <w:rFonts w:ascii="Cambria" w:hAnsi="Cambria" w:eastAsia="宋体" w:cs="Times New Roman"/>
      <w:b/>
      <w:bCs/>
      <w:kern w:val="2"/>
      <w:sz w:val="28"/>
      <w:szCs w:val="28"/>
    </w:rPr>
  </w:style>
  <w:style w:type="character" w:customStyle="1" w:styleId="271">
    <w:name w:val="批注文字 Char2"/>
    <w:autoRedefine/>
    <w:qFormat/>
    <w:uiPriority w:val="99"/>
    <w:rPr>
      <w:rFonts w:ascii="Times New Roman" w:hAnsi="Times New Roman" w:eastAsia="宋体" w:cs="Times New Roman"/>
      <w:snapToGrid w:val="0"/>
      <w:kern w:val="0"/>
      <w:szCs w:val="24"/>
    </w:rPr>
  </w:style>
  <w:style w:type="character" w:customStyle="1" w:styleId="272">
    <w:name w:val="正文文本 2 Char"/>
    <w:autoRedefine/>
    <w:qFormat/>
    <w:uiPriority w:val="0"/>
    <w:rPr>
      <w:rFonts w:eastAsia="宋体"/>
      <w:kern w:val="2"/>
      <w:sz w:val="21"/>
      <w:szCs w:val="24"/>
      <w:lang w:val="en-US" w:eastAsia="zh-CN" w:bidi="ar-SA"/>
    </w:rPr>
  </w:style>
  <w:style w:type="character" w:customStyle="1" w:styleId="273">
    <w:name w:val="Ò³Ã¼ Char Char"/>
    <w:autoRedefine/>
    <w:qFormat/>
    <w:uiPriority w:val="0"/>
    <w:rPr>
      <w:rFonts w:eastAsia="宋体"/>
      <w:kern w:val="2"/>
      <w:sz w:val="18"/>
      <w:lang w:val="en-US" w:eastAsia="zh-CN" w:bidi="ar-SA"/>
    </w:rPr>
  </w:style>
  <w:style w:type="character" w:customStyle="1" w:styleId="274">
    <w:name w:val="message1"/>
    <w:autoRedefine/>
    <w:qFormat/>
    <w:uiPriority w:val="0"/>
    <w:rPr>
      <w:rFonts w:hint="default" w:ascii="Tahoma" w:hAnsi="Tahoma" w:cs="Tahoma"/>
      <w:sz w:val="18"/>
      <w:szCs w:val="18"/>
    </w:rPr>
  </w:style>
  <w:style w:type="character" w:customStyle="1" w:styleId="275">
    <w:name w:val="Char Char23"/>
    <w:autoRedefine/>
    <w:qFormat/>
    <w:uiPriority w:val="6"/>
    <w:rPr>
      <w:color w:val="0000FF"/>
      <w:sz w:val="21"/>
    </w:rPr>
  </w:style>
  <w:style w:type="character" w:customStyle="1" w:styleId="276">
    <w:name w:val="批注框文本 字符"/>
    <w:autoRedefine/>
    <w:qFormat/>
    <w:uiPriority w:val="0"/>
    <w:rPr>
      <w:rFonts w:ascii="Arial" w:hAnsi="Arial" w:eastAsia="黑体" w:cs="Arial"/>
      <w:snapToGrid w:val="0"/>
      <w:kern w:val="0"/>
      <w:sz w:val="18"/>
      <w:szCs w:val="18"/>
    </w:rPr>
  </w:style>
  <w:style w:type="character" w:customStyle="1" w:styleId="277">
    <w:name w:val="纯文本 Char2"/>
    <w:autoRedefine/>
    <w:semiHidden/>
    <w:qFormat/>
    <w:uiPriority w:val="99"/>
    <w:rPr>
      <w:rFonts w:ascii="宋体" w:hAnsi="Courier New" w:eastAsia="宋体" w:cs="Courier New"/>
    </w:rPr>
  </w:style>
  <w:style w:type="character" w:customStyle="1" w:styleId="278">
    <w:name w:val="Char Char25"/>
    <w:autoRedefine/>
    <w:qFormat/>
    <w:uiPriority w:val="6"/>
    <w:rPr>
      <w:rFonts w:ascii="宋体" w:hAnsi="宋体"/>
      <w:kern w:val="1"/>
      <w:sz w:val="24"/>
      <w:lang w:val="zh-CN"/>
    </w:rPr>
  </w:style>
  <w:style w:type="character" w:customStyle="1" w:styleId="279">
    <w:name w:val="Char Char411"/>
    <w:autoRedefine/>
    <w:qFormat/>
    <w:uiPriority w:val="0"/>
    <w:rPr>
      <w:rFonts w:eastAsia="宋体"/>
      <w:b/>
      <w:sz w:val="24"/>
      <w:lang w:val="en-GB" w:eastAsia="zh-CN" w:bidi="ar-SA"/>
    </w:rPr>
  </w:style>
  <w:style w:type="character" w:customStyle="1" w:styleId="280">
    <w:name w:val="Heading 7 Char"/>
    <w:autoRedefine/>
    <w:qFormat/>
    <w:locked/>
    <w:uiPriority w:val="0"/>
    <w:rPr>
      <w:rFonts w:ascii="宋体" w:hAnsi="宋体" w:eastAsia="宋体"/>
      <w:b/>
      <w:bCs/>
      <w:kern w:val="2"/>
      <w:sz w:val="24"/>
      <w:szCs w:val="24"/>
      <w:lang w:val="en-US" w:eastAsia="zh-CN" w:bidi="ar-SA"/>
    </w:rPr>
  </w:style>
  <w:style w:type="character" w:customStyle="1" w:styleId="281">
    <w:name w:val="此正文 Char"/>
    <w:link w:val="282"/>
    <w:autoRedefine/>
    <w:qFormat/>
    <w:uiPriority w:val="0"/>
    <w:rPr>
      <w:kern w:val="2"/>
      <w:sz w:val="24"/>
      <w:szCs w:val="24"/>
    </w:rPr>
  </w:style>
  <w:style w:type="paragraph" w:customStyle="1" w:styleId="282">
    <w:name w:val="此正文"/>
    <w:basedOn w:val="1"/>
    <w:link w:val="281"/>
    <w:autoRedefine/>
    <w:qFormat/>
    <w:uiPriority w:val="0"/>
    <w:pPr>
      <w:adjustRightInd/>
      <w:spacing w:line="360" w:lineRule="auto"/>
      <w:ind w:firstLine="200" w:firstLineChars="200"/>
    </w:pPr>
    <w:rPr>
      <w:sz w:val="24"/>
    </w:rPr>
  </w:style>
  <w:style w:type="character" w:customStyle="1" w:styleId="283">
    <w:name w:val="Char Char2"/>
    <w:autoRedefine/>
    <w:qFormat/>
    <w:uiPriority w:val="0"/>
    <w:rPr>
      <w:rFonts w:eastAsia="宋体"/>
      <w:b/>
      <w:bCs/>
      <w:kern w:val="2"/>
      <w:sz w:val="21"/>
      <w:szCs w:val="24"/>
      <w:lang w:val="en-US" w:eastAsia="zh-CN" w:bidi="ar-SA"/>
    </w:rPr>
  </w:style>
  <w:style w:type="character" w:customStyle="1" w:styleId="284">
    <w:name w:val="标题 1 Char"/>
    <w:link w:val="2"/>
    <w:autoRedefine/>
    <w:qFormat/>
    <w:uiPriority w:val="9"/>
    <w:rPr>
      <w:b/>
      <w:bCs/>
      <w:kern w:val="44"/>
      <w:sz w:val="44"/>
      <w:szCs w:val="44"/>
    </w:rPr>
  </w:style>
  <w:style w:type="character" w:customStyle="1" w:styleId="285">
    <w:name w:val="Footer-Even Char1"/>
    <w:autoRedefine/>
    <w:qFormat/>
    <w:uiPriority w:val="0"/>
    <w:rPr>
      <w:rFonts w:eastAsia="宋体"/>
      <w:kern w:val="2"/>
      <w:sz w:val="18"/>
      <w:szCs w:val="18"/>
      <w:lang w:val="en-US" w:eastAsia="zh-CN" w:bidi="ar-SA"/>
    </w:rPr>
  </w:style>
  <w:style w:type="character" w:customStyle="1" w:styleId="286">
    <w:name w:val="Char Char29"/>
    <w:autoRedefine/>
    <w:qFormat/>
    <w:uiPriority w:val="6"/>
    <w:rPr>
      <w:rFonts w:ascii="Arial" w:hAnsi="Arial" w:eastAsia="微软雅黑"/>
      <w:b/>
      <w:kern w:val="1"/>
      <w:sz w:val="44"/>
      <w:szCs w:val="32"/>
      <w:lang w:val="en-US" w:eastAsia="zh-CN" w:bidi="ar-SA"/>
    </w:rPr>
  </w:style>
  <w:style w:type="character" w:customStyle="1" w:styleId="287">
    <w:name w:val="标题 Char2"/>
    <w:link w:val="59"/>
    <w:autoRedefine/>
    <w:qFormat/>
    <w:uiPriority w:val="10"/>
    <w:rPr>
      <w:b/>
      <w:sz w:val="24"/>
      <w:lang w:val="en-GB"/>
    </w:rPr>
  </w:style>
  <w:style w:type="character" w:customStyle="1" w:styleId="288">
    <w:name w:val="font81"/>
    <w:autoRedefine/>
    <w:qFormat/>
    <w:uiPriority w:val="0"/>
    <w:rPr>
      <w:rFonts w:ascii="微软雅黑" w:hAnsi="微软雅黑" w:eastAsia="微软雅黑" w:cs="微软雅黑"/>
      <w:color w:val="000000"/>
      <w:sz w:val="20"/>
      <w:szCs w:val="20"/>
      <w:u w:val="none"/>
    </w:rPr>
  </w:style>
  <w:style w:type="character" w:customStyle="1" w:styleId="289">
    <w:name w:val="Char Char312"/>
    <w:autoRedefine/>
    <w:qFormat/>
    <w:uiPriority w:val="0"/>
    <w:rPr>
      <w:rFonts w:ascii="Times New Roman" w:hAnsi="Times New Roman" w:eastAsia="宋体" w:cs="Times New Roman"/>
      <w:b/>
      <w:kern w:val="2"/>
      <w:sz w:val="32"/>
      <w:szCs w:val="24"/>
      <w:lang w:val="en-US" w:eastAsia="zh-CN" w:bidi="ar-SA"/>
    </w:rPr>
  </w:style>
  <w:style w:type="character" w:customStyle="1" w:styleId="290">
    <w:name w:val="t21"/>
    <w:autoRedefine/>
    <w:qFormat/>
    <w:uiPriority w:val="0"/>
    <w:rPr>
      <w:rFonts w:ascii="仿宋_GB2312" w:eastAsia="微软雅黑"/>
      <w:b/>
      <w:kern w:val="2"/>
      <w:sz w:val="23"/>
      <w:szCs w:val="23"/>
      <w:lang w:val="en-US" w:eastAsia="zh-CN" w:bidi="ar-SA"/>
    </w:rPr>
  </w:style>
  <w:style w:type="character" w:customStyle="1" w:styleId="291">
    <w:name w:val="样式8 Char"/>
    <w:autoRedefine/>
    <w:qFormat/>
    <w:uiPriority w:val="0"/>
    <w:rPr>
      <w:rFonts w:ascii="仿宋_GB2312" w:hAnsi="宋体" w:eastAsia="仿宋_GB2312"/>
      <w:b/>
      <w:bCs/>
      <w:kern w:val="2"/>
      <w:sz w:val="24"/>
      <w:szCs w:val="24"/>
    </w:rPr>
  </w:style>
  <w:style w:type="character" w:customStyle="1" w:styleId="292">
    <w:name w:val="表格 Char Char"/>
    <w:autoRedefine/>
    <w:qFormat/>
    <w:uiPriority w:val="0"/>
    <w:rPr>
      <w:rFonts w:ascii="宋体" w:hAnsi="宋体" w:eastAsia="宋体"/>
      <w:lang w:bidi="ar-SA"/>
    </w:rPr>
  </w:style>
  <w:style w:type="character" w:customStyle="1" w:styleId="293">
    <w:name w:val="正文文本 字符1"/>
    <w:autoRedefine/>
    <w:qFormat/>
    <w:uiPriority w:val="0"/>
    <w:rPr>
      <w:rFonts w:ascii="Calibri" w:hAnsi="Calibri" w:eastAsia="黑体" w:cs="Arial"/>
      <w:snapToGrid w:val="0"/>
      <w:kern w:val="2"/>
      <w:sz w:val="28"/>
      <w:szCs w:val="21"/>
    </w:rPr>
  </w:style>
  <w:style w:type="character" w:customStyle="1" w:styleId="294">
    <w:name w:val="标题 5 Char"/>
    <w:link w:val="7"/>
    <w:autoRedefine/>
    <w:qFormat/>
    <w:uiPriority w:val="9"/>
    <w:rPr>
      <w:b/>
      <w:bCs/>
      <w:kern w:val="2"/>
      <w:sz w:val="28"/>
      <w:szCs w:val="28"/>
    </w:rPr>
  </w:style>
  <w:style w:type="character" w:customStyle="1" w:styleId="295">
    <w:name w:val="标题 6 Char1"/>
    <w:autoRedefine/>
    <w:qFormat/>
    <w:uiPriority w:val="0"/>
    <w:rPr>
      <w:rFonts w:ascii="Arial" w:hAnsi="Arial" w:eastAsia="黑体" w:cs="Times New Roman"/>
      <w:b/>
      <w:sz w:val="24"/>
      <w:szCs w:val="20"/>
      <w:lang w:bidi="ar-SA"/>
    </w:rPr>
  </w:style>
  <w:style w:type="character" w:customStyle="1" w:styleId="296">
    <w:name w:val="带编号样式 Char"/>
    <w:autoRedefine/>
    <w:qFormat/>
    <w:uiPriority w:val="0"/>
    <w:rPr>
      <w:rFonts w:ascii="仿宋_GB2312" w:eastAsia="仿宋_GB2312"/>
      <w:color w:val="000000"/>
      <w:sz w:val="24"/>
      <w:lang w:bidi="ar-SA"/>
    </w:rPr>
  </w:style>
  <w:style w:type="character" w:customStyle="1" w:styleId="297">
    <w:name w:val="unnamed31"/>
    <w:autoRedefine/>
    <w:qFormat/>
    <w:uiPriority w:val="0"/>
    <w:rPr>
      <w:rFonts w:ascii="Tahoma" w:hAnsi="Tahoma" w:eastAsia="宋体"/>
      <w:b/>
      <w:kern w:val="2"/>
      <w:sz w:val="24"/>
      <w:szCs w:val="32"/>
      <w:u w:val="none"/>
      <w:lang w:val="en-US" w:eastAsia="zh-CN" w:bidi="ar-SA"/>
    </w:rPr>
  </w:style>
  <w:style w:type="character" w:customStyle="1" w:styleId="298">
    <w:name w:val="正文首行缩进 Char Char Char Char Char Char1"/>
    <w:autoRedefine/>
    <w:qFormat/>
    <w:uiPriority w:val="0"/>
    <w:rPr>
      <w:rFonts w:ascii="宋体" w:eastAsia="宋体"/>
      <w:kern w:val="2"/>
      <w:sz w:val="24"/>
      <w:szCs w:val="24"/>
      <w:lang w:val="zh-CN" w:bidi="ar-SA"/>
    </w:rPr>
  </w:style>
  <w:style w:type="character" w:customStyle="1" w:styleId="299">
    <w:name w:val="称呼 Char"/>
    <w:link w:val="20"/>
    <w:autoRedefine/>
    <w:qFormat/>
    <w:uiPriority w:val="0"/>
    <w:rPr>
      <w:rFonts w:ascii="仿宋_GB2312" w:eastAsia="仿宋_GB2312"/>
      <w:kern w:val="2"/>
      <w:sz w:val="28"/>
    </w:rPr>
  </w:style>
  <w:style w:type="character" w:customStyle="1" w:styleId="300">
    <w:name w:val="文本正文 Char Char"/>
    <w:autoRedefine/>
    <w:qFormat/>
    <w:locked/>
    <w:uiPriority w:val="0"/>
    <w:rPr>
      <w:sz w:val="24"/>
      <w:lang w:bidi="ar-SA"/>
    </w:rPr>
  </w:style>
  <w:style w:type="character" w:customStyle="1" w:styleId="301">
    <w:name w:val="正文缩进 字符"/>
    <w:autoRedefine/>
    <w:qFormat/>
    <w:uiPriority w:val="0"/>
    <w:rPr>
      <w:rFonts w:ascii="宋体" w:eastAsia="宋体"/>
      <w:snapToGrid w:val="0"/>
      <w:color w:val="000000"/>
      <w:kern w:val="28"/>
      <w:sz w:val="28"/>
      <w:lang w:val="en-US" w:eastAsia="zh-CN" w:bidi="ar-SA"/>
    </w:rPr>
  </w:style>
  <w:style w:type="character" w:customStyle="1" w:styleId="302">
    <w:name w:val="HTML 预设格式 Char"/>
    <w:link w:val="57"/>
    <w:autoRedefine/>
    <w:qFormat/>
    <w:uiPriority w:val="0"/>
    <w:rPr>
      <w:rFonts w:ascii="黑体" w:hAnsi="Courier New" w:eastAsia="黑体"/>
    </w:rPr>
  </w:style>
  <w:style w:type="character" w:customStyle="1" w:styleId="303">
    <w:name w:val="正文文本 2 Char1"/>
    <w:link w:val="56"/>
    <w:autoRedefine/>
    <w:qFormat/>
    <w:uiPriority w:val="0"/>
    <w:rPr>
      <w:kern w:val="2"/>
      <w:sz w:val="21"/>
      <w:szCs w:val="24"/>
    </w:rPr>
  </w:style>
  <w:style w:type="character" w:customStyle="1" w:styleId="304">
    <w:name w:val="样式 样式 标题 4h4H4Fab-4T5Ref Heading 1rh1Heading sqlsect 1.2.3.... +... Char"/>
    <w:link w:val="305"/>
    <w:autoRedefine/>
    <w:qFormat/>
    <w:uiPriority w:val="0"/>
    <w:rPr>
      <w:rFonts w:ascii="微软雅黑" w:hAnsi="微软雅黑" w:eastAsia="微软雅黑"/>
      <w:b/>
      <w:bCs/>
      <w:kern w:val="2"/>
      <w:sz w:val="24"/>
      <w:szCs w:val="28"/>
    </w:rPr>
  </w:style>
  <w:style w:type="paragraph" w:customStyle="1" w:styleId="305">
    <w:name w:val="样式 样式 标题 4h4H4Fab-4T5Ref Heading 1rh1Heading sqlsect 1.2.3.... +..."/>
    <w:basedOn w:val="306"/>
    <w:link w:val="304"/>
    <w:autoRedefine/>
    <w:qFormat/>
    <w:uiPriority w:val="0"/>
    <w:pPr>
      <w:tabs>
        <w:tab w:val="left" w:pos="2356"/>
      </w:tabs>
    </w:pPr>
  </w:style>
  <w:style w:type="paragraph" w:customStyle="1" w:styleId="306">
    <w:name w:val="样式 标题 4h4H4Fab-4T5Ref Heading 1rh1Heading sqlsect 1.2.3...."/>
    <w:basedOn w:val="6"/>
    <w:link w:val="413"/>
    <w:autoRedefine/>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7">
    <w:name w:val="正文非缩进 Char"/>
    <w:autoRedefine/>
    <w:qFormat/>
    <w:uiPriority w:val="0"/>
    <w:rPr>
      <w:rFonts w:ascii="宋体" w:eastAsia="宋体"/>
      <w:snapToGrid w:val="0"/>
      <w:color w:val="000000"/>
      <w:kern w:val="28"/>
      <w:sz w:val="28"/>
      <w:lang w:val="en-US" w:eastAsia="zh-CN" w:bidi="ar-SA"/>
    </w:rPr>
  </w:style>
  <w:style w:type="character" w:customStyle="1" w:styleId="308">
    <w:name w:val="标题 7 Char"/>
    <w:link w:val="9"/>
    <w:autoRedefine/>
    <w:qFormat/>
    <w:uiPriority w:val="0"/>
    <w:rPr>
      <w:b/>
      <w:bCs/>
      <w:kern w:val="2"/>
      <w:sz w:val="24"/>
      <w:szCs w:val="24"/>
    </w:rPr>
  </w:style>
  <w:style w:type="character" w:customStyle="1" w:styleId="309">
    <w:name w:val="正文文本缩进 2 Char"/>
    <w:link w:val="37"/>
    <w:autoRedefine/>
    <w:qFormat/>
    <w:uiPriority w:val="0"/>
    <w:rPr>
      <w:rFonts w:ascii="宋体"/>
      <w:sz w:val="28"/>
    </w:rPr>
  </w:style>
  <w:style w:type="character" w:customStyle="1" w:styleId="310">
    <w:name w:val="Char Char5"/>
    <w:autoRedefine/>
    <w:qFormat/>
    <w:uiPriority w:val="0"/>
    <w:rPr>
      <w:rFonts w:ascii="宋体" w:hAnsi="Courier New" w:eastAsia="宋体"/>
      <w:kern w:val="2"/>
      <w:sz w:val="21"/>
      <w:lang w:val="en-US" w:eastAsia="zh-CN"/>
    </w:rPr>
  </w:style>
  <w:style w:type="character" w:customStyle="1" w:styleId="311">
    <w:name w:val="脚注文本 Char"/>
    <w:link w:val="50"/>
    <w:autoRedefine/>
    <w:qFormat/>
    <w:uiPriority w:val="0"/>
    <w:rPr>
      <w:color w:val="0000FF"/>
      <w:sz w:val="21"/>
    </w:rPr>
  </w:style>
  <w:style w:type="character" w:customStyle="1" w:styleId="312">
    <w:name w:val="称呼 Char1"/>
    <w:autoRedefine/>
    <w:qFormat/>
    <w:uiPriority w:val="0"/>
    <w:rPr>
      <w:rFonts w:ascii="Times New Roman" w:hAnsi="Times New Roman" w:eastAsia="宋体" w:cs="Times New Roman"/>
      <w:szCs w:val="24"/>
    </w:rPr>
  </w:style>
  <w:style w:type="character" w:customStyle="1" w:styleId="313">
    <w:name w:val="正文1 Char"/>
    <w:autoRedefine/>
    <w:qFormat/>
    <w:uiPriority w:val="0"/>
    <w:rPr>
      <w:rFonts w:ascii="宋体" w:eastAsia="宋体"/>
      <w:snapToGrid w:val="0"/>
      <w:color w:val="000000"/>
      <w:kern w:val="28"/>
      <w:sz w:val="28"/>
      <w:lang w:val="en-US" w:eastAsia="zh-CN" w:bidi="ar-SA"/>
    </w:rPr>
  </w:style>
  <w:style w:type="character" w:customStyle="1" w:styleId="314">
    <w:name w:val="正文缩进 Char1"/>
    <w:autoRedefine/>
    <w:qFormat/>
    <w:uiPriority w:val="0"/>
    <w:rPr>
      <w:rFonts w:ascii="宋体" w:eastAsia="宋体"/>
      <w:snapToGrid w:val="0"/>
      <w:color w:val="000000"/>
      <w:kern w:val="28"/>
      <w:sz w:val="28"/>
      <w:lang w:val="en-US" w:eastAsia="zh-CN" w:bidi="ar-SA"/>
    </w:rPr>
  </w:style>
  <w:style w:type="character" w:customStyle="1" w:styleId="315">
    <w:name w:val="font21"/>
    <w:autoRedefine/>
    <w:qFormat/>
    <w:uiPriority w:val="0"/>
    <w:rPr>
      <w:rFonts w:hint="eastAsia" w:ascii="宋体" w:hAnsi="宋体" w:eastAsia="宋体"/>
      <w:kern w:val="2"/>
      <w:sz w:val="28"/>
      <w:szCs w:val="28"/>
      <w:lang w:val="en-US" w:eastAsia="zh-CN" w:bidi="ar-SA"/>
    </w:rPr>
  </w:style>
  <w:style w:type="character" w:customStyle="1" w:styleId="316">
    <w:name w:val="Char Char26"/>
    <w:autoRedefine/>
    <w:qFormat/>
    <w:uiPriority w:val="6"/>
    <w:rPr>
      <w:kern w:val="1"/>
      <w:sz w:val="21"/>
      <w:szCs w:val="24"/>
    </w:rPr>
  </w:style>
  <w:style w:type="character" w:customStyle="1" w:styleId="317">
    <w:name w:val="Item List Char"/>
    <w:link w:val="318"/>
    <w:autoRedefine/>
    <w:qFormat/>
    <w:uiPriority w:val="0"/>
    <w:rPr>
      <w:rFonts w:ascii="Arial"/>
      <w:bCs/>
      <w:sz w:val="21"/>
      <w:szCs w:val="21"/>
      <w:lang w:val="en-US" w:eastAsia="zh-CN" w:bidi="ar-SA"/>
    </w:rPr>
  </w:style>
  <w:style w:type="paragraph" w:customStyle="1" w:styleId="318">
    <w:name w:val="Item List"/>
    <w:link w:val="317"/>
    <w:autoRedefine/>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9">
    <w:name w:val="批注框文本 Char1"/>
    <w:autoRedefine/>
    <w:qFormat/>
    <w:uiPriority w:val="0"/>
    <w:rPr>
      <w:rFonts w:ascii="Times New Roman" w:hAnsi="Times New Roman" w:eastAsia="宋体" w:cs="Times New Roman"/>
      <w:sz w:val="18"/>
      <w:szCs w:val="18"/>
    </w:rPr>
  </w:style>
  <w:style w:type="character" w:customStyle="1" w:styleId="320">
    <w:name w:val="纯文本 Char1"/>
    <w:link w:val="321"/>
    <w:autoRedefine/>
    <w:qFormat/>
    <w:uiPriority w:val="0"/>
    <w:rPr>
      <w:rFonts w:ascii="宋体" w:hAnsi="Courier New"/>
    </w:rPr>
  </w:style>
  <w:style w:type="paragraph" w:customStyle="1" w:styleId="321">
    <w:name w:val="纯文本1"/>
    <w:basedOn w:val="1"/>
    <w:link w:val="320"/>
    <w:autoRedefine/>
    <w:qFormat/>
    <w:uiPriority w:val="0"/>
    <w:pPr>
      <w:adjustRightInd/>
    </w:pPr>
    <w:rPr>
      <w:rFonts w:ascii="宋体" w:hAnsi="Courier New"/>
      <w:kern w:val="0"/>
      <w:sz w:val="20"/>
      <w:szCs w:val="20"/>
    </w:rPr>
  </w:style>
  <w:style w:type="character" w:customStyle="1" w:styleId="322">
    <w:name w:val="正文首行缩进 Char"/>
    <w:link w:val="61"/>
    <w:autoRedefine/>
    <w:qFormat/>
    <w:uiPriority w:val="0"/>
    <w:rPr>
      <w:rFonts w:ascii="宋体"/>
      <w:kern w:val="2"/>
      <w:sz w:val="24"/>
      <w:lang w:val="zh-CN"/>
    </w:rPr>
  </w:style>
  <w:style w:type="character" w:customStyle="1" w:styleId="323">
    <w:name w:val="h3 Char"/>
    <w:autoRedefine/>
    <w:qFormat/>
    <w:uiPriority w:val="0"/>
    <w:rPr>
      <w:rFonts w:eastAsia="宋体"/>
      <w:b/>
      <w:kern w:val="2"/>
      <w:sz w:val="32"/>
      <w:lang w:val="en-US" w:eastAsia="zh-CN" w:bidi="ar-SA"/>
    </w:rPr>
  </w:style>
  <w:style w:type="character" w:customStyle="1" w:styleId="324">
    <w:name w:val="dandyren_title1"/>
    <w:autoRedefine/>
    <w:qFormat/>
    <w:uiPriority w:val="0"/>
    <w:rPr>
      <w:b/>
      <w:bCs/>
      <w:color w:val="FF6633"/>
      <w:sz w:val="18"/>
      <w:szCs w:val="18"/>
    </w:rPr>
  </w:style>
  <w:style w:type="character" w:customStyle="1" w:styleId="325">
    <w:name w:val="Char Char31"/>
    <w:autoRedefine/>
    <w:qFormat/>
    <w:uiPriority w:val="6"/>
    <w:rPr>
      <w:rFonts w:ascii="Arial" w:hAnsi="Arial" w:eastAsia="黑体"/>
      <w:kern w:val="1"/>
      <w:sz w:val="24"/>
      <w:szCs w:val="24"/>
    </w:rPr>
  </w:style>
  <w:style w:type="character" w:customStyle="1" w:styleId="326">
    <w:name w:val="h Char1"/>
    <w:autoRedefine/>
    <w:qFormat/>
    <w:uiPriority w:val="0"/>
    <w:rPr>
      <w:sz w:val="18"/>
      <w:szCs w:val="18"/>
    </w:rPr>
  </w:style>
  <w:style w:type="character" w:customStyle="1" w:styleId="327">
    <w:name w:val="solutionfonts"/>
    <w:autoRedefine/>
    <w:qFormat/>
    <w:uiPriority w:val="0"/>
  </w:style>
  <w:style w:type="character" w:customStyle="1" w:styleId="328">
    <w:name w:val="标题 4 Char2"/>
    <w:link w:val="6"/>
    <w:autoRedefine/>
    <w:qFormat/>
    <w:uiPriority w:val="9"/>
    <w:rPr>
      <w:rFonts w:ascii="Arial" w:hAnsi="Arial" w:eastAsia="黑体"/>
      <w:b/>
      <w:bCs/>
      <w:kern w:val="2"/>
      <w:sz w:val="28"/>
      <w:szCs w:val="28"/>
      <w:lang w:val="zh-CN"/>
    </w:rPr>
  </w:style>
  <w:style w:type="character" w:customStyle="1" w:styleId="329">
    <w:name w:val="首行缩进 Char"/>
    <w:autoRedefine/>
    <w:qFormat/>
    <w:uiPriority w:val="0"/>
    <w:rPr>
      <w:rFonts w:ascii="宋体" w:eastAsia="宋体"/>
      <w:kern w:val="2"/>
      <w:sz w:val="24"/>
      <w:lang w:val="en-US" w:eastAsia="zh-CN" w:bidi="ar-SA"/>
    </w:rPr>
  </w:style>
  <w:style w:type="character" w:customStyle="1" w:styleId="330">
    <w:name w:val="Char Char52"/>
    <w:autoRedefine/>
    <w:qFormat/>
    <w:uiPriority w:val="0"/>
    <w:rPr>
      <w:rFonts w:ascii="宋体" w:hAnsi="Courier New" w:eastAsia="宋体"/>
      <w:kern w:val="2"/>
      <w:sz w:val="21"/>
      <w:lang w:val="en-US" w:eastAsia="zh-CN"/>
    </w:rPr>
  </w:style>
  <w:style w:type="character" w:customStyle="1" w:styleId="331">
    <w:name w:val="正文文本 3 Char"/>
    <w:link w:val="21"/>
    <w:autoRedefine/>
    <w:qFormat/>
    <w:uiPriority w:val="0"/>
    <w:rPr>
      <w:kern w:val="2"/>
      <w:sz w:val="21"/>
    </w:rPr>
  </w:style>
  <w:style w:type="character" w:customStyle="1" w:styleId="332">
    <w:name w:val="font31"/>
    <w:autoRedefine/>
    <w:qFormat/>
    <w:uiPriority w:val="0"/>
    <w:rPr>
      <w:rFonts w:hint="eastAsia" w:ascii="仿宋" w:hAnsi="仿宋" w:eastAsia="仿宋" w:cs="仿宋"/>
      <w:color w:val="000000"/>
      <w:sz w:val="20"/>
      <w:szCs w:val="20"/>
      <w:u w:val="none"/>
    </w:rPr>
  </w:style>
  <w:style w:type="character" w:customStyle="1" w:styleId="333">
    <w:name w:val="正文说明 Char"/>
    <w:link w:val="334"/>
    <w:autoRedefine/>
    <w:qFormat/>
    <w:uiPriority w:val="0"/>
    <w:rPr>
      <w:sz w:val="24"/>
      <w:szCs w:val="24"/>
    </w:rPr>
  </w:style>
  <w:style w:type="paragraph" w:customStyle="1" w:styleId="334">
    <w:name w:val="正文说明"/>
    <w:basedOn w:val="1"/>
    <w:link w:val="333"/>
    <w:autoRedefine/>
    <w:qFormat/>
    <w:uiPriority w:val="0"/>
    <w:pPr>
      <w:adjustRightInd/>
      <w:spacing w:line="360" w:lineRule="auto"/>
    </w:pPr>
    <w:rPr>
      <w:kern w:val="0"/>
      <w:sz w:val="24"/>
    </w:rPr>
  </w:style>
  <w:style w:type="character" w:customStyle="1" w:styleId="335">
    <w:name w:val="脚注文本 Char1"/>
    <w:autoRedefine/>
    <w:qFormat/>
    <w:uiPriority w:val="0"/>
    <w:rPr>
      <w:rFonts w:ascii="Times New Roman" w:hAnsi="Times New Roman" w:eastAsia="宋体" w:cs="Times New Roman"/>
      <w:sz w:val="18"/>
      <w:szCs w:val="18"/>
    </w:rPr>
  </w:style>
  <w:style w:type="character" w:customStyle="1" w:styleId="336">
    <w:name w:val="Char Char1211"/>
    <w:autoRedefine/>
    <w:qFormat/>
    <w:uiPriority w:val="0"/>
    <w:rPr>
      <w:rFonts w:ascii="仿宋_GB2312" w:eastAsia="仿宋_GB2312"/>
      <w:b/>
      <w:bCs/>
      <w:kern w:val="2"/>
      <w:sz w:val="24"/>
      <w:szCs w:val="24"/>
      <w:lang w:val="zh-CN" w:eastAsia="zh-CN" w:bidi="ar-SA"/>
    </w:rPr>
  </w:style>
  <w:style w:type="character" w:customStyle="1" w:styleId="337">
    <w:name w:val="标题 Char"/>
    <w:autoRedefine/>
    <w:qFormat/>
    <w:uiPriority w:val="0"/>
    <w:rPr>
      <w:rFonts w:eastAsia="宋体"/>
      <w:b/>
      <w:sz w:val="24"/>
      <w:lang w:val="en-GB" w:eastAsia="zh-CN" w:bidi="ar-SA"/>
    </w:rPr>
  </w:style>
  <w:style w:type="character" w:customStyle="1" w:styleId="338">
    <w:name w:val="Char Char35"/>
    <w:autoRedefine/>
    <w:qFormat/>
    <w:uiPriority w:val="6"/>
    <w:rPr>
      <w:rFonts w:ascii="Arial" w:hAnsi="Arial" w:eastAsia="黑体"/>
      <w:b/>
      <w:kern w:val="1"/>
      <w:sz w:val="28"/>
      <w:szCs w:val="28"/>
      <w:lang w:val="zh-CN"/>
    </w:rPr>
  </w:style>
  <w:style w:type="character" w:customStyle="1" w:styleId="339">
    <w:name w:val="纯文本 Char Char Char"/>
    <w:autoRedefine/>
    <w:qFormat/>
    <w:uiPriority w:val="0"/>
    <w:rPr>
      <w:rFonts w:ascii="宋体" w:hAnsi="Courier New" w:eastAsia="宋体"/>
      <w:kern w:val="2"/>
      <w:sz w:val="21"/>
      <w:lang w:val="en-US" w:eastAsia="zh-CN" w:bidi="ar-SA"/>
    </w:rPr>
  </w:style>
  <w:style w:type="character" w:customStyle="1" w:styleId="340">
    <w:name w:val="Table Text Char"/>
    <w:link w:val="341"/>
    <w:autoRedefine/>
    <w:qFormat/>
    <w:uiPriority w:val="0"/>
    <w:rPr>
      <w:sz w:val="24"/>
      <w:szCs w:val="24"/>
    </w:rPr>
  </w:style>
  <w:style w:type="paragraph" w:customStyle="1" w:styleId="341">
    <w:name w:val="Table Text"/>
    <w:basedOn w:val="1"/>
    <w:link w:val="340"/>
    <w:autoRedefine/>
    <w:qFormat/>
    <w:uiPriority w:val="0"/>
    <w:pPr>
      <w:widowControl/>
      <w:spacing w:before="60" w:after="60"/>
      <w:jc w:val="left"/>
    </w:pPr>
    <w:rPr>
      <w:kern w:val="0"/>
      <w:sz w:val="24"/>
    </w:rPr>
  </w:style>
  <w:style w:type="character" w:customStyle="1" w:styleId="342">
    <w:name w:val="正文1 Char1"/>
    <w:autoRedefine/>
    <w:qFormat/>
    <w:uiPriority w:val="0"/>
    <w:rPr>
      <w:rFonts w:ascii="仿宋_GB2312" w:hAnsi="Courier New" w:eastAsia="仿宋_GB2312"/>
      <w:kern w:val="28"/>
      <w:sz w:val="24"/>
      <w:szCs w:val="24"/>
      <w:lang w:val="en-US" w:eastAsia="zh-CN"/>
    </w:rPr>
  </w:style>
  <w:style w:type="character" w:customStyle="1" w:styleId="343">
    <w:name w:val="页脚 Char1"/>
    <w:autoRedefine/>
    <w:qFormat/>
    <w:uiPriority w:val="0"/>
    <w:rPr>
      <w:rFonts w:eastAsia="宋体"/>
      <w:kern w:val="2"/>
      <w:sz w:val="18"/>
      <w:szCs w:val="18"/>
      <w:lang w:val="en-US" w:eastAsia="zh-CN" w:bidi="ar-SA"/>
    </w:rPr>
  </w:style>
  <w:style w:type="character" w:customStyle="1" w:styleId="344">
    <w:name w:val="Bold"/>
    <w:autoRedefine/>
    <w:qFormat/>
    <w:uiPriority w:val="0"/>
    <w:rPr>
      <w:rFonts w:ascii="Arial" w:hAnsi="Arial" w:eastAsia="黑体" w:cs="Times New Roman"/>
      <w:b/>
      <w:kern w:val="2"/>
      <w:sz w:val="32"/>
      <w:szCs w:val="32"/>
      <w:lang w:val="en-US" w:eastAsia="zh-CN" w:bidi="ar-SA"/>
    </w:rPr>
  </w:style>
  <w:style w:type="character" w:customStyle="1" w:styleId="345">
    <w:name w:val="批注文字 Char1"/>
    <w:link w:val="19"/>
    <w:autoRedefine/>
    <w:qFormat/>
    <w:uiPriority w:val="99"/>
    <w:rPr>
      <w:kern w:val="2"/>
      <w:sz w:val="21"/>
      <w:szCs w:val="24"/>
    </w:rPr>
  </w:style>
  <w:style w:type="character" w:customStyle="1" w:styleId="346">
    <w:name w:val="签名 Char"/>
    <w:link w:val="42"/>
    <w:autoRedefine/>
    <w:qFormat/>
    <w:uiPriority w:val="0"/>
    <w:rPr>
      <w:rFonts w:eastAsia="仿宋_GB2312"/>
      <w:sz w:val="24"/>
    </w:rPr>
  </w:style>
  <w:style w:type="character" w:customStyle="1" w:styleId="347">
    <w:name w:val="hui3"/>
    <w:autoRedefine/>
    <w:qFormat/>
    <w:uiPriority w:val="0"/>
    <w:rPr>
      <w:color w:val="333333"/>
    </w:rPr>
  </w:style>
  <w:style w:type="character" w:customStyle="1" w:styleId="348">
    <w:name w:val="Char Char17"/>
    <w:autoRedefine/>
    <w:qFormat/>
    <w:uiPriority w:val="6"/>
    <w:rPr>
      <w:rFonts w:eastAsia="仿宋_GB2312"/>
      <w:sz w:val="24"/>
    </w:rPr>
  </w:style>
  <w:style w:type="character" w:customStyle="1" w:styleId="349">
    <w:name w:val="标题 4 字符"/>
    <w:autoRedefine/>
    <w:qFormat/>
    <w:uiPriority w:val="9"/>
    <w:rPr>
      <w:rFonts w:ascii="等线 Light" w:hAnsi="等线 Light" w:eastAsia="等线 Light" w:cs="Times New Roman"/>
      <w:b/>
      <w:bCs/>
      <w:snapToGrid w:val="0"/>
      <w:kern w:val="0"/>
      <w:sz w:val="28"/>
      <w:szCs w:val="28"/>
    </w:rPr>
  </w:style>
  <w:style w:type="character" w:customStyle="1" w:styleId="350">
    <w:name w:val="Char Char37"/>
    <w:autoRedefine/>
    <w:qFormat/>
    <w:uiPriority w:val="6"/>
    <w:rPr>
      <w:b/>
      <w:kern w:val="1"/>
      <w:sz w:val="44"/>
      <w:szCs w:val="44"/>
    </w:rPr>
  </w:style>
  <w:style w:type="character" w:customStyle="1" w:styleId="351">
    <w:name w:val="列出段落 Char"/>
    <w:autoRedefine/>
    <w:qFormat/>
    <w:uiPriority w:val="0"/>
    <w:rPr>
      <w:rFonts w:eastAsia="楷体_GB2312" w:cs="Lucida Sans"/>
      <w:kern w:val="2"/>
      <w:sz w:val="24"/>
      <w:szCs w:val="24"/>
      <w:lang w:val="en-US" w:eastAsia="zh-CN" w:bidi="ar-SA"/>
    </w:rPr>
  </w:style>
  <w:style w:type="character" w:customStyle="1" w:styleId="352">
    <w:name w:val="正文文本缩进 3 Char1"/>
    <w:autoRedefine/>
    <w:semiHidden/>
    <w:qFormat/>
    <w:uiPriority w:val="99"/>
    <w:rPr>
      <w:rFonts w:ascii="Times New Roman" w:hAnsi="Times New Roman" w:eastAsia="宋体" w:cs="Times New Roman"/>
      <w:sz w:val="16"/>
      <w:szCs w:val="16"/>
    </w:rPr>
  </w:style>
  <w:style w:type="character" w:customStyle="1" w:styleId="353">
    <w:name w:val="公文正文 Char Char"/>
    <w:link w:val="354"/>
    <w:autoRedefine/>
    <w:qFormat/>
    <w:uiPriority w:val="0"/>
    <w:rPr>
      <w:rFonts w:ascii="仿宋_GB2312" w:eastAsia="仿宋_GB2312"/>
      <w:kern w:val="2"/>
      <w:sz w:val="24"/>
      <w:szCs w:val="24"/>
    </w:rPr>
  </w:style>
  <w:style w:type="paragraph" w:customStyle="1" w:styleId="354">
    <w:name w:val="公文正文"/>
    <w:basedOn w:val="1"/>
    <w:link w:val="353"/>
    <w:autoRedefine/>
    <w:qFormat/>
    <w:uiPriority w:val="0"/>
    <w:pPr>
      <w:adjustRightInd/>
      <w:spacing w:before="156" w:line="360" w:lineRule="auto"/>
      <w:ind w:firstLine="360" w:firstLineChars="200"/>
    </w:pPr>
    <w:rPr>
      <w:rFonts w:ascii="仿宋_GB2312" w:eastAsia="仿宋_GB2312"/>
      <w:sz w:val="24"/>
    </w:rPr>
  </w:style>
  <w:style w:type="character" w:customStyle="1" w:styleId="355">
    <w:name w:val="Table Text Char1"/>
    <w:autoRedefine/>
    <w:qFormat/>
    <w:uiPriority w:val="0"/>
    <w:rPr>
      <w:rFonts w:eastAsia="宋体"/>
      <w:sz w:val="24"/>
      <w:szCs w:val="24"/>
      <w:lang w:val="en-US" w:eastAsia="zh-CN" w:bidi="ar-SA"/>
    </w:rPr>
  </w:style>
  <w:style w:type="character" w:customStyle="1" w:styleId="356">
    <w:name w:val="标题 1 Char Char"/>
    <w:autoRedefine/>
    <w:qFormat/>
    <w:uiPriority w:val="0"/>
    <w:rPr>
      <w:rFonts w:hint="eastAsia" w:ascii="宋体" w:hAnsi="宋体" w:eastAsia="宋体"/>
      <w:b/>
      <w:spacing w:val="-2"/>
      <w:sz w:val="24"/>
      <w:lang w:val="en-US" w:eastAsia="zh-CN" w:bidi="ar-SA"/>
    </w:rPr>
  </w:style>
  <w:style w:type="character" w:customStyle="1" w:styleId="357">
    <w:name w:val="正文（缩进2汉字） Char"/>
    <w:link w:val="358"/>
    <w:autoRedefine/>
    <w:qFormat/>
    <w:uiPriority w:val="0"/>
    <w:rPr>
      <w:rFonts w:ascii="宋体"/>
    </w:rPr>
  </w:style>
  <w:style w:type="paragraph" w:customStyle="1" w:styleId="358">
    <w:name w:val="正文（缩进2汉字）"/>
    <w:basedOn w:val="1"/>
    <w:link w:val="357"/>
    <w:autoRedefine/>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9">
    <w:name w:val="标题 8 Char"/>
    <w:link w:val="10"/>
    <w:autoRedefine/>
    <w:qFormat/>
    <w:uiPriority w:val="0"/>
    <w:rPr>
      <w:rFonts w:ascii="Arial" w:hAnsi="Arial" w:eastAsia="黑体"/>
      <w:kern w:val="2"/>
      <w:sz w:val="24"/>
      <w:szCs w:val="24"/>
    </w:rPr>
  </w:style>
  <w:style w:type="character" w:customStyle="1" w:styleId="360">
    <w:name w:val="标书表格字体格式 Char"/>
    <w:autoRedefine/>
    <w:qFormat/>
    <w:uiPriority w:val="0"/>
    <w:rPr>
      <w:kern w:val="2"/>
      <w:sz w:val="21"/>
      <w:szCs w:val="24"/>
      <w:lang w:bidi="ar-SA"/>
    </w:rPr>
  </w:style>
  <w:style w:type="character" w:customStyle="1" w:styleId="361">
    <w:name w:val="tw4winError"/>
    <w:autoRedefine/>
    <w:qFormat/>
    <w:uiPriority w:val="0"/>
    <w:rPr>
      <w:rFonts w:ascii="Courier New" w:hAnsi="Courier New" w:cs="Courier New"/>
      <w:color w:val="00FF00"/>
      <w:sz w:val="40"/>
      <w:szCs w:val="40"/>
    </w:rPr>
  </w:style>
  <w:style w:type="character" w:customStyle="1" w:styleId="362">
    <w:name w:val="Body Text(ch) Char Char"/>
    <w:autoRedefine/>
    <w:qFormat/>
    <w:uiPriority w:val="0"/>
    <w:rPr>
      <w:rFonts w:ascii="宋体"/>
      <w:kern w:val="2"/>
      <w:sz w:val="24"/>
      <w:szCs w:val="21"/>
      <w:lang w:val="zh-CN"/>
    </w:rPr>
  </w:style>
  <w:style w:type="character" w:customStyle="1" w:styleId="363">
    <w:name w:val="正文首行缩进两字 Char"/>
    <w:autoRedefine/>
    <w:qFormat/>
    <w:uiPriority w:val="0"/>
    <w:rPr>
      <w:sz w:val="24"/>
      <w:szCs w:val="24"/>
      <w:lang w:val="en-US" w:eastAsia="zh-CN" w:bidi="ar-SA"/>
    </w:rPr>
  </w:style>
  <w:style w:type="character" w:customStyle="1" w:styleId="364">
    <w:name w:val="正文文本 Char"/>
    <w:autoRedefine/>
    <w:qFormat/>
    <w:uiPriority w:val="0"/>
    <w:rPr>
      <w:rFonts w:eastAsia="宋体"/>
      <w:kern w:val="2"/>
      <w:sz w:val="24"/>
      <w:szCs w:val="24"/>
      <w:lang w:val="en-US" w:eastAsia="zh-CN" w:bidi="ar-SA"/>
    </w:rPr>
  </w:style>
  <w:style w:type="character" w:customStyle="1" w:styleId="365">
    <w:name w:val="文档结构图 字符1"/>
    <w:autoRedefine/>
    <w:qFormat/>
    <w:uiPriority w:val="0"/>
    <w:rPr>
      <w:rFonts w:ascii="宋体" w:hAnsi="Calibri" w:eastAsia="黑体" w:cs="Arial"/>
      <w:snapToGrid w:val="0"/>
      <w:kern w:val="2"/>
      <w:sz w:val="18"/>
      <w:szCs w:val="18"/>
    </w:rPr>
  </w:style>
  <w:style w:type="character" w:customStyle="1" w:styleId="366">
    <w:name w:val="content"/>
    <w:autoRedefine/>
    <w:qFormat/>
    <w:uiPriority w:val="0"/>
  </w:style>
  <w:style w:type="character" w:customStyle="1" w:styleId="367">
    <w:name w:val="tw4winPopup"/>
    <w:autoRedefine/>
    <w:qFormat/>
    <w:uiPriority w:val="0"/>
    <w:rPr>
      <w:rFonts w:ascii="Courier New" w:hAnsi="Courier New" w:cs="Courier New"/>
      <w:color w:val="008000"/>
      <w:lang w:val="en-US" w:eastAsia="zh-CN"/>
    </w:rPr>
  </w:style>
  <w:style w:type="character" w:customStyle="1" w:styleId="368">
    <w:name w:val="param-name"/>
    <w:autoRedefine/>
    <w:qFormat/>
    <w:uiPriority w:val="99"/>
    <w:rPr>
      <w:rFonts w:ascii="Arial" w:hAnsi="Arial" w:eastAsia="黑体" w:cs="Arial"/>
      <w:snapToGrid w:val="0"/>
      <w:kern w:val="0"/>
      <w:szCs w:val="21"/>
    </w:rPr>
  </w:style>
  <w:style w:type="character" w:customStyle="1" w:styleId="369">
    <w:name w:val="标准正文格式 Char"/>
    <w:autoRedefine/>
    <w:qFormat/>
    <w:uiPriority w:val="0"/>
    <w:rPr>
      <w:rFonts w:ascii="宋体" w:eastAsia="仿宋_GB2312" w:cs="宋体"/>
      <w:color w:val="000000"/>
      <w:sz w:val="24"/>
      <w:lang w:val="en-US" w:eastAsia="zh-CN" w:bidi="ar-SA"/>
    </w:rPr>
  </w:style>
  <w:style w:type="character" w:customStyle="1" w:styleId="370">
    <w:name w:val="Char Char212"/>
    <w:autoRedefine/>
    <w:qFormat/>
    <w:uiPriority w:val="0"/>
    <w:rPr>
      <w:rFonts w:eastAsia="宋体"/>
      <w:b/>
      <w:bCs/>
      <w:kern w:val="2"/>
      <w:sz w:val="21"/>
      <w:szCs w:val="24"/>
      <w:lang w:val="en-US" w:eastAsia="zh-CN" w:bidi="ar-SA"/>
    </w:rPr>
  </w:style>
  <w:style w:type="character" w:customStyle="1" w:styleId="371">
    <w:name w:val="文档结构图 Char"/>
    <w:autoRedefine/>
    <w:qFormat/>
    <w:uiPriority w:val="0"/>
    <w:rPr>
      <w:rFonts w:eastAsia="宋体"/>
      <w:kern w:val="2"/>
      <w:sz w:val="21"/>
      <w:szCs w:val="24"/>
      <w:lang w:val="en-US" w:eastAsia="zh-CN" w:bidi="ar-SA"/>
    </w:rPr>
  </w:style>
  <w:style w:type="character" w:customStyle="1" w:styleId="372">
    <w:name w:val="zbggmain style9"/>
    <w:autoRedefine/>
    <w:qFormat/>
    <w:uiPriority w:val="0"/>
  </w:style>
  <w:style w:type="character" w:customStyle="1" w:styleId="373">
    <w:name w:val="Char Char16"/>
    <w:autoRedefine/>
    <w:qFormat/>
    <w:uiPriority w:val="6"/>
    <w:rPr>
      <w:kern w:val="1"/>
      <w:sz w:val="18"/>
      <w:szCs w:val="18"/>
    </w:rPr>
  </w:style>
  <w:style w:type="character" w:customStyle="1" w:styleId="374">
    <w:name w:val="font51"/>
    <w:autoRedefine/>
    <w:qFormat/>
    <w:uiPriority w:val="0"/>
    <w:rPr>
      <w:rFonts w:hint="eastAsia" w:ascii="仿宋" w:hAnsi="仿宋" w:eastAsia="仿宋" w:cs="仿宋"/>
      <w:color w:val="000000"/>
      <w:sz w:val="20"/>
      <w:szCs w:val="20"/>
      <w:u w:val="none"/>
    </w:rPr>
  </w:style>
  <w:style w:type="character" w:customStyle="1" w:styleId="375">
    <w:name w:val="Char Char82"/>
    <w:autoRedefine/>
    <w:qFormat/>
    <w:uiPriority w:val="0"/>
    <w:rPr>
      <w:rFonts w:eastAsia="宋体"/>
      <w:b/>
      <w:sz w:val="24"/>
      <w:lang w:val="en-GB" w:eastAsia="zh-CN"/>
    </w:rPr>
  </w:style>
  <w:style w:type="character" w:customStyle="1" w:styleId="376">
    <w:name w:val="正文文本缩进 3 Char"/>
    <w:link w:val="53"/>
    <w:autoRedefine/>
    <w:qFormat/>
    <w:uiPriority w:val="0"/>
    <w:rPr>
      <w:kern w:val="2"/>
      <w:sz w:val="24"/>
    </w:rPr>
  </w:style>
  <w:style w:type="character" w:customStyle="1" w:styleId="377">
    <w:name w:val="日期 Char1"/>
    <w:autoRedefine/>
    <w:semiHidden/>
    <w:qFormat/>
    <w:uiPriority w:val="99"/>
    <w:rPr>
      <w:rFonts w:ascii="Times New Roman" w:hAnsi="Times New Roman" w:eastAsia="宋体" w:cs="Times New Roman"/>
      <w:szCs w:val="24"/>
    </w:rPr>
  </w:style>
  <w:style w:type="character" w:customStyle="1" w:styleId="378">
    <w:name w:val="页眉 字符"/>
    <w:autoRedefine/>
    <w:qFormat/>
    <w:uiPriority w:val="99"/>
    <w:rPr>
      <w:kern w:val="2"/>
      <w:sz w:val="18"/>
      <w:szCs w:val="18"/>
    </w:rPr>
  </w:style>
  <w:style w:type="character" w:customStyle="1" w:styleId="379">
    <w:name w:val="Char Char33"/>
    <w:autoRedefine/>
    <w:qFormat/>
    <w:uiPriority w:val="6"/>
    <w:rPr>
      <w:rFonts w:ascii="Arial" w:hAnsi="Arial" w:eastAsia="黑体"/>
      <w:b/>
      <w:kern w:val="1"/>
      <w:sz w:val="24"/>
      <w:szCs w:val="24"/>
    </w:rPr>
  </w:style>
  <w:style w:type="character" w:customStyle="1" w:styleId="380">
    <w:name w:val="b11_01b Char"/>
    <w:link w:val="381"/>
    <w:autoRedefine/>
    <w:qFormat/>
    <w:uiPriority w:val="0"/>
    <w:rPr>
      <w:rFonts w:ascii="Verdana" w:hAnsi="Verdana"/>
      <w:b/>
      <w:bCs/>
      <w:color w:val="4A82CA"/>
      <w:sz w:val="17"/>
      <w:szCs w:val="17"/>
    </w:rPr>
  </w:style>
  <w:style w:type="paragraph" w:customStyle="1" w:styleId="381">
    <w:name w:val="b11_01b"/>
    <w:basedOn w:val="1"/>
    <w:next w:val="1"/>
    <w:link w:val="380"/>
    <w:autoRedefine/>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2">
    <w:name w:val="Char Char121"/>
    <w:autoRedefine/>
    <w:qFormat/>
    <w:uiPriority w:val="6"/>
    <w:rPr>
      <w:rFonts w:ascii="仿宋_GB2312" w:eastAsia="仿宋_GB2312"/>
      <w:b/>
      <w:bCs/>
      <w:kern w:val="2"/>
      <w:sz w:val="24"/>
      <w:szCs w:val="24"/>
      <w:lang w:val="zh-CN" w:eastAsia="zh-CN" w:bidi="ar-SA"/>
    </w:rPr>
  </w:style>
  <w:style w:type="character" w:customStyle="1" w:styleId="383">
    <w:name w:val="Footer-Even Char"/>
    <w:autoRedefine/>
    <w:qFormat/>
    <w:uiPriority w:val="0"/>
    <w:rPr>
      <w:rFonts w:eastAsia="宋体"/>
      <w:kern w:val="2"/>
      <w:sz w:val="18"/>
      <w:lang w:val="en-US" w:eastAsia="zh-CN" w:bidi="ar-SA"/>
    </w:rPr>
  </w:style>
  <w:style w:type="character" w:customStyle="1" w:styleId="384">
    <w:name w:val="页脚 Char2"/>
    <w:link w:val="40"/>
    <w:autoRedefine/>
    <w:qFormat/>
    <w:locked/>
    <w:uiPriority w:val="99"/>
    <w:rPr>
      <w:kern w:val="2"/>
      <w:sz w:val="18"/>
      <w:szCs w:val="18"/>
    </w:rPr>
  </w:style>
  <w:style w:type="character" w:customStyle="1" w:styleId="385">
    <w:name w:val="Char Char36"/>
    <w:autoRedefine/>
    <w:qFormat/>
    <w:uiPriority w:val="6"/>
    <w:rPr>
      <w:rFonts w:ascii="仿宋_GB2312" w:hAnsi="仿宋_GB2312" w:eastAsia="仿宋_GB2312" w:cs="Arial"/>
      <w:b/>
      <w:kern w:val="1"/>
      <w:sz w:val="32"/>
      <w:szCs w:val="32"/>
      <w:lang w:val="zh-CN" w:eastAsia="zh-CN" w:bidi="ar-SA"/>
    </w:rPr>
  </w:style>
  <w:style w:type="character" w:customStyle="1" w:styleId="386">
    <w:name w:val="Char Char61"/>
    <w:autoRedefine/>
    <w:qFormat/>
    <w:uiPriority w:val="6"/>
    <w:rPr>
      <w:rFonts w:eastAsia="宋体"/>
      <w:kern w:val="2"/>
      <w:sz w:val="21"/>
      <w:szCs w:val="24"/>
      <w:lang w:val="en-US" w:eastAsia="zh-CN" w:bidi="ar-SA"/>
    </w:rPr>
  </w:style>
  <w:style w:type="character" w:customStyle="1" w:styleId="387">
    <w:name w:val="正文文字缩进 2 Char Char"/>
    <w:autoRedefine/>
    <w:qFormat/>
    <w:uiPriority w:val="0"/>
    <w:rPr>
      <w:rFonts w:ascii="宋体"/>
      <w:sz w:val="28"/>
    </w:rPr>
  </w:style>
  <w:style w:type="character" w:customStyle="1" w:styleId="388">
    <w:name w:val="f141"/>
    <w:autoRedefine/>
    <w:qFormat/>
    <w:uiPriority w:val="0"/>
    <w:rPr>
      <w:rFonts w:ascii="Tahoma" w:hAnsi="Tahoma" w:eastAsia="宋体"/>
      <w:b/>
      <w:kern w:val="2"/>
      <w:sz w:val="21"/>
      <w:szCs w:val="21"/>
      <w:lang w:val="en-US" w:eastAsia="zh-CN" w:bidi="ar-SA"/>
    </w:rPr>
  </w:style>
  <w:style w:type="character" w:customStyle="1" w:styleId="389">
    <w:name w:val="段落 Char Char"/>
    <w:link w:val="81"/>
    <w:autoRedefine/>
    <w:qFormat/>
    <w:uiPriority w:val="0"/>
    <w:rPr>
      <w:rFonts w:ascii="宋体" w:hAnsi="宋体"/>
      <w:sz w:val="24"/>
    </w:rPr>
  </w:style>
  <w:style w:type="character" w:customStyle="1" w:styleId="390">
    <w:name w:val="标题 3 Char2"/>
    <w:autoRedefine/>
    <w:qFormat/>
    <w:uiPriority w:val="0"/>
    <w:rPr>
      <w:rFonts w:eastAsia="宋体"/>
      <w:b/>
      <w:bCs/>
      <w:kern w:val="2"/>
      <w:sz w:val="32"/>
      <w:szCs w:val="32"/>
      <w:lang w:val="en-US" w:eastAsia="zh-CN" w:bidi="ar-SA"/>
    </w:rPr>
  </w:style>
  <w:style w:type="character" w:customStyle="1" w:styleId="391">
    <w:name w:val="apple-converted-space"/>
    <w:autoRedefine/>
    <w:qFormat/>
    <w:uiPriority w:val="0"/>
  </w:style>
  <w:style w:type="character" w:customStyle="1" w:styleId="392">
    <w:name w:val="页眉 Char2"/>
    <w:link w:val="41"/>
    <w:autoRedefine/>
    <w:qFormat/>
    <w:uiPriority w:val="99"/>
    <w:rPr>
      <w:kern w:val="2"/>
      <w:sz w:val="18"/>
      <w:szCs w:val="18"/>
    </w:rPr>
  </w:style>
  <w:style w:type="character" w:customStyle="1" w:styleId="393">
    <w:name w:val="Char Char9"/>
    <w:autoRedefine/>
    <w:qFormat/>
    <w:uiPriority w:val="0"/>
    <w:rPr>
      <w:rFonts w:eastAsia="宋体"/>
      <w:kern w:val="2"/>
      <w:sz w:val="18"/>
      <w:szCs w:val="18"/>
      <w:lang w:val="en-US" w:eastAsia="zh-CN" w:bidi="ar-SA"/>
    </w:rPr>
  </w:style>
  <w:style w:type="character" w:customStyle="1" w:styleId="394">
    <w:name w:val="Char Char41"/>
    <w:autoRedefine/>
    <w:qFormat/>
    <w:uiPriority w:val="0"/>
    <w:rPr>
      <w:rFonts w:eastAsia="宋体"/>
      <w:b/>
      <w:sz w:val="24"/>
      <w:lang w:val="en-GB" w:eastAsia="zh-CN" w:bidi="ar-SA"/>
    </w:rPr>
  </w:style>
  <w:style w:type="character" w:customStyle="1" w:styleId="395">
    <w:name w:val="large1"/>
    <w:autoRedefine/>
    <w:qFormat/>
    <w:uiPriority w:val="0"/>
    <w:rPr>
      <w:rFonts w:hint="eastAsia" w:ascii="宋体" w:hAnsi="宋体" w:eastAsia="宋体"/>
      <w:sz w:val="21"/>
      <w:szCs w:val="21"/>
    </w:rPr>
  </w:style>
  <w:style w:type="character" w:customStyle="1" w:styleId="396">
    <w:name w:val="正文段 Char"/>
    <w:link w:val="397"/>
    <w:autoRedefine/>
    <w:qFormat/>
    <w:uiPriority w:val="0"/>
    <w:rPr>
      <w:sz w:val="24"/>
    </w:rPr>
  </w:style>
  <w:style w:type="paragraph" w:customStyle="1" w:styleId="397">
    <w:name w:val="正文段"/>
    <w:basedOn w:val="1"/>
    <w:link w:val="396"/>
    <w:autoRedefine/>
    <w:qFormat/>
    <w:uiPriority w:val="0"/>
    <w:pPr>
      <w:widowControl/>
      <w:snapToGrid w:val="0"/>
      <w:spacing w:after="156" w:afterLines="50"/>
      <w:ind w:firstLine="200" w:firstLineChars="200"/>
    </w:pPr>
    <w:rPr>
      <w:kern w:val="0"/>
      <w:sz w:val="24"/>
      <w:szCs w:val="20"/>
    </w:rPr>
  </w:style>
  <w:style w:type="character" w:customStyle="1" w:styleId="398">
    <w:name w:val="Char Char13"/>
    <w:autoRedefine/>
    <w:qFormat/>
    <w:uiPriority w:val="6"/>
    <w:rPr>
      <w:rFonts w:ascii="宋体" w:hAnsi="宋体"/>
      <w:kern w:val="1"/>
      <w:sz w:val="21"/>
      <w:szCs w:val="24"/>
    </w:rPr>
  </w:style>
  <w:style w:type="character" w:customStyle="1" w:styleId="399">
    <w:name w:val="Char Char92"/>
    <w:autoRedefine/>
    <w:qFormat/>
    <w:uiPriority w:val="0"/>
    <w:rPr>
      <w:rFonts w:ascii="Times New Roman" w:hAnsi="Times New Roman" w:eastAsia="宋体" w:cs="Times New Roman"/>
      <w:b/>
      <w:bCs/>
      <w:kern w:val="2"/>
      <w:sz w:val="32"/>
      <w:szCs w:val="32"/>
      <w:lang w:val="en-US" w:eastAsia="zh-CN" w:bidi="ar-SA"/>
    </w:rPr>
  </w:style>
  <w:style w:type="character" w:customStyle="1" w:styleId="400">
    <w:name w:val="冯广丽 Char"/>
    <w:link w:val="401"/>
    <w:autoRedefine/>
    <w:qFormat/>
    <w:uiPriority w:val="0"/>
    <w:rPr>
      <w:rFonts w:ascii="宋体" w:hAnsi="宋体"/>
      <w:kern w:val="2"/>
      <w:sz w:val="24"/>
      <w:szCs w:val="22"/>
    </w:rPr>
  </w:style>
  <w:style w:type="paragraph" w:customStyle="1" w:styleId="401">
    <w:name w:val="冯广丽"/>
    <w:basedOn w:val="1"/>
    <w:link w:val="400"/>
    <w:autoRedefine/>
    <w:qFormat/>
    <w:uiPriority w:val="0"/>
    <w:pPr>
      <w:adjustRightInd/>
      <w:spacing w:line="360" w:lineRule="auto"/>
      <w:ind w:firstLine="480" w:firstLineChars="200"/>
    </w:pPr>
    <w:rPr>
      <w:rFonts w:ascii="宋体" w:hAnsi="宋体"/>
      <w:sz w:val="24"/>
      <w:szCs w:val="22"/>
    </w:rPr>
  </w:style>
  <w:style w:type="character" w:customStyle="1" w:styleId="402">
    <w:name w:val="批注文字 字符"/>
    <w:autoRedefine/>
    <w:qFormat/>
    <w:uiPriority w:val="0"/>
    <w:rPr>
      <w:rFonts w:ascii="Arial" w:hAnsi="Arial" w:eastAsia="黑体" w:cs="Arial"/>
      <w:snapToGrid w:val="0"/>
      <w:kern w:val="0"/>
      <w:szCs w:val="21"/>
    </w:rPr>
  </w:style>
  <w:style w:type="character" w:customStyle="1" w:styleId="403">
    <w:name w:val="Char Char161"/>
    <w:autoRedefine/>
    <w:qFormat/>
    <w:uiPriority w:val="0"/>
    <w:rPr>
      <w:rFonts w:eastAsia="宋体"/>
      <w:b/>
      <w:kern w:val="2"/>
      <w:sz w:val="32"/>
      <w:lang w:val="en-US" w:eastAsia="zh-CN"/>
    </w:rPr>
  </w:style>
  <w:style w:type="character" w:customStyle="1" w:styleId="404">
    <w:name w:val="javascript"/>
    <w:autoRedefine/>
    <w:qFormat/>
    <w:uiPriority w:val="0"/>
  </w:style>
  <w:style w:type="character" w:customStyle="1" w:styleId="405">
    <w:name w:val="图名 Char"/>
    <w:autoRedefine/>
    <w:qFormat/>
    <w:uiPriority w:val="0"/>
    <w:rPr>
      <w:rFonts w:ascii="Arial" w:hAnsi="Arial" w:eastAsia="黑体"/>
      <w:kern w:val="2"/>
      <w:sz w:val="24"/>
      <w:szCs w:val="24"/>
      <w:lang w:val="en-US" w:eastAsia="zh-CN" w:bidi="ar-SA"/>
    </w:rPr>
  </w:style>
  <w:style w:type="character" w:customStyle="1" w:styleId="406">
    <w:name w:val="Used by Word for text of Help footnotes Char Char"/>
    <w:autoRedefine/>
    <w:qFormat/>
    <w:uiPriority w:val="0"/>
    <w:rPr>
      <w:rFonts w:ascii="Times New Roman" w:hAnsi="Times New Roman" w:eastAsia="宋体" w:cs="Times New Roman"/>
      <w:sz w:val="20"/>
      <w:szCs w:val="20"/>
    </w:rPr>
  </w:style>
  <w:style w:type="character" w:customStyle="1" w:styleId="407">
    <w:name w:val="编号，小四 Char"/>
    <w:link w:val="408"/>
    <w:autoRedefine/>
    <w:qFormat/>
    <w:uiPriority w:val="0"/>
    <w:rPr>
      <w:rFonts w:ascii="Arial" w:hAnsi="Arial"/>
      <w:sz w:val="24"/>
    </w:rPr>
  </w:style>
  <w:style w:type="paragraph" w:customStyle="1" w:styleId="408">
    <w:name w:val="编号，小四"/>
    <w:basedOn w:val="1"/>
    <w:link w:val="407"/>
    <w:autoRedefine/>
    <w:qFormat/>
    <w:uiPriority w:val="0"/>
    <w:pPr>
      <w:tabs>
        <w:tab w:val="left" w:pos="432"/>
      </w:tabs>
      <w:adjustRightInd/>
      <w:spacing w:line="360" w:lineRule="auto"/>
      <w:ind w:left="432" w:hanging="432"/>
    </w:pPr>
    <w:rPr>
      <w:rFonts w:ascii="Arial" w:hAnsi="Arial"/>
      <w:kern w:val="0"/>
      <w:sz w:val="24"/>
      <w:szCs w:val="20"/>
    </w:rPr>
  </w:style>
  <w:style w:type="character" w:customStyle="1" w:styleId="409">
    <w:name w:val="Font Style82"/>
    <w:autoRedefine/>
    <w:qFormat/>
    <w:uiPriority w:val="99"/>
    <w:rPr>
      <w:rFonts w:ascii="宋体" w:eastAsia="宋体" w:cs="宋体"/>
      <w:color w:val="000000"/>
      <w:sz w:val="14"/>
      <w:szCs w:val="14"/>
    </w:rPr>
  </w:style>
  <w:style w:type="character" w:customStyle="1" w:styleId="410">
    <w:name w:val="标题 2 Char Char"/>
    <w:autoRedefine/>
    <w:qFormat/>
    <w:uiPriority w:val="0"/>
    <w:rPr>
      <w:rFonts w:ascii="楷体_GB2312" w:hAnsi="Arial" w:eastAsia="楷体_GB2312"/>
      <w:b/>
      <w:bCs/>
      <w:kern w:val="2"/>
      <w:sz w:val="24"/>
      <w:szCs w:val="32"/>
      <w:lang w:val="en-US" w:eastAsia="zh-CN" w:bidi="ar-SA"/>
    </w:rPr>
  </w:style>
  <w:style w:type="character" w:customStyle="1" w:styleId="411">
    <w:name w:val="未用 Char"/>
    <w:autoRedefine/>
    <w:qFormat/>
    <w:uiPriority w:val="0"/>
    <w:rPr>
      <w:rFonts w:ascii="Arial" w:hAnsi="Arial" w:eastAsia="黑体"/>
      <w:kern w:val="2"/>
      <w:sz w:val="21"/>
      <w:szCs w:val="21"/>
      <w:lang w:val="en-US" w:eastAsia="zh-CN" w:bidi="ar-SA"/>
    </w:rPr>
  </w:style>
  <w:style w:type="character" w:customStyle="1" w:styleId="412">
    <w:name w:val="myp1111"/>
    <w:autoRedefine/>
    <w:qFormat/>
    <w:uiPriority w:val="0"/>
    <w:rPr>
      <w:rFonts w:hint="default" w:ascii="ˎ̥" w:hAnsi="ˎ̥"/>
      <w:color w:val="000000"/>
      <w:sz w:val="20"/>
      <w:szCs w:val="20"/>
      <w:u w:val="none"/>
    </w:rPr>
  </w:style>
  <w:style w:type="character" w:customStyle="1" w:styleId="413">
    <w:name w:val="样式 标题 4h4H4Fab-4T5Ref Heading 1rh1Heading sqlsect 1.2.3.... Char"/>
    <w:link w:val="306"/>
    <w:autoRedefine/>
    <w:qFormat/>
    <w:uiPriority w:val="0"/>
    <w:rPr>
      <w:rFonts w:ascii="微软雅黑" w:hAnsi="微软雅黑" w:eastAsia="微软雅黑"/>
      <w:b/>
      <w:bCs/>
      <w:kern w:val="2"/>
      <w:sz w:val="24"/>
      <w:szCs w:val="28"/>
    </w:rPr>
  </w:style>
  <w:style w:type="character" w:customStyle="1" w:styleId="414">
    <w:name w:val="h Char Char"/>
    <w:autoRedefine/>
    <w:qFormat/>
    <w:uiPriority w:val="0"/>
    <w:rPr>
      <w:rFonts w:eastAsia="宋体"/>
      <w:kern w:val="2"/>
      <w:sz w:val="18"/>
      <w:lang w:val="en-US" w:eastAsia="zh-CN" w:bidi="ar-SA"/>
    </w:rPr>
  </w:style>
  <w:style w:type="character" w:customStyle="1" w:styleId="415">
    <w:name w:val="仿宋正文 Char"/>
    <w:link w:val="416"/>
    <w:autoRedefine/>
    <w:qFormat/>
    <w:uiPriority w:val="0"/>
    <w:rPr>
      <w:rFonts w:ascii="仿宋_GB2312" w:eastAsia="仿宋_GB2312"/>
      <w:kern w:val="2"/>
      <w:sz w:val="24"/>
      <w:lang w:val="en-US" w:eastAsia="zh-CN" w:bidi="ar-SA"/>
    </w:rPr>
  </w:style>
  <w:style w:type="paragraph" w:customStyle="1" w:styleId="416">
    <w:name w:val="仿宋正文"/>
    <w:basedOn w:val="1"/>
    <w:link w:val="415"/>
    <w:autoRedefine/>
    <w:qFormat/>
    <w:uiPriority w:val="0"/>
    <w:pPr>
      <w:adjustRightInd/>
      <w:spacing w:line="360" w:lineRule="auto"/>
      <w:ind w:firstLine="480" w:firstLineChars="200"/>
    </w:pPr>
    <w:rPr>
      <w:rFonts w:ascii="仿宋_GB2312" w:eastAsia="仿宋_GB2312"/>
      <w:sz w:val="24"/>
      <w:szCs w:val="20"/>
    </w:rPr>
  </w:style>
  <w:style w:type="character" w:customStyle="1" w:styleId="417">
    <w:name w:val="正文首行缩进 Char Char Char Char Char Char"/>
    <w:autoRedefine/>
    <w:qFormat/>
    <w:uiPriority w:val="0"/>
    <w:rPr>
      <w:rFonts w:ascii="宋体" w:eastAsia="宋体"/>
      <w:kern w:val="2"/>
      <w:sz w:val="24"/>
      <w:lang w:val="zh-CN" w:bidi="ar-SA"/>
    </w:rPr>
  </w:style>
  <w:style w:type="character" w:customStyle="1" w:styleId="418">
    <w:name w:val="样式 宋体"/>
    <w:autoRedefine/>
    <w:qFormat/>
    <w:uiPriority w:val="0"/>
    <w:rPr>
      <w:rFonts w:ascii="宋体" w:hAnsi="宋体"/>
      <w:sz w:val="24"/>
    </w:rPr>
  </w:style>
  <w:style w:type="character" w:customStyle="1" w:styleId="419">
    <w:name w:val="tw4winJump"/>
    <w:autoRedefine/>
    <w:qFormat/>
    <w:uiPriority w:val="0"/>
    <w:rPr>
      <w:rFonts w:ascii="Courier New" w:hAnsi="Courier New" w:cs="Courier New"/>
      <w:color w:val="008080"/>
      <w:lang w:val="en-US" w:eastAsia="zh-CN"/>
    </w:rPr>
  </w:style>
  <w:style w:type="character" w:customStyle="1" w:styleId="420">
    <w:name w:val="标题 1 字符"/>
    <w:autoRedefine/>
    <w:qFormat/>
    <w:uiPriority w:val="9"/>
    <w:rPr>
      <w:rFonts w:ascii="Arial" w:hAnsi="Arial" w:eastAsia="黑体" w:cs="Arial"/>
      <w:b/>
      <w:bCs/>
      <w:snapToGrid w:val="0"/>
      <w:kern w:val="44"/>
      <w:sz w:val="44"/>
      <w:szCs w:val="44"/>
    </w:rPr>
  </w:style>
  <w:style w:type="character" w:customStyle="1" w:styleId="421">
    <w:name w:val="style36"/>
    <w:basedOn w:val="70"/>
    <w:autoRedefine/>
    <w:qFormat/>
    <w:uiPriority w:val="0"/>
    <w:rPr>
      <w:rFonts w:ascii="Arial" w:hAnsi="Arial" w:eastAsia="黑体" w:cs="Arial"/>
      <w:snapToGrid w:val="0"/>
      <w:kern w:val="0"/>
      <w:szCs w:val="21"/>
    </w:rPr>
  </w:style>
  <w:style w:type="character" w:customStyle="1" w:styleId="422">
    <w:name w:val="pt9"/>
    <w:autoRedefine/>
    <w:qFormat/>
    <w:uiPriority w:val="0"/>
    <w:rPr>
      <w:rFonts w:ascii="仿宋_GB2312" w:eastAsia="微软雅黑"/>
      <w:b/>
      <w:kern w:val="2"/>
      <w:sz w:val="32"/>
      <w:szCs w:val="32"/>
      <w:lang w:val="en-US" w:eastAsia="zh-CN" w:bidi="ar-SA"/>
    </w:rPr>
  </w:style>
  <w:style w:type="character" w:customStyle="1" w:styleId="423">
    <w:name w:val="DO_NOT_TRANSLATE"/>
    <w:autoRedefine/>
    <w:qFormat/>
    <w:uiPriority w:val="0"/>
    <w:rPr>
      <w:rFonts w:ascii="Courier New" w:hAnsi="Courier New" w:cs="Courier New"/>
      <w:color w:val="800000"/>
      <w:lang w:val="en-US" w:eastAsia="zh-CN"/>
    </w:rPr>
  </w:style>
  <w:style w:type="character" w:customStyle="1" w:styleId="424">
    <w:name w:val="标书1 Char1"/>
    <w:autoRedefine/>
    <w:qFormat/>
    <w:uiPriority w:val="0"/>
    <w:rPr>
      <w:rFonts w:eastAsia="宋体"/>
      <w:b/>
      <w:bCs/>
      <w:kern w:val="44"/>
      <w:sz w:val="44"/>
      <w:szCs w:val="44"/>
      <w:lang w:val="en-US" w:eastAsia="zh-CN" w:bidi="ar-SA"/>
    </w:rPr>
  </w:style>
  <w:style w:type="character" w:customStyle="1" w:styleId="425">
    <w:name w:val="页脚 字符"/>
    <w:autoRedefine/>
    <w:qFormat/>
    <w:uiPriority w:val="99"/>
    <w:rPr>
      <w:kern w:val="2"/>
      <w:sz w:val="18"/>
      <w:szCs w:val="18"/>
    </w:rPr>
  </w:style>
  <w:style w:type="character" w:customStyle="1" w:styleId="426">
    <w:name w:val="正文2 Char"/>
    <w:autoRedefine/>
    <w:qFormat/>
    <w:uiPriority w:val="0"/>
    <w:rPr>
      <w:rFonts w:eastAsia="宋体"/>
      <w:kern w:val="2"/>
      <w:sz w:val="24"/>
      <w:lang w:val="en-US" w:eastAsia="zh-CN" w:bidi="ar-SA"/>
    </w:rPr>
  </w:style>
  <w:style w:type="character" w:customStyle="1" w:styleId="427">
    <w:name w:val="Char Char21"/>
    <w:qFormat/>
    <w:uiPriority w:val="6"/>
    <w:rPr>
      <w:rFonts w:ascii="宋体" w:hAnsi="宋体"/>
      <w:kern w:val="1"/>
      <w:sz w:val="24"/>
      <w:szCs w:val="21"/>
      <w:lang w:val="zh-CN"/>
    </w:rPr>
  </w:style>
  <w:style w:type="character" w:customStyle="1" w:styleId="428">
    <w:name w:val="样式 正文缩进 + 首行缩进:  2 字符 Char Char"/>
    <w:link w:val="429"/>
    <w:autoRedefine/>
    <w:qFormat/>
    <w:uiPriority w:val="0"/>
    <w:rPr>
      <w:rFonts w:cs="宋体"/>
      <w:kern w:val="2"/>
      <w:sz w:val="24"/>
    </w:rPr>
  </w:style>
  <w:style w:type="paragraph" w:customStyle="1" w:styleId="429">
    <w:name w:val="样式 正文缩进 + 首行缩进:  2 字符"/>
    <w:basedOn w:val="5"/>
    <w:link w:val="428"/>
    <w:autoRedefine/>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0">
    <w:name w:val="正文文本 Char1"/>
    <w:link w:val="23"/>
    <w:qFormat/>
    <w:uiPriority w:val="0"/>
    <w:rPr>
      <w:rFonts w:ascii="宋体" w:hAnsi="Arial" w:eastAsia="宋体" w:cs="Arial"/>
      <w:snapToGrid w:val="0"/>
      <w:kern w:val="2"/>
      <w:sz w:val="24"/>
      <w:szCs w:val="21"/>
      <w:lang w:val="zh-CN" w:eastAsia="zh-CN" w:bidi="ar-SA"/>
    </w:rPr>
  </w:style>
  <w:style w:type="character" w:customStyle="1" w:styleId="431">
    <w:name w:val="gray6"/>
    <w:basedOn w:val="70"/>
    <w:autoRedefine/>
    <w:qFormat/>
    <w:uiPriority w:val="0"/>
    <w:rPr>
      <w:rFonts w:ascii="Arial" w:hAnsi="Arial" w:eastAsia="黑体" w:cs="Arial"/>
      <w:snapToGrid w:val="0"/>
      <w:kern w:val="0"/>
      <w:szCs w:val="21"/>
    </w:rPr>
  </w:style>
  <w:style w:type="character" w:customStyle="1" w:styleId="432">
    <w:name w:val="hui"/>
    <w:basedOn w:val="70"/>
    <w:qFormat/>
    <w:uiPriority w:val="0"/>
    <w:rPr>
      <w:rFonts w:ascii="Arial" w:hAnsi="Arial" w:eastAsia="黑体" w:cs="Arial"/>
      <w:snapToGrid w:val="0"/>
      <w:kern w:val="0"/>
      <w:szCs w:val="21"/>
    </w:rPr>
  </w:style>
  <w:style w:type="character" w:customStyle="1" w:styleId="433">
    <w:name w:val="哈哈正文 Char Char"/>
    <w:qFormat/>
    <w:uiPriority w:val="0"/>
    <w:rPr>
      <w:rFonts w:ascii="宋体" w:hAnsi="宋体" w:eastAsia="宋体" w:cs="宋体"/>
      <w:kern w:val="2"/>
      <w:sz w:val="24"/>
      <w:lang w:val="en-US" w:eastAsia="zh-CN" w:bidi="ar-SA"/>
    </w:rPr>
  </w:style>
  <w:style w:type="paragraph" w:customStyle="1" w:styleId="434">
    <w:name w:val="样式 正文文本缩进 + 左侧:  2 字符 首行缩进:  2 字符"/>
    <w:basedOn w:val="24"/>
    <w:autoRedefine/>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5">
    <w:name w:val="封面表格文本"/>
    <w:basedOn w:val="1"/>
    <w:autoRedefine/>
    <w:qFormat/>
    <w:uiPriority w:val="0"/>
    <w:pPr>
      <w:autoSpaceDE w:val="0"/>
      <w:autoSpaceDN w:val="0"/>
      <w:ind w:firstLine="200" w:firstLineChars="200"/>
      <w:jc w:val="center"/>
    </w:pPr>
    <w:rPr>
      <w:rFonts w:ascii="Arial" w:hAnsi="Arial"/>
      <w:kern w:val="0"/>
      <w:szCs w:val="21"/>
    </w:rPr>
  </w:style>
  <w:style w:type="paragraph" w:customStyle="1" w:styleId="436">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7">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8">
    <w:name w:val="目录标题"/>
    <w:basedOn w:val="1"/>
    <w:autoRedefine/>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9">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0">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1">
    <w:name w:val="标题4_自定义"/>
    <w:basedOn w:val="6"/>
    <w:autoRedefine/>
    <w:qFormat/>
    <w:uiPriority w:val="0"/>
    <w:pPr>
      <w:adjustRightInd/>
      <w:spacing w:before="0" w:after="0" w:line="360" w:lineRule="auto"/>
    </w:pPr>
    <w:rPr>
      <w:rFonts w:ascii="Verdana" w:eastAsia="Verdana"/>
      <w:sz w:val="21"/>
      <w:lang w:val="en-US"/>
    </w:rPr>
  </w:style>
  <w:style w:type="paragraph" w:customStyle="1" w:styleId="442">
    <w:name w:val="正文 内标 序号标"/>
    <w:basedOn w:val="443"/>
    <w:autoRedefine/>
    <w:qFormat/>
    <w:uiPriority w:val="0"/>
    <w:pPr>
      <w:tabs>
        <w:tab w:val="left" w:pos="0"/>
      </w:tabs>
      <w:adjustRightInd/>
      <w:spacing w:before="0"/>
      <w:ind w:firstLine="482"/>
    </w:pPr>
    <w:rPr>
      <w:rFonts w:ascii="微软雅黑" w:hAnsi="微软雅黑"/>
      <w:sz w:val="24"/>
      <w:szCs w:val="24"/>
    </w:rPr>
  </w:style>
  <w:style w:type="paragraph" w:customStyle="1" w:styleId="443">
    <w:name w:val="My正文"/>
    <w:basedOn w:val="1"/>
    <w:qFormat/>
    <w:uiPriority w:val="0"/>
    <w:pPr>
      <w:spacing w:before="120" w:line="360" w:lineRule="auto"/>
      <w:ind w:firstLine="567"/>
    </w:pPr>
    <w:rPr>
      <w:rFonts w:ascii="Arial" w:hAnsi="Arial"/>
      <w:sz w:val="20"/>
      <w:szCs w:val="20"/>
    </w:rPr>
  </w:style>
  <w:style w:type="paragraph" w:customStyle="1" w:styleId="444">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5">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6">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7">
    <w:name w:val="修订2"/>
    <w:autoRedefine/>
    <w:qFormat/>
    <w:uiPriority w:val="0"/>
    <w:rPr>
      <w:rFonts w:ascii="Times New Roman" w:hAnsi="Times New Roman" w:eastAsia="宋体" w:cs="Times New Roman"/>
      <w:kern w:val="2"/>
      <w:sz w:val="21"/>
      <w:lang w:val="en-US" w:eastAsia="zh-CN" w:bidi="ar-SA"/>
    </w:rPr>
  </w:style>
  <w:style w:type="paragraph" w:customStyle="1" w:styleId="448">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49">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0">
    <w:name w:val="文章标题"/>
    <w:next w:val="451"/>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1">
    <w:name w:val="封面公司名"/>
    <w:qFormat/>
    <w:uiPriority w:val="0"/>
    <w:pPr>
      <w:jc w:val="center"/>
    </w:pPr>
    <w:rPr>
      <w:rFonts w:ascii="Arial" w:hAnsi="Arial" w:eastAsia="楷体_GB2312" w:cs="宋体"/>
      <w:bCs/>
      <w:kern w:val="2"/>
      <w:sz w:val="28"/>
      <w:lang w:val="en-US" w:eastAsia="zh-CN" w:bidi="ar-SA"/>
    </w:rPr>
  </w:style>
  <w:style w:type="paragraph" w:customStyle="1" w:styleId="452">
    <w:name w:val="Char1 Char Char Char5"/>
    <w:basedOn w:val="1"/>
    <w:qFormat/>
    <w:uiPriority w:val="0"/>
    <w:pPr>
      <w:adjustRightInd/>
      <w:ind w:firstLine="200" w:firstLineChars="200"/>
    </w:pPr>
    <w:rPr>
      <w:rFonts w:ascii="Tahoma" w:hAnsi="Tahoma"/>
      <w:sz w:val="24"/>
      <w:szCs w:val="20"/>
    </w:rPr>
  </w:style>
  <w:style w:type="paragraph" w:customStyle="1" w:styleId="453">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4">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5">
    <w:name w:val="Char Char Char Char Char Char Char Char"/>
    <w:basedOn w:val="1"/>
    <w:qFormat/>
    <w:uiPriority w:val="0"/>
    <w:pPr>
      <w:tabs>
        <w:tab w:val="left" w:pos="360"/>
      </w:tabs>
    </w:pPr>
    <w:rPr>
      <w:sz w:val="24"/>
      <w:szCs w:val="20"/>
    </w:rPr>
  </w:style>
  <w:style w:type="paragraph" w:customStyle="1" w:styleId="456">
    <w:name w:val="Char Char11 Char Char Char"/>
    <w:basedOn w:val="1"/>
    <w:qFormat/>
    <w:uiPriority w:val="0"/>
    <w:pPr>
      <w:spacing w:line="360" w:lineRule="auto"/>
    </w:pPr>
    <w:rPr>
      <w:szCs w:val="20"/>
    </w:rPr>
  </w:style>
  <w:style w:type="paragraph" w:customStyle="1" w:styleId="457">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8">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59">
    <w:name w:val="样式3"/>
    <w:basedOn w:val="460"/>
    <w:qFormat/>
    <w:uiPriority w:val="0"/>
    <w:pPr>
      <w:tabs>
        <w:tab w:val="left" w:pos="2790"/>
        <w:tab w:val="left" w:pos="4230"/>
      </w:tabs>
      <w:spacing w:before="312" w:beforeLines="100"/>
      <w:jc w:val="left"/>
    </w:pPr>
  </w:style>
  <w:style w:type="paragraph" w:customStyle="1" w:styleId="460">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1">
    <w:name w:val="Char Char1 Char Char1 Char Char1"/>
    <w:basedOn w:val="1"/>
    <w:qFormat/>
    <w:uiPriority w:val="0"/>
    <w:pPr>
      <w:tabs>
        <w:tab w:val="left" w:pos="840"/>
      </w:tabs>
      <w:ind w:left="840" w:hanging="420"/>
    </w:pPr>
    <w:rPr>
      <w:rFonts w:ascii="Tahoma" w:hAnsi="Tahoma"/>
      <w:sz w:val="24"/>
    </w:rPr>
  </w:style>
  <w:style w:type="paragraph" w:customStyle="1" w:styleId="462">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3">
    <w:name w:val="标书标题2"/>
    <w:basedOn w:val="3"/>
    <w:autoRedefine/>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4">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5">
    <w:name w:val="正文21"/>
    <w:basedOn w:val="1"/>
    <w:qFormat/>
    <w:uiPriority w:val="0"/>
    <w:pPr>
      <w:adjustRightInd/>
      <w:spacing w:before="156" w:line="360" w:lineRule="auto"/>
      <w:ind w:firstLine="510" w:firstLineChars="200"/>
    </w:pPr>
    <w:rPr>
      <w:sz w:val="24"/>
      <w:szCs w:val="20"/>
    </w:rPr>
  </w:style>
  <w:style w:type="paragraph" w:customStyle="1" w:styleId="466">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7">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8">
    <w:name w:val="Char1"/>
    <w:basedOn w:val="1"/>
    <w:qFormat/>
    <w:uiPriority w:val="0"/>
    <w:rPr>
      <w:rFonts w:ascii="仿宋_GB2312" w:eastAsia="仿宋_GB2312"/>
      <w:b/>
      <w:sz w:val="32"/>
      <w:szCs w:val="32"/>
    </w:rPr>
  </w:style>
  <w:style w:type="paragraph" w:customStyle="1" w:styleId="469">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0">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1">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2">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3">
    <w:name w:val="6级标题"/>
    <w:basedOn w:val="474"/>
    <w:qFormat/>
    <w:uiPriority w:val="0"/>
    <w:pPr>
      <w:keepNext/>
      <w:tabs>
        <w:tab w:val="left" w:pos="360"/>
      </w:tabs>
      <w:spacing w:before="0" w:after="0"/>
      <w:outlineLvl w:val="5"/>
    </w:pPr>
  </w:style>
  <w:style w:type="paragraph" w:customStyle="1" w:styleId="474">
    <w:name w:val="5级标题"/>
    <w:basedOn w:val="475"/>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5">
    <w:name w:val="4级标题"/>
    <w:basedOn w:val="259"/>
    <w:autoRedefine/>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6">
    <w:name w:val="样式 正文文本缩进 + 段前: 2 字符"/>
    <w:basedOn w:val="1"/>
    <w:autoRedefine/>
    <w:qFormat/>
    <w:uiPriority w:val="0"/>
    <w:pPr>
      <w:adjustRightInd/>
      <w:ind w:left="420" w:leftChars="200"/>
      <w:jc w:val="left"/>
    </w:pPr>
    <w:rPr>
      <w:sz w:val="28"/>
      <w:szCs w:val="20"/>
      <w:lang w:eastAsia="zh-TW"/>
    </w:rPr>
  </w:style>
  <w:style w:type="paragraph" w:customStyle="1" w:styleId="477">
    <w:name w:val="Char2 Char Char"/>
    <w:basedOn w:val="1"/>
    <w:qFormat/>
    <w:uiPriority w:val="0"/>
    <w:pPr>
      <w:adjustRightInd/>
    </w:pPr>
    <w:rPr>
      <w:rFonts w:ascii="Tahoma" w:hAnsi="Tahoma"/>
      <w:sz w:val="24"/>
      <w:szCs w:val="20"/>
    </w:rPr>
  </w:style>
  <w:style w:type="paragraph" w:customStyle="1" w:styleId="478">
    <w:name w:val="_Style 11"/>
    <w:basedOn w:val="1"/>
    <w:qFormat/>
    <w:uiPriority w:val="34"/>
    <w:pPr>
      <w:adjustRightInd/>
      <w:ind w:firstLine="420" w:firstLineChars="200"/>
    </w:pPr>
    <w:rPr>
      <w:rFonts w:eastAsia="仿宋_GB2312"/>
      <w:sz w:val="28"/>
    </w:rPr>
  </w:style>
  <w:style w:type="paragraph" w:customStyle="1" w:styleId="479">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0">
    <w:name w:val="Char Char Char"/>
    <w:basedOn w:val="1"/>
    <w:qFormat/>
    <w:uiPriority w:val="0"/>
    <w:rPr>
      <w:rFonts w:ascii="Tahoma" w:hAnsi="Tahoma"/>
      <w:sz w:val="24"/>
      <w:szCs w:val="20"/>
    </w:rPr>
  </w:style>
  <w:style w:type="paragraph" w:customStyle="1" w:styleId="481">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2">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3">
    <w:name w:val="无间隔2"/>
    <w:basedOn w:val="1"/>
    <w:link w:val="933"/>
    <w:qFormat/>
    <w:uiPriority w:val="99"/>
    <w:rPr>
      <w:szCs w:val="22"/>
    </w:rPr>
  </w:style>
  <w:style w:type="paragraph" w:customStyle="1" w:styleId="484">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5">
    <w:name w:val="Char Char Char Char Char Char Char Char Char Char Char Char1 Char1"/>
    <w:basedOn w:val="1"/>
    <w:qFormat/>
    <w:uiPriority w:val="6"/>
    <w:rPr>
      <w:rFonts w:ascii="Tahoma" w:hAnsi="Tahoma" w:cs="仿宋_GB2312"/>
      <w:sz w:val="24"/>
      <w:szCs w:val="20"/>
    </w:rPr>
  </w:style>
  <w:style w:type="paragraph" w:customStyle="1" w:styleId="486">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7">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8">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9">
    <w:name w:val="MM Topic 2"/>
    <w:basedOn w:val="3"/>
    <w:qFormat/>
    <w:uiPriority w:val="0"/>
    <w:pPr>
      <w:tabs>
        <w:tab w:val="left" w:pos="1260"/>
      </w:tabs>
      <w:ind w:left="1260" w:hanging="420"/>
    </w:pPr>
    <w:rPr>
      <w:rFonts w:ascii="Arial" w:hAnsi="Arial" w:eastAsia="黑体"/>
      <w:lang w:val="en-US"/>
    </w:rPr>
  </w:style>
  <w:style w:type="paragraph" w:customStyle="1" w:styleId="490">
    <w:name w:val="五级无标题条"/>
    <w:basedOn w:val="1"/>
    <w:qFormat/>
    <w:uiPriority w:val="0"/>
    <w:pPr>
      <w:adjustRightInd/>
    </w:pPr>
  </w:style>
  <w:style w:type="paragraph" w:customStyle="1" w:styleId="491">
    <w:name w:val="Char5"/>
    <w:basedOn w:val="1"/>
    <w:qFormat/>
    <w:uiPriority w:val="0"/>
    <w:rPr>
      <w:rFonts w:ascii="仿宋_GB2312" w:eastAsia="仿宋_GB2312"/>
      <w:b/>
      <w:sz w:val="32"/>
      <w:szCs w:val="32"/>
    </w:rPr>
  </w:style>
  <w:style w:type="paragraph" w:customStyle="1" w:styleId="492">
    <w:name w:val="TOC 标题1"/>
    <w:basedOn w:val="2"/>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3">
    <w:name w:val="彩色列表 - 强调文字颜色 12"/>
    <w:basedOn w:val="1"/>
    <w:qFormat/>
    <w:uiPriority w:val="0"/>
    <w:pPr>
      <w:adjustRightInd/>
      <w:ind w:firstLine="420" w:firstLineChars="200"/>
    </w:pPr>
    <w:rPr>
      <w:rFonts w:ascii="Calibri" w:hAnsi="Calibri"/>
      <w:szCs w:val="22"/>
    </w:rPr>
  </w:style>
  <w:style w:type="paragraph" w:customStyle="1" w:styleId="494">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5">
    <w:name w:val="Char2"/>
    <w:basedOn w:val="1"/>
    <w:qFormat/>
    <w:uiPriority w:val="0"/>
    <w:rPr>
      <w:rFonts w:ascii="仿宋_GB2312" w:eastAsia="仿宋_GB2312"/>
      <w:b/>
      <w:sz w:val="32"/>
      <w:szCs w:val="32"/>
    </w:rPr>
  </w:style>
  <w:style w:type="paragraph" w:customStyle="1" w:styleId="496">
    <w:name w:val="数字标题3"/>
    <w:basedOn w:val="4"/>
    <w:next w:val="1"/>
    <w:qFormat/>
    <w:uiPriority w:val="0"/>
    <w:pPr>
      <w:spacing w:line="240" w:lineRule="auto"/>
    </w:pPr>
    <w:rPr>
      <w:sz w:val="28"/>
      <w:szCs w:val="28"/>
    </w:rPr>
  </w:style>
  <w:style w:type="paragraph" w:customStyle="1" w:styleId="497">
    <w:name w:val="FA正文"/>
    <w:basedOn w:val="1"/>
    <w:qFormat/>
    <w:uiPriority w:val="0"/>
    <w:pPr>
      <w:spacing w:line="360" w:lineRule="auto"/>
      <w:ind w:firstLine="480" w:firstLineChars="200"/>
    </w:pPr>
    <w:rPr>
      <w:rFonts w:hAnsi="宋体"/>
      <w:sz w:val="24"/>
      <w:szCs w:val="20"/>
    </w:rPr>
  </w:style>
  <w:style w:type="paragraph" w:customStyle="1" w:styleId="498">
    <w:name w:val="MM Topic 5"/>
    <w:basedOn w:val="7"/>
    <w:autoRedefine/>
    <w:qFormat/>
    <w:uiPriority w:val="0"/>
    <w:pPr>
      <w:tabs>
        <w:tab w:val="left" w:pos="2520"/>
      </w:tabs>
      <w:adjustRightInd/>
      <w:ind w:left="2520" w:hanging="420"/>
    </w:pPr>
  </w:style>
  <w:style w:type="paragraph" w:customStyle="1" w:styleId="499">
    <w:name w:val="Char Char Char Char Char Char Char Char Char Char1"/>
    <w:basedOn w:val="1"/>
    <w:qFormat/>
    <w:uiPriority w:val="0"/>
    <w:rPr>
      <w:rFonts w:ascii="仿宋_GB2312" w:eastAsia="仿宋_GB2312"/>
      <w:b/>
      <w:sz w:val="32"/>
      <w:szCs w:val="32"/>
    </w:rPr>
  </w:style>
  <w:style w:type="paragraph" w:customStyle="1" w:styleId="500">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1">
    <w:name w:val="修订1"/>
    <w:qFormat/>
    <w:uiPriority w:val="3"/>
    <w:rPr>
      <w:rFonts w:ascii="Times New Roman" w:hAnsi="Times New Roman" w:eastAsia="宋体" w:cs="Times New Roman"/>
      <w:color w:val="000000"/>
      <w:kern w:val="1"/>
      <w:sz w:val="21"/>
      <w:lang w:val="en-US" w:eastAsia="zh-CN" w:bidi="ar-SA"/>
    </w:rPr>
  </w:style>
  <w:style w:type="paragraph" w:customStyle="1" w:styleId="502">
    <w:name w:val="Char2 Char Char Char"/>
    <w:basedOn w:val="1"/>
    <w:qFormat/>
    <w:uiPriority w:val="0"/>
    <w:rPr>
      <w:rFonts w:ascii="仿宋_GB2312" w:eastAsia="仿宋_GB2312"/>
      <w:b/>
      <w:sz w:val="32"/>
      <w:szCs w:val="32"/>
    </w:rPr>
  </w:style>
  <w:style w:type="paragraph" w:customStyle="1" w:styleId="503">
    <w:name w:val="Char2 Char Char Char1"/>
    <w:basedOn w:val="1"/>
    <w:qFormat/>
    <w:uiPriority w:val="6"/>
    <w:rPr>
      <w:rFonts w:ascii="仿宋_GB2312" w:eastAsia="仿宋_GB2312"/>
      <w:b/>
      <w:sz w:val="32"/>
      <w:szCs w:val="32"/>
    </w:rPr>
  </w:style>
  <w:style w:type="paragraph" w:customStyle="1" w:styleId="504">
    <w:name w:val="默认段落样式"/>
    <w:basedOn w:val="132"/>
    <w:qFormat/>
    <w:uiPriority w:val="0"/>
    <w:pPr>
      <w:spacing w:before="0"/>
      <w:ind w:firstLine="480"/>
      <w:outlineLvl w:val="2"/>
    </w:pPr>
    <w:rPr>
      <w:rFonts w:ascii="仿宋_GB2312" w:hAnsi="宋体" w:eastAsia="仿宋_GB2312"/>
      <w:color w:val="000000"/>
      <w:szCs w:val="24"/>
    </w:rPr>
  </w:style>
  <w:style w:type="paragraph" w:customStyle="1" w:styleId="505">
    <w:name w:val="图中文字"/>
    <w:basedOn w:val="1"/>
    <w:qFormat/>
    <w:uiPriority w:val="0"/>
    <w:pPr>
      <w:snapToGrid w:val="0"/>
      <w:spacing w:line="0" w:lineRule="atLeast"/>
      <w:ind w:firstLine="200" w:firstLineChars="200"/>
      <w:jc w:val="center"/>
    </w:pPr>
    <w:rPr>
      <w:sz w:val="24"/>
      <w:szCs w:val="20"/>
    </w:rPr>
  </w:style>
  <w:style w:type="paragraph" w:customStyle="1" w:styleId="506">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7">
    <w:name w:val="MM Topic 3"/>
    <w:basedOn w:val="4"/>
    <w:qFormat/>
    <w:uiPriority w:val="0"/>
    <w:pPr>
      <w:tabs>
        <w:tab w:val="left" w:pos="1680"/>
      </w:tabs>
      <w:adjustRightInd/>
      <w:ind w:left="1680" w:hanging="420"/>
    </w:pPr>
  </w:style>
  <w:style w:type="paragraph" w:customStyle="1" w:styleId="508">
    <w:name w:val="标准小四"/>
    <w:basedOn w:val="1"/>
    <w:qFormat/>
    <w:uiPriority w:val="0"/>
    <w:pPr>
      <w:spacing w:line="360" w:lineRule="auto"/>
      <w:ind w:firstLine="480" w:firstLineChars="200"/>
    </w:pPr>
    <w:rPr>
      <w:rFonts w:ascii="Arial" w:hAnsi="Arial"/>
      <w:sz w:val="24"/>
      <w:szCs w:val="21"/>
    </w:rPr>
  </w:style>
  <w:style w:type="paragraph" w:customStyle="1" w:styleId="509">
    <w:name w:val="样式 标题 2H2h2Underrubrik1prop2l2Chapter Titlesect 1.2DO NO..."/>
    <w:basedOn w:val="3"/>
    <w:qFormat/>
    <w:uiPriority w:val="0"/>
    <w:pPr>
      <w:spacing w:before="120" w:after="120"/>
      <w:ind w:left="425" w:hanging="425"/>
    </w:pPr>
    <w:rPr>
      <w:rFonts w:ascii="微软雅黑" w:hAnsi="微软雅黑" w:eastAsia="微软雅黑" w:cs="宋体"/>
      <w:szCs w:val="20"/>
      <w:lang w:val="en-US"/>
    </w:rPr>
  </w:style>
  <w:style w:type="paragraph" w:customStyle="1" w:styleId="510">
    <w:name w:val="表格（小）"/>
    <w:basedOn w:val="1"/>
    <w:qFormat/>
    <w:uiPriority w:val="0"/>
    <w:pPr>
      <w:adjustRightInd/>
      <w:snapToGrid w:val="0"/>
      <w:spacing w:line="300" w:lineRule="auto"/>
    </w:pPr>
    <w:rPr>
      <w:rFonts w:eastAsia="仿宋"/>
      <w:szCs w:val="21"/>
    </w:rPr>
  </w:style>
  <w:style w:type="paragraph" w:customStyle="1" w:styleId="511">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2">
    <w:name w:val="Char2 Char Char1"/>
    <w:basedOn w:val="1"/>
    <w:qFormat/>
    <w:uiPriority w:val="6"/>
    <w:pPr>
      <w:adjustRightInd/>
    </w:pPr>
    <w:rPr>
      <w:rFonts w:ascii="Tahoma" w:hAnsi="Tahoma"/>
      <w:sz w:val="24"/>
      <w:szCs w:val="20"/>
    </w:rPr>
  </w:style>
  <w:style w:type="paragraph" w:customStyle="1" w:styleId="513">
    <w:name w:val="列出段落5"/>
    <w:basedOn w:val="1"/>
    <w:qFormat/>
    <w:uiPriority w:val="0"/>
    <w:pPr>
      <w:spacing w:line="360" w:lineRule="auto"/>
      <w:ind w:firstLine="200" w:firstLineChars="200"/>
    </w:pPr>
    <w:rPr>
      <w:rFonts w:eastAsia="楷体_GB2312" w:cs="Lucida Sans"/>
      <w:sz w:val="24"/>
    </w:rPr>
  </w:style>
  <w:style w:type="paragraph" w:customStyle="1" w:styleId="514">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5">
    <w:name w:val="表格文字"/>
    <w:basedOn w:val="1"/>
    <w:next w:val="5"/>
    <w:qFormat/>
    <w:uiPriority w:val="0"/>
    <w:pPr>
      <w:adjustRightInd/>
      <w:ind w:firstLine="200" w:firstLineChars="200"/>
    </w:pPr>
    <w:rPr>
      <w:rFonts w:ascii="Arial" w:hAnsi="Arial"/>
      <w:spacing w:val="-5"/>
      <w:kern w:val="0"/>
      <w:sz w:val="24"/>
      <w:szCs w:val="20"/>
    </w:rPr>
  </w:style>
  <w:style w:type="paragraph" w:customStyle="1" w:styleId="516">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7">
    <w:name w:val="TOC 标题111"/>
    <w:basedOn w:val="2"/>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8">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9">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0">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1">
    <w:name w:val="_Style 3"/>
    <w:basedOn w:val="1"/>
    <w:qFormat/>
    <w:uiPriority w:val="0"/>
    <w:pPr>
      <w:adjustRightInd/>
      <w:ind w:firstLine="420" w:firstLineChars="200"/>
    </w:pPr>
    <w:rPr>
      <w:rFonts w:eastAsia="仿宋_GB2312"/>
      <w:sz w:val="28"/>
    </w:rPr>
  </w:style>
  <w:style w:type="paragraph" w:customStyle="1" w:styleId="522">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3">
    <w:name w:val="Bulleting First Indent 1"/>
    <w:basedOn w:val="61"/>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4">
    <w:name w:val="左对齐表格文字"/>
    <w:basedOn w:val="1"/>
    <w:qFormat/>
    <w:uiPriority w:val="0"/>
    <w:pPr>
      <w:adjustRightInd/>
      <w:ind w:firstLine="200" w:firstLineChars="200"/>
      <w:jc w:val="right"/>
    </w:pPr>
  </w:style>
  <w:style w:type="paragraph" w:customStyle="1" w:styleId="525">
    <w:name w:val="Char Char11 Char Char Char Char Char Char Char Char Char"/>
    <w:basedOn w:val="1"/>
    <w:qFormat/>
    <w:uiPriority w:val="0"/>
    <w:pPr>
      <w:spacing w:line="360" w:lineRule="auto"/>
    </w:pPr>
    <w:rPr>
      <w:szCs w:val="20"/>
    </w:rPr>
  </w:style>
  <w:style w:type="paragraph" w:customStyle="1" w:styleId="526">
    <w:name w:val="正文1.25"/>
    <w:basedOn w:val="1"/>
    <w:qFormat/>
    <w:uiPriority w:val="0"/>
    <w:pPr>
      <w:adjustRightInd/>
      <w:spacing w:line="300" w:lineRule="auto"/>
      <w:ind w:firstLine="480" w:firstLineChars="200"/>
    </w:pPr>
    <w:rPr>
      <w:sz w:val="24"/>
      <w:szCs w:val="20"/>
    </w:rPr>
  </w:style>
  <w:style w:type="paragraph" w:customStyle="1" w:styleId="527">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8">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9">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0">
    <w:name w:val="Char Char1 Char Char Char1"/>
    <w:basedOn w:val="1"/>
    <w:qFormat/>
    <w:uiPriority w:val="6"/>
    <w:rPr>
      <w:rFonts w:ascii="仿宋_GB2312" w:eastAsia="仿宋_GB2312"/>
      <w:b/>
      <w:sz w:val="32"/>
      <w:szCs w:val="20"/>
    </w:rPr>
  </w:style>
  <w:style w:type="paragraph" w:customStyle="1" w:styleId="531">
    <w:name w:val="列出段落2"/>
    <w:basedOn w:val="1"/>
    <w:qFormat/>
    <w:uiPriority w:val="0"/>
    <w:pPr>
      <w:adjustRightInd/>
      <w:ind w:firstLine="420" w:firstLineChars="200"/>
    </w:pPr>
    <w:rPr>
      <w:rFonts w:ascii="宋体" w:hAnsi="宋体"/>
      <w:sz w:val="24"/>
    </w:rPr>
  </w:style>
  <w:style w:type="paragraph" w:customStyle="1" w:styleId="532">
    <w:name w:val="默认段落字体 Para Char Char Char Char Char Char Char"/>
    <w:basedOn w:val="1"/>
    <w:qFormat/>
    <w:uiPriority w:val="0"/>
    <w:rPr>
      <w:rFonts w:eastAsia="仿宋_GB2312"/>
      <w:sz w:val="28"/>
      <w:szCs w:val="20"/>
    </w:rPr>
  </w:style>
  <w:style w:type="paragraph" w:customStyle="1" w:styleId="533">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4">
    <w:name w:val="样式 标题 4PIM 4H4h4bulletblbbH41H42H43H44H45H46H47H48...1"/>
    <w:basedOn w:val="6"/>
    <w:qFormat/>
    <w:uiPriority w:val="0"/>
    <w:pPr>
      <w:widowControl/>
      <w:jc w:val="left"/>
    </w:pPr>
    <w:rPr>
      <w:rFonts w:cs="宋体"/>
      <w:sz w:val="24"/>
      <w:szCs w:val="20"/>
    </w:rPr>
  </w:style>
  <w:style w:type="paragraph" w:customStyle="1" w:styleId="535">
    <w:name w:val="彩色列表 - 强调文字颜色 11"/>
    <w:basedOn w:val="1"/>
    <w:qFormat/>
    <w:uiPriority w:val="0"/>
    <w:pPr>
      <w:adjustRightInd/>
      <w:ind w:firstLine="420" w:firstLineChars="200"/>
    </w:pPr>
    <w:rPr>
      <w:rFonts w:ascii="Calibri" w:hAnsi="Calibri"/>
      <w:szCs w:val="22"/>
    </w:rPr>
  </w:style>
  <w:style w:type="paragraph" w:customStyle="1" w:styleId="536">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7">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8">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39">
    <w:name w:val="Char Char Char1 Char1"/>
    <w:basedOn w:val="1"/>
    <w:qFormat/>
    <w:uiPriority w:val="6"/>
    <w:rPr>
      <w:szCs w:val="20"/>
    </w:rPr>
  </w:style>
  <w:style w:type="paragraph" w:customStyle="1" w:styleId="540">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1">
    <w:name w:val="样式 标题 2 + 宋体 左侧:  1.76 厘米 首行缩进:  0 厘米"/>
    <w:basedOn w:val="3"/>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2">
    <w:name w:val="List Paragraph*"/>
    <w:basedOn w:val="1"/>
    <w:autoRedefine/>
    <w:qFormat/>
    <w:uiPriority w:val="7"/>
    <w:pPr>
      <w:adjustRightInd/>
      <w:spacing w:line="360" w:lineRule="auto"/>
      <w:ind w:firstLine="420"/>
    </w:pPr>
    <w:rPr>
      <w:rFonts w:ascii="Calibri" w:hAnsi="Calibri" w:cs="Calibri"/>
      <w:color w:val="000000"/>
      <w:kern w:val="1"/>
      <w:sz w:val="24"/>
      <w:szCs w:val="22"/>
    </w:rPr>
  </w:style>
  <w:style w:type="paragraph" w:customStyle="1" w:styleId="543">
    <w:name w:val="Char Char11 Char Char Char Char Char Char Char Char Char Char Char Char Char11"/>
    <w:basedOn w:val="1"/>
    <w:autoRedefine/>
    <w:qFormat/>
    <w:uiPriority w:val="6"/>
    <w:pPr>
      <w:adjustRightInd/>
      <w:spacing w:line="360" w:lineRule="auto"/>
    </w:pPr>
    <w:rPr>
      <w:rFonts w:ascii="Arial" w:hAnsi="Arial" w:eastAsia="黑体" w:cs="Arial"/>
      <w:snapToGrid w:val="0"/>
      <w:kern w:val="0"/>
      <w:szCs w:val="21"/>
    </w:rPr>
  </w:style>
  <w:style w:type="paragraph" w:customStyle="1" w:styleId="544">
    <w:name w:val="xl3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5">
    <w:name w:val="CM14"/>
    <w:basedOn w:val="236"/>
    <w:next w:val="236"/>
    <w:autoRedefine/>
    <w:qFormat/>
    <w:uiPriority w:val="0"/>
    <w:pPr>
      <w:spacing w:after="68"/>
    </w:pPr>
    <w:rPr>
      <w:rFonts w:ascii="FHLHE E+ Futura Bk" w:eastAsia="FHLHE E+ Futura Bk" w:cs="Times New Roman"/>
      <w:color w:val="auto"/>
    </w:rPr>
  </w:style>
  <w:style w:type="paragraph" w:customStyle="1" w:styleId="546">
    <w:name w:val="xl8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7">
    <w:name w:val="无间隔*"/>
    <w:autoRedefine/>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8">
    <w:name w:val="Char Char Char Char1"/>
    <w:basedOn w:val="1"/>
    <w:autoRedefine/>
    <w:qFormat/>
    <w:uiPriority w:val="0"/>
    <w:pPr>
      <w:tabs>
        <w:tab w:val="left" w:pos="0"/>
      </w:tabs>
      <w:adjustRightInd/>
      <w:ind w:firstLine="200" w:firstLineChars="200"/>
    </w:pPr>
    <w:rPr>
      <w:rFonts w:ascii="宋体" w:hAnsi="宋体" w:eastAsia="仿宋_GB2312"/>
      <w:sz w:val="28"/>
    </w:rPr>
  </w:style>
  <w:style w:type="paragraph" w:customStyle="1" w:styleId="549">
    <w:name w:val="正文文字 2"/>
    <w:basedOn w:val="236"/>
    <w:next w:val="236"/>
    <w:autoRedefine/>
    <w:qFormat/>
    <w:uiPriority w:val="0"/>
    <w:rPr>
      <w:rFonts w:ascii="宋体" w:eastAsia="宋体" w:cs="Times New Roman"/>
      <w:color w:val="auto"/>
    </w:rPr>
  </w:style>
  <w:style w:type="paragraph" w:customStyle="1" w:styleId="550">
    <w:name w:val="正文首行缩进两字"/>
    <w:autoRedefine/>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1">
    <w:name w:val="Char Char1 Char"/>
    <w:basedOn w:val="1"/>
    <w:autoRedefine/>
    <w:qFormat/>
    <w:uiPriority w:val="0"/>
    <w:rPr>
      <w:rFonts w:ascii="仿宋_GB2312" w:eastAsia="仿宋_GB2312"/>
      <w:b/>
      <w:sz w:val="32"/>
      <w:szCs w:val="32"/>
    </w:rPr>
  </w:style>
  <w:style w:type="paragraph" w:customStyle="1" w:styleId="552">
    <w:name w:val="xl7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3">
    <w:name w:val="Char Char11 Char Char Char Char Char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554">
    <w:name w:val="Char Char111"/>
    <w:basedOn w:val="1"/>
    <w:autoRedefine/>
    <w:qFormat/>
    <w:uiPriority w:val="0"/>
    <w:pPr>
      <w:spacing w:line="360" w:lineRule="auto"/>
    </w:pPr>
    <w:rPr>
      <w:szCs w:val="20"/>
    </w:rPr>
  </w:style>
  <w:style w:type="paragraph" w:customStyle="1" w:styleId="555">
    <w:name w:val="Char"/>
    <w:basedOn w:val="1"/>
    <w:autoRedefine/>
    <w:qFormat/>
    <w:uiPriority w:val="0"/>
    <w:rPr>
      <w:rFonts w:ascii="仿宋_GB2312" w:eastAsia="仿宋_GB2312"/>
      <w:b/>
      <w:sz w:val="32"/>
      <w:szCs w:val="32"/>
    </w:rPr>
  </w:style>
  <w:style w:type="paragraph" w:customStyle="1" w:styleId="556">
    <w:name w:val="RFI Heading 2nd Level"/>
    <w:basedOn w:val="1"/>
    <w:autoRedefine/>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7">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8">
    <w:name w:val="Char Char Char1 Char"/>
    <w:basedOn w:val="1"/>
    <w:autoRedefine/>
    <w:qFormat/>
    <w:uiPriority w:val="0"/>
    <w:rPr>
      <w:szCs w:val="20"/>
    </w:rPr>
  </w:style>
  <w:style w:type="paragraph" w:customStyle="1" w:styleId="559">
    <w:name w:val="正文标准"/>
    <w:basedOn w:val="1"/>
    <w:autoRedefine/>
    <w:qFormat/>
    <w:uiPriority w:val="0"/>
    <w:pPr>
      <w:adjustRightInd/>
      <w:spacing w:line="360" w:lineRule="auto"/>
      <w:ind w:firstLine="200" w:firstLineChars="200"/>
    </w:pPr>
    <w:rPr>
      <w:rFonts w:ascii="宋体" w:hAnsi="Calibri"/>
      <w:sz w:val="24"/>
    </w:rPr>
  </w:style>
  <w:style w:type="paragraph" w:customStyle="1" w:styleId="560">
    <w:name w:val="正文格式"/>
    <w:basedOn w:val="1"/>
    <w:autoRedefine/>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1">
    <w:name w:val="Char Char11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62">
    <w:name w:val="Th"/>
    <w:autoRedefine/>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3">
    <w:name w:val="规范正文"/>
    <w:basedOn w:val="1"/>
    <w:autoRedefine/>
    <w:qFormat/>
    <w:uiPriority w:val="0"/>
    <w:pPr>
      <w:tabs>
        <w:tab w:val="left" w:pos="840"/>
      </w:tabs>
      <w:spacing w:before="156" w:beforeLines="50" w:line="360" w:lineRule="auto"/>
      <w:ind w:left="840" w:hanging="420"/>
      <w:textAlignment w:val="baseline"/>
    </w:pPr>
    <w:rPr>
      <w:szCs w:val="20"/>
    </w:rPr>
  </w:style>
  <w:style w:type="paragraph" w:customStyle="1" w:styleId="564">
    <w:name w:val="font12"/>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5">
    <w:name w:val="Char Char1 Char2"/>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6">
    <w:name w:val="Char Char Char1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567">
    <w:name w:val="xl42"/>
    <w:basedOn w:val="1"/>
    <w:autoRedefine/>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8">
    <w:name w:val="目录4"/>
    <w:basedOn w:val="1"/>
    <w:autoRedefine/>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9">
    <w:name w:val="xl43"/>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0">
    <w:name w:val="solutionfonts1"/>
    <w:basedOn w:val="1"/>
    <w:autoRedefine/>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1">
    <w:name w:val="标准有序列表（L1）"/>
    <w:basedOn w:val="5"/>
    <w:autoRedefine/>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2">
    <w:name w:val="Char Char Char Char Char Char Char Char Char Char"/>
    <w:basedOn w:val="1"/>
    <w:autoRedefine/>
    <w:qFormat/>
    <w:uiPriority w:val="0"/>
    <w:rPr>
      <w:rFonts w:ascii="仿宋_GB2312" w:eastAsia="仿宋_GB2312"/>
      <w:b/>
      <w:sz w:val="32"/>
      <w:szCs w:val="32"/>
    </w:rPr>
  </w:style>
  <w:style w:type="paragraph" w:customStyle="1" w:styleId="573">
    <w:name w:val="Char1 Char Char Char Char Char Char Char Char Char Char Char1 Char Char Char Char Char Char Char Char Char Char Char Char Char Char1 Char Char Char Char"/>
    <w:basedOn w:val="1"/>
    <w:autoRedefine/>
    <w:qFormat/>
    <w:uiPriority w:val="0"/>
    <w:pPr>
      <w:spacing w:line="360" w:lineRule="auto"/>
    </w:pPr>
    <w:rPr>
      <w:kern w:val="0"/>
      <w:sz w:val="24"/>
      <w:szCs w:val="20"/>
    </w:rPr>
  </w:style>
  <w:style w:type="paragraph" w:customStyle="1" w:styleId="574">
    <w:name w:val="_正文段落"/>
    <w:basedOn w:val="1"/>
    <w:qFormat/>
    <w:uiPriority w:val="0"/>
    <w:pPr>
      <w:adjustRightInd/>
      <w:ind w:firstLine="560"/>
    </w:pPr>
    <w:rPr>
      <w:rFonts w:ascii="仿宋_GB2312" w:hAnsi="仿宋" w:eastAsia="仿宋_GB2312"/>
      <w:kern w:val="0"/>
      <w:sz w:val="28"/>
      <w:szCs w:val="28"/>
    </w:rPr>
  </w:style>
  <w:style w:type="paragraph" w:customStyle="1" w:styleId="575">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6">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7">
    <w:name w:val="正文（首行缩进）"/>
    <w:basedOn w:val="24"/>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8">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79">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0">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1">
    <w:name w:val="Char Char Char1 Char2"/>
    <w:basedOn w:val="1"/>
    <w:qFormat/>
    <w:uiPriority w:val="0"/>
    <w:rPr>
      <w:szCs w:val="20"/>
    </w:rPr>
  </w:style>
  <w:style w:type="paragraph" w:customStyle="1" w:styleId="582">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3">
    <w:name w:val="默认段落字体 Para Char"/>
    <w:basedOn w:val="1"/>
    <w:qFormat/>
    <w:uiPriority w:val="0"/>
    <w:rPr>
      <w:rFonts w:ascii="Tahoma" w:hAnsi="Tahoma"/>
      <w:sz w:val="24"/>
      <w:szCs w:val="20"/>
    </w:rPr>
  </w:style>
  <w:style w:type="paragraph" w:customStyle="1" w:styleId="584">
    <w:name w:val="标题五"/>
    <w:basedOn w:val="1"/>
    <w:qFormat/>
    <w:uiPriority w:val="0"/>
    <w:pPr>
      <w:adjustRightInd/>
      <w:spacing w:before="156" w:beforeLines="50" w:line="360" w:lineRule="auto"/>
    </w:pPr>
    <w:rPr>
      <w:b/>
      <w:sz w:val="24"/>
    </w:rPr>
  </w:style>
  <w:style w:type="paragraph" w:customStyle="1" w:styleId="585">
    <w:name w:val="Char Char1101"/>
    <w:basedOn w:val="1"/>
    <w:qFormat/>
    <w:uiPriority w:val="0"/>
    <w:pPr>
      <w:spacing w:line="360" w:lineRule="auto"/>
    </w:pPr>
    <w:rPr>
      <w:rFonts w:ascii="Tahoma" w:hAnsi="Tahoma"/>
      <w:sz w:val="24"/>
      <w:szCs w:val="20"/>
    </w:rPr>
  </w:style>
  <w:style w:type="paragraph" w:customStyle="1" w:styleId="586">
    <w:name w:val="Char Char Char Char Char Char Char Char1"/>
    <w:basedOn w:val="1"/>
    <w:qFormat/>
    <w:uiPriority w:val="0"/>
    <w:pPr>
      <w:tabs>
        <w:tab w:val="left" w:pos="360"/>
      </w:tabs>
    </w:pPr>
    <w:rPr>
      <w:sz w:val="24"/>
      <w:szCs w:val="20"/>
    </w:rPr>
  </w:style>
  <w:style w:type="paragraph" w:customStyle="1" w:styleId="587">
    <w:name w:val="Char Char Char 字元 字元"/>
    <w:basedOn w:val="1"/>
    <w:qFormat/>
    <w:uiPriority w:val="0"/>
    <w:pPr>
      <w:adjustRightInd/>
      <w:spacing w:line="360" w:lineRule="auto"/>
      <w:ind w:firstLine="200" w:firstLineChars="200"/>
    </w:pPr>
    <w:rPr>
      <w:szCs w:val="20"/>
    </w:rPr>
  </w:style>
  <w:style w:type="paragraph" w:customStyle="1" w:styleId="588">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9">
    <w:name w:val="Char Char Char Char Char Char Char"/>
    <w:basedOn w:val="1"/>
    <w:qFormat/>
    <w:uiPriority w:val="0"/>
    <w:rPr>
      <w:rFonts w:ascii="仿宋_GB2312" w:eastAsia="仿宋_GB2312"/>
      <w:b/>
      <w:sz w:val="32"/>
      <w:szCs w:val="32"/>
    </w:rPr>
  </w:style>
  <w:style w:type="paragraph" w:customStyle="1" w:styleId="590">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1">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2">
    <w:name w:val="样式 标题 22h2L1 Heading 2H2sect 1.2H21sect 1.21H22sect 1.2..."/>
    <w:basedOn w:val="3"/>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3">
    <w:name w:val="样式6"/>
    <w:basedOn w:val="33"/>
    <w:qFormat/>
    <w:uiPriority w:val="0"/>
    <w:pPr>
      <w:spacing w:line="460" w:lineRule="exact"/>
      <w:outlineLvl w:val="2"/>
    </w:pPr>
    <w:rPr>
      <w:rFonts w:ascii="仿宋_GB2312" w:hAnsi="宋体" w:eastAsia="仿宋_GB2312"/>
      <w:b/>
      <w:bCs/>
      <w:sz w:val="24"/>
      <w:szCs w:val="24"/>
    </w:rPr>
  </w:style>
  <w:style w:type="paragraph" w:customStyle="1" w:styleId="594">
    <w:name w:val="批注框文本 Char Char"/>
    <w:basedOn w:val="1"/>
    <w:qFormat/>
    <w:uiPriority w:val="0"/>
    <w:pPr>
      <w:adjustRightInd/>
    </w:pPr>
    <w:rPr>
      <w:sz w:val="18"/>
      <w:szCs w:val="20"/>
    </w:rPr>
  </w:style>
  <w:style w:type="paragraph" w:customStyle="1" w:styleId="595">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6">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7">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8">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9">
    <w:name w:val="索引 11"/>
    <w:basedOn w:val="1"/>
    <w:next w:val="1"/>
    <w:qFormat/>
    <w:uiPriority w:val="99"/>
    <w:pPr>
      <w:adjustRightInd/>
      <w:spacing w:line="360" w:lineRule="auto"/>
    </w:pPr>
    <w:rPr>
      <w:rFonts w:ascii="仿宋_GB2312" w:eastAsia="仿宋_GB2312"/>
      <w:sz w:val="24"/>
      <w:szCs w:val="20"/>
    </w:rPr>
  </w:style>
  <w:style w:type="paragraph" w:customStyle="1" w:styleId="600">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1">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2">
    <w:name w:val="正文文字缩进项目"/>
    <w:basedOn w:val="24"/>
    <w:autoRedefine/>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3">
    <w:name w:val="文档正文"/>
    <w:basedOn w:val="1"/>
    <w:qFormat/>
    <w:uiPriority w:val="0"/>
    <w:pPr>
      <w:spacing w:line="480" w:lineRule="atLeast"/>
      <w:ind w:firstLine="567"/>
      <w:textAlignment w:val="baseline"/>
    </w:pPr>
    <w:rPr>
      <w:kern w:val="0"/>
      <w:sz w:val="24"/>
      <w:szCs w:val="20"/>
    </w:rPr>
  </w:style>
  <w:style w:type="paragraph" w:customStyle="1" w:styleId="604">
    <w:name w:val="正文文字表格居中"/>
    <w:basedOn w:val="1"/>
    <w:next w:val="56"/>
    <w:qFormat/>
    <w:uiPriority w:val="0"/>
    <w:pPr>
      <w:snapToGrid w:val="0"/>
      <w:spacing w:line="360" w:lineRule="auto"/>
    </w:pPr>
    <w:rPr>
      <w:rFonts w:ascii="宋体"/>
      <w:b/>
      <w:sz w:val="24"/>
      <w:szCs w:val="20"/>
    </w:rPr>
  </w:style>
  <w:style w:type="paragraph" w:customStyle="1" w:styleId="605">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6">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7">
    <w:name w:val="Plain Text1"/>
    <w:basedOn w:val="1"/>
    <w:qFormat/>
    <w:uiPriority w:val="7"/>
    <w:pPr>
      <w:adjustRightInd/>
    </w:pPr>
    <w:rPr>
      <w:rFonts w:ascii="宋体" w:hAnsi="Courier New"/>
    </w:rPr>
  </w:style>
  <w:style w:type="paragraph" w:customStyle="1" w:styleId="608">
    <w:name w:val="Char3"/>
    <w:basedOn w:val="1"/>
    <w:qFormat/>
    <w:uiPriority w:val="0"/>
    <w:pPr>
      <w:adjustRightInd/>
    </w:pPr>
    <w:rPr>
      <w:rFonts w:ascii="仿宋_GB2312" w:eastAsia="仿宋_GB2312"/>
      <w:b/>
      <w:sz w:val="32"/>
      <w:szCs w:val="32"/>
    </w:rPr>
  </w:style>
  <w:style w:type="paragraph" w:customStyle="1" w:styleId="609">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0">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1">
    <w:name w:val="标题2"/>
    <w:basedOn w:val="3"/>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2">
    <w:name w:val="List Paragraph1"/>
    <w:basedOn w:val="1"/>
    <w:qFormat/>
    <w:uiPriority w:val="0"/>
    <w:pPr>
      <w:spacing w:line="360" w:lineRule="auto"/>
      <w:ind w:firstLine="200" w:firstLineChars="200"/>
    </w:pPr>
    <w:rPr>
      <w:rFonts w:eastAsia="楷体_GB2312" w:cs="Lucida Sans"/>
      <w:sz w:val="24"/>
    </w:rPr>
  </w:style>
  <w:style w:type="paragraph" w:customStyle="1" w:styleId="613">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4">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5">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6">
    <w:name w:val="Char3 Char Char Char"/>
    <w:basedOn w:val="1"/>
    <w:qFormat/>
    <w:uiPriority w:val="0"/>
    <w:pPr>
      <w:widowControl/>
      <w:adjustRightInd/>
      <w:spacing w:after="160" w:line="240" w:lineRule="exact"/>
      <w:jc w:val="left"/>
    </w:pPr>
    <w:rPr>
      <w:szCs w:val="20"/>
    </w:rPr>
  </w:style>
  <w:style w:type="paragraph" w:customStyle="1" w:styleId="617">
    <w:name w:val="表格标题2"/>
    <w:basedOn w:val="618"/>
    <w:qFormat/>
    <w:uiPriority w:val="0"/>
    <w:rPr>
      <w:b/>
    </w:rPr>
  </w:style>
  <w:style w:type="paragraph" w:customStyle="1" w:styleId="618">
    <w:name w:val="表格内文"/>
    <w:basedOn w:val="1"/>
    <w:qFormat/>
    <w:uiPriority w:val="0"/>
    <w:pPr>
      <w:adjustRightInd/>
      <w:spacing w:line="360" w:lineRule="auto"/>
    </w:pPr>
    <w:rPr>
      <w:rFonts w:ascii="宋体" w:hAnsi="宋体" w:cs="宋体"/>
      <w:color w:val="000000"/>
      <w:szCs w:val="20"/>
    </w:rPr>
  </w:style>
  <w:style w:type="paragraph" w:customStyle="1" w:styleId="619">
    <w:name w:val="Char Char Char Char Char Char Char Char Char Char2"/>
    <w:basedOn w:val="1"/>
    <w:qFormat/>
    <w:uiPriority w:val="0"/>
    <w:rPr>
      <w:rFonts w:ascii="仿宋_GB2312" w:eastAsia="仿宋_GB2312"/>
      <w:b/>
      <w:sz w:val="32"/>
      <w:szCs w:val="32"/>
    </w:rPr>
  </w:style>
  <w:style w:type="paragraph" w:customStyle="1" w:styleId="620">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1">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2">
    <w:name w:val="Char Char11 Char Char Char Char Char Char Char Char Char11"/>
    <w:basedOn w:val="1"/>
    <w:qFormat/>
    <w:uiPriority w:val="0"/>
    <w:pPr>
      <w:spacing w:line="360" w:lineRule="auto"/>
    </w:pPr>
    <w:rPr>
      <w:szCs w:val="20"/>
    </w:rPr>
  </w:style>
  <w:style w:type="paragraph" w:customStyle="1" w:styleId="623">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4">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5">
    <w:name w:val="MM Topic 1"/>
    <w:basedOn w:val="2"/>
    <w:qFormat/>
    <w:uiPriority w:val="0"/>
    <w:pPr>
      <w:tabs>
        <w:tab w:val="left" w:pos="840"/>
      </w:tabs>
      <w:adjustRightInd/>
      <w:ind w:left="840" w:hanging="420"/>
    </w:pPr>
  </w:style>
  <w:style w:type="paragraph" w:customStyle="1" w:styleId="626">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627">
    <w:name w:val="文本正文 Char"/>
    <w:basedOn w:val="1"/>
    <w:qFormat/>
    <w:uiPriority w:val="0"/>
    <w:pPr>
      <w:spacing w:line="360" w:lineRule="auto"/>
      <w:ind w:firstLine="200" w:firstLineChars="200"/>
    </w:pPr>
    <w:rPr>
      <w:kern w:val="0"/>
      <w:sz w:val="24"/>
      <w:szCs w:val="20"/>
    </w:rPr>
  </w:style>
  <w:style w:type="paragraph" w:customStyle="1" w:styleId="628">
    <w:name w:val="表格"/>
    <w:basedOn w:val="1"/>
    <w:qFormat/>
    <w:uiPriority w:val="0"/>
    <w:pPr>
      <w:snapToGrid w:val="0"/>
      <w:ind w:firstLine="42" w:firstLineChars="21"/>
    </w:pPr>
    <w:rPr>
      <w:rFonts w:ascii="宋体" w:hAnsi="宋体"/>
      <w:kern w:val="0"/>
      <w:sz w:val="20"/>
      <w:szCs w:val="20"/>
    </w:rPr>
  </w:style>
  <w:style w:type="paragraph" w:customStyle="1" w:styleId="629">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0">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1">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2">
    <w:name w:val="表格项目符号 2"/>
    <w:basedOn w:val="29"/>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3">
    <w:name w:val="EB_表格"/>
    <w:basedOn w:val="1"/>
    <w:qFormat/>
    <w:uiPriority w:val="0"/>
    <w:pPr>
      <w:adjustRightInd/>
      <w:spacing w:line="300" w:lineRule="auto"/>
      <w:jc w:val="center"/>
    </w:pPr>
  </w:style>
  <w:style w:type="paragraph" w:customStyle="1" w:styleId="634">
    <w:name w:val="_Style 6"/>
    <w:basedOn w:val="1"/>
    <w:qFormat/>
    <w:uiPriority w:val="34"/>
    <w:pPr>
      <w:adjustRightInd/>
      <w:ind w:firstLine="420" w:firstLineChars="200"/>
    </w:pPr>
    <w:rPr>
      <w:rFonts w:eastAsia="仿宋_GB2312"/>
      <w:sz w:val="28"/>
    </w:rPr>
  </w:style>
  <w:style w:type="paragraph" w:customStyle="1" w:styleId="635">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6">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7">
    <w:name w:val="!大节"/>
    <w:basedOn w:val="3"/>
    <w:qFormat/>
    <w:uiPriority w:val="0"/>
    <w:pPr>
      <w:spacing w:before="260" w:after="260" w:line="415" w:lineRule="auto"/>
      <w:ind w:left="420" w:hanging="420"/>
    </w:pPr>
    <w:rPr>
      <w:rFonts w:ascii="Arial" w:hAnsi="Arial" w:eastAsia="微软雅黑"/>
      <w:lang w:val="en-US"/>
    </w:rPr>
  </w:style>
  <w:style w:type="paragraph" w:customStyle="1" w:styleId="638">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39">
    <w:name w:val="正文表标题"/>
    <w:next w:val="640"/>
    <w:autoRedefine/>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0">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1">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2">
    <w:name w:val="trademark"/>
    <w:qFormat/>
    <w:uiPriority w:val="0"/>
    <w:pPr>
      <w:spacing w:after="60"/>
    </w:pPr>
    <w:rPr>
      <w:rFonts w:ascii="Futura Bk" w:hAnsi="Futura Bk" w:eastAsia="宋体" w:cs="Times New Roman"/>
      <w:sz w:val="15"/>
      <w:lang w:val="en-US" w:eastAsia="en-US" w:bidi="ar-SA"/>
    </w:rPr>
  </w:style>
  <w:style w:type="paragraph" w:customStyle="1" w:styleId="643">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4">
    <w:name w:val="Char Char1 Char Char Char Char Char Char1"/>
    <w:basedOn w:val="1"/>
    <w:qFormat/>
    <w:uiPriority w:val="0"/>
    <w:rPr>
      <w:rFonts w:ascii="仿宋_GB2312" w:eastAsia="仿宋_GB2312"/>
      <w:b/>
      <w:sz w:val="32"/>
      <w:szCs w:val="20"/>
    </w:rPr>
  </w:style>
  <w:style w:type="paragraph" w:customStyle="1" w:styleId="645">
    <w:name w:val="大汉方案正文"/>
    <w:basedOn w:val="1"/>
    <w:autoRedefine/>
    <w:qFormat/>
    <w:uiPriority w:val="0"/>
    <w:pPr>
      <w:adjustRightInd/>
      <w:spacing w:line="360" w:lineRule="auto"/>
      <w:ind w:firstLine="200" w:firstLineChars="200"/>
    </w:pPr>
    <w:rPr>
      <w:rFonts w:ascii="Arial" w:hAnsi="Arial"/>
      <w:sz w:val="24"/>
      <w:szCs w:val="20"/>
    </w:rPr>
  </w:style>
  <w:style w:type="paragraph" w:customStyle="1" w:styleId="646">
    <w:name w:val="Char1 Char Char Char1"/>
    <w:basedOn w:val="1"/>
    <w:qFormat/>
    <w:uiPriority w:val="0"/>
    <w:pPr>
      <w:adjustRightInd/>
      <w:ind w:firstLine="200" w:firstLineChars="200"/>
    </w:pPr>
    <w:rPr>
      <w:rFonts w:ascii="Tahoma" w:hAnsi="Tahoma"/>
      <w:sz w:val="24"/>
      <w:szCs w:val="20"/>
    </w:rPr>
  </w:style>
  <w:style w:type="paragraph" w:customStyle="1" w:styleId="647">
    <w:name w:val="a1"/>
    <w:basedOn w:val="1"/>
    <w:qFormat/>
    <w:uiPriority w:val="0"/>
    <w:pPr>
      <w:widowControl/>
      <w:spacing w:line="300" w:lineRule="atLeast"/>
      <w:jc w:val="left"/>
    </w:pPr>
    <w:rPr>
      <w:rFonts w:ascii="宋体" w:hAnsi="宋体"/>
      <w:kern w:val="0"/>
      <w:sz w:val="18"/>
      <w:szCs w:val="20"/>
    </w:rPr>
  </w:style>
  <w:style w:type="paragraph" w:customStyle="1" w:styleId="648">
    <w:name w:val="样式7"/>
    <w:basedOn w:val="649"/>
    <w:next w:val="1"/>
    <w:qFormat/>
    <w:uiPriority w:val="0"/>
    <w:pPr>
      <w:spacing w:after="156" w:afterLines="50"/>
      <w:jc w:val="left"/>
      <w:outlineLvl w:val="3"/>
    </w:pPr>
    <w:rPr>
      <w:sz w:val="24"/>
      <w:szCs w:val="24"/>
    </w:rPr>
  </w:style>
  <w:style w:type="paragraph" w:customStyle="1" w:styleId="649">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0">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1">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2">
    <w:name w:val="样式 样式2 + 左侧:  1 字符 右侧:  1 字符"/>
    <w:basedOn w:val="460"/>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3">
    <w:name w:val="Char2 Char Char2"/>
    <w:basedOn w:val="1"/>
    <w:qFormat/>
    <w:uiPriority w:val="0"/>
    <w:pPr>
      <w:adjustRightInd/>
    </w:pPr>
    <w:rPr>
      <w:rFonts w:ascii="Tahoma" w:hAnsi="Tahoma"/>
      <w:sz w:val="24"/>
      <w:szCs w:val="20"/>
    </w:rPr>
  </w:style>
  <w:style w:type="paragraph" w:customStyle="1" w:styleId="654">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5">
    <w:name w:val="三级条标题"/>
    <w:basedOn w:val="656"/>
    <w:next w:val="640"/>
    <w:qFormat/>
    <w:uiPriority w:val="0"/>
    <w:pPr>
      <w:tabs>
        <w:tab w:val="left" w:pos="1260"/>
        <w:tab w:val="left" w:pos="1680"/>
        <w:tab w:val="left" w:pos="2100"/>
        <w:tab w:val="left" w:pos="2520"/>
      </w:tabs>
      <w:ind w:left="2520"/>
      <w:outlineLvl w:val="4"/>
    </w:pPr>
  </w:style>
  <w:style w:type="paragraph" w:customStyle="1" w:styleId="656">
    <w:name w:val="二级条标题"/>
    <w:basedOn w:val="657"/>
    <w:next w:val="640"/>
    <w:qFormat/>
    <w:uiPriority w:val="0"/>
    <w:pPr>
      <w:tabs>
        <w:tab w:val="left" w:pos="1260"/>
        <w:tab w:val="left" w:pos="1680"/>
        <w:tab w:val="left" w:pos="2100"/>
      </w:tabs>
      <w:ind w:left="0"/>
      <w:outlineLvl w:val="3"/>
    </w:pPr>
  </w:style>
  <w:style w:type="paragraph" w:customStyle="1" w:styleId="657">
    <w:name w:val="一级条标题"/>
    <w:basedOn w:val="658"/>
    <w:next w:val="640"/>
    <w:qFormat/>
    <w:uiPriority w:val="0"/>
    <w:pPr>
      <w:tabs>
        <w:tab w:val="left" w:pos="1260"/>
        <w:tab w:val="left" w:pos="1680"/>
      </w:tabs>
      <w:spacing w:before="0" w:beforeLines="0" w:after="0" w:afterLines="0"/>
      <w:ind w:left="1680"/>
      <w:outlineLvl w:val="2"/>
    </w:pPr>
  </w:style>
  <w:style w:type="paragraph" w:customStyle="1" w:styleId="658">
    <w:name w:val="章标题"/>
    <w:next w:val="640"/>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9">
    <w:name w:val="数字标题2"/>
    <w:basedOn w:val="3"/>
    <w:next w:val="1"/>
    <w:qFormat/>
    <w:uiPriority w:val="0"/>
    <w:pPr>
      <w:tabs>
        <w:tab w:val="left" w:pos="480"/>
      </w:tabs>
      <w:ind w:left="480" w:hanging="480"/>
    </w:pPr>
    <w:rPr>
      <w:rFonts w:ascii="Times New Roman" w:eastAsia="宋体"/>
      <w:i/>
      <w:sz w:val="36"/>
      <w:szCs w:val="36"/>
      <w:lang w:val="en-US"/>
    </w:rPr>
  </w:style>
  <w:style w:type="paragraph" w:customStyle="1" w:styleId="660">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1">
    <w:name w:val="样式 标题 1Level 1 HeadPIM 1Section Headh1l11Heading 0Datash..."/>
    <w:basedOn w:val="2"/>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2">
    <w:name w:val="xl2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3">
    <w:name w:val="样式 标题 1章节第一层h1H"/>
    <w:basedOn w:val="2"/>
    <w:autoRedefine/>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4">
    <w:name w:val="xl30"/>
    <w:basedOn w:val="1"/>
    <w:autoRedefine/>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5">
    <w:name w:val="正文 项目2"/>
    <w:basedOn w:val="666"/>
    <w:qFormat/>
    <w:uiPriority w:val="0"/>
    <w:pPr>
      <w:tabs>
        <w:tab w:val="left" w:pos="840"/>
      </w:tabs>
      <w:spacing w:after="0"/>
      <w:ind w:left="900"/>
    </w:pPr>
  </w:style>
  <w:style w:type="paragraph" w:customStyle="1" w:styleId="666">
    <w:name w:val="正文 项目"/>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7">
    <w:name w:val="Body Text 2*"/>
    <w:basedOn w:val="1"/>
    <w:qFormat/>
    <w:uiPriority w:val="6"/>
    <w:pPr>
      <w:widowControl/>
      <w:adjustRightInd/>
      <w:ind w:left="720" w:hanging="720"/>
    </w:pPr>
    <w:rPr>
      <w:color w:val="000000"/>
      <w:kern w:val="0"/>
      <w:sz w:val="24"/>
      <w:szCs w:val="20"/>
      <w:lang w:val="en-GB"/>
    </w:rPr>
  </w:style>
  <w:style w:type="paragraph" w:customStyle="1" w:styleId="668">
    <w:name w:val="表1"/>
    <w:basedOn w:val="1"/>
    <w:autoRedefine/>
    <w:qFormat/>
    <w:uiPriority w:val="0"/>
    <w:pPr>
      <w:tabs>
        <w:tab w:val="left" w:pos="703"/>
      </w:tabs>
      <w:adjustRightInd/>
      <w:spacing w:line="360" w:lineRule="auto"/>
      <w:ind w:left="703"/>
      <w:jc w:val="center"/>
    </w:pPr>
  </w:style>
  <w:style w:type="paragraph" w:customStyle="1" w:styleId="669">
    <w:name w:val="_Style 27"/>
    <w:autoRedefine/>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0">
    <w:name w:val="样式 样式 标题 4 + 非加粗 + (中文) 黑体 段前: 0 磅 段后: 0 磅 行距: 固定值 22 磅"/>
    <w:basedOn w:val="1"/>
    <w:autoRedefine/>
    <w:qFormat/>
    <w:uiPriority w:val="0"/>
    <w:pPr>
      <w:keepNext/>
      <w:keepLines/>
      <w:adjustRightInd/>
      <w:spacing w:beforeLines="50" w:afterLines="50" w:line="500" w:lineRule="exact"/>
      <w:outlineLvl w:val="3"/>
    </w:pPr>
    <w:rPr>
      <w:rFonts w:ascii="Arial" w:hAnsi="Arial"/>
      <w:b/>
      <w:bCs/>
      <w:sz w:val="24"/>
    </w:rPr>
  </w:style>
  <w:style w:type="paragraph" w:customStyle="1" w:styleId="671">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2">
    <w:name w:val="2级标题"/>
    <w:basedOn w:val="673"/>
    <w:autoRedefine/>
    <w:qFormat/>
    <w:uiPriority w:val="0"/>
    <w:pPr>
      <w:jc w:val="left"/>
      <w:outlineLvl w:val="1"/>
    </w:pPr>
    <w:rPr>
      <w:rFonts w:ascii="Times New Roman" w:hAnsi="Times New Roman" w:eastAsia="仿宋"/>
      <w:sz w:val="30"/>
    </w:rPr>
  </w:style>
  <w:style w:type="paragraph" w:customStyle="1" w:styleId="673">
    <w:name w:val="1级标题"/>
    <w:basedOn w:val="1"/>
    <w:autoRedefine/>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4">
    <w:name w:val="正文 New New New New"/>
    <w:autoRedefine/>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5">
    <w:name w:val="样式 微软雅黑 行距: 1.5 倍行距"/>
    <w:basedOn w:val="1"/>
    <w:autoRedefine/>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6">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7">
    <w:name w:val="xl33"/>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8">
    <w:name w:val="bullet"/>
    <w:basedOn w:val="1"/>
    <w:qFormat/>
    <w:uiPriority w:val="0"/>
    <w:pPr>
      <w:tabs>
        <w:tab w:val="left" w:pos="840"/>
      </w:tabs>
      <w:adjustRightInd/>
      <w:ind w:left="840" w:hanging="420"/>
    </w:pPr>
  </w:style>
  <w:style w:type="paragraph" w:customStyle="1" w:styleId="679">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0">
    <w:name w:val="普通正文"/>
    <w:basedOn w:val="1"/>
    <w:autoRedefine/>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1">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2">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3">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4">
    <w:name w:val="xl25"/>
    <w:basedOn w:val="1"/>
    <w:autoRedefine/>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5">
    <w:name w:val="xl73"/>
    <w:basedOn w:val="1"/>
    <w:autoRedefine/>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6">
    <w:name w:val="MM Topic 4"/>
    <w:basedOn w:val="6"/>
    <w:autoRedefine/>
    <w:qFormat/>
    <w:uiPriority w:val="0"/>
    <w:pPr>
      <w:tabs>
        <w:tab w:val="left" w:pos="2100"/>
      </w:tabs>
      <w:adjustRightInd/>
      <w:ind w:left="2100" w:hanging="420"/>
    </w:pPr>
    <w:rPr>
      <w:lang w:val="en-US"/>
    </w:rPr>
  </w:style>
  <w:style w:type="paragraph" w:customStyle="1" w:styleId="687">
    <w:name w:val="Char11"/>
    <w:basedOn w:val="1"/>
    <w:autoRedefine/>
    <w:qFormat/>
    <w:uiPriority w:val="0"/>
    <w:pPr>
      <w:tabs>
        <w:tab w:val="left" w:pos="432"/>
      </w:tabs>
      <w:adjustRightInd/>
      <w:spacing w:before="156" w:beforeLines="50" w:after="156" w:afterLines="50"/>
      <w:ind w:left="432" w:hanging="432" w:firstLineChars="200"/>
    </w:pPr>
    <w:rPr>
      <w:sz w:val="24"/>
    </w:rPr>
  </w:style>
  <w:style w:type="paragraph" w:customStyle="1" w:styleId="688">
    <w:name w:val="gjt_正文"/>
    <w:autoRedefine/>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9">
    <w:name w:val="Char Char11 Char Char Char Char Char Char Char Char Char1"/>
    <w:basedOn w:val="1"/>
    <w:autoRedefine/>
    <w:qFormat/>
    <w:uiPriority w:val="6"/>
    <w:pPr>
      <w:spacing w:line="360" w:lineRule="auto"/>
    </w:pPr>
    <w:rPr>
      <w:szCs w:val="20"/>
    </w:rPr>
  </w:style>
  <w:style w:type="paragraph" w:customStyle="1" w:styleId="690">
    <w:name w:val="金宏发行正文 Char"/>
    <w:basedOn w:val="1"/>
    <w:autoRedefine/>
    <w:qFormat/>
    <w:uiPriority w:val="0"/>
    <w:pPr>
      <w:adjustRightInd/>
      <w:spacing w:line="500" w:lineRule="exact"/>
      <w:ind w:firstLine="560" w:firstLineChars="200"/>
    </w:pPr>
    <w:rPr>
      <w:rFonts w:eastAsia="仿宋_GB2312"/>
      <w:sz w:val="28"/>
      <w:szCs w:val="20"/>
    </w:rPr>
  </w:style>
  <w:style w:type="paragraph" w:customStyle="1" w:styleId="691">
    <w:name w:val="批注框文本1"/>
    <w:basedOn w:val="1"/>
    <w:autoRedefine/>
    <w:qFormat/>
    <w:uiPriority w:val="0"/>
    <w:pPr>
      <w:autoSpaceDE w:val="0"/>
      <w:autoSpaceDN w:val="0"/>
      <w:spacing w:line="351" w:lineRule="atLeast"/>
      <w:ind w:firstLine="419" w:firstLineChars="200"/>
    </w:pPr>
    <w:rPr>
      <w:color w:val="000000"/>
      <w:kern w:val="0"/>
      <w:sz w:val="18"/>
      <w:szCs w:val="18"/>
    </w:rPr>
  </w:style>
  <w:style w:type="paragraph" w:customStyle="1" w:styleId="692">
    <w:name w:val="body text bold"/>
    <w:basedOn w:val="23"/>
    <w:autoRedefine/>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3">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4">
    <w:name w:val="xl6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5">
    <w:name w:val="正文文字格式"/>
    <w:basedOn w:val="1"/>
    <w:autoRedefine/>
    <w:qFormat/>
    <w:uiPriority w:val="0"/>
    <w:pPr>
      <w:adjustRightInd/>
      <w:spacing w:line="460" w:lineRule="exact"/>
      <w:ind w:firstLine="505"/>
      <w:jc w:val="left"/>
    </w:pPr>
    <w:rPr>
      <w:rFonts w:ascii="宋体"/>
      <w:kern w:val="24"/>
      <w:sz w:val="24"/>
      <w:szCs w:val="20"/>
    </w:rPr>
  </w:style>
  <w:style w:type="paragraph" w:customStyle="1" w:styleId="696">
    <w:name w:val="xl3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7">
    <w:name w:val="xl40"/>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8">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9">
    <w:name w:val="单元格居中"/>
    <w:basedOn w:val="1"/>
    <w:autoRedefine/>
    <w:qFormat/>
    <w:uiPriority w:val="0"/>
    <w:pPr>
      <w:adjustRightInd/>
      <w:spacing w:line="360" w:lineRule="auto"/>
      <w:jc w:val="center"/>
    </w:pPr>
    <w:rPr>
      <w:sz w:val="24"/>
    </w:rPr>
  </w:style>
  <w:style w:type="paragraph" w:customStyle="1" w:styleId="700">
    <w:name w:val="正文3"/>
    <w:basedOn w:val="1"/>
    <w:autoRedefine/>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1">
    <w:name w:val="Char Char Char Char Char Char Char1"/>
    <w:basedOn w:val="1"/>
    <w:autoRedefine/>
    <w:qFormat/>
    <w:uiPriority w:val="6"/>
    <w:rPr>
      <w:rFonts w:ascii="仿宋_GB2312" w:eastAsia="仿宋_GB2312"/>
      <w:b/>
      <w:sz w:val="32"/>
      <w:szCs w:val="32"/>
    </w:rPr>
  </w:style>
  <w:style w:type="paragraph" w:customStyle="1" w:styleId="702">
    <w:name w:val="正文缩进1"/>
    <w:basedOn w:val="1"/>
    <w:next w:val="24"/>
    <w:autoRedefine/>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3">
    <w:name w:val="Ñù"/>
    <w:autoRedefine/>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4">
    <w:name w:val="Char3 Char Char Char11"/>
    <w:basedOn w:val="1"/>
    <w:autoRedefine/>
    <w:qFormat/>
    <w:uiPriority w:val="0"/>
    <w:pPr>
      <w:widowControl/>
      <w:adjustRightInd/>
      <w:spacing w:after="160" w:line="240" w:lineRule="exact"/>
      <w:jc w:val="left"/>
    </w:pPr>
    <w:rPr>
      <w:szCs w:val="20"/>
    </w:rPr>
  </w:style>
  <w:style w:type="paragraph" w:customStyle="1" w:styleId="705">
    <w:name w:val="Char Char1121"/>
    <w:basedOn w:val="1"/>
    <w:autoRedefine/>
    <w:qFormat/>
    <w:uiPriority w:val="0"/>
    <w:pPr>
      <w:spacing w:line="360" w:lineRule="auto"/>
    </w:pPr>
    <w:rPr>
      <w:szCs w:val="20"/>
    </w:rPr>
  </w:style>
  <w:style w:type="paragraph" w:customStyle="1" w:styleId="706">
    <w:name w:val="小项目标题"/>
    <w:basedOn w:val="1"/>
    <w:autoRedefine/>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7">
    <w:name w:val="gjt_4"/>
    <w:next w:val="1"/>
    <w:autoRedefine/>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8">
    <w:name w:val="Normal0"/>
    <w:autoRedefine/>
    <w:qFormat/>
    <w:uiPriority w:val="0"/>
    <w:rPr>
      <w:rFonts w:ascii="Times New Roman" w:hAnsi="Times New Roman" w:eastAsia="宋体" w:cs="Times New Roman"/>
      <w:lang w:val="en-US" w:eastAsia="en-US" w:bidi="ar-SA"/>
    </w:rPr>
  </w:style>
  <w:style w:type="paragraph" w:customStyle="1" w:styleId="709">
    <w:name w:val="带编号样式"/>
    <w:basedOn w:val="627"/>
    <w:autoRedefine/>
    <w:qFormat/>
    <w:uiPriority w:val="0"/>
    <w:pPr>
      <w:tabs>
        <w:tab w:val="left" w:pos="840"/>
      </w:tabs>
      <w:snapToGrid w:val="0"/>
      <w:ind w:left="840" w:hanging="420" w:firstLineChars="0"/>
    </w:pPr>
    <w:rPr>
      <w:rFonts w:ascii="仿宋_GB2312" w:eastAsia="仿宋_GB2312"/>
      <w:color w:val="000000"/>
    </w:rPr>
  </w:style>
  <w:style w:type="paragraph" w:customStyle="1" w:styleId="710">
    <w:name w:val="msonormal"/>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1">
    <w:name w:val="方形箭头"/>
    <w:basedOn w:val="1"/>
    <w:autoRedefine/>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2">
    <w:name w:val="封面"/>
    <w:basedOn w:val="1"/>
    <w:autoRedefine/>
    <w:qFormat/>
    <w:uiPriority w:val="0"/>
    <w:pPr>
      <w:spacing w:line="360" w:lineRule="atLeast"/>
      <w:jc w:val="right"/>
      <w:textAlignment w:val="baseline"/>
    </w:pPr>
    <w:rPr>
      <w:rFonts w:ascii="Symbol" w:hAnsi="Symbol"/>
      <w:kern w:val="0"/>
      <w:szCs w:val="20"/>
    </w:rPr>
  </w:style>
  <w:style w:type="paragraph" w:customStyle="1" w:styleId="713">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4">
    <w:name w:val="font5"/>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5">
    <w:name w:val="默认段落字体 Para Char Char Char1 Char"/>
    <w:basedOn w:val="1"/>
    <w:autoRedefine/>
    <w:qFormat/>
    <w:uiPriority w:val="0"/>
    <w:pPr>
      <w:spacing w:line="240" w:lineRule="atLeast"/>
      <w:ind w:left="420" w:firstLine="420"/>
    </w:pPr>
    <w:rPr>
      <w:sz w:val="24"/>
    </w:rPr>
  </w:style>
  <w:style w:type="paragraph" w:customStyle="1" w:styleId="716">
    <w:name w:val="WW-正文文字缩进 2"/>
    <w:basedOn w:val="1"/>
    <w:autoRedefine/>
    <w:qFormat/>
    <w:uiPriority w:val="0"/>
    <w:pPr>
      <w:suppressAutoHyphens/>
      <w:adjustRightInd/>
      <w:ind w:firstLine="420"/>
    </w:pPr>
    <w:rPr>
      <w:kern w:val="1"/>
      <w:szCs w:val="20"/>
    </w:rPr>
  </w:style>
  <w:style w:type="paragraph" w:customStyle="1" w:styleId="717">
    <w:name w:val="xl41"/>
    <w:basedOn w:val="1"/>
    <w:autoRedefine/>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8">
    <w:name w:val="样式 标题 2 + 四号"/>
    <w:basedOn w:val="3"/>
    <w:autoRedefine/>
    <w:qFormat/>
    <w:uiPriority w:val="0"/>
    <w:pPr>
      <w:spacing w:before="120" w:after="120"/>
      <w:ind w:left="0" w:firstLine="0"/>
      <w:jc w:val="both"/>
    </w:pPr>
    <w:rPr>
      <w:rFonts w:ascii="宋体" w:hAnsi="Arial" w:eastAsia="宋体"/>
      <w:sz w:val="28"/>
      <w:lang w:val="en-US"/>
    </w:rPr>
  </w:style>
  <w:style w:type="paragraph" w:customStyle="1" w:styleId="719">
    <w:name w:val="有符号正文"/>
    <w:basedOn w:val="1"/>
    <w:autoRedefine/>
    <w:qFormat/>
    <w:uiPriority w:val="0"/>
    <w:pPr>
      <w:adjustRightInd/>
      <w:spacing w:line="400" w:lineRule="exact"/>
      <w:ind w:firstLine="200" w:firstLineChars="200"/>
    </w:pPr>
    <w:rPr>
      <w:rFonts w:ascii="Arial" w:hAnsi="Arial"/>
    </w:rPr>
  </w:style>
  <w:style w:type="paragraph" w:customStyle="1" w:styleId="720">
    <w:name w:val="font10"/>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1">
    <w:name w:val="样式 样式 正文文本缩进 + 仿宋_GB2312 小四 首行缩进:  0 厘米 行距: 1.5 倍行距 + (中文) 仿宋_GB... Char Char"/>
    <w:basedOn w:val="1"/>
    <w:autoRedefine/>
    <w:qFormat/>
    <w:uiPriority w:val="0"/>
    <w:pPr>
      <w:spacing w:line="360" w:lineRule="auto"/>
      <w:ind w:firstLine="480" w:firstLineChars="200"/>
    </w:pPr>
    <w:rPr>
      <w:rFonts w:ascii="仿宋_GB2312" w:eastAsia="新宋体"/>
      <w:sz w:val="24"/>
      <w:szCs w:val="20"/>
    </w:rPr>
  </w:style>
  <w:style w:type="paragraph" w:customStyle="1" w:styleId="722">
    <w:name w:val="4"/>
    <w:basedOn w:val="1"/>
    <w:next w:val="37"/>
    <w:autoRedefine/>
    <w:qFormat/>
    <w:uiPriority w:val="0"/>
    <w:pPr>
      <w:spacing w:after="120" w:line="480" w:lineRule="auto"/>
      <w:ind w:left="420" w:leftChars="200"/>
    </w:pPr>
    <w:rPr>
      <w:sz w:val="24"/>
      <w:szCs w:val="20"/>
    </w:rPr>
  </w:style>
  <w:style w:type="paragraph" w:customStyle="1" w:styleId="723">
    <w:name w:val="tableheading"/>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4">
    <w:name w:val="样式1"/>
    <w:basedOn w:val="1"/>
    <w:autoRedefine/>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5">
    <w:name w:val="样式 标题 3H3 + 两端对齐"/>
    <w:basedOn w:val="4"/>
    <w:autoRedefine/>
    <w:qFormat/>
    <w:uiPriority w:val="0"/>
    <w:pPr>
      <w:keepLines w:val="0"/>
      <w:spacing w:before="0" w:after="0" w:line="240" w:lineRule="auto"/>
      <w:jc w:val="left"/>
    </w:pPr>
    <w:rPr>
      <w:rFonts w:cs="宋体"/>
      <w:sz w:val="21"/>
      <w:szCs w:val="20"/>
    </w:rPr>
  </w:style>
  <w:style w:type="paragraph" w:customStyle="1" w:styleId="726">
    <w:name w:val="样式 仿宋_GB2312 小三 左侧:  1.06 厘米"/>
    <w:basedOn w:val="1"/>
    <w:autoRedefine/>
    <w:qFormat/>
    <w:uiPriority w:val="0"/>
    <w:pPr>
      <w:spacing w:line="360" w:lineRule="auto"/>
      <w:ind w:left="601"/>
    </w:pPr>
    <w:rPr>
      <w:rFonts w:ascii="仿宋_GB2312" w:eastAsia="仿宋_GB2312"/>
      <w:sz w:val="24"/>
      <w:szCs w:val="20"/>
    </w:rPr>
  </w:style>
  <w:style w:type="paragraph" w:customStyle="1" w:styleId="727">
    <w:name w:val="小标题"/>
    <w:basedOn w:val="1"/>
    <w:autoRedefine/>
    <w:qFormat/>
    <w:uiPriority w:val="0"/>
    <w:pPr>
      <w:spacing w:before="120" w:line="360" w:lineRule="atLeast"/>
      <w:ind w:left="1134"/>
      <w:jc w:val="left"/>
      <w:textAlignment w:val="baseline"/>
    </w:pPr>
    <w:rPr>
      <w:rFonts w:eastAsia="黑体"/>
      <w:kern w:val="0"/>
      <w:szCs w:val="20"/>
    </w:rPr>
  </w:style>
  <w:style w:type="paragraph" w:customStyle="1" w:styleId="728">
    <w:name w:val="节标题"/>
    <w:basedOn w:val="1"/>
    <w:autoRedefine/>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9">
    <w:name w:val="表格 表头"/>
    <w:basedOn w:val="1"/>
    <w:autoRedefine/>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0">
    <w:name w:val="xl7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1">
    <w:name w:val="Char Char1 Char Char Char"/>
    <w:basedOn w:val="1"/>
    <w:autoRedefine/>
    <w:qFormat/>
    <w:uiPriority w:val="0"/>
    <w:rPr>
      <w:rFonts w:ascii="仿宋_GB2312" w:eastAsia="仿宋_GB2312"/>
      <w:b/>
      <w:sz w:val="32"/>
      <w:szCs w:val="20"/>
    </w:rPr>
  </w:style>
  <w:style w:type="paragraph" w:customStyle="1" w:styleId="732">
    <w:name w:val="表格题注"/>
    <w:next w:val="1"/>
    <w:autoRedefine/>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3">
    <w:name w:val="Char Char11 Char Char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734">
    <w:name w:val="Picture"/>
    <w:basedOn w:val="1"/>
    <w:next w:val="16"/>
    <w:autoRedefine/>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5">
    <w:name w:val="Char Char1 Char Char Char2"/>
    <w:basedOn w:val="1"/>
    <w:autoRedefine/>
    <w:qFormat/>
    <w:uiPriority w:val="0"/>
    <w:rPr>
      <w:rFonts w:ascii="仿宋_GB2312" w:eastAsia="仿宋_GB2312"/>
      <w:b/>
      <w:sz w:val="32"/>
      <w:szCs w:val="32"/>
    </w:rPr>
  </w:style>
  <w:style w:type="paragraph" w:customStyle="1" w:styleId="736">
    <w:name w:val="Char3 Char Char Char1"/>
    <w:basedOn w:val="1"/>
    <w:autoRedefine/>
    <w:qFormat/>
    <w:uiPriority w:val="6"/>
    <w:pPr>
      <w:widowControl/>
      <w:adjustRightInd/>
      <w:spacing w:after="160" w:line="240" w:lineRule="exact"/>
      <w:jc w:val="left"/>
    </w:pPr>
    <w:rPr>
      <w:szCs w:val="20"/>
    </w:rPr>
  </w:style>
  <w:style w:type="paragraph" w:customStyle="1" w:styleId="737">
    <w:name w:val="Char1 Char Char Char21"/>
    <w:basedOn w:val="1"/>
    <w:autoRedefine/>
    <w:qFormat/>
    <w:uiPriority w:val="0"/>
    <w:rPr>
      <w:rFonts w:ascii="Tahoma" w:hAnsi="Tahoma"/>
      <w:sz w:val="24"/>
      <w:szCs w:val="20"/>
    </w:rPr>
  </w:style>
  <w:style w:type="paragraph" w:customStyle="1" w:styleId="738">
    <w:name w:val="Char3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739">
    <w:name w:val="正文（标题三）"/>
    <w:basedOn w:val="1"/>
    <w:autoRedefine/>
    <w:qFormat/>
    <w:uiPriority w:val="0"/>
    <w:pPr>
      <w:spacing w:line="360" w:lineRule="auto"/>
      <w:ind w:firstLine="200" w:firstLineChars="200"/>
    </w:pPr>
    <w:rPr>
      <w:sz w:val="24"/>
    </w:rPr>
  </w:style>
  <w:style w:type="paragraph" w:customStyle="1" w:styleId="740">
    <w:name w:val="样式 正1 + 首行缩进:  2 字符"/>
    <w:basedOn w:val="1"/>
    <w:autoRedefine/>
    <w:qFormat/>
    <w:uiPriority w:val="0"/>
    <w:pPr>
      <w:adjustRightInd/>
      <w:spacing w:line="360" w:lineRule="auto"/>
      <w:ind w:firstLine="480" w:firstLineChars="200"/>
    </w:pPr>
    <w:rPr>
      <w:rFonts w:ascii="仿宋_GB2312" w:eastAsia="仿宋_GB2312"/>
      <w:sz w:val="24"/>
    </w:rPr>
  </w:style>
  <w:style w:type="paragraph" w:customStyle="1" w:styleId="741">
    <w:name w:val="xl66"/>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2">
    <w:name w:val="样式 样式 宋体 小四 段前: 7.8 磅 段后: 7.8 磅 行距: 1.5 倍行距 + 小二 首行缩进:  2 字符"/>
    <w:basedOn w:val="1"/>
    <w:autoRedefine/>
    <w:qFormat/>
    <w:uiPriority w:val="0"/>
    <w:pPr>
      <w:adjustRightInd/>
      <w:spacing w:line="360" w:lineRule="auto"/>
      <w:ind w:firstLine="480" w:firstLineChars="200"/>
    </w:pPr>
    <w:rPr>
      <w:rFonts w:ascii="宋体" w:hAnsi="宋体" w:cs="宋体"/>
      <w:sz w:val="24"/>
      <w:szCs w:val="20"/>
    </w:rPr>
  </w:style>
  <w:style w:type="paragraph" w:customStyle="1" w:styleId="743">
    <w:name w:val="Default Text"/>
    <w:basedOn w:val="1"/>
    <w:autoRedefine/>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4">
    <w:name w:val="小节标题"/>
    <w:basedOn w:val="1"/>
    <w:autoRedefine/>
    <w:qFormat/>
    <w:uiPriority w:val="0"/>
    <w:pPr>
      <w:autoSpaceDE w:val="0"/>
      <w:autoSpaceDN w:val="0"/>
      <w:spacing w:before="175" w:after="102" w:line="351" w:lineRule="atLeast"/>
      <w:ind w:firstLine="200" w:firstLineChars="200"/>
    </w:pPr>
    <w:rPr>
      <w:color w:val="000000"/>
      <w:kern w:val="0"/>
      <w:szCs w:val="21"/>
    </w:rPr>
  </w:style>
  <w:style w:type="paragraph" w:customStyle="1" w:styleId="745">
    <w:name w:val="Char1 Char Char Char4"/>
    <w:basedOn w:val="1"/>
    <w:autoRedefine/>
    <w:qFormat/>
    <w:uiPriority w:val="0"/>
    <w:pPr>
      <w:adjustRightInd/>
      <w:ind w:firstLine="200" w:firstLineChars="200"/>
    </w:pPr>
    <w:rPr>
      <w:rFonts w:ascii="Tahoma" w:hAnsi="Tahoma"/>
      <w:sz w:val="24"/>
      <w:szCs w:val="20"/>
    </w:rPr>
  </w:style>
  <w:style w:type="paragraph" w:customStyle="1" w:styleId="746">
    <w:name w:val="_标题2"/>
    <w:basedOn w:val="713"/>
    <w:next w:val="713"/>
    <w:autoRedefine/>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7">
    <w:name w:val="样式1 + (中宋体"/>
    <w:basedOn w:val="724"/>
    <w:autoRedefine/>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8">
    <w:name w:val="xl7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9">
    <w:name w:val="La0b"/>
    <w:basedOn w:val="1"/>
    <w:autoRedefine/>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0">
    <w:name w:val="正文 主体"/>
    <w:basedOn w:val="1"/>
    <w:autoRedefine/>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1">
    <w:name w:val="四号　首行缩进"/>
    <w:basedOn w:val="1"/>
    <w:autoRedefine/>
    <w:qFormat/>
    <w:uiPriority w:val="0"/>
    <w:pPr>
      <w:adjustRightInd/>
      <w:spacing w:line="360" w:lineRule="auto"/>
    </w:pPr>
    <w:rPr>
      <w:rFonts w:ascii="宋体" w:hAnsi="宋体"/>
      <w:szCs w:val="20"/>
    </w:rPr>
  </w:style>
  <w:style w:type="paragraph" w:customStyle="1" w:styleId="752">
    <w:name w:val="深色列表 - 强调文字颜色 51"/>
    <w:basedOn w:val="1"/>
    <w:autoRedefine/>
    <w:qFormat/>
    <w:uiPriority w:val="0"/>
    <w:pPr>
      <w:adjustRightInd/>
      <w:spacing w:line="360" w:lineRule="auto"/>
      <w:ind w:firstLine="200" w:firstLineChars="200"/>
    </w:pPr>
    <w:rPr>
      <w:rFonts w:eastAsia="楷体_GB2312" w:cs="Lucida Sans"/>
      <w:sz w:val="24"/>
    </w:rPr>
  </w:style>
  <w:style w:type="paragraph" w:customStyle="1" w:styleId="753">
    <w:name w:val="Char Char Char Char Char Char Char Char Char Char Char1 Char"/>
    <w:basedOn w:val="1"/>
    <w:autoRedefine/>
    <w:qFormat/>
    <w:uiPriority w:val="0"/>
    <w:pPr>
      <w:adjustRightInd/>
    </w:pPr>
    <w:rPr>
      <w:rFonts w:ascii="Tahoma" w:hAnsi="Tahoma"/>
      <w:sz w:val="24"/>
    </w:rPr>
  </w:style>
  <w:style w:type="paragraph" w:customStyle="1" w:styleId="754">
    <w:name w:val="Char Char Char Char11"/>
    <w:basedOn w:val="1"/>
    <w:autoRedefine/>
    <w:qFormat/>
    <w:uiPriority w:val="0"/>
    <w:rPr>
      <w:rFonts w:ascii="Tahoma" w:hAnsi="Tahoma"/>
      <w:sz w:val="24"/>
      <w:szCs w:val="20"/>
    </w:rPr>
  </w:style>
  <w:style w:type="paragraph" w:customStyle="1" w:styleId="755">
    <w:name w:val="封面文档标题"/>
    <w:basedOn w:val="1"/>
    <w:autoRedefine/>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6">
    <w:name w:val="Char Char Char Char"/>
    <w:basedOn w:val="1"/>
    <w:autoRedefine/>
    <w:qFormat/>
    <w:uiPriority w:val="0"/>
    <w:rPr>
      <w:rFonts w:ascii="Tahoma" w:hAnsi="Tahoma"/>
      <w:sz w:val="24"/>
      <w:szCs w:val="20"/>
    </w:rPr>
  </w:style>
  <w:style w:type="paragraph" w:customStyle="1" w:styleId="757">
    <w:name w:val="标1"/>
    <w:basedOn w:val="1"/>
    <w:autoRedefine/>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8">
    <w:name w:val="Char19"/>
    <w:basedOn w:val="1"/>
    <w:autoRedefine/>
    <w:qFormat/>
    <w:uiPriority w:val="0"/>
    <w:pPr>
      <w:adjustRightInd/>
    </w:pPr>
    <w:rPr>
      <w:szCs w:val="20"/>
    </w:rPr>
  </w:style>
  <w:style w:type="paragraph" w:customStyle="1" w:styleId="759">
    <w:name w:val="标书正文格式"/>
    <w:autoRedefine/>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0">
    <w:name w:val="样式8"/>
    <w:basedOn w:val="1"/>
    <w:autoRedefine/>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1">
    <w:name w:val="_Style 5"/>
    <w:basedOn w:val="1"/>
    <w:autoRedefine/>
    <w:qFormat/>
    <w:uiPriority w:val="34"/>
    <w:pPr>
      <w:adjustRightInd/>
      <w:ind w:firstLine="420" w:firstLineChars="200"/>
    </w:pPr>
    <w:rPr>
      <w:rFonts w:eastAsia="仿宋_GB2312"/>
      <w:sz w:val="28"/>
    </w:rPr>
  </w:style>
  <w:style w:type="paragraph" w:customStyle="1" w:styleId="762">
    <w:name w:val="正文文字缩进"/>
    <w:basedOn w:val="1"/>
    <w:autoRedefine/>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3">
    <w:name w:val="列出段落*"/>
    <w:basedOn w:val="1"/>
    <w:autoRedefine/>
    <w:qFormat/>
    <w:uiPriority w:val="0"/>
    <w:pPr>
      <w:adjustRightInd/>
      <w:spacing w:line="360" w:lineRule="auto"/>
      <w:ind w:firstLine="200"/>
    </w:pPr>
    <w:rPr>
      <w:rFonts w:eastAsia="楷体_GB2312" w:cs="Lucida Sans Unicode"/>
      <w:color w:val="000000"/>
      <w:kern w:val="1"/>
      <w:sz w:val="24"/>
    </w:rPr>
  </w:style>
  <w:style w:type="paragraph" w:customStyle="1" w:styleId="764">
    <w:name w:val="文章总标题"/>
    <w:basedOn w:val="1"/>
    <w:autoRedefine/>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5">
    <w:name w:val="标书表格字体格式"/>
    <w:next w:val="759"/>
    <w:autoRedefine/>
    <w:qFormat/>
    <w:uiPriority w:val="0"/>
    <w:rPr>
      <w:rFonts w:ascii="Times New Roman" w:hAnsi="Times New Roman" w:eastAsia="宋体" w:cs="Times New Roman"/>
      <w:kern w:val="2"/>
      <w:sz w:val="21"/>
      <w:szCs w:val="24"/>
      <w:lang w:val="en-US" w:eastAsia="zh-CN" w:bidi="ar-SA"/>
    </w:rPr>
  </w:style>
  <w:style w:type="paragraph" w:customStyle="1" w:styleId="766">
    <w:name w:val="Char22"/>
    <w:basedOn w:val="1"/>
    <w:autoRedefine/>
    <w:qFormat/>
    <w:uiPriority w:val="0"/>
    <w:pPr>
      <w:adjustRightInd/>
      <w:spacing w:line="360" w:lineRule="auto"/>
      <w:ind w:firstLine="480" w:firstLineChars="200"/>
    </w:pPr>
    <w:rPr>
      <w:rFonts w:ascii="仿宋_GB2312" w:eastAsia="仿宋_GB2312"/>
      <w:b/>
      <w:sz w:val="32"/>
      <w:szCs w:val="32"/>
    </w:rPr>
  </w:style>
  <w:style w:type="paragraph" w:customStyle="1" w:styleId="767">
    <w:name w:val="Char12"/>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8">
    <w:name w:val="修订3"/>
    <w:autoRedefine/>
    <w:qFormat/>
    <w:uiPriority w:val="0"/>
    <w:rPr>
      <w:rFonts w:ascii="Times New Roman" w:hAnsi="Times New Roman" w:eastAsia="宋体" w:cs="Times New Roman"/>
      <w:kern w:val="2"/>
      <w:sz w:val="21"/>
      <w:lang w:val="en-US" w:eastAsia="zh-CN" w:bidi="ar-SA"/>
    </w:rPr>
  </w:style>
  <w:style w:type="paragraph" w:customStyle="1" w:styleId="769">
    <w:name w:val="CSS1级正文 Char"/>
    <w:basedOn w:val="23"/>
    <w:autoRedefine/>
    <w:qFormat/>
    <w:uiPriority w:val="0"/>
    <w:pPr>
      <w:autoSpaceDE/>
      <w:autoSpaceDN/>
      <w:snapToGrid w:val="0"/>
      <w:ind w:firstLine="480" w:firstLineChars="200"/>
    </w:pPr>
    <w:rPr>
      <w:rFonts w:ascii="Times New Roman"/>
      <w:szCs w:val="24"/>
      <w:lang w:val="en-US"/>
    </w:rPr>
  </w:style>
  <w:style w:type="paragraph" w:customStyle="1" w:styleId="770">
    <w:name w:val="无间隔2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1">
    <w:name w:val="表文字"/>
    <w:autoRedefine/>
    <w:qFormat/>
    <w:uiPriority w:val="0"/>
    <w:rPr>
      <w:rFonts w:ascii="宋体" w:hAnsi="Times New Roman" w:eastAsia="宋体" w:cs="Times New Roman"/>
      <w:kern w:val="2"/>
      <w:lang w:val="en-US" w:eastAsia="zh-CN" w:bidi="ar-SA"/>
    </w:rPr>
  </w:style>
  <w:style w:type="paragraph" w:customStyle="1" w:styleId="772">
    <w:name w:val="MM Title"/>
    <w:basedOn w:val="59"/>
    <w:autoRedefine/>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3">
    <w:name w:val="缺省文本"/>
    <w:basedOn w:val="1"/>
    <w:autoRedefine/>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4">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775">
    <w:name w:val="Char Char Char Char Char Char Char Char2"/>
    <w:basedOn w:val="1"/>
    <w:autoRedefine/>
    <w:qFormat/>
    <w:uiPriority w:val="0"/>
    <w:pPr>
      <w:tabs>
        <w:tab w:val="left" w:pos="360"/>
      </w:tabs>
    </w:pPr>
    <w:rPr>
      <w:sz w:val="24"/>
      <w:szCs w:val="20"/>
    </w:rPr>
  </w:style>
  <w:style w:type="paragraph" w:customStyle="1" w:styleId="776">
    <w:name w:val="表内文字"/>
    <w:basedOn w:val="1"/>
    <w:autoRedefine/>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7">
    <w:name w:val="正文文本 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778">
    <w:name w:val="中文标题 3"/>
    <w:basedOn w:val="24"/>
    <w:autoRedefine/>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9">
    <w:name w:val="bt_content"/>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0">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1">
    <w:name w:val="正文－恩普"/>
    <w:basedOn w:val="5"/>
    <w:autoRedefine/>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2">
    <w:name w:val="Char Char11 Char Char Char Char Char Char Char Char Char Char Char Char Char12"/>
    <w:basedOn w:val="1"/>
    <w:autoRedefine/>
    <w:qFormat/>
    <w:uiPriority w:val="0"/>
    <w:pPr>
      <w:adjustRightInd/>
      <w:spacing w:line="360" w:lineRule="auto"/>
    </w:pPr>
    <w:rPr>
      <w:rFonts w:ascii="Arial" w:hAnsi="Arial" w:eastAsia="黑体" w:cs="Arial"/>
      <w:snapToGrid w:val="0"/>
      <w:kern w:val="0"/>
      <w:szCs w:val="21"/>
    </w:rPr>
  </w:style>
  <w:style w:type="paragraph" w:customStyle="1" w:styleId="783">
    <w:name w:val="Char4"/>
    <w:basedOn w:val="1"/>
    <w:autoRedefine/>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4">
    <w:name w:val="p0"/>
    <w:basedOn w:val="1"/>
    <w:autoRedefine/>
    <w:qFormat/>
    <w:uiPriority w:val="0"/>
    <w:pPr>
      <w:widowControl/>
      <w:adjustRightInd/>
    </w:pPr>
    <w:rPr>
      <w:kern w:val="0"/>
      <w:szCs w:val="21"/>
    </w:rPr>
  </w:style>
  <w:style w:type="paragraph" w:customStyle="1" w:styleId="785">
    <w:name w:val="Char6"/>
    <w:basedOn w:val="1"/>
    <w:autoRedefine/>
    <w:qFormat/>
    <w:uiPriority w:val="0"/>
    <w:rPr>
      <w:rFonts w:ascii="仿宋_GB2312" w:eastAsia="仿宋_GB2312"/>
      <w:b/>
      <w:sz w:val="32"/>
      <w:szCs w:val="32"/>
    </w:rPr>
  </w:style>
  <w:style w:type="paragraph" w:customStyle="1" w:styleId="786">
    <w:name w:val="Char111"/>
    <w:basedOn w:val="1"/>
    <w:autoRedefine/>
    <w:qFormat/>
    <w:uiPriority w:val="0"/>
    <w:rPr>
      <w:rFonts w:ascii="仿宋_GB2312" w:eastAsia="仿宋_GB2312"/>
      <w:b/>
      <w:sz w:val="32"/>
      <w:szCs w:val="32"/>
    </w:rPr>
  </w:style>
  <w:style w:type="paragraph" w:customStyle="1" w:styleId="787">
    <w:name w:val="标题3"/>
    <w:basedOn w:val="4"/>
    <w:next w:val="53"/>
    <w:autoRedefine/>
    <w:qFormat/>
    <w:uiPriority w:val="0"/>
    <w:pPr>
      <w:tabs>
        <w:tab w:val="clear" w:pos="900"/>
      </w:tabs>
      <w:spacing w:after="0" w:line="360" w:lineRule="auto"/>
    </w:pPr>
    <w:rPr>
      <w:rFonts w:ascii="仿宋" w:hAnsi="仿宋" w:eastAsia="仿宋" w:cs="仿宋"/>
    </w:rPr>
  </w:style>
  <w:style w:type="paragraph" w:customStyle="1" w:styleId="788">
    <w:name w:val="xl23"/>
    <w:basedOn w:val="1"/>
    <w:autoRedefine/>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9">
    <w:name w:val="Char Char Char1"/>
    <w:basedOn w:val="1"/>
    <w:autoRedefine/>
    <w:qFormat/>
    <w:uiPriority w:val="6"/>
    <w:pPr>
      <w:widowControl/>
      <w:spacing w:after="160" w:line="240" w:lineRule="exact"/>
      <w:jc w:val="left"/>
    </w:pPr>
    <w:rPr>
      <w:rFonts w:ascii="Verdana" w:hAnsi="Verdana"/>
      <w:kern w:val="0"/>
      <w:sz w:val="20"/>
      <w:szCs w:val="20"/>
      <w:lang w:eastAsia="en-US"/>
    </w:rPr>
  </w:style>
  <w:style w:type="paragraph" w:customStyle="1" w:styleId="790">
    <w:name w:val="Char1 Char Char Char2"/>
    <w:basedOn w:val="1"/>
    <w:autoRedefine/>
    <w:qFormat/>
    <w:uiPriority w:val="0"/>
    <w:pPr>
      <w:adjustRightInd/>
      <w:ind w:firstLine="200" w:firstLineChars="200"/>
    </w:pPr>
    <w:rPr>
      <w:rFonts w:ascii="Tahoma" w:hAnsi="Tahoma"/>
      <w:sz w:val="24"/>
      <w:szCs w:val="20"/>
    </w:rPr>
  </w:style>
  <w:style w:type="paragraph" w:customStyle="1" w:styleId="791">
    <w:name w:val="列出段落11"/>
    <w:basedOn w:val="1"/>
    <w:autoRedefine/>
    <w:qFormat/>
    <w:uiPriority w:val="0"/>
    <w:pPr>
      <w:adjustRightInd/>
      <w:spacing w:line="360" w:lineRule="auto"/>
      <w:ind w:firstLine="420" w:firstLineChars="200"/>
    </w:pPr>
    <w:rPr>
      <w:rFonts w:ascii="Calibri" w:hAnsi="Calibri"/>
      <w:sz w:val="24"/>
      <w:szCs w:val="22"/>
    </w:rPr>
  </w:style>
  <w:style w:type="paragraph" w:customStyle="1" w:styleId="792">
    <w:name w:val="样式 标题 1 + 黑色 段前: 0.5 行 段后: 0.5 行1"/>
    <w:basedOn w:val="2"/>
    <w:autoRedefine/>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3">
    <w:name w:val="Char Char Char Char Char Char Char2"/>
    <w:basedOn w:val="1"/>
    <w:autoRedefine/>
    <w:qFormat/>
    <w:uiPriority w:val="0"/>
    <w:rPr>
      <w:rFonts w:ascii="仿宋_GB2312" w:eastAsia="仿宋_GB2312"/>
      <w:b/>
      <w:sz w:val="32"/>
      <w:szCs w:val="32"/>
    </w:rPr>
  </w:style>
  <w:style w:type="paragraph" w:customStyle="1" w:styleId="794">
    <w:name w:val="五级条标题"/>
    <w:basedOn w:val="795"/>
    <w:next w:val="640"/>
    <w:autoRedefine/>
    <w:qFormat/>
    <w:uiPriority w:val="0"/>
    <w:pPr>
      <w:tabs>
        <w:tab w:val="left" w:pos="1260"/>
        <w:tab w:val="left" w:pos="1680"/>
        <w:tab w:val="left" w:pos="2100"/>
        <w:tab w:val="left" w:pos="2940"/>
        <w:tab w:val="left" w:pos="3360"/>
      </w:tabs>
      <w:ind w:left="3360"/>
      <w:outlineLvl w:val="6"/>
    </w:pPr>
  </w:style>
  <w:style w:type="paragraph" w:customStyle="1" w:styleId="795">
    <w:name w:val="四级条标题"/>
    <w:basedOn w:val="655"/>
    <w:next w:val="640"/>
    <w:autoRedefine/>
    <w:qFormat/>
    <w:uiPriority w:val="0"/>
    <w:pPr>
      <w:tabs>
        <w:tab w:val="left" w:pos="2940"/>
        <w:tab w:val="clear" w:pos="2520"/>
      </w:tabs>
      <w:ind w:left="2940"/>
      <w:outlineLvl w:val="5"/>
    </w:pPr>
  </w:style>
  <w:style w:type="paragraph" w:customStyle="1" w:styleId="796">
    <w:name w:val="目录3"/>
    <w:basedOn w:val="1"/>
    <w:autoRedefine/>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7">
    <w:name w:val="Char23"/>
    <w:basedOn w:val="1"/>
    <w:autoRedefine/>
    <w:qFormat/>
    <w:uiPriority w:val="0"/>
    <w:rPr>
      <w:rFonts w:ascii="仿宋_GB2312" w:eastAsia="仿宋_GB2312"/>
      <w:b/>
      <w:sz w:val="32"/>
      <w:szCs w:val="32"/>
    </w:rPr>
  </w:style>
  <w:style w:type="paragraph" w:customStyle="1" w:styleId="798">
    <w:name w:val="style3"/>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9">
    <w:name w:val="列出段落3"/>
    <w:basedOn w:val="1"/>
    <w:autoRedefine/>
    <w:qFormat/>
    <w:uiPriority w:val="34"/>
    <w:pPr>
      <w:adjustRightInd/>
      <w:spacing w:line="360" w:lineRule="auto"/>
      <w:ind w:firstLine="420" w:firstLineChars="200"/>
    </w:pPr>
    <w:rPr>
      <w:rFonts w:ascii="Calibri" w:hAnsi="Calibri"/>
      <w:sz w:val="24"/>
      <w:szCs w:val="22"/>
    </w:rPr>
  </w:style>
  <w:style w:type="paragraph" w:customStyle="1" w:styleId="800">
    <w:name w:val="首行缩进"/>
    <w:basedOn w:val="1"/>
    <w:autoRedefine/>
    <w:qFormat/>
    <w:uiPriority w:val="0"/>
    <w:pPr>
      <w:spacing w:line="360" w:lineRule="auto"/>
      <w:ind w:firstLine="480" w:firstLineChars="200"/>
    </w:pPr>
    <w:rPr>
      <w:rFonts w:ascii="宋体"/>
      <w:sz w:val="24"/>
      <w:szCs w:val="20"/>
    </w:rPr>
  </w:style>
  <w:style w:type="paragraph" w:customStyle="1" w:styleId="801">
    <w:name w:val="默认段落字体 Para Char Char Char Char Char Char Char Char Char Char Char Char Char Char Char Char Char Char Char"/>
    <w:basedOn w:val="1"/>
    <w:autoRedefine/>
    <w:qFormat/>
    <w:uiPriority w:val="0"/>
    <w:rPr>
      <w:rFonts w:ascii="Tahoma" w:hAnsi="Tahoma"/>
      <w:sz w:val="24"/>
      <w:szCs w:val="20"/>
    </w:rPr>
  </w:style>
  <w:style w:type="paragraph" w:customStyle="1" w:styleId="802">
    <w:name w:val="单元格左对齐"/>
    <w:basedOn w:val="1"/>
    <w:autoRedefine/>
    <w:qFormat/>
    <w:uiPriority w:val="0"/>
    <w:pPr>
      <w:adjustRightInd/>
      <w:spacing w:line="360" w:lineRule="auto"/>
    </w:pPr>
    <w:rPr>
      <w:sz w:val="24"/>
    </w:rPr>
  </w:style>
  <w:style w:type="paragraph" w:customStyle="1" w:styleId="803">
    <w:name w:val="正文主体"/>
    <w:basedOn w:val="624"/>
    <w:autoRedefine/>
    <w:qFormat/>
    <w:uiPriority w:val="0"/>
  </w:style>
  <w:style w:type="paragraph" w:customStyle="1" w:styleId="804">
    <w:name w:val="font6"/>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5">
    <w:name w:val="Char3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806">
    <w:name w:val="样式 首行缩进:  2 字符"/>
    <w:basedOn w:val="1"/>
    <w:autoRedefine/>
    <w:qFormat/>
    <w:uiPriority w:val="0"/>
    <w:pPr>
      <w:snapToGrid w:val="0"/>
      <w:spacing w:line="360" w:lineRule="auto"/>
    </w:pPr>
    <w:rPr>
      <w:rFonts w:ascii="仿宋_GB2312" w:hAnsi="宋体" w:eastAsia="仿宋_GB2312" w:cs="宋体"/>
      <w:color w:val="000000"/>
      <w:kern w:val="0"/>
      <w:sz w:val="28"/>
      <w:szCs w:val="21"/>
    </w:rPr>
  </w:style>
  <w:style w:type="paragraph" w:customStyle="1" w:styleId="807">
    <w:name w:val="正文（首行缩进2字符）"/>
    <w:basedOn w:val="1"/>
    <w:autoRedefine/>
    <w:qFormat/>
    <w:uiPriority w:val="0"/>
    <w:pPr>
      <w:adjustRightInd/>
      <w:spacing w:line="360" w:lineRule="auto"/>
      <w:ind w:firstLine="480" w:firstLineChars="200"/>
    </w:pPr>
    <w:rPr>
      <w:sz w:val="24"/>
      <w:szCs w:val="20"/>
    </w:rPr>
  </w:style>
  <w:style w:type="paragraph" w:customStyle="1" w:styleId="808">
    <w:name w:val="P1"/>
    <w:basedOn w:val="1"/>
    <w:autoRedefine/>
    <w:qFormat/>
    <w:uiPriority w:val="0"/>
    <w:pPr>
      <w:adjustRightInd/>
      <w:spacing w:line="288" w:lineRule="auto"/>
      <w:ind w:firstLine="425" w:firstLineChars="200"/>
    </w:pPr>
  </w:style>
  <w:style w:type="paragraph" w:customStyle="1" w:styleId="809">
    <w:name w:val="列表内容"/>
    <w:basedOn w:val="1"/>
    <w:next w:val="1"/>
    <w:autoRedefine/>
    <w:qFormat/>
    <w:uiPriority w:val="0"/>
    <w:pPr>
      <w:widowControl/>
      <w:tabs>
        <w:tab w:val="left" w:pos="840"/>
      </w:tabs>
      <w:ind w:left="840" w:hanging="420"/>
      <w:jc w:val="left"/>
    </w:pPr>
    <w:rPr>
      <w:kern w:val="0"/>
      <w:sz w:val="18"/>
    </w:rPr>
  </w:style>
  <w:style w:type="paragraph" w:customStyle="1" w:styleId="810">
    <w:name w:val="Char Char11 Char Char Char1"/>
    <w:basedOn w:val="1"/>
    <w:autoRedefine/>
    <w:qFormat/>
    <w:uiPriority w:val="6"/>
    <w:pPr>
      <w:spacing w:line="360" w:lineRule="auto"/>
    </w:pPr>
    <w:rPr>
      <w:szCs w:val="20"/>
    </w:rPr>
  </w:style>
  <w:style w:type="paragraph" w:customStyle="1" w:styleId="811">
    <w:name w:val="默认段落字体 Para Char Char Char Char Char Char Char Char Char1 Char Char Char Char"/>
    <w:basedOn w:val="1"/>
    <w:autoRedefine/>
    <w:qFormat/>
    <w:uiPriority w:val="0"/>
    <w:pPr>
      <w:adjustRightInd/>
    </w:pPr>
    <w:rPr>
      <w:rFonts w:ascii="Tahoma" w:hAnsi="Tahoma"/>
      <w:sz w:val="24"/>
      <w:szCs w:val="20"/>
    </w:rPr>
  </w:style>
  <w:style w:type="paragraph" w:customStyle="1" w:styleId="812">
    <w:name w:val="Char Char Char Char Char Char11"/>
    <w:basedOn w:val="1"/>
    <w:autoRedefine/>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3">
    <w:name w:val="标题 41"/>
    <w:basedOn w:val="1"/>
    <w:next w:val="1"/>
    <w:autoRedefine/>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4">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815">
    <w:name w:val="正文文字缩进2字"/>
    <w:basedOn w:val="23"/>
    <w:autoRedefine/>
    <w:qFormat/>
    <w:uiPriority w:val="0"/>
    <w:pPr>
      <w:autoSpaceDE/>
      <w:autoSpaceDN/>
      <w:adjustRightInd/>
      <w:spacing w:before="60" w:after="60"/>
      <w:ind w:firstLine="200" w:firstLineChars="200"/>
    </w:pPr>
    <w:rPr>
      <w:rFonts w:ascii="Times New Roman"/>
      <w:szCs w:val="20"/>
      <w:lang w:val="en-US"/>
    </w:rPr>
  </w:style>
  <w:style w:type="paragraph" w:customStyle="1" w:styleId="816">
    <w:name w:val="默认段落字体 Para Char Char Char Char"/>
    <w:basedOn w:val="1"/>
    <w:autoRedefine/>
    <w:qFormat/>
    <w:uiPriority w:val="0"/>
    <w:pPr>
      <w:spacing w:line="360" w:lineRule="auto"/>
    </w:pPr>
    <w:rPr>
      <w:szCs w:val="20"/>
    </w:rPr>
  </w:style>
  <w:style w:type="paragraph" w:customStyle="1" w:styleId="817">
    <w:name w:val="正文4"/>
    <w:basedOn w:val="1"/>
    <w:autoRedefine/>
    <w:qFormat/>
    <w:uiPriority w:val="0"/>
    <w:pPr>
      <w:tabs>
        <w:tab w:val="left" w:pos="720"/>
      </w:tabs>
      <w:adjustRightInd/>
      <w:spacing w:before="60" w:after="60" w:line="360" w:lineRule="auto"/>
      <w:ind w:left="575" w:leftChars="400" w:hanging="175" w:hangingChars="175"/>
    </w:pPr>
    <w:rPr>
      <w:sz w:val="24"/>
    </w:rPr>
  </w:style>
  <w:style w:type="paragraph" w:customStyle="1" w:styleId="818">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9">
    <w:name w:val="Char2 Char Char Char2"/>
    <w:basedOn w:val="1"/>
    <w:autoRedefine/>
    <w:qFormat/>
    <w:uiPriority w:val="0"/>
    <w:rPr>
      <w:rFonts w:ascii="仿宋_GB2312" w:eastAsia="仿宋_GB2312"/>
      <w:b/>
      <w:sz w:val="32"/>
      <w:szCs w:val="32"/>
    </w:rPr>
  </w:style>
  <w:style w:type="paragraph" w:customStyle="1" w:styleId="820">
    <w:name w:val="Char1 Char Char Char Char Char Char Char Char Char"/>
    <w:basedOn w:val="1"/>
    <w:autoRedefine/>
    <w:qFormat/>
    <w:uiPriority w:val="0"/>
    <w:pPr>
      <w:adjustRightInd/>
      <w:spacing w:before="240" w:after="120" w:line="288" w:lineRule="auto"/>
      <w:ind w:firstLine="200" w:firstLineChars="200"/>
      <w:jc w:val="left"/>
    </w:pPr>
    <w:rPr>
      <w:rFonts w:ascii="Tahoma" w:hAnsi="Tahoma"/>
      <w:sz w:val="24"/>
    </w:rPr>
  </w:style>
  <w:style w:type="paragraph" w:customStyle="1" w:styleId="821">
    <w:name w:val="Char Char Char Char2"/>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2">
    <w:name w:val="正文 首行缩进:  2 字符 Char"/>
    <w:basedOn w:val="1"/>
    <w:autoRedefine/>
    <w:qFormat/>
    <w:uiPriority w:val="0"/>
    <w:pPr>
      <w:adjustRightInd/>
      <w:spacing w:line="360" w:lineRule="auto"/>
      <w:ind w:firstLine="480"/>
    </w:pPr>
    <w:rPr>
      <w:rFonts w:cs="宋体"/>
      <w:sz w:val="24"/>
      <w:szCs w:val="20"/>
    </w:rPr>
  </w:style>
  <w:style w:type="paragraph" w:customStyle="1" w:styleId="823">
    <w:name w:val="Char Char4 Char Char"/>
    <w:basedOn w:val="1"/>
    <w:autoRedefine/>
    <w:qFormat/>
    <w:uiPriority w:val="0"/>
    <w:pPr>
      <w:widowControl/>
      <w:adjustRightInd/>
      <w:spacing w:after="160" w:line="240" w:lineRule="exact"/>
      <w:jc w:val="left"/>
    </w:pPr>
  </w:style>
  <w:style w:type="paragraph" w:customStyle="1" w:styleId="824">
    <w:name w:val="目录2"/>
    <w:basedOn w:val="1"/>
    <w:autoRedefine/>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5">
    <w:name w:val="Char Char11 Char Char Char2"/>
    <w:basedOn w:val="1"/>
    <w:qFormat/>
    <w:uiPriority w:val="0"/>
    <w:pPr>
      <w:spacing w:line="360" w:lineRule="auto"/>
    </w:pPr>
    <w:rPr>
      <w:szCs w:val="20"/>
    </w:rPr>
  </w:style>
  <w:style w:type="paragraph" w:customStyle="1" w:styleId="826">
    <w:name w:val="9"/>
    <w:autoRedefine/>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7">
    <w:name w:val="Char3 Char Char2"/>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8">
    <w:name w:val="数字标题4"/>
    <w:basedOn w:val="6"/>
    <w:autoRedefine/>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9">
    <w:name w:val="表格文字（大）"/>
    <w:basedOn w:val="1"/>
    <w:autoRedefine/>
    <w:qFormat/>
    <w:uiPriority w:val="0"/>
    <w:pPr>
      <w:adjustRightInd/>
      <w:spacing w:before="20" w:after="20"/>
      <w:ind w:firstLine="200" w:firstLineChars="200"/>
    </w:pPr>
    <w:rPr>
      <w:rFonts w:ascii="Century Gothic" w:hAnsi="Century Gothic"/>
      <w:sz w:val="24"/>
      <w:szCs w:val="20"/>
    </w:rPr>
  </w:style>
  <w:style w:type="paragraph" w:customStyle="1" w:styleId="830">
    <w:name w:val="插图说明"/>
    <w:basedOn w:val="1"/>
    <w:autoRedefine/>
    <w:qFormat/>
    <w:uiPriority w:val="0"/>
    <w:pPr>
      <w:spacing w:after="240"/>
      <w:ind w:firstLine="200" w:firstLineChars="200"/>
      <w:jc w:val="center"/>
      <w:textAlignment w:val="baseline"/>
    </w:pPr>
    <w:rPr>
      <w:rFonts w:eastAsia="黑体"/>
      <w:sz w:val="24"/>
      <w:szCs w:val="20"/>
    </w:rPr>
  </w:style>
  <w:style w:type="paragraph" w:customStyle="1" w:styleId="831">
    <w:name w:val="chart text"/>
    <w:basedOn w:val="1"/>
    <w:autoRedefine/>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2">
    <w:name w:val="Char311"/>
    <w:basedOn w:val="1"/>
    <w:qFormat/>
    <w:uiPriority w:val="0"/>
    <w:pPr>
      <w:adjustRightInd/>
      <w:ind w:firstLine="200" w:firstLineChars="200"/>
    </w:pPr>
    <w:rPr>
      <w:rFonts w:ascii="Tahoma" w:hAnsi="Tahoma"/>
      <w:sz w:val="24"/>
      <w:szCs w:val="20"/>
    </w:rPr>
  </w:style>
  <w:style w:type="paragraph" w:customStyle="1" w:styleId="833">
    <w:name w:val="正文文本 23"/>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834">
    <w:name w:val="dash bullet"/>
    <w:autoRedefine/>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5">
    <w:name w:val="正文 内标"/>
    <w:basedOn w:val="750"/>
    <w:qFormat/>
    <w:uiPriority w:val="0"/>
    <w:pPr>
      <w:tabs>
        <w:tab w:val="left" w:pos="0"/>
      </w:tabs>
      <w:ind w:left="900" w:firstLine="0" w:firstLineChars="0"/>
    </w:pPr>
  </w:style>
  <w:style w:type="paragraph" w:customStyle="1" w:styleId="836">
    <w:name w:val="Bulleted List"/>
    <w:basedOn w:val="1"/>
    <w:autoRedefine/>
    <w:qFormat/>
    <w:uiPriority w:val="0"/>
    <w:pPr>
      <w:tabs>
        <w:tab w:val="left" w:pos="1260"/>
      </w:tabs>
      <w:adjustRightInd/>
      <w:ind w:left="1260" w:hanging="420"/>
    </w:pPr>
  </w:style>
  <w:style w:type="paragraph" w:customStyle="1" w:styleId="837">
    <w:name w:val="样式 正文文本缩进 2 + 仿宋_GB2312 黑色 行距: 1.5 倍行距"/>
    <w:basedOn w:val="37"/>
    <w:qFormat/>
    <w:uiPriority w:val="0"/>
    <w:pPr>
      <w:adjustRightInd/>
      <w:ind w:firstLine="560" w:firstLineChars="200"/>
      <w:textAlignment w:val="auto"/>
    </w:pPr>
    <w:rPr>
      <w:rFonts w:hAnsi="宋体" w:cs="宋体"/>
      <w:color w:val="000000"/>
      <w:kern w:val="2"/>
      <w:sz w:val="24"/>
    </w:rPr>
  </w:style>
  <w:style w:type="paragraph" w:customStyle="1" w:styleId="838">
    <w:name w:val="样式 左侧:  0.85 厘米"/>
    <w:basedOn w:val="1"/>
    <w:qFormat/>
    <w:uiPriority w:val="2"/>
    <w:pPr>
      <w:adjustRightInd/>
      <w:spacing w:line="360" w:lineRule="auto"/>
    </w:pPr>
    <w:rPr>
      <w:rFonts w:cs="宋体"/>
      <w:sz w:val="24"/>
      <w:szCs w:val="20"/>
    </w:rPr>
  </w:style>
  <w:style w:type="paragraph" w:customStyle="1" w:styleId="839">
    <w:name w:val="Char Char Char Char Char Char Char Char Char Char Char Char1 Char"/>
    <w:basedOn w:val="1"/>
    <w:autoRedefine/>
    <w:qFormat/>
    <w:uiPriority w:val="0"/>
    <w:rPr>
      <w:rFonts w:ascii="Tahoma" w:hAnsi="Tahoma" w:cs="仿宋_GB2312"/>
      <w:sz w:val="24"/>
      <w:szCs w:val="20"/>
    </w:rPr>
  </w:style>
  <w:style w:type="paragraph" w:customStyle="1" w:styleId="840">
    <w:name w:val="正文1"/>
    <w:basedOn w:val="32"/>
    <w:autoRedefine/>
    <w:qFormat/>
    <w:uiPriority w:val="0"/>
    <w:pPr>
      <w:ind w:left="0" w:leftChars="0" w:firstLine="480" w:firstLineChars="200"/>
    </w:pPr>
    <w:rPr>
      <w:rFonts w:ascii="仿宋_GB2312" w:hAnsi="Courier New" w:eastAsia="仿宋_GB2312"/>
      <w:kern w:val="28"/>
      <w:sz w:val="24"/>
    </w:rPr>
  </w:style>
  <w:style w:type="paragraph" w:customStyle="1" w:styleId="841">
    <w:name w:val="Char Char11 Char Char Char Char Char Char Char Char Char Char Char Char Char2"/>
    <w:basedOn w:val="1"/>
    <w:autoRedefine/>
    <w:qFormat/>
    <w:uiPriority w:val="0"/>
    <w:pPr>
      <w:adjustRightInd/>
      <w:spacing w:line="360" w:lineRule="auto"/>
    </w:pPr>
    <w:rPr>
      <w:rFonts w:ascii="Arial" w:hAnsi="Arial" w:eastAsia="黑体"/>
      <w:snapToGrid w:val="0"/>
      <w:kern w:val="0"/>
      <w:sz w:val="20"/>
      <w:szCs w:val="21"/>
    </w:rPr>
  </w:style>
  <w:style w:type="paragraph" w:customStyle="1" w:styleId="842">
    <w:name w:val="xl8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3">
    <w:name w:val="模板普通正文"/>
    <w:basedOn w:val="24"/>
    <w:autoRedefine/>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4">
    <w:name w:val="Char Char1 Char Char Char Char Char Char"/>
    <w:basedOn w:val="1"/>
    <w:autoRedefine/>
    <w:qFormat/>
    <w:uiPriority w:val="0"/>
    <w:rPr>
      <w:rFonts w:ascii="仿宋_GB2312" w:eastAsia="仿宋_GB2312"/>
      <w:b/>
      <w:sz w:val="32"/>
      <w:szCs w:val="20"/>
    </w:rPr>
  </w:style>
  <w:style w:type="paragraph" w:customStyle="1" w:styleId="845">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6">
    <w:name w:val="Char Char1 Char Char Char Char Char Char2"/>
    <w:basedOn w:val="1"/>
    <w:qFormat/>
    <w:uiPriority w:val="0"/>
    <w:rPr>
      <w:rFonts w:ascii="仿宋_GB2312" w:eastAsia="仿宋_GB2312"/>
      <w:b/>
      <w:sz w:val="32"/>
      <w:szCs w:val="20"/>
    </w:rPr>
  </w:style>
  <w:style w:type="paragraph" w:customStyle="1" w:styleId="847">
    <w:name w:val="font13"/>
    <w:basedOn w:val="1"/>
    <w:autoRedefine/>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8">
    <w:name w:val="默认段落字体 Para Char Char Char Char Char Char Char Char Char Char"/>
    <w:basedOn w:val="1"/>
    <w:autoRedefine/>
    <w:qFormat/>
    <w:uiPriority w:val="0"/>
    <w:pPr>
      <w:adjustRightInd/>
    </w:pPr>
    <w:rPr>
      <w:rFonts w:ascii="Tahoma" w:hAnsi="Tahoma"/>
      <w:color w:val="000000"/>
      <w:sz w:val="24"/>
      <w:szCs w:val="20"/>
    </w:rPr>
  </w:style>
  <w:style w:type="paragraph" w:customStyle="1" w:styleId="849">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0">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1">
    <w:name w:val="Char Char Char Char Char Char1 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852">
    <w:name w:val="样式 首行缩进:  2 字符4"/>
    <w:basedOn w:val="1"/>
    <w:autoRedefine/>
    <w:qFormat/>
    <w:uiPriority w:val="0"/>
    <w:pPr>
      <w:adjustRightInd/>
      <w:spacing w:before="120" w:line="360" w:lineRule="auto"/>
      <w:ind w:firstLine="480" w:firstLineChars="200"/>
    </w:pPr>
    <w:rPr>
      <w:rFonts w:eastAsia="仿宋_GB2312" w:cs="宋体"/>
      <w:sz w:val="28"/>
      <w:szCs w:val="20"/>
    </w:rPr>
  </w:style>
  <w:style w:type="paragraph" w:customStyle="1" w:styleId="853">
    <w:name w:val="中等深浅网格 1 - 强调文字颜色 21"/>
    <w:basedOn w:val="1"/>
    <w:autoRedefine/>
    <w:qFormat/>
    <w:uiPriority w:val="0"/>
    <w:pPr>
      <w:spacing w:line="360" w:lineRule="auto"/>
      <w:ind w:firstLine="200" w:firstLineChars="200"/>
    </w:pPr>
    <w:rPr>
      <w:rFonts w:eastAsia="楷体_GB2312" w:cs="Lucida Sans"/>
      <w:sz w:val="24"/>
    </w:rPr>
  </w:style>
  <w:style w:type="paragraph" w:customStyle="1" w:styleId="854">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5">
    <w:name w:val="Body Copy"/>
    <w:basedOn w:val="1"/>
    <w:autoRedefine/>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6">
    <w:name w:val="Char31"/>
    <w:basedOn w:val="1"/>
    <w:autoRedefine/>
    <w:qFormat/>
    <w:uiPriority w:val="0"/>
    <w:pPr>
      <w:adjustRightInd/>
    </w:pPr>
    <w:rPr>
      <w:rFonts w:ascii="仿宋_GB2312" w:eastAsia="仿宋_GB2312"/>
      <w:b/>
      <w:sz w:val="32"/>
      <w:szCs w:val="32"/>
    </w:rPr>
  </w:style>
  <w:style w:type="paragraph" w:customStyle="1" w:styleId="857">
    <w:name w:val="样式 标题 3h33rd level3Heading 3 - oldH3l3CTheading 3Headin..."/>
    <w:basedOn w:val="4"/>
    <w:autoRedefine/>
    <w:qFormat/>
    <w:uiPriority w:val="0"/>
    <w:pPr>
      <w:snapToGrid w:val="0"/>
      <w:ind w:left="0" w:firstLine="0"/>
      <w:jc w:val="left"/>
    </w:pPr>
    <w:rPr>
      <w:rFonts w:eastAsia="黑体" w:cs="宋体"/>
      <w:sz w:val="28"/>
      <w:szCs w:val="20"/>
    </w:rPr>
  </w:style>
  <w:style w:type="paragraph" w:customStyle="1" w:styleId="858">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9">
    <w:name w:val="xl9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0">
    <w:name w:val="Char Char1"/>
    <w:basedOn w:val="1"/>
    <w:autoRedefine/>
    <w:qFormat/>
    <w:uiPriority w:val="0"/>
    <w:pPr>
      <w:widowControl/>
      <w:spacing w:after="160" w:line="240" w:lineRule="exact"/>
      <w:jc w:val="left"/>
    </w:pPr>
    <w:rPr>
      <w:rFonts w:eastAsia="仿宋_GB2312"/>
      <w:sz w:val="28"/>
    </w:rPr>
  </w:style>
  <w:style w:type="paragraph" w:customStyle="1" w:styleId="861">
    <w:name w:val="Char21"/>
    <w:basedOn w:val="1"/>
    <w:autoRedefine/>
    <w:qFormat/>
    <w:uiPriority w:val="0"/>
    <w:pPr>
      <w:adjustRightInd/>
      <w:ind w:firstLine="200" w:firstLineChars="200"/>
    </w:pPr>
    <w:rPr>
      <w:rFonts w:ascii="仿宋_GB2312" w:eastAsia="仿宋_GB2312"/>
      <w:b/>
      <w:sz w:val="32"/>
      <w:szCs w:val="32"/>
    </w:rPr>
  </w:style>
  <w:style w:type="paragraph" w:customStyle="1" w:styleId="862">
    <w:name w:val="列表段落1"/>
    <w:basedOn w:val="1"/>
    <w:autoRedefine/>
    <w:qFormat/>
    <w:uiPriority w:val="34"/>
    <w:pPr>
      <w:adjustRightInd/>
      <w:ind w:right="238" w:firstLine="420"/>
    </w:pPr>
    <w:rPr>
      <w:rFonts w:ascii="Calibri" w:hAnsi="Calibri"/>
      <w:sz w:val="24"/>
    </w:rPr>
  </w:style>
  <w:style w:type="paragraph" w:customStyle="1" w:styleId="863">
    <w:name w:val="Char Char110"/>
    <w:basedOn w:val="1"/>
    <w:autoRedefine/>
    <w:qFormat/>
    <w:uiPriority w:val="6"/>
    <w:pPr>
      <w:spacing w:line="360" w:lineRule="auto"/>
    </w:pPr>
    <w:rPr>
      <w:rFonts w:ascii="Tahoma" w:hAnsi="Tahoma"/>
      <w:sz w:val="24"/>
      <w:szCs w:val="20"/>
    </w:rPr>
  </w:style>
  <w:style w:type="paragraph" w:customStyle="1" w:styleId="864">
    <w:name w:val="xl80"/>
    <w:basedOn w:val="1"/>
    <w:autoRedefine/>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5">
    <w:name w:val="Char Char11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866">
    <w:name w:val="表正文"/>
    <w:autoRedefine/>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7">
    <w:name w:val="浅色底纹 - 强调文字颜色 51"/>
    <w:autoRedefine/>
    <w:qFormat/>
    <w:uiPriority w:val="0"/>
    <w:rPr>
      <w:rFonts w:ascii="Times New Roman" w:hAnsi="Times New Roman" w:eastAsia="宋体" w:cs="Times New Roman"/>
      <w:kern w:val="2"/>
      <w:sz w:val="21"/>
      <w:szCs w:val="24"/>
      <w:lang w:val="en-US" w:eastAsia="zh-CN" w:bidi="ar-SA"/>
    </w:rPr>
  </w:style>
  <w:style w:type="paragraph" w:customStyle="1" w:styleId="868">
    <w:name w:val="Char Char Char Char Char Char Char Char Char Char Char Char1 Char2"/>
    <w:basedOn w:val="1"/>
    <w:autoRedefine/>
    <w:qFormat/>
    <w:uiPriority w:val="0"/>
    <w:rPr>
      <w:rFonts w:ascii="Tahoma" w:hAnsi="Tahoma" w:cs="仿宋_GB2312"/>
      <w:sz w:val="24"/>
      <w:szCs w:val="20"/>
    </w:rPr>
  </w:style>
  <w:style w:type="paragraph" w:customStyle="1" w:styleId="869">
    <w:name w:val="样式9"/>
    <w:basedOn w:val="1"/>
    <w:autoRedefine/>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0">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1">
    <w:name w:val="样式 列表编号 + 段后: 0.5 行"/>
    <w:basedOn w:val="15"/>
    <w:autoRedefine/>
    <w:qFormat/>
    <w:uiPriority w:val="2"/>
    <w:pPr>
      <w:tabs>
        <w:tab w:val="clear" w:pos="390"/>
        <w:tab w:val="clear" w:pos="454"/>
      </w:tabs>
      <w:spacing w:after="0"/>
      <w:ind w:left="840" w:hanging="420"/>
      <w:contextualSpacing/>
    </w:pPr>
    <w:rPr>
      <w:rFonts w:cs="宋体"/>
    </w:rPr>
  </w:style>
  <w:style w:type="paragraph" w:customStyle="1" w:styleId="872">
    <w:name w:val="Char Char Char Char Char Char Char Char Char"/>
    <w:basedOn w:val="1"/>
    <w:autoRedefine/>
    <w:qFormat/>
    <w:uiPriority w:val="0"/>
    <w:pPr>
      <w:adjustRightInd/>
      <w:ind w:firstLine="200" w:firstLineChars="200"/>
    </w:pPr>
    <w:rPr>
      <w:rFonts w:ascii="Tahoma" w:hAnsi="Tahoma"/>
      <w:sz w:val="24"/>
      <w:szCs w:val="20"/>
    </w:rPr>
  </w:style>
  <w:style w:type="paragraph" w:customStyle="1" w:styleId="873">
    <w:name w:val="_Style 12"/>
    <w:basedOn w:val="18"/>
    <w:autoRedefine/>
    <w:qFormat/>
    <w:uiPriority w:val="0"/>
    <w:pPr>
      <w:snapToGrid w:val="0"/>
      <w:spacing w:line="360" w:lineRule="auto"/>
    </w:pPr>
  </w:style>
  <w:style w:type="paragraph" w:customStyle="1" w:styleId="874">
    <w:name w:val="样式 首行缩进:  0 字符"/>
    <w:basedOn w:val="1"/>
    <w:autoRedefine/>
    <w:qFormat/>
    <w:uiPriority w:val="0"/>
    <w:pPr>
      <w:adjustRightInd/>
      <w:spacing w:line="360" w:lineRule="auto"/>
      <w:ind w:firstLine="200" w:firstLineChars="200"/>
    </w:pPr>
    <w:rPr>
      <w:rFonts w:ascii="Arial" w:hAnsi="Arial" w:cs="宋体"/>
      <w:sz w:val="24"/>
      <w:szCs w:val="20"/>
    </w:rPr>
  </w:style>
  <w:style w:type="paragraph" w:customStyle="1" w:styleId="875">
    <w:name w:val="Char1 Char Char Char6"/>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6">
    <w:name w:val="_Style 94"/>
    <w:basedOn w:val="1"/>
    <w:next w:val="259"/>
    <w:autoRedefine/>
    <w:qFormat/>
    <w:uiPriority w:val="34"/>
    <w:pPr>
      <w:adjustRightInd/>
      <w:spacing w:line="360" w:lineRule="auto"/>
      <w:ind w:firstLine="200" w:firstLineChars="200"/>
    </w:pPr>
    <w:rPr>
      <w:rFonts w:ascii="Calibri" w:hAnsi="Calibri"/>
      <w:sz w:val="28"/>
      <w:szCs w:val="20"/>
    </w:rPr>
  </w:style>
  <w:style w:type="paragraph" w:customStyle="1" w:styleId="877">
    <w:name w:val="方案正文"/>
    <w:basedOn w:val="1"/>
    <w:autoRedefine/>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8">
    <w:name w:val="正文 A"/>
    <w:autoRedefine/>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9">
    <w:name w:val="正文 A 主体"/>
    <w:basedOn w:val="1"/>
    <w:autoRedefine/>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0">
    <w:name w:val="3级标题"/>
    <w:basedOn w:val="672"/>
    <w:autoRedefine/>
    <w:qFormat/>
    <w:uiPriority w:val="0"/>
    <w:pPr>
      <w:outlineLvl w:val="2"/>
    </w:pPr>
  </w:style>
  <w:style w:type="paragraph" w:customStyle="1" w:styleId="881">
    <w:name w:val="xl7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2">
    <w:name w:val="Char1 Char Char Char3"/>
    <w:basedOn w:val="1"/>
    <w:autoRedefine/>
    <w:qFormat/>
    <w:uiPriority w:val="0"/>
    <w:pPr>
      <w:adjustRightInd/>
      <w:ind w:firstLine="200" w:firstLineChars="200"/>
    </w:pPr>
    <w:rPr>
      <w:rFonts w:ascii="Tahoma" w:hAnsi="Tahoma"/>
      <w:sz w:val="24"/>
      <w:szCs w:val="20"/>
    </w:rPr>
  </w:style>
  <w:style w:type="paragraph" w:customStyle="1" w:styleId="883">
    <w:name w:val="GP正文(首行缩进)"/>
    <w:basedOn w:val="1"/>
    <w:autoRedefine/>
    <w:qFormat/>
    <w:uiPriority w:val="0"/>
    <w:pPr>
      <w:adjustRightInd/>
      <w:spacing w:line="360" w:lineRule="auto"/>
      <w:ind w:firstLine="200" w:firstLineChars="200"/>
    </w:pPr>
    <w:rPr>
      <w:rFonts w:eastAsia="仿宋_GB2312"/>
      <w:sz w:val="28"/>
      <w:szCs w:val="21"/>
    </w:rPr>
  </w:style>
  <w:style w:type="paragraph" w:customStyle="1" w:styleId="884">
    <w:name w:val="MM Empty"/>
    <w:basedOn w:val="1"/>
    <w:autoRedefine/>
    <w:qFormat/>
    <w:uiPriority w:val="0"/>
    <w:pPr>
      <w:adjustRightInd/>
    </w:pPr>
  </w:style>
  <w:style w:type="paragraph" w:customStyle="1" w:styleId="885">
    <w:name w:val="Char24"/>
    <w:basedOn w:val="1"/>
    <w:qFormat/>
    <w:uiPriority w:val="0"/>
    <w:rPr>
      <w:rFonts w:ascii="仿宋_GB2312" w:eastAsia="仿宋_GB2312"/>
      <w:b/>
      <w:sz w:val="32"/>
      <w:szCs w:val="32"/>
    </w:rPr>
  </w:style>
  <w:style w:type="paragraph" w:customStyle="1" w:styleId="886">
    <w:name w:val="正文箭头"/>
    <w:basedOn w:val="538"/>
    <w:autoRedefine/>
    <w:qFormat/>
    <w:uiPriority w:val="0"/>
  </w:style>
  <w:style w:type="paragraph" w:customStyle="1" w:styleId="887">
    <w:name w:val="U_编号2"/>
    <w:basedOn w:val="1"/>
    <w:autoRedefine/>
    <w:qFormat/>
    <w:uiPriority w:val="0"/>
    <w:pPr>
      <w:tabs>
        <w:tab w:val="left" w:pos="785"/>
      </w:tabs>
      <w:adjustRightInd/>
      <w:spacing w:beforeLines="10" w:afterLines="10" w:line="300" w:lineRule="auto"/>
    </w:pPr>
    <w:rPr>
      <w:sz w:val="24"/>
    </w:rPr>
  </w:style>
  <w:style w:type="paragraph" w:customStyle="1" w:styleId="888">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9">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0">
    <w:name w:val="标书标题3"/>
    <w:basedOn w:val="4"/>
    <w:autoRedefine/>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1">
    <w:name w:val="TOC 标题11"/>
    <w:basedOn w:val="2"/>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2">
    <w:name w:val="_Style 1"/>
    <w:basedOn w:val="1"/>
    <w:autoRedefine/>
    <w:qFormat/>
    <w:uiPriority w:val="34"/>
    <w:pPr>
      <w:adjustRightInd/>
      <w:ind w:firstLine="420" w:firstLineChars="200"/>
    </w:pPr>
    <w:rPr>
      <w:rFonts w:eastAsia="仿宋_GB2312"/>
      <w:sz w:val="28"/>
    </w:rPr>
  </w:style>
  <w:style w:type="paragraph" w:customStyle="1" w:styleId="893">
    <w:name w:val="表格 内容"/>
    <w:basedOn w:val="729"/>
    <w:autoRedefine/>
    <w:qFormat/>
    <w:uiPriority w:val="0"/>
    <w:rPr>
      <w:b w:val="0"/>
      <w:sz w:val="20"/>
    </w:rPr>
  </w:style>
  <w:style w:type="paragraph" w:customStyle="1" w:styleId="894">
    <w:name w:val="正文首行缩进1"/>
    <w:basedOn w:val="23"/>
    <w:autoRedefine/>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5">
    <w:name w:val="标准正文"/>
    <w:basedOn w:val="1"/>
    <w:autoRedefine/>
    <w:qFormat/>
    <w:uiPriority w:val="0"/>
    <w:pPr>
      <w:tabs>
        <w:tab w:val="left" w:pos="780"/>
      </w:tabs>
      <w:adjustRightInd/>
      <w:spacing w:line="360" w:lineRule="auto"/>
      <w:ind w:left="200" w:leftChars="200" w:firstLine="200" w:firstLineChars="200"/>
    </w:pPr>
    <w:rPr>
      <w:sz w:val="24"/>
    </w:rPr>
  </w:style>
  <w:style w:type="paragraph" w:customStyle="1" w:styleId="896">
    <w:name w:val="数字标题5"/>
    <w:basedOn w:val="7"/>
    <w:next w:val="1"/>
    <w:autoRedefine/>
    <w:qFormat/>
    <w:uiPriority w:val="0"/>
    <w:pPr>
      <w:tabs>
        <w:tab w:val="left" w:pos="1080"/>
      </w:tabs>
      <w:ind w:left="1080" w:hanging="1080"/>
    </w:pPr>
  </w:style>
  <w:style w:type="paragraph" w:customStyle="1" w:styleId="897">
    <w:name w:val="数字标题1"/>
    <w:basedOn w:val="2"/>
    <w:next w:val="1"/>
    <w:autoRedefine/>
    <w:qFormat/>
    <w:uiPriority w:val="0"/>
    <w:pPr>
      <w:tabs>
        <w:tab w:val="left" w:pos="480"/>
      </w:tabs>
      <w:ind w:left="480" w:hanging="480"/>
    </w:pPr>
  </w:style>
  <w:style w:type="paragraph" w:customStyle="1" w:styleId="898">
    <w:name w:val="Char1 Char Char Char Char Char Char Char Char Char Char Char1 Char Char Char Char Char Char Char Char Char Char Char Char Char Char1 Char Char Char Char2"/>
    <w:basedOn w:val="1"/>
    <w:autoRedefine/>
    <w:qFormat/>
    <w:uiPriority w:val="0"/>
    <w:pPr>
      <w:spacing w:line="360" w:lineRule="auto"/>
    </w:pPr>
    <w:rPr>
      <w:kern w:val="0"/>
      <w:sz w:val="24"/>
      <w:szCs w:val="20"/>
    </w:rPr>
  </w:style>
  <w:style w:type="paragraph" w:customStyle="1" w:styleId="899">
    <w:name w:val="aspnumfaautoadjustrightr"/>
    <w:autoRedefine/>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0">
    <w:name w:val="Body"/>
    <w:basedOn w:val="1"/>
    <w:autoRedefine/>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1">
    <w:name w:val="RFI Heading 3rd Level"/>
    <w:basedOn w:val="1"/>
    <w:autoRedefine/>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2">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3">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4">
    <w:name w:val="0"/>
    <w:basedOn w:val="1"/>
    <w:autoRedefine/>
    <w:qFormat/>
    <w:uiPriority w:val="0"/>
    <w:pPr>
      <w:widowControl/>
    </w:pPr>
    <w:rPr>
      <w:kern w:val="0"/>
      <w:sz w:val="24"/>
      <w:szCs w:val="20"/>
    </w:rPr>
  </w:style>
  <w:style w:type="paragraph" w:customStyle="1" w:styleId="905">
    <w:name w:val="Char Char113"/>
    <w:basedOn w:val="1"/>
    <w:autoRedefine/>
    <w:qFormat/>
    <w:uiPriority w:val="0"/>
    <w:pPr>
      <w:widowControl/>
      <w:spacing w:after="160" w:line="240" w:lineRule="exact"/>
      <w:jc w:val="left"/>
    </w:pPr>
    <w:rPr>
      <w:rFonts w:eastAsia="仿宋_GB2312"/>
      <w:sz w:val="28"/>
    </w:rPr>
  </w:style>
  <w:style w:type="paragraph" w:customStyle="1" w:styleId="906">
    <w:name w:val="样式5"/>
    <w:basedOn w:val="1"/>
    <w:autoRedefine/>
    <w:qFormat/>
    <w:uiPriority w:val="0"/>
    <w:pPr>
      <w:spacing w:line="440" w:lineRule="exact"/>
      <w:ind w:left="2" w:firstLine="480" w:firstLineChars="200"/>
    </w:pPr>
    <w:rPr>
      <w:rFonts w:ascii="仿宋_GB2312" w:hAnsi="仿宋" w:eastAsia="仿宋_GB2312"/>
      <w:sz w:val="24"/>
    </w:rPr>
  </w:style>
  <w:style w:type="paragraph" w:customStyle="1" w:styleId="907">
    <w:name w:val="_Style 8"/>
    <w:basedOn w:val="1"/>
    <w:autoRedefine/>
    <w:qFormat/>
    <w:uiPriority w:val="34"/>
    <w:pPr>
      <w:adjustRightInd/>
      <w:ind w:firstLine="420" w:firstLineChars="200"/>
    </w:pPr>
    <w:rPr>
      <w:rFonts w:eastAsia="仿宋_GB2312"/>
      <w:sz w:val="28"/>
    </w:rPr>
  </w:style>
  <w:style w:type="paragraph" w:customStyle="1" w:styleId="908">
    <w:name w:val="xl9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9">
    <w:name w:val="正文样式 首行缩进:  0.74 厘米"/>
    <w:basedOn w:val="1"/>
    <w:autoRedefine/>
    <w:qFormat/>
    <w:uiPriority w:val="0"/>
    <w:pPr>
      <w:adjustRightInd/>
      <w:spacing w:before="156" w:beforeLines="50" w:line="360" w:lineRule="auto"/>
      <w:ind w:firstLine="420"/>
    </w:pPr>
    <w:rPr>
      <w:rFonts w:cs="宋体"/>
      <w:sz w:val="24"/>
      <w:szCs w:val="20"/>
    </w:rPr>
  </w:style>
  <w:style w:type="paragraph" w:customStyle="1" w:styleId="910">
    <w:name w:val="xl2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1">
    <w:name w:val="列出段落31"/>
    <w:basedOn w:val="1"/>
    <w:autoRedefine/>
    <w:qFormat/>
    <w:uiPriority w:val="0"/>
    <w:pPr>
      <w:adjustRightInd/>
      <w:spacing w:line="360" w:lineRule="auto"/>
      <w:ind w:firstLine="420" w:firstLineChars="200"/>
    </w:pPr>
    <w:rPr>
      <w:rFonts w:ascii="Calibri" w:hAnsi="Calibri"/>
      <w:sz w:val="24"/>
      <w:szCs w:val="22"/>
    </w:rPr>
  </w:style>
  <w:style w:type="paragraph" w:customStyle="1" w:styleId="912">
    <w:name w:val="Char Char1 Char Char Char Char Char Char Char Char Char Char Char Char Char Char Char"/>
    <w:basedOn w:val="1"/>
    <w:autoRedefine/>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3">
    <w:name w:val="Char Char112"/>
    <w:basedOn w:val="1"/>
    <w:qFormat/>
    <w:uiPriority w:val="6"/>
    <w:pPr>
      <w:widowControl/>
      <w:spacing w:after="160" w:line="240" w:lineRule="exact"/>
      <w:jc w:val="left"/>
    </w:pPr>
    <w:rPr>
      <w:rFonts w:eastAsia="仿宋_GB2312"/>
      <w:sz w:val="28"/>
    </w:rPr>
  </w:style>
  <w:style w:type="paragraph" w:customStyle="1" w:styleId="914">
    <w:name w:val="正文 图"/>
    <w:basedOn w:val="443"/>
    <w:autoRedefine/>
    <w:qFormat/>
    <w:uiPriority w:val="0"/>
    <w:pPr>
      <w:adjustRightInd/>
      <w:spacing w:before="0"/>
      <w:ind w:firstLine="0"/>
      <w:jc w:val="center"/>
    </w:pPr>
    <w:rPr>
      <w:rFonts w:ascii="微软雅黑" w:hAnsi="微软雅黑"/>
    </w:rPr>
  </w:style>
  <w:style w:type="paragraph" w:customStyle="1" w:styleId="915">
    <w:name w:val="xl9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6">
    <w:name w:val="±íÑùÊ½"/>
    <w:basedOn w:val="1"/>
    <w:autoRedefine/>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7">
    <w:name w:val="Thf"/>
    <w:basedOn w:val="562"/>
    <w:autoRedefine/>
    <w:qFormat/>
    <w:uiPriority w:val="0"/>
    <w:pPr>
      <w:ind w:left="0"/>
    </w:pPr>
  </w:style>
  <w:style w:type="paragraph" w:customStyle="1" w:styleId="918">
    <w:name w:val="xl7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9">
    <w:name w:val="subhead 2"/>
    <w:autoRedefine/>
    <w:qFormat/>
    <w:uiPriority w:val="0"/>
    <w:pPr>
      <w:spacing w:after="60" w:line="240" w:lineRule="exact"/>
    </w:pPr>
    <w:rPr>
      <w:rFonts w:ascii="Arial" w:hAnsi="Arial" w:eastAsia="宋体" w:cs="Times New Roman"/>
      <w:b/>
      <w:sz w:val="22"/>
      <w:lang w:val="en-US" w:eastAsia="en-US" w:bidi="ar-SA"/>
    </w:rPr>
  </w:style>
  <w:style w:type="paragraph" w:customStyle="1" w:styleId="920">
    <w:name w:val="注释"/>
    <w:basedOn w:val="1"/>
    <w:autoRedefine/>
    <w:qFormat/>
    <w:uiPriority w:val="0"/>
    <w:pPr>
      <w:adjustRightInd/>
      <w:spacing w:line="360" w:lineRule="auto"/>
      <w:ind w:firstLine="480"/>
    </w:pPr>
    <w:rPr>
      <w:sz w:val="24"/>
    </w:rPr>
  </w:style>
  <w:style w:type="table" w:customStyle="1" w:styleId="921">
    <w:name w:val="网格型2"/>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1"/>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6"/>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3"/>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4"/>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5"/>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7">
    <w:name w:val="列出段落111"/>
    <w:basedOn w:val="1"/>
    <w:autoRedefine/>
    <w:qFormat/>
    <w:uiPriority w:val="34"/>
    <w:pPr>
      <w:ind w:firstLine="420" w:firstLineChars="200"/>
    </w:pPr>
  </w:style>
  <w:style w:type="character" w:customStyle="1" w:styleId="928">
    <w:name w:val="交叉引用"/>
    <w:autoRedefine/>
    <w:qFormat/>
    <w:uiPriority w:val="1"/>
    <w:rPr>
      <w:rFonts w:ascii="Arial" w:hAnsi="Arial" w:eastAsia="黑体"/>
      <w:snapToGrid w:val="0"/>
      <w:color w:val="0000FF"/>
      <w:kern w:val="0"/>
      <w:sz w:val="20"/>
      <w:szCs w:val="21"/>
      <w:u w:val="single"/>
      <w:lang w:val="en-US" w:eastAsia="zh-CN"/>
    </w:rPr>
  </w:style>
  <w:style w:type="character" w:customStyle="1" w:styleId="929">
    <w:name w:val="正文缩进 字符1"/>
    <w:qFormat/>
    <w:uiPriority w:val="0"/>
    <w:rPr>
      <w:rFonts w:ascii="宋体" w:eastAsia="宋体"/>
      <w:snapToGrid w:val="0"/>
      <w:color w:val="000000"/>
      <w:kern w:val="28"/>
      <w:sz w:val="28"/>
      <w:lang w:val="en-US" w:eastAsia="zh-CN" w:bidi="ar-SA"/>
    </w:rPr>
  </w:style>
  <w:style w:type="character" w:customStyle="1" w:styleId="930">
    <w:name w:val="页脚 字符1"/>
    <w:autoRedefine/>
    <w:qFormat/>
    <w:locked/>
    <w:uiPriority w:val="99"/>
    <w:rPr>
      <w:kern w:val="2"/>
      <w:sz w:val="18"/>
      <w:szCs w:val="18"/>
    </w:rPr>
  </w:style>
  <w:style w:type="character" w:customStyle="1" w:styleId="931">
    <w:name w:val="页眉 字符1"/>
    <w:qFormat/>
    <w:uiPriority w:val="99"/>
    <w:rPr>
      <w:kern w:val="2"/>
      <w:sz w:val="18"/>
      <w:szCs w:val="18"/>
    </w:rPr>
  </w:style>
  <w:style w:type="character" w:customStyle="1" w:styleId="932">
    <w:name w:val="尾注文本 Char"/>
    <w:link w:val="38"/>
    <w:autoRedefine/>
    <w:qFormat/>
    <w:uiPriority w:val="0"/>
    <w:rPr>
      <w:kern w:val="2"/>
      <w:sz w:val="21"/>
      <w:szCs w:val="24"/>
      <w:lang w:val="zh-CN"/>
    </w:rPr>
  </w:style>
  <w:style w:type="character" w:customStyle="1" w:styleId="933">
    <w:name w:val="无间隔 字符"/>
    <w:link w:val="483"/>
    <w:autoRedefine/>
    <w:qFormat/>
    <w:uiPriority w:val="99"/>
    <w:rPr>
      <w:kern w:val="2"/>
      <w:sz w:val="21"/>
      <w:szCs w:val="22"/>
    </w:rPr>
  </w:style>
  <w:style w:type="character" w:customStyle="1" w:styleId="934">
    <w:name w:val="标准文本 Char Char"/>
    <w:link w:val="935"/>
    <w:autoRedefine/>
    <w:qFormat/>
    <w:uiPriority w:val="0"/>
    <w:rPr>
      <w:rFonts w:cs="宋体"/>
      <w:kern w:val="2"/>
      <w:sz w:val="24"/>
    </w:rPr>
  </w:style>
  <w:style w:type="paragraph" w:customStyle="1" w:styleId="935">
    <w:name w:val="标准文本"/>
    <w:basedOn w:val="1"/>
    <w:link w:val="934"/>
    <w:autoRedefine/>
    <w:qFormat/>
    <w:uiPriority w:val="0"/>
    <w:pPr>
      <w:adjustRightInd/>
      <w:spacing w:line="360" w:lineRule="auto"/>
      <w:ind w:firstLine="480" w:firstLineChars="200"/>
    </w:pPr>
    <w:rPr>
      <w:rFonts w:cs="宋体"/>
      <w:sz w:val="24"/>
      <w:szCs w:val="20"/>
    </w:rPr>
  </w:style>
  <w:style w:type="character" w:customStyle="1" w:styleId="936">
    <w:name w:val="Char Char213"/>
    <w:autoRedefine/>
    <w:qFormat/>
    <w:uiPriority w:val="0"/>
    <w:rPr>
      <w:rFonts w:eastAsia="Century Gothic"/>
      <w:b/>
      <w:bCs/>
      <w:kern w:val="44"/>
      <w:sz w:val="32"/>
      <w:szCs w:val="44"/>
      <w:lang w:val="en-US" w:eastAsia="zh-CN" w:bidi="ar-SA"/>
    </w:rPr>
  </w:style>
  <w:style w:type="character" w:customStyle="1" w:styleId="937">
    <w:name w:val="apple-style-span"/>
    <w:autoRedefine/>
    <w:qFormat/>
    <w:uiPriority w:val="0"/>
    <w:rPr>
      <w:rFonts w:ascii="Arial" w:hAnsi="Arial" w:eastAsia="黑体" w:cs="Arial"/>
      <w:snapToGrid w:val="0"/>
      <w:kern w:val="0"/>
      <w:szCs w:val="21"/>
    </w:rPr>
  </w:style>
  <w:style w:type="character" w:customStyle="1" w:styleId="938">
    <w:name w:val="15"/>
    <w:autoRedefine/>
    <w:qFormat/>
    <w:uiPriority w:val="0"/>
    <w:rPr>
      <w:rFonts w:hint="default" w:ascii="Calibri" w:hAnsi="Calibri"/>
      <w:color w:val="0000FF"/>
      <w:u w:val="single"/>
    </w:rPr>
  </w:style>
  <w:style w:type="character" w:customStyle="1" w:styleId="939">
    <w:name w:val="16"/>
    <w:autoRedefine/>
    <w:qFormat/>
    <w:uiPriority w:val="0"/>
    <w:rPr>
      <w:rFonts w:hint="eastAsia" w:ascii="宋体" w:hAnsi="宋体" w:eastAsia="宋体"/>
      <w:color w:val="000000"/>
      <w:sz w:val="20"/>
      <w:szCs w:val="20"/>
    </w:rPr>
  </w:style>
  <w:style w:type="character" w:customStyle="1" w:styleId="940">
    <w:name w:val="edui-unclickable"/>
    <w:autoRedefine/>
    <w:qFormat/>
    <w:uiPriority w:val="0"/>
    <w:rPr>
      <w:color w:val="808080"/>
    </w:rPr>
  </w:style>
  <w:style w:type="character" w:customStyle="1" w:styleId="941">
    <w:name w:val="tpc_content1"/>
    <w:autoRedefine/>
    <w:qFormat/>
    <w:uiPriority w:val="0"/>
    <w:rPr>
      <w:sz w:val="20"/>
      <w:szCs w:val="20"/>
    </w:rPr>
  </w:style>
  <w:style w:type="character" w:customStyle="1" w:styleId="942">
    <w:name w:val="正文文本缩进 字符"/>
    <w:autoRedefine/>
    <w:qFormat/>
    <w:uiPriority w:val="0"/>
    <w:rPr>
      <w:rFonts w:ascii="Century Gothic" w:hAnsi="Century Gothic" w:eastAsia="Century Gothic"/>
      <w:kern w:val="2"/>
      <w:sz w:val="24"/>
      <w:lang w:val="en-US" w:eastAsia="zh-CN" w:bidi="ar-SA"/>
    </w:rPr>
  </w:style>
  <w:style w:type="character" w:customStyle="1" w:styleId="943">
    <w:name w:val="正文文本 2 字符"/>
    <w:qFormat/>
    <w:uiPriority w:val="0"/>
    <w:rPr>
      <w:rFonts w:ascii="Arial" w:hAnsi="Arial" w:eastAsia="宋体"/>
      <w:kern w:val="2"/>
      <w:sz w:val="24"/>
      <w:szCs w:val="24"/>
      <w:lang w:val="en-US" w:eastAsia="zh-CN" w:bidi="ar-SA"/>
    </w:rPr>
  </w:style>
  <w:style w:type="character" w:customStyle="1" w:styleId="944">
    <w:name w:val="edui-clickable2"/>
    <w:autoRedefine/>
    <w:qFormat/>
    <w:uiPriority w:val="0"/>
    <w:rPr>
      <w:color w:val="0000FF"/>
      <w:u w:val="single"/>
    </w:rPr>
  </w:style>
  <w:style w:type="character" w:customStyle="1" w:styleId="945">
    <w:name w:val="style1"/>
    <w:autoRedefine/>
    <w:qFormat/>
    <w:uiPriority w:val="0"/>
    <w:rPr>
      <w:rFonts w:ascii="Arial" w:hAnsi="Arial" w:eastAsia="黑体" w:cs="Arial"/>
      <w:snapToGrid w:val="0"/>
      <w:kern w:val="0"/>
      <w:szCs w:val="21"/>
    </w:rPr>
  </w:style>
  <w:style w:type="character" w:customStyle="1" w:styleId="946">
    <w:name w:val="zbggtop11 style5"/>
    <w:autoRedefine/>
    <w:qFormat/>
    <w:uiPriority w:val="0"/>
    <w:rPr>
      <w:rFonts w:ascii="Arial" w:hAnsi="Arial" w:eastAsia="黑体" w:cs="Arial"/>
      <w:snapToGrid w:val="0"/>
      <w:kern w:val="0"/>
      <w:szCs w:val="21"/>
    </w:rPr>
  </w:style>
  <w:style w:type="character" w:customStyle="1" w:styleId="947">
    <w:name w:val="纯文本 Char Char Char Char Char Char Char Char Char Char Char Char Char Char Char"/>
    <w:autoRedefine/>
    <w:qFormat/>
    <w:uiPriority w:val="0"/>
    <w:rPr>
      <w:rFonts w:ascii="宋体" w:hAnsi="Courier New" w:eastAsia="宋体" w:cs="Courier New"/>
      <w:snapToGrid w:val="0"/>
      <w:sz w:val="18"/>
      <w:szCs w:val="21"/>
      <w:lang w:val="en-US" w:eastAsia="zh-CN" w:bidi="ar-SA"/>
    </w:rPr>
  </w:style>
  <w:style w:type="character" w:customStyle="1" w:styleId="948">
    <w:name w:val="bulletintext1"/>
    <w:autoRedefine/>
    <w:qFormat/>
    <w:uiPriority w:val="0"/>
    <w:rPr>
      <w:color w:val="000000"/>
      <w:sz w:val="18"/>
    </w:rPr>
  </w:style>
  <w:style w:type="paragraph" w:customStyle="1" w:styleId="949">
    <w:name w:val="_Style 947"/>
    <w:basedOn w:val="1"/>
    <w:next w:val="259"/>
    <w:autoRedefine/>
    <w:qFormat/>
    <w:uiPriority w:val="34"/>
    <w:pPr>
      <w:adjustRightInd/>
      <w:ind w:firstLine="420" w:firstLineChars="200"/>
    </w:pPr>
  </w:style>
  <w:style w:type="paragraph" w:customStyle="1" w:styleId="950">
    <w:name w:val="正文5"/>
    <w:autoRedefine/>
    <w:qFormat/>
    <w:uiPriority w:val="0"/>
    <w:pPr>
      <w:jc w:val="both"/>
    </w:pPr>
    <w:rPr>
      <w:rFonts w:ascii="Times New Roman" w:hAnsi="Times New Roman" w:eastAsia="宋体" w:cs="宋体"/>
      <w:kern w:val="2"/>
      <w:sz w:val="21"/>
      <w:szCs w:val="21"/>
      <w:lang w:val="en-US" w:eastAsia="zh-CN" w:bidi="ar-SA"/>
    </w:rPr>
  </w:style>
  <w:style w:type="paragraph" w:customStyle="1" w:styleId="951">
    <w:name w:val="纯文本2"/>
    <w:basedOn w:val="1"/>
    <w:autoRedefine/>
    <w:qFormat/>
    <w:uiPriority w:val="0"/>
    <w:pPr>
      <w:adjustRightInd/>
      <w:snapToGrid w:val="0"/>
      <w:jc w:val="left"/>
    </w:pPr>
    <w:rPr>
      <w:rFonts w:ascii="Century Gothic" w:hAnsi="楷体_GB2312" w:eastAsia="Century Gothic"/>
      <w:szCs w:val="20"/>
    </w:rPr>
  </w:style>
  <w:style w:type="paragraph" w:customStyle="1" w:styleId="952">
    <w:name w:val="*Body 1"/>
    <w:autoRedefine/>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3">
    <w:name w:val="font1"/>
    <w:basedOn w:val="1"/>
    <w:autoRedefine/>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4">
    <w:name w:val="节"/>
    <w:basedOn w:val="3"/>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5">
    <w:name w:val="Blockquote"/>
    <w:basedOn w:val="1"/>
    <w:autoRedefine/>
    <w:qFormat/>
    <w:uiPriority w:val="0"/>
    <w:pPr>
      <w:autoSpaceDE w:val="0"/>
      <w:autoSpaceDN w:val="0"/>
      <w:spacing w:before="100" w:after="100"/>
      <w:ind w:left="360" w:right="360"/>
      <w:jc w:val="left"/>
    </w:pPr>
    <w:rPr>
      <w:kern w:val="0"/>
      <w:sz w:val="24"/>
      <w:szCs w:val="20"/>
    </w:rPr>
  </w:style>
  <w:style w:type="paragraph" w:customStyle="1" w:styleId="956">
    <w:name w:val="p1"/>
    <w:basedOn w:val="1"/>
    <w:autoRedefine/>
    <w:qFormat/>
    <w:uiPriority w:val="0"/>
    <w:pPr>
      <w:widowControl/>
      <w:adjustRightInd/>
      <w:jc w:val="left"/>
    </w:pPr>
    <w:rPr>
      <w:rFonts w:ascii=".PingFang SC" w:eastAsia=".PingFang SC"/>
      <w:color w:val="454545"/>
      <w:kern w:val="0"/>
      <w:sz w:val="18"/>
      <w:szCs w:val="18"/>
    </w:rPr>
  </w:style>
  <w:style w:type="paragraph" w:customStyle="1" w:styleId="957">
    <w:name w:val="Table Paragraph"/>
    <w:basedOn w:val="1"/>
    <w:autoRedefine/>
    <w:qFormat/>
    <w:uiPriority w:val="0"/>
    <w:pPr>
      <w:adjustRightInd/>
      <w:jc w:val="left"/>
    </w:pPr>
    <w:rPr>
      <w:rFonts w:ascii="Calibri" w:hAnsi="Calibri"/>
      <w:kern w:val="0"/>
      <w:sz w:val="22"/>
      <w:szCs w:val="22"/>
      <w:lang w:eastAsia="en-US"/>
    </w:rPr>
  </w:style>
  <w:style w:type="paragraph" w:customStyle="1" w:styleId="958">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9">
    <w:name w:val="xl22"/>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0">
    <w:name w:val="text-tag"/>
    <w:basedOn w:val="1"/>
    <w:autoRedefine/>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1">
    <w:name w:val="ksfind_class_select1"/>
    <w:basedOn w:val="70"/>
    <w:autoRedefine/>
    <w:qFormat/>
    <w:uiPriority w:val="0"/>
    <w:rPr>
      <w:color w:val="000000"/>
      <w:shd w:val="clear" w:color="auto" w:fill="EFD200"/>
    </w:rPr>
  </w:style>
  <w:style w:type="character" w:customStyle="1" w:styleId="962">
    <w:name w:val="font71"/>
    <w:autoRedefine/>
    <w:qFormat/>
    <w:uiPriority w:val="0"/>
    <w:rPr>
      <w:rFonts w:hint="eastAsia" w:ascii="宋体" w:hAnsi="宋体" w:eastAsia="宋体" w:cs="宋体"/>
      <w:color w:val="000000"/>
      <w:sz w:val="22"/>
      <w:szCs w:val="22"/>
      <w:u w:val="none"/>
    </w:rPr>
  </w:style>
  <w:style w:type="character" w:customStyle="1" w:styleId="963">
    <w:name w:val="font91"/>
    <w:autoRedefine/>
    <w:qFormat/>
    <w:uiPriority w:val="0"/>
    <w:rPr>
      <w:rFonts w:hint="eastAsia" w:ascii="仿宋" w:hAnsi="仿宋" w:eastAsia="仿宋" w:cs="仿宋"/>
      <w:color w:val="000000"/>
      <w:sz w:val="22"/>
      <w:szCs w:val="22"/>
      <w:u w:val="none"/>
    </w:rPr>
  </w:style>
  <w:style w:type="paragraph" w:customStyle="1" w:styleId="964">
    <w:name w:val="样式 标题 2 + Times New Roman 四号 非加粗 段前: 5 磅 段后: 0 磅 行距: 固定值 20..."/>
    <w:basedOn w:val="3"/>
    <w:autoRedefine/>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5">
    <w:name w:val="p16"/>
    <w:basedOn w:val="1"/>
    <w:autoRedefine/>
    <w:qFormat/>
    <w:uiPriority w:val="0"/>
    <w:pPr>
      <w:widowControl/>
      <w:spacing w:before="100" w:after="100"/>
      <w:jc w:val="left"/>
    </w:pPr>
    <w:rPr>
      <w:rFonts w:ascii="宋体" w:hAnsi="宋体" w:cs="宋体"/>
      <w:color w:val="000000"/>
      <w:kern w:val="0"/>
      <w:sz w:val="24"/>
    </w:rPr>
  </w:style>
  <w:style w:type="paragraph" w:customStyle="1" w:styleId="966">
    <w:name w:val="修订4"/>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96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22E11C-51AB-47DF-B442-849B3EEBA18D}">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110</Pages>
  <Words>30518</Words>
  <Characters>32476</Characters>
  <Lines>399</Lines>
  <Paragraphs>112</Paragraphs>
  <TotalTime>57</TotalTime>
  <ScaleCrop>false</ScaleCrop>
  <LinksUpToDate>false</LinksUpToDate>
  <CharactersWithSpaces>34911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2022-05-06T23:35:00Z</dcterms:created>
  <dc:creator>玥</dc:creator>
  <cp:lastModifiedBy>张先生</cp:lastModifiedBy>
  <cp:lastPrinted>2021-12-27T03:06:00Z</cp:lastPrinted>
  <dcterms:modified xsi:type="dcterms:W3CDTF">2025-06-26T02:39:28Z</dcterms:modified>
  <dc:title>杭州市市民卡扩大发卡工程</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9B27DCF9498A42F9B487BEB9CCEEA067_13</vt:lpwstr>
  </property>
  <property fmtid="{D5CDD505-2E9C-101B-9397-08002B2CF9AE}" pid="5" name="commondata">
    <vt:lpwstr>eyJoZGlkIjoiNGNlMmFkMDQ1NDY0ZmRiM2Q0NjY4NTFjN2IwMTllYjMifQ==</vt:lpwstr>
  </property>
  <property fmtid="{D5CDD505-2E9C-101B-9397-08002B2CF9AE}" pid="6" name="KSOTemplateDocerSaveRecord">
    <vt:lpwstr>eyJoZGlkIjoiM2FiZDIzMjBhYjY3YjcwYmIxYWI1NjM4YzVmYjEyMDMiLCJ1c2VySWQiOiI3NDIxOTkyNzgifQ==</vt:lpwstr>
  </property>
</Properties>
</file>