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C76A">
      <w:pPr>
        <w:tabs>
          <w:tab w:val="left" w:pos="1069"/>
          <w:tab w:val="left" w:pos="2352"/>
        </w:tabs>
        <w:jc w:val="center"/>
        <w:rPr>
          <w:rFonts w:hint="eastAsia" w:ascii="宋体" w:hAnsi="宋体" w:cs="宋体"/>
          <w:b/>
          <w:bCs/>
          <w:color w:val="auto"/>
          <w:spacing w:val="100"/>
          <w:sz w:val="72"/>
          <w:szCs w:val="72"/>
          <w:highlight w:val="none"/>
        </w:rPr>
      </w:pPr>
      <w:bookmarkStart w:id="94" w:name="_GoBack"/>
      <w:bookmarkEnd w:id="94"/>
    </w:p>
    <w:p w14:paraId="1805275C">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622B6AED">
      <w:pPr>
        <w:tabs>
          <w:tab w:val="left" w:pos="1069"/>
          <w:tab w:val="left" w:pos="2352"/>
        </w:tabs>
        <w:jc w:val="center"/>
        <w:rPr>
          <w:rFonts w:ascii="宋体" w:hAnsi="宋体" w:cs="宋体"/>
          <w:b/>
          <w:bCs/>
          <w:color w:val="auto"/>
          <w:kern w:val="0"/>
          <w:szCs w:val="24"/>
          <w:highlight w:val="none"/>
        </w:rPr>
      </w:pPr>
    </w:p>
    <w:p w14:paraId="54BD0215">
      <w:pPr>
        <w:pStyle w:val="31"/>
        <w:tabs>
          <w:tab w:val="left" w:pos="1069"/>
          <w:tab w:val="left" w:pos="2352"/>
        </w:tabs>
        <w:rPr>
          <w:rFonts w:ascii="宋体" w:hAnsi="宋体" w:cs="宋体"/>
          <w:color w:val="auto"/>
          <w:highlight w:val="none"/>
        </w:rPr>
      </w:pPr>
    </w:p>
    <w:p w14:paraId="6BE9374E">
      <w:pPr>
        <w:tabs>
          <w:tab w:val="left" w:pos="1069"/>
          <w:tab w:val="left" w:pos="2352"/>
        </w:tabs>
        <w:jc w:val="center"/>
        <w:rPr>
          <w:rFonts w:ascii="宋体" w:hAnsi="宋体" w:cs="宋体"/>
          <w:b/>
          <w:bCs/>
          <w:color w:val="auto"/>
          <w:kern w:val="0"/>
          <w:szCs w:val="24"/>
          <w:highlight w:val="none"/>
        </w:rPr>
      </w:pPr>
    </w:p>
    <w:p w14:paraId="0267A5E1">
      <w:pPr>
        <w:tabs>
          <w:tab w:val="left" w:pos="1069"/>
          <w:tab w:val="left" w:pos="2352"/>
        </w:tabs>
        <w:jc w:val="center"/>
        <w:rPr>
          <w:rFonts w:ascii="宋体" w:hAnsi="宋体" w:cs="宋体"/>
          <w:b/>
          <w:bCs/>
          <w:color w:val="auto"/>
          <w:kern w:val="0"/>
          <w:szCs w:val="24"/>
          <w:highlight w:val="none"/>
        </w:rPr>
      </w:pPr>
    </w:p>
    <w:p w14:paraId="114D4717">
      <w:pPr>
        <w:pStyle w:val="8"/>
        <w:tabs>
          <w:tab w:val="left" w:pos="1069"/>
          <w:tab w:val="left" w:pos="2352"/>
        </w:tabs>
        <w:rPr>
          <w:rFonts w:ascii="宋体" w:hAnsi="宋体" w:cs="宋体"/>
          <w:b/>
          <w:color w:val="auto"/>
          <w:szCs w:val="24"/>
          <w:highlight w:val="none"/>
        </w:rPr>
      </w:pPr>
    </w:p>
    <w:p w14:paraId="02D23F72">
      <w:pPr>
        <w:pStyle w:val="8"/>
        <w:tabs>
          <w:tab w:val="left" w:pos="1069"/>
          <w:tab w:val="left" w:pos="2352"/>
        </w:tabs>
        <w:rPr>
          <w:rFonts w:ascii="宋体" w:hAnsi="宋体" w:cs="宋体"/>
          <w:b/>
          <w:color w:val="auto"/>
          <w:szCs w:val="24"/>
          <w:highlight w:val="none"/>
        </w:rPr>
      </w:pPr>
    </w:p>
    <w:p w14:paraId="16046492">
      <w:pPr>
        <w:pStyle w:val="8"/>
        <w:tabs>
          <w:tab w:val="left" w:pos="1069"/>
          <w:tab w:val="left" w:pos="2352"/>
        </w:tabs>
        <w:rPr>
          <w:rFonts w:ascii="宋体" w:hAnsi="宋体" w:cs="宋体"/>
          <w:b/>
          <w:color w:val="auto"/>
          <w:szCs w:val="24"/>
          <w:highlight w:val="none"/>
        </w:rPr>
      </w:pPr>
    </w:p>
    <w:p w14:paraId="40052BA9">
      <w:pPr>
        <w:pStyle w:val="8"/>
        <w:tabs>
          <w:tab w:val="left" w:pos="1069"/>
          <w:tab w:val="left" w:pos="2352"/>
        </w:tabs>
        <w:rPr>
          <w:rFonts w:ascii="宋体" w:hAnsi="宋体" w:cs="宋体"/>
          <w:b/>
          <w:color w:val="auto"/>
          <w:szCs w:val="24"/>
          <w:highlight w:val="none"/>
        </w:rPr>
      </w:pPr>
    </w:p>
    <w:p w14:paraId="5DB59168">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583A3140">
      <w:pPr>
        <w:tabs>
          <w:tab w:val="left" w:pos="1069"/>
          <w:tab w:val="left" w:pos="2352"/>
        </w:tabs>
        <w:jc w:val="center"/>
        <w:rPr>
          <w:rFonts w:ascii="宋体" w:hAnsi="宋体" w:cs="宋体"/>
          <w:b/>
          <w:color w:val="auto"/>
          <w:sz w:val="36"/>
          <w:szCs w:val="36"/>
          <w:highlight w:val="none"/>
        </w:rPr>
      </w:pPr>
    </w:p>
    <w:p w14:paraId="75065702">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088C42D4">
      <w:pPr>
        <w:pStyle w:val="19"/>
        <w:tabs>
          <w:tab w:val="left" w:pos="2352"/>
        </w:tabs>
        <w:ind w:left="856" w:hanging="428"/>
        <w:rPr>
          <w:color w:val="auto"/>
          <w:highlight w:val="none"/>
        </w:rPr>
      </w:pPr>
    </w:p>
    <w:tbl>
      <w:tblPr>
        <w:tblStyle w:val="26"/>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506083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69776D66">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67A9BF91">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TSCG202506026 </w:t>
            </w:r>
          </w:p>
        </w:tc>
      </w:tr>
      <w:tr w14:paraId="2AC02A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590E867C">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663BBBBD">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泰顺县地质灾害风险“一坡一卡”调查评价</w:t>
            </w:r>
          </w:p>
        </w:tc>
      </w:tr>
      <w:tr w14:paraId="4340F4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26A358B">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4BC472B3">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5F570B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59978CB1">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0BEA266D">
            <w:pPr>
              <w:tabs>
                <w:tab w:val="left" w:pos="1069"/>
                <w:tab w:val="left" w:pos="213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泰顺县自然资源和规划局</w:t>
            </w:r>
          </w:p>
        </w:tc>
      </w:tr>
      <w:tr w14:paraId="632032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7EF71157">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2CBBF719">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645CCE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DB5B9A0">
            <w:pPr>
              <w:tabs>
                <w:tab w:val="left" w:pos="1069"/>
                <w:tab w:val="left" w:pos="213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0DF4278B">
            <w:pPr>
              <w:tabs>
                <w:tab w:val="left" w:pos="1069"/>
                <w:tab w:val="left" w:pos="2139"/>
                <w:tab w:val="left" w:pos="2352"/>
              </w:tabs>
              <w:rPr>
                <w:rFonts w:hint="eastAsia" w:ascii="宋体" w:hAnsi="宋体" w:eastAsia="宋体" w:cs="宋体"/>
                <w:b/>
                <w:bCs/>
                <w:color w:val="auto"/>
                <w:sz w:val="28"/>
                <w:szCs w:val="28"/>
                <w:highlight w:val="none"/>
                <w:lang w:val="en-US" w:eastAsia="zh-CN"/>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7E5F8BA6">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5DE8048D">
      <w:pPr>
        <w:tabs>
          <w:tab w:val="left" w:pos="1069"/>
          <w:tab w:val="left" w:pos="2352"/>
          <w:tab w:val="left" w:pos="3850"/>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14:paraId="24385394">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0A9DA15A">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6D71F2E3">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31B7BC67">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05D90E7A">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66734408">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58E3D93C">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第二部分、采购内容及要求...................................9</w:t>
      </w:r>
    </w:p>
    <w:p w14:paraId="34AE4494">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第三部分、供应商须知......................................12</w:t>
      </w:r>
    </w:p>
    <w:p w14:paraId="4491293F">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2</w:t>
      </w:r>
    </w:p>
    <w:p w14:paraId="1B638E88">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第五部分、合同格式........................................2</w:t>
      </w:r>
      <w:r>
        <w:rPr>
          <w:rFonts w:hint="eastAsia" w:ascii="宋体" w:hAnsi="宋体" w:cs="宋体"/>
          <w:color w:val="auto"/>
          <w:sz w:val="28"/>
          <w:szCs w:val="28"/>
          <w:highlight w:val="none"/>
          <w:lang w:val="en-US" w:eastAsia="zh-CN"/>
        </w:rPr>
        <w:t>7</w:t>
      </w:r>
    </w:p>
    <w:p w14:paraId="1C8EF6F7">
      <w:pPr>
        <w:tabs>
          <w:tab w:val="left" w:pos="1069"/>
          <w:tab w:val="left" w:pos="1080"/>
          <w:tab w:val="left" w:pos="2352"/>
        </w:tabs>
        <w:autoSpaceDE w:val="0"/>
        <w:autoSpaceDN w:val="0"/>
        <w:adjustRightInd w:val="0"/>
        <w:spacing w:line="800" w:lineRule="exact"/>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第七部分、评标办法........................................4</w:t>
      </w:r>
      <w:r>
        <w:rPr>
          <w:rFonts w:hint="eastAsia" w:ascii="宋体" w:hAnsi="宋体" w:cs="宋体"/>
          <w:color w:val="auto"/>
          <w:sz w:val="28"/>
          <w:szCs w:val="28"/>
          <w:highlight w:val="none"/>
          <w:lang w:val="en-US" w:eastAsia="zh-CN"/>
        </w:rPr>
        <w:t>6</w:t>
      </w:r>
    </w:p>
    <w:p w14:paraId="4A2E4ECC">
      <w:pPr>
        <w:pStyle w:val="18"/>
        <w:tabs>
          <w:tab w:val="left" w:pos="2352"/>
        </w:tabs>
        <w:rPr>
          <w:color w:val="auto"/>
          <w:highlight w:val="none"/>
        </w:rPr>
      </w:pPr>
    </w:p>
    <w:p w14:paraId="71F73494">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77F79CC8">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41DB4366">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542D371C">
      <w:pPr>
        <w:pStyle w:val="18"/>
        <w:tabs>
          <w:tab w:val="left" w:pos="2352"/>
        </w:tabs>
        <w:rPr>
          <w:color w:val="auto"/>
          <w:highlight w:val="none"/>
        </w:rPr>
      </w:pPr>
    </w:p>
    <w:p w14:paraId="2D0AAD8C">
      <w:pPr>
        <w:pStyle w:val="18"/>
        <w:tabs>
          <w:tab w:val="left" w:pos="2352"/>
        </w:tabs>
        <w:rPr>
          <w:color w:val="auto"/>
          <w:highlight w:val="none"/>
        </w:rPr>
      </w:pPr>
    </w:p>
    <w:p w14:paraId="50C8EB45">
      <w:pPr>
        <w:pStyle w:val="3"/>
        <w:widowControl/>
        <w:spacing w:line="225" w:lineRule="atLeas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泰顺县地质灾害风险“一坡一卡”调查评价</w:t>
      </w:r>
      <w:r>
        <w:rPr>
          <w:rFonts w:hint="eastAsia" w:ascii="宋体" w:hAnsi="宋体" w:eastAsia="宋体" w:cs="宋体"/>
          <w:color w:val="auto"/>
          <w:sz w:val="28"/>
          <w:szCs w:val="28"/>
          <w:highlight w:val="none"/>
        </w:rPr>
        <w:t>的竞争性磋商公告</w:t>
      </w:r>
    </w:p>
    <w:tbl>
      <w:tblPr>
        <w:tblStyle w:val="27"/>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D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3129194F">
            <w:pPr>
              <w:pStyle w:val="22"/>
              <w:spacing w:before="38" w:after="156"/>
              <w:rPr>
                <w:color w:val="auto"/>
                <w:szCs w:val="24"/>
                <w:highlight w:val="none"/>
              </w:rPr>
            </w:pPr>
            <w:r>
              <w:rPr>
                <w:rFonts w:ascii="仿宋" w:hAnsi="仿宋" w:eastAsia="仿宋" w:cs="仿宋"/>
                <w:color w:val="auto"/>
                <w:szCs w:val="24"/>
                <w:highlight w:val="none"/>
              </w:rPr>
              <w:t>项目概况</w:t>
            </w:r>
            <w:r>
              <w:rPr>
                <w:rFonts w:hint="eastAsia" w:ascii="仿宋" w:hAnsi="仿宋" w:eastAsia="仿宋" w:cs="仿宋"/>
                <w:color w:val="auto"/>
                <w:szCs w:val="24"/>
                <w:highlight w:val="none"/>
              </w:rPr>
              <w:t>                                                    </w:t>
            </w:r>
          </w:p>
          <w:p w14:paraId="74BDA9A2">
            <w:pPr>
              <w:pStyle w:val="22"/>
              <w:spacing w:after="156"/>
              <w:ind w:firstLine="480" w:firstLineChars="200"/>
              <w:rPr>
                <w:rFonts w:ascii="宋体" w:hAnsi="宋体" w:eastAsia="宋体" w:cs="宋体"/>
                <w:color w:val="auto"/>
                <w:sz w:val="22"/>
                <w:highlight w:val="none"/>
                <w:shd w:val="clear" w:color="auto" w:fill="FFFFFF"/>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lang w:eastAsia="zh-CN"/>
              </w:rPr>
              <w:t>泰顺县地质灾害风险“一坡一卡”调查评价</w:t>
            </w:r>
            <w:r>
              <w:rPr>
                <w:rFonts w:hint="eastAsia" w:ascii="仿宋" w:hAnsi="仿宋" w:eastAsia="仿宋" w:cs="仿宋"/>
                <w:color w:val="auto"/>
                <w:szCs w:val="24"/>
                <w:highlight w:val="none"/>
              </w:rPr>
              <w:t>采购项目的潜在供应商应在政采云平台http://zfcg.czt.zj.gov.cn/ 获取（下载）采购文件，并于</w:t>
            </w:r>
            <w:r>
              <w:rPr>
                <w:rFonts w:hint="eastAsia" w:ascii="仿宋" w:hAnsi="仿宋" w:eastAsia="仿宋" w:cs="仿宋"/>
                <w:color w:val="auto"/>
                <w:szCs w:val="24"/>
                <w:highlight w:val="none"/>
                <w:lang w:eastAsia="zh-CN"/>
              </w:rPr>
              <w:t>2025年0</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rPr>
              <w:t xml:space="preserve"> 09:00 （北京时间）前提交（上传）响应文件。       </w:t>
            </w:r>
          </w:p>
        </w:tc>
      </w:tr>
    </w:tbl>
    <w:p w14:paraId="6D8E985B">
      <w:pPr>
        <w:pStyle w:val="22"/>
        <w:spacing w:before="38" w:after="156"/>
        <w:rPr>
          <w:color w:val="auto"/>
          <w:szCs w:val="24"/>
          <w:highlight w:val="none"/>
        </w:rPr>
      </w:pPr>
      <w:r>
        <w:rPr>
          <w:rFonts w:hint="eastAsia" w:ascii="仿宋" w:hAnsi="仿宋" w:eastAsia="仿宋" w:cs="仿宋"/>
          <w:color w:val="auto"/>
          <w:szCs w:val="24"/>
          <w:highlight w:val="none"/>
        </w:rPr>
        <w:t xml:space="preserve">                     </w:t>
      </w:r>
    </w:p>
    <w:p w14:paraId="24B35E4A">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一、项目基本情况</w:t>
      </w:r>
    </w:p>
    <w:p w14:paraId="39E2424F">
      <w:pPr>
        <w:pStyle w:val="22"/>
        <w:spacing w:before="38" w:after="156" w:line="150" w:lineRule="atLeast"/>
        <w:rPr>
          <w:color w:val="auto"/>
          <w:szCs w:val="24"/>
          <w:highlight w:val="none"/>
        </w:rPr>
      </w:pPr>
      <w:r>
        <w:rPr>
          <w:rFonts w:hint="eastAsia" w:ascii="仿宋" w:hAnsi="仿宋" w:eastAsia="仿宋" w:cs="仿宋"/>
          <w:color w:val="auto"/>
          <w:szCs w:val="24"/>
          <w:highlight w:val="none"/>
        </w:rPr>
        <w:t>    项目编号：</w:t>
      </w:r>
      <w:r>
        <w:rPr>
          <w:rFonts w:hint="eastAsia" w:ascii="仿宋" w:hAnsi="仿宋" w:eastAsia="仿宋" w:cs="仿宋"/>
          <w:color w:val="auto"/>
          <w:szCs w:val="24"/>
          <w:highlight w:val="none"/>
          <w:lang w:eastAsia="zh-CN"/>
        </w:rPr>
        <w:t xml:space="preserve">TSCG202506026 </w:t>
      </w:r>
      <w:r>
        <w:rPr>
          <w:rFonts w:hint="eastAsia" w:ascii="仿宋" w:hAnsi="仿宋" w:eastAsia="仿宋" w:cs="仿宋"/>
          <w:color w:val="auto"/>
          <w:szCs w:val="24"/>
          <w:highlight w:val="none"/>
        </w:rPr>
        <w:t> </w:t>
      </w:r>
    </w:p>
    <w:p w14:paraId="70096683">
      <w:pPr>
        <w:pStyle w:val="22"/>
        <w:spacing w:before="38" w:after="156" w:line="150" w:lineRule="atLeast"/>
        <w:rPr>
          <w:color w:val="auto"/>
          <w:szCs w:val="24"/>
          <w:highlight w:val="none"/>
        </w:rPr>
      </w:pPr>
      <w:r>
        <w:rPr>
          <w:rFonts w:hint="eastAsia" w:ascii="仿宋" w:hAnsi="仿宋" w:eastAsia="仿宋" w:cs="仿宋"/>
          <w:color w:val="auto"/>
          <w:szCs w:val="24"/>
          <w:highlight w:val="none"/>
        </w:rPr>
        <w:t>    项目名称：</w:t>
      </w:r>
      <w:r>
        <w:rPr>
          <w:rFonts w:hint="eastAsia" w:ascii="仿宋" w:hAnsi="仿宋" w:eastAsia="仿宋" w:cs="仿宋"/>
          <w:color w:val="auto"/>
          <w:szCs w:val="24"/>
          <w:highlight w:val="none"/>
          <w:lang w:eastAsia="zh-CN"/>
        </w:rPr>
        <w:t>泰顺县地质灾害风险“一坡一卡”调查评价</w:t>
      </w:r>
      <w:r>
        <w:rPr>
          <w:rFonts w:hint="eastAsia" w:ascii="仿宋" w:hAnsi="仿宋" w:eastAsia="仿宋" w:cs="仿宋"/>
          <w:color w:val="auto"/>
          <w:szCs w:val="24"/>
          <w:highlight w:val="none"/>
        </w:rPr>
        <w:t> </w:t>
      </w:r>
    </w:p>
    <w:p w14:paraId="66D6C013">
      <w:pPr>
        <w:pStyle w:val="22"/>
        <w:spacing w:before="38" w:after="156" w:line="150" w:lineRule="atLeast"/>
        <w:rPr>
          <w:color w:val="auto"/>
          <w:szCs w:val="24"/>
          <w:highlight w:val="none"/>
        </w:rPr>
      </w:pPr>
      <w:r>
        <w:rPr>
          <w:rFonts w:hint="eastAsia" w:ascii="仿宋" w:hAnsi="仿宋" w:eastAsia="仿宋" w:cs="仿宋"/>
          <w:color w:val="auto"/>
          <w:szCs w:val="24"/>
          <w:highlight w:val="none"/>
        </w:rPr>
        <w:t>    采购方式：竞争性磋商 </w:t>
      </w:r>
    </w:p>
    <w:p w14:paraId="71D45E32">
      <w:pPr>
        <w:pStyle w:val="22"/>
        <w:spacing w:before="38" w:after="156" w:line="150" w:lineRule="atLeast"/>
        <w:rPr>
          <w:color w:val="auto"/>
          <w:szCs w:val="24"/>
          <w:highlight w:val="none"/>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eastAsia="zh-CN"/>
        </w:rPr>
        <w:t>1500000 </w:t>
      </w:r>
      <w:r>
        <w:rPr>
          <w:rFonts w:hint="eastAsia" w:ascii="仿宋" w:hAnsi="仿宋" w:eastAsia="仿宋" w:cs="仿宋"/>
          <w:color w:val="auto"/>
          <w:szCs w:val="24"/>
          <w:highlight w:val="none"/>
        </w:rPr>
        <w:t> </w:t>
      </w:r>
    </w:p>
    <w:p w14:paraId="71EA27F4">
      <w:pPr>
        <w:pStyle w:val="22"/>
        <w:spacing w:before="38" w:after="156" w:line="150" w:lineRule="atLeast"/>
        <w:rPr>
          <w:color w:val="auto"/>
          <w:szCs w:val="24"/>
          <w:highlight w:val="none"/>
        </w:rPr>
      </w:pPr>
      <w:r>
        <w:rPr>
          <w:rFonts w:hint="eastAsia" w:ascii="仿宋" w:hAnsi="仿宋" w:eastAsia="仿宋" w:cs="仿宋"/>
          <w:color w:val="auto"/>
          <w:szCs w:val="24"/>
          <w:highlight w:val="none"/>
        </w:rPr>
        <w:t>    最高限价（元）：</w:t>
      </w:r>
      <w:r>
        <w:rPr>
          <w:rFonts w:hint="eastAsia" w:ascii="仿宋" w:hAnsi="仿宋" w:eastAsia="仿宋" w:cs="仿宋"/>
          <w:color w:val="auto"/>
          <w:szCs w:val="24"/>
          <w:highlight w:val="none"/>
          <w:lang w:eastAsia="zh-CN"/>
        </w:rPr>
        <w:t>1500000 </w:t>
      </w:r>
      <w:r>
        <w:rPr>
          <w:rFonts w:hint="eastAsia" w:ascii="仿宋" w:hAnsi="仿宋" w:eastAsia="仿宋" w:cs="仿宋"/>
          <w:color w:val="auto"/>
          <w:szCs w:val="24"/>
          <w:highlight w:val="none"/>
        </w:rPr>
        <w:t> </w:t>
      </w:r>
    </w:p>
    <w:p w14:paraId="057C83AF">
      <w:pPr>
        <w:pStyle w:val="22"/>
        <w:spacing w:before="38" w:after="156" w:line="150" w:lineRule="atLeast"/>
        <w:rPr>
          <w:color w:val="auto"/>
          <w:szCs w:val="24"/>
          <w:highlight w:val="none"/>
        </w:rPr>
      </w:pPr>
      <w:r>
        <w:rPr>
          <w:rFonts w:hint="eastAsia" w:ascii="仿宋" w:hAnsi="仿宋" w:eastAsia="仿宋" w:cs="仿宋"/>
          <w:color w:val="auto"/>
          <w:szCs w:val="24"/>
          <w:highlight w:val="none"/>
        </w:rPr>
        <w:t>    采购需求：</w:t>
      </w:r>
    </w:p>
    <w:p w14:paraId="2FA401B8">
      <w:pPr>
        <w:widowControl/>
        <w:spacing w:line="150" w:lineRule="atLeas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   数量：不限       </w:t>
      </w:r>
    </w:p>
    <w:p w14:paraId="0F04B436">
      <w:pPr>
        <w:pStyle w:val="22"/>
        <w:spacing w:before="38" w:after="156" w:line="150" w:lineRule="atLeast"/>
        <w:rPr>
          <w:rFonts w:hint="eastAsia" w:eastAsia="仿宋"/>
          <w:color w:val="auto"/>
          <w:szCs w:val="24"/>
          <w:highlight w:val="none"/>
          <w:lang w:eastAsia="zh-CN"/>
        </w:rPr>
      </w:pPr>
      <w:r>
        <w:rPr>
          <w:rFonts w:hint="eastAsia" w:ascii="仿宋" w:hAnsi="仿宋" w:eastAsia="仿宋" w:cs="仿宋"/>
          <w:color w:val="auto"/>
          <w:szCs w:val="24"/>
          <w:highlight w:val="none"/>
        </w:rPr>
        <w:t>   预算金额（元）：</w:t>
      </w:r>
      <w:r>
        <w:rPr>
          <w:rFonts w:hint="eastAsia" w:ascii="仿宋" w:hAnsi="仿宋" w:eastAsia="仿宋" w:cs="仿宋"/>
          <w:color w:val="auto"/>
          <w:szCs w:val="24"/>
          <w:highlight w:val="none"/>
          <w:lang w:eastAsia="zh-CN"/>
        </w:rPr>
        <w:t>1500000 </w:t>
      </w:r>
    </w:p>
    <w:p w14:paraId="0F0CE54E">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单位：项 </w:t>
      </w:r>
    </w:p>
    <w:p w14:paraId="1BDB704D">
      <w:pPr>
        <w:pStyle w:val="22"/>
        <w:spacing w:before="38" w:after="156" w:line="150" w:lineRule="atLeast"/>
        <w:rPr>
          <w:color w:val="auto"/>
          <w:szCs w:val="24"/>
          <w:highlight w:val="none"/>
        </w:rPr>
      </w:pPr>
      <w:r>
        <w:rPr>
          <w:rFonts w:hint="eastAsia" w:ascii="仿宋" w:hAnsi="仿宋" w:eastAsia="仿宋" w:cs="仿宋"/>
          <w:color w:val="auto"/>
          <w:szCs w:val="24"/>
          <w:highlight w:val="none"/>
        </w:rPr>
        <w:t>   简要规格描述：</w:t>
      </w:r>
      <w:r>
        <w:rPr>
          <w:rFonts w:hint="eastAsia" w:ascii="仿宋" w:hAnsi="仿宋" w:eastAsia="仿宋" w:cs="仿宋"/>
          <w:color w:val="auto"/>
          <w:szCs w:val="24"/>
          <w:highlight w:val="none"/>
          <w:lang w:eastAsia="zh-CN"/>
        </w:rPr>
        <w:t>泰顺县地质灾害风险“一坡一卡”调查评价</w:t>
      </w:r>
      <w:r>
        <w:rPr>
          <w:rFonts w:hint="eastAsia" w:ascii="仿宋" w:hAnsi="仿宋" w:eastAsia="仿宋" w:cs="仿宋"/>
          <w:color w:val="auto"/>
          <w:szCs w:val="24"/>
          <w:highlight w:val="none"/>
        </w:rPr>
        <w:t> </w:t>
      </w:r>
    </w:p>
    <w:p w14:paraId="49066934">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备注： </w:t>
      </w:r>
    </w:p>
    <w:p w14:paraId="080B17DF">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合同履约期限：标项 1，按采购文件规定。  </w:t>
      </w:r>
    </w:p>
    <w:p w14:paraId="3C5EE5D8">
      <w:pPr>
        <w:pStyle w:val="22"/>
        <w:spacing w:before="38" w:after="156" w:line="150" w:lineRule="atLeast"/>
        <w:rPr>
          <w:color w:val="auto"/>
          <w:szCs w:val="24"/>
          <w:highlight w:val="none"/>
        </w:rPr>
      </w:pPr>
      <w:r>
        <w:rPr>
          <w:rFonts w:hint="eastAsia" w:ascii="仿宋" w:hAnsi="仿宋" w:eastAsia="仿宋" w:cs="仿宋"/>
          <w:color w:val="auto"/>
          <w:szCs w:val="24"/>
          <w:highlight w:val="none"/>
        </w:rPr>
        <w:t>    本项目（否）接受联合体投标。  </w:t>
      </w:r>
    </w:p>
    <w:p w14:paraId="5CCF5A1C">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二、申请人的资格要求：</w:t>
      </w:r>
    </w:p>
    <w:p w14:paraId="2D87FF00">
      <w:pPr>
        <w:pStyle w:val="22"/>
        <w:spacing w:before="38" w:after="156" w:line="150" w:lineRule="atLeast"/>
        <w:rPr>
          <w:color w:val="auto"/>
          <w:szCs w:val="24"/>
          <w:highlight w:val="none"/>
        </w:rPr>
      </w:pPr>
      <w:r>
        <w:rPr>
          <w:rFonts w:hint="eastAsia" w:ascii="仿宋" w:hAnsi="仿宋" w:eastAsia="仿宋" w:cs="仿宋"/>
          <w:color w:val="auto"/>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F5EA1BA">
      <w:pPr>
        <w:pStyle w:val="22"/>
        <w:spacing w:before="38" w:after="156" w:line="150" w:lineRule="atLeast"/>
        <w:rPr>
          <w:rFonts w:hint="eastAsia" w:eastAsia="仿宋"/>
          <w:color w:val="auto"/>
          <w:szCs w:val="24"/>
          <w:highlight w:val="none"/>
          <w:lang w:val="en-US" w:eastAsia="zh-CN"/>
        </w:rPr>
      </w:pPr>
      <w:r>
        <w:rPr>
          <w:rFonts w:hint="eastAsia" w:ascii="仿宋" w:hAnsi="仿宋" w:eastAsia="仿宋" w:cs="仿宋"/>
          <w:color w:val="auto"/>
          <w:szCs w:val="24"/>
          <w:highlight w:val="none"/>
        </w:rPr>
        <w:t>    2.落实政府采购政策需满足的资格要求：</w:t>
      </w:r>
      <w:r>
        <w:rPr>
          <w:rFonts w:hint="eastAsia" w:ascii="仿宋" w:hAnsi="仿宋" w:eastAsia="仿宋" w:cs="仿宋"/>
          <w:color w:val="auto"/>
          <w:szCs w:val="24"/>
          <w:highlight w:val="none"/>
          <w:lang w:val="en-US" w:eastAsia="zh-CN"/>
        </w:rPr>
        <w:t>无</w:t>
      </w:r>
    </w:p>
    <w:p w14:paraId="73927F9B">
      <w:pPr>
        <w:widowControl/>
        <w:spacing w:line="460" w:lineRule="atLeas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3.本项目的特定资格要求：具有地质灾害评估和治理工程勘查设计甲级资质，或同时具备地质灾害危险性评估甲级资质、地质灾害防治勘查甲级资质、地质灾害防治设计甲级资质，上述资质均需在有效期内。</w:t>
      </w:r>
    </w:p>
    <w:p w14:paraId="22F0819C">
      <w:pPr>
        <w:pStyle w:val="22"/>
        <w:spacing w:before="38" w:after="156" w:line="150" w:lineRule="atLeast"/>
        <w:rPr>
          <w:color w:val="auto"/>
          <w:szCs w:val="24"/>
          <w:highlight w:val="none"/>
        </w:rPr>
      </w:pPr>
      <w:r>
        <w:rPr>
          <w:rFonts w:hint="eastAsia" w:ascii="仿宋" w:hAnsi="仿宋" w:eastAsia="仿宋" w:cs="仿宋"/>
          <w:color w:val="auto"/>
          <w:szCs w:val="24"/>
          <w:highlight w:val="none"/>
        </w:rPr>
        <w:t> </w:t>
      </w:r>
    </w:p>
    <w:p w14:paraId="717D02C1">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三、获取（下载）采购文件</w:t>
      </w:r>
    </w:p>
    <w:p w14:paraId="1B745509">
      <w:pPr>
        <w:pStyle w:val="22"/>
        <w:spacing w:before="38" w:after="156" w:line="150" w:lineRule="atLeast"/>
        <w:rPr>
          <w:color w:val="auto"/>
          <w:szCs w:val="24"/>
          <w:highlight w:val="none"/>
        </w:rPr>
      </w:pPr>
      <w:r>
        <w:rPr>
          <w:rFonts w:hint="eastAsia" w:ascii="仿宋" w:hAnsi="仿宋" w:eastAsia="仿宋" w:cs="仿宋"/>
          <w:color w:val="auto"/>
          <w:szCs w:val="24"/>
          <w:highlight w:val="none"/>
        </w:rPr>
        <w:t>    时间：/至</w:t>
      </w:r>
      <w:r>
        <w:rPr>
          <w:rFonts w:hint="eastAsia" w:ascii="仿宋" w:hAnsi="仿宋" w:eastAsia="仿宋" w:cs="仿宋"/>
          <w:color w:val="auto"/>
          <w:szCs w:val="24"/>
          <w:highlight w:val="none"/>
          <w:lang w:eastAsia="zh-CN"/>
        </w:rPr>
        <w:t>2025年0</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rPr>
        <w:t>，每天上午00:00至12:00，下午12:00至23:59（北京时间，线上获取法定节假日均可，线下获取文件法定节假日除外）</w:t>
      </w:r>
    </w:p>
    <w:p w14:paraId="2ABAB892">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地点（网址）：政采云平台http://zfcg.czt.zj.gov.cn/  </w:t>
      </w:r>
    </w:p>
    <w:p w14:paraId="0CA3A778">
      <w:pPr>
        <w:pStyle w:val="22"/>
        <w:spacing w:before="38" w:after="156" w:line="150" w:lineRule="atLeast"/>
        <w:rPr>
          <w:color w:val="auto"/>
          <w:szCs w:val="24"/>
          <w:highlight w:val="none"/>
        </w:rPr>
      </w:pPr>
      <w:r>
        <w:rPr>
          <w:rFonts w:hint="eastAsia" w:ascii="仿宋" w:hAnsi="仿宋" w:eastAsia="仿宋" w:cs="仿宋"/>
          <w:color w:val="auto"/>
          <w:szCs w:val="24"/>
          <w:highlight w:val="none"/>
        </w:rPr>
        <w:t>    方式：供应商登录政采云平台http://zfcg.czt.zj.gov.cn/ 在线申请获取采购文件（进入“项目采购”应用，在获取采购文件菜单中选择项目，申请获取采购文件） </w:t>
      </w:r>
    </w:p>
    <w:p w14:paraId="2538C201">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售价（元）：0 </w:t>
      </w:r>
    </w:p>
    <w:p w14:paraId="4A5DE8E3">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四、响应文件提交（上传）</w:t>
      </w:r>
      <w:r>
        <w:rPr>
          <w:rFonts w:ascii="黑体" w:hAnsi="宋体" w:eastAsia="黑体" w:cs="黑体"/>
          <w:color w:val="auto"/>
          <w:szCs w:val="24"/>
          <w:highlight w:val="none"/>
        </w:rPr>
        <w:t> </w:t>
      </w:r>
    </w:p>
    <w:p w14:paraId="2A1C03A9">
      <w:pPr>
        <w:pStyle w:val="22"/>
        <w:spacing w:before="38" w:after="156" w:line="150" w:lineRule="atLeast"/>
        <w:rPr>
          <w:color w:val="auto"/>
          <w:szCs w:val="24"/>
          <w:highlight w:val="none"/>
        </w:rPr>
      </w:pPr>
      <w:r>
        <w:rPr>
          <w:rFonts w:hint="eastAsia" w:ascii="仿宋" w:hAnsi="仿宋" w:eastAsia="仿宋" w:cs="仿宋"/>
          <w:color w:val="auto"/>
          <w:szCs w:val="24"/>
          <w:highlight w:val="none"/>
        </w:rPr>
        <w:t>    截止时间：</w:t>
      </w:r>
      <w:r>
        <w:rPr>
          <w:rFonts w:hint="eastAsia" w:ascii="仿宋" w:hAnsi="仿宋" w:eastAsia="仿宋" w:cs="仿宋"/>
          <w:color w:val="auto"/>
          <w:szCs w:val="24"/>
          <w:highlight w:val="none"/>
          <w:lang w:eastAsia="zh-CN"/>
        </w:rPr>
        <w:t>2025年0</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rPr>
        <w:t xml:space="preserve"> 09:00 （北京时间）</w:t>
      </w:r>
    </w:p>
    <w:p w14:paraId="04AF64D8">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地点（网址）：“政府采购云平台（http://zfcg.czt.zj.gov.cn/）”在线递交 </w:t>
      </w:r>
    </w:p>
    <w:p w14:paraId="60A1FBC0">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五、响应文件开启</w:t>
      </w:r>
      <w:r>
        <w:rPr>
          <w:rFonts w:ascii="黑体" w:hAnsi="宋体" w:eastAsia="黑体" w:cs="黑体"/>
          <w:color w:val="auto"/>
          <w:szCs w:val="24"/>
          <w:highlight w:val="none"/>
        </w:rPr>
        <w:t> </w:t>
      </w:r>
    </w:p>
    <w:p w14:paraId="6E9D1391">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开启时间：</w:t>
      </w:r>
      <w:r>
        <w:rPr>
          <w:rFonts w:hint="eastAsia" w:ascii="仿宋" w:hAnsi="仿宋" w:eastAsia="仿宋" w:cs="仿宋"/>
          <w:color w:val="auto"/>
          <w:szCs w:val="24"/>
          <w:highlight w:val="none"/>
          <w:lang w:eastAsia="zh-CN"/>
        </w:rPr>
        <w:t>2025年0</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rPr>
        <w:t xml:space="preserve"> 09:00 （北京时间）</w:t>
      </w:r>
    </w:p>
    <w:p w14:paraId="373CF287">
      <w:pPr>
        <w:pStyle w:val="22"/>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地点（网址）：“政府采购云平台（http://zfcg.czt.zj.gov.cn/）”在线开标 </w:t>
      </w:r>
    </w:p>
    <w:p w14:paraId="15363BE3">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六、公告期限</w:t>
      </w:r>
    </w:p>
    <w:p w14:paraId="39A98287">
      <w:pPr>
        <w:pStyle w:val="22"/>
        <w:spacing w:before="38" w:after="156"/>
        <w:rPr>
          <w:color w:val="auto"/>
          <w:szCs w:val="24"/>
          <w:highlight w:val="none"/>
        </w:rPr>
      </w:pPr>
      <w:r>
        <w:rPr>
          <w:rFonts w:hint="eastAsia" w:ascii="仿宋" w:hAnsi="仿宋" w:eastAsia="仿宋" w:cs="仿宋"/>
          <w:color w:val="auto"/>
          <w:szCs w:val="24"/>
          <w:highlight w:val="none"/>
        </w:rPr>
        <w:t>    自本公告发布之日起3个工作日。</w:t>
      </w:r>
    </w:p>
    <w:p w14:paraId="5B9034D1">
      <w:pPr>
        <w:pStyle w:val="22"/>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七、其他补充事宜</w:t>
      </w:r>
      <w:r>
        <w:rPr>
          <w:rFonts w:ascii="黑体" w:hAnsi="宋体" w:eastAsia="黑体" w:cs="黑体"/>
          <w:color w:val="auto"/>
          <w:szCs w:val="24"/>
          <w:highlight w:val="none"/>
        </w:rPr>
        <w:t> </w:t>
      </w:r>
    </w:p>
    <w:p w14:paraId="518BA715">
      <w:pPr>
        <w:pStyle w:val="22"/>
        <w:widowControl/>
        <w:spacing w:before="128" w:beforeAutospacing="0" w:after="128" w:afterAutospacing="0" w:line="150" w:lineRule="atLeast"/>
        <w:ind w:firstLine="4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1D084775">
      <w:pPr>
        <w:pStyle w:val="22"/>
        <w:widowControl/>
        <w:spacing w:before="128" w:beforeAutospacing="0" w:after="128" w:afterAutospacing="0" w:line="150" w:lineRule="atLeast"/>
        <w:ind w:firstLine="4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4F5CDCB">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r>
        <w:rPr>
          <w:rFonts w:hint="eastAsia" w:ascii="仿宋" w:hAnsi="仿宋" w:eastAsia="仿宋" w:cs="仿宋"/>
          <w:color w:val="auto"/>
          <w:sz w:val="24"/>
          <w:szCs w:val="24"/>
          <w:highlight w:val="none"/>
          <w:lang w:bidi="ar-SA"/>
        </w:rPr>
        <w:t>   </w:t>
      </w:r>
    </w:p>
    <w:p w14:paraId="0E774015">
      <w:pPr>
        <w:pStyle w:val="22"/>
        <w:widowControl/>
        <w:spacing w:before="128" w:beforeAutospacing="0" w:after="128" w:afterAutospacing="0" w:line="150" w:lineRule="atLeast"/>
        <w:ind w:firstLine="420"/>
        <w:jc w:val="both"/>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4.其他事项：</w:t>
      </w:r>
    </w:p>
    <w:p w14:paraId="203B47E3">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本项目采用政府采购电子化交易。</w:t>
      </w:r>
    </w:p>
    <w:p w14:paraId="7F1764E4">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.2为确保网上操作合法、有效和安全，供应商应当在投标截止时间前，</w:t>
      </w:r>
      <w:r>
        <w:rPr>
          <w:rFonts w:hint="eastAsia" w:ascii="仿宋" w:hAnsi="仿宋" w:eastAsia="仿宋" w:cs="仿宋"/>
          <w:color w:val="auto"/>
          <w:sz w:val="24"/>
          <w:szCs w:val="24"/>
          <w:highlight w:val="none"/>
          <w:lang w:val="en-US" w:eastAsia="zh-CN"/>
        </w:rPr>
        <w:t>注册</w:t>
      </w:r>
      <w:r>
        <w:rPr>
          <w:rFonts w:hint="eastAsia" w:ascii="仿宋" w:hAnsi="仿宋" w:eastAsia="仿宋" w:cs="仿宋"/>
          <w:color w:val="auto"/>
          <w:sz w:val="24"/>
          <w:szCs w:val="24"/>
          <w:highlight w:val="none"/>
        </w:rPr>
        <w:t>政府采购云平台（供应商注册页面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https://middle.zcygov.cn/settle-front/#/registry）</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完成电子交易平台上的CA数字证书办理（办理流程详见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rPr>
        <w:fldChar w:fldCharType="end"/>
      </w:r>
    </w:p>
    <w:p w14:paraId="17C8B027">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.3投标人应安装“政采云投标客户端”，电子投标工具请投标人自行前往浙江政府采购网下载并安装，（下载网址：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rPr>
        <w:fldChar w:fldCharType="end"/>
      </w:r>
    </w:p>
    <w:p w14:paraId="79963858">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.4电子交易具体流程详见操作指南：登录政府采购云平台（http://zfcg.czt.zj.gov.cn/），从首页-服务中心-帮助文档-项目采购-电子招投标，查看文档和视频。</w:t>
      </w:r>
    </w:p>
    <w:p w14:paraId="679022CC">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.5如有疑问，可致电政府采购云平台技术支持热线咨询，联系方式：</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w:t>
      </w:r>
    </w:p>
    <w:p w14:paraId="475B3879">
      <w:pPr>
        <w:pStyle w:val="22"/>
        <w:widowControl/>
        <w:spacing w:before="38" w:beforeAutospacing="0" w:after="38" w:afterAutospacing="0" w:line="315" w:lineRule="atLeas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.6供应商应当在</w:t>
      </w:r>
      <w:r>
        <w:rPr>
          <w:rFonts w:hint="eastAsia" w:ascii="仿宋" w:hAnsi="仿宋" w:eastAsia="仿宋" w:cs="仿宋"/>
          <w:color w:val="auto"/>
          <w:sz w:val="24"/>
          <w:szCs w:val="24"/>
          <w:highlight w:val="none"/>
          <w:lang w:eastAsia="zh-CN"/>
        </w:rPr>
        <w:t>响应文件提交（上传）截止时间前</w:t>
      </w:r>
      <w:r>
        <w:rPr>
          <w:rFonts w:hint="eastAsia" w:ascii="仿宋" w:hAnsi="仿宋" w:eastAsia="仿宋" w:cs="仿宋"/>
          <w:color w:val="auto"/>
          <w:sz w:val="24"/>
          <w:szCs w:val="24"/>
          <w:highlight w:val="none"/>
        </w:rPr>
        <w:t>完成“电子加密响应文件”的在线提交，</w:t>
      </w:r>
      <w:r>
        <w:rPr>
          <w:rFonts w:hint="eastAsia" w:ascii="仿宋" w:hAnsi="仿宋" w:eastAsia="仿宋" w:cs="仿宋"/>
          <w:color w:val="auto"/>
          <w:sz w:val="24"/>
          <w:szCs w:val="24"/>
          <w:highlight w:val="none"/>
          <w:lang w:eastAsia="zh-CN"/>
        </w:rPr>
        <w:t>响应文件提交（上传）截止时间前</w:t>
      </w:r>
      <w:r>
        <w:rPr>
          <w:rFonts w:hint="eastAsia" w:ascii="仿宋" w:hAnsi="仿宋" w:eastAsia="仿宋" w:cs="仿宋"/>
          <w:color w:val="auto"/>
          <w:sz w:val="24"/>
          <w:szCs w:val="24"/>
          <w:highlight w:val="none"/>
        </w:rPr>
        <w:t>可以补充、修改或者撤回电子加密响应文件。补充或者修改电子加密响应文件的，应当先行撤回原文件，补充、修改后重新上传提交。</w:t>
      </w:r>
      <w:r>
        <w:rPr>
          <w:rFonts w:hint="eastAsia" w:ascii="仿宋" w:hAnsi="仿宋" w:eastAsia="仿宋" w:cs="仿宋"/>
          <w:color w:val="auto"/>
          <w:sz w:val="24"/>
          <w:szCs w:val="24"/>
          <w:highlight w:val="none"/>
          <w:lang w:eastAsia="zh-CN"/>
        </w:rPr>
        <w:t>响应文件提交（上传）截止时间前</w:t>
      </w:r>
      <w:r>
        <w:rPr>
          <w:rFonts w:hint="eastAsia" w:ascii="仿宋" w:hAnsi="仿宋" w:eastAsia="仿宋" w:cs="仿宋"/>
          <w:color w:val="auto"/>
          <w:sz w:val="24"/>
          <w:szCs w:val="24"/>
          <w:highlight w:val="none"/>
        </w:rPr>
        <w:t>未完成提交的，视为撤回响应文件。逾期递交的电子加密响应文件，将被政采云平台拒收。</w:t>
      </w:r>
    </w:p>
    <w:p w14:paraId="31B86AB2">
      <w:pPr>
        <w:pStyle w:val="22"/>
        <w:keepNext w:val="0"/>
        <w:keepLines w:val="0"/>
        <w:pageBreakBefore w:val="0"/>
        <w:widowControl/>
        <w:suppressLineNumbers w:val="0"/>
        <w:kinsoku/>
        <w:wordWrap/>
        <w:overflowPunct/>
        <w:topLinePunct w:val="0"/>
        <w:autoSpaceDE/>
        <w:autoSpaceDN/>
        <w:bidi w:val="0"/>
        <w:adjustRightInd/>
        <w:snapToGrid/>
        <w:spacing w:before="128" w:beforeAutospacing="0" w:after="128" w:afterAutospacing="0" w:line="360" w:lineRule="exact"/>
        <w:ind w:left="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t>中标人应在合同签订前完成政府采购云平台（http://zfcg.czt.zj.gov.cn/）全部注册步骤并成为正式注册入库供应商，否则将导致合同款无法正常支付，责任由中标人承担</w:t>
      </w:r>
      <w:r>
        <w:rPr>
          <w:rFonts w:hint="eastAsia" w:ascii="仿宋" w:hAnsi="仿宋" w:eastAsia="仿宋" w:cs="仿宋"/>
          <w:color w:val="auto"/>
          <w:sz w:val="24"/>
          <w:szCs w:val="24"/>
          <w:highlight w:val="none"/>
          <w:lang w:eastAsia="zh-CN"/>
        </w:rPr>
        <w:t>。</w:t>
      </w:r>
    </w:p>
    <w:p w14:paraId="120A05E7">
      <w:pPr>
        <w:pStyle w:val="22"/>
        <w:shd w:val="clear" w:color="auto" w:fill="FFFFFF"/>
        <w:spacing w:before="128" w:after="156" w:line="240" w:lineRule="atLeast"/>
        <w:jc w:val="both"/>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shd w:val="clear" w:color="auto" w:fill="FFFFFF"/>
        </w:rPr>
        <w:t>八、凡对本次招标提出询问、质疑、投诉，请按以下方式联系</w:t>
      </w:r>
    </w:p>
    <w:p w14:paraId="47406127">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rPr>
        <w:t>  1.采购人信息</w:t>
      </w:r>
    </w:p>
    <w:p w14:paraId="236CC8C8">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称：泰顺县自然资源和规划局 </w:t>
      </w:r>
    </w:p>
    <w:p w14:paraId="511CF2BD">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址：温州市泰顺县罗阳镇常青路25号 </w:t>
      </w:r>
    </w:p>
    <w:p w14:paraId="379FB23B">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14:paraId="373931F1">
      <w:pPr>
        <w:pStyle w:val="22"/>
        <w:spacing w:before="38" w:after="156" w:line="150" w:lineRule="atLeast"/>
        <w:ind w:firstLine="3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王女士</w:t>
      </w:r>
    </w:p>
    <w:p w14:paraId="4B8BBD5C">
      <w:pPr>
        <w:pStyle w:val="22"/>
        <w:spacing w:before="38" w:after="156" w:line="150" w:lineRule="atLeast"/>
        <w:ind w:firstLine="3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项目联系方式（询问）：0577-67563043</w:t>
      </w:r>
    </w:p>
    <w:p w14:paraId="40E147AD">
      <w:pPr>
        <w:pStyle w:val="22"/>
        <w:spacing w:before="38" w:after="156" w:line="150" w:lineRule="atLeast"/>
        <w:ind w:firstLine="3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 </w:t>
      </w:r>
      <w:r>
        <w:rPr>
          <w:rFonts w:hint="eastAsia" w:ascii="仿宋" w:hAnsi="仿宋" w:eastAsia="仿宋" w:cs="仿宋"/>
          <w:color w:val="auto"/>
          <w:sz w:val="24"/>
          <w:szCs w:val="24"/>
          <w:highlight w:val="none"/>
          <w:lang w:val="en-US" w:eastAsia="zh-CN"/>
        </w:rPr>
        <w:t>王女士</w:t>
      </w:r>
    </w:p>
    <w:p w14:paraId="79317D3D">
      <w:pPr>
        <w:pStyle w:val="22"/>
        <w:spacing w:before="38" w:after="156" w:line="150" w:lineRule="atLeast"/>
        <w:ind w:firstLine="3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质疑联系方式：0577-67563043</w:t>
      </w:r>
    </w:p>
    <w:p w14:paraId="21BE3F3D">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2.采购代理机构信息</w:t>
      </w:r>
    </w:p>
    <w:p w14:paraId="16B1183D">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称：杭州华旗招标代理有限公司 </w:t>
      </w:r>
    </w:p>
    <w:p w14:paraId="0A168865">
      <w:pPr>
        <w:pStyle w:val="22"/>
        <w:spacing w:before="38" w:after="156" w:line="150" w:lineRule="atLeas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地    址：</w:t>
      </w:r>
      <w:r>
        <w:rPr>
          <w:rFonts w:hint="eastAsia" w:ascii="仿宋" w:hAnsi="仿宋" w:eastAsia="仿宋" w:cs="仿宋"/>
          <w:color w:val="auto"/>
          <w:sz w:val="24"/>
          <w:szCs w:val="24"/>
          <w:highlight w:val="none"/>
          <w:lang w:eastAsia="zh-CN"/>
        </w:rPr>
        <w:t>温州市泰顺县罗阳镇文祥大道电网弄1号301（县交通运输管理中心隔壁）</w:t>
      </w:r>
    </w:p>
    <w:p w14:paraId="24D3C0C8">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14:paraId="65B8CCDF">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项目联系人（询问）：翁爱霜 </w:t>
      </w:r>
    </w:p>
    <w:p w14:paraId="6550D5FC">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项目联系方式（询问）：17858065131 </w:t>
      </w:r>
    </w:p>
    <w:p w14:paraId="170A521C">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质疑联系人：苏红 </w:t>
      </w:r>
    </w:p>
    <w:p w14:paraId="398F6564">
      <w:pPr>
        <w:pStyle w:val="22"/>
        <w:spacing w:before="38" w:after="156" w:line="15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15888799321</w:t>
      </w:r>
      <w:r>
        <w:rPr>
          <w:rFonts w:hint="eastAsia" w:ascii="仿宋" w:hAnsi="仿宋" w:eastAsia="仿宋" w:cs="仿宋"/>
          <w:color w:val="auto"/>
          <w:sz w:val="24"/>
          <w:szCs w:val="24"/>
          <w:highlight w:val="none"/>
        </w:rPr>
        <w:t> </w:t>
      </w:r>
    </w:p>
    <w:p w14:paraId="144D2AAC">
      <w:pPr>
        <w:pStyle w:val="22"/>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360" w:lineRule="exact"/>
        <w:ind w:left="0" w:right="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 xml:space="preserve"> 3.同级政府采购监督管理部门</w:t>
      </w:r>
    </w:p>
    <w:p w14:paraId="60AAD63F">
      <w:pPr>
        <w:pStyle w:val="22"/>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360" w:lineRule="exact"/>
        <w:ind w:left="0" w:right="0" w:firstLine="35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名    称：泰顺县财政局（浙江省政府采购行政裁决服务中心（温州））</w:t>
      </w:r>
    </w:p>
    <w:p w14:paraId="508F0696">
      <w:pPr>
        <w:pStyle w:val="22"/>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360" w:lineRule="exact"/>
        <w:ind w:left="0" w:right="0" w:firstLine="35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地址：温州市鹿城区滨江街道瓯江路展银大厦1606室</w:t>
      </w:r>
    </w:p>
    <w:p w14:paraId="4DCFC567">
      <w:pPr>
        <w:pStyle w:val="22"/>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360" w:lineRule="exact"/>
        <w:ind w:left="0" w:right="0" w:firstLine="35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传真：</w:t>
      </w:r>
    </w:p>
    <w:p w14:paraId="0FC2750D">
      <w:pPr>
        <w:pStyle w:val="22"/>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360" w:lineRule="exact"/>
        <w:ind w:left="0" w:right="0" w:firstLine="35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联系人：李老师、王老师</w:t>
      </w:r>
    </w:p>
    <w:p w14:paraId="656FCC50">
      <w:pPr>
        <w:pStyle w:val="22"/>
        <w:spacing w:before="38" w:after="156" w:line="150" w:lineRule="atLeast"/>
        <w:rPr>
          <w:rFonts w:ascii="仿宋" w:hAnsi="仿宋" w:eastAsia="仿宋" w:cs="仿宋"/>
          <w:color w:val="auto"/>
          <w:szCs w:val="24"/>
          <w:highlight w:val="none"/>
        </w:rPr>
      </w:pPr>
    </w:p>
    <w:p w14:paraId="5A1463E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13D1EEF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A1C4BD2">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53BE05A6">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1BDDCC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D7FFA1E">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3C054D5E">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D5E615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66E92E46">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2A05B3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72C8A6A">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0309AB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591456D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2658B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2BFA395B">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2108045A">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6252B646">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692E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00281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E3D0EB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2EA5DD80">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泰顺县地质灾害风险“一坡一卡”调查评价</w:t>
            </w:r>
          </w:p>
        </w:tc>
      </w:tr>
      <w:tr w14:paraId="51FA2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60D6C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703642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71D694FD">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 xml:space="preserve">TSCG202506026 </w:t>
            </w:r>
          </w:p>
        </w:tc>
      </w:tr>
      <w:tr w14:paraId="3A14A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2C148F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D712A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2D07A5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2AD1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3D8B71D">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57743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0DD9B97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4F011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AE44C3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FE9AAA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437C31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189D2160">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lang w:val="en-US" w:eastAsia="zh-CN"/>
              </w:rPr>
              <w:t>150</w:t>
            </w:r>
            <w:r>
              <w:rPr>
                <w:rFonts w:hint="eastAsia" w:ascii="宋体" w:hAnsi="宋体" w:cs="宋体"/>
                <w:bCs/>
                <w:color w:val="auto"/>
                <w:sz w:val="22"/>
                <w:highlight w:val="none"/>
              </w:rPr>
              <w:t>万元</w:t>
            </w:r>
          </w:p>
        </w:tc>
      </w:tr>
      <w:tr w14:paraId="0465E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85B7F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9E02035">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3B5212CC">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详见采购公告</w:t>
            </w:r>
          </w:p>
        </w:tc>
      </w:tr>
      <w:tr w14:paraId="72F2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64E10F9">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58A3F41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5604BC0D">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详见采购公告</w:t>
            </w:r>
          </w:p>
        </w:tc>
      </w:tr>
      <w:tr w14:paraId="69FC9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C90EBD">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2519FC3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304CAF94">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18A7A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E58A725">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2F598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532419BF">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0D8B5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0AFD26A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D7F5E0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7FD267C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5966549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06C1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8" w:hRule="atLeast"/>
          <w:jc w:val="center"/>
        </w:trPr>
        <w:tc>
          <w:tcPr>
            <w:tcW w:w="952" w:type="dxa"/>
            <w:vAlign w:val="center"/>
          </w:tcPr>
          <w:p w14:paraId="2226AFC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E64946B">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40E00A41">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不组织</w:t>
            </w:r>
          </w:p>
          <w:p w14:paraId="0B8B54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3D168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27D8FA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1FF25AE">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51BE86CC">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不允许</w:t>
            </w:r>
          </w:p>
          <w:p w14:paraId="16D4292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0E59E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7CEE9C2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1FC169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26788D9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02911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4457E24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7AE98E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403B8BC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F483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11D314F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30B6C8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0967E166">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14:paraId="172D39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053E575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1DA7EF87">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14:paraId="57C0F198">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14:paraId="06BECCB1">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14:paraId="1A624F4F">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14:paraId="5F9C1215">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14:paraId="501378D6">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14:paraId="75451FB9">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14:paraId="67743D8D">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14:paraId="74601F95">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4A32461F">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29"/>
                <w:rFonts w:hint="eastAsia" w:ascii="宋体" w:hAnsi="宋体" w:cs="宋体"/>
                <w:b w:val="0"/>
                <w:color w:val="auto"/>
                <w:sz w:val="22"/>
                <w:highlight w:val="none"/>
              </w:rPr>
              <w:t>通过“政府采购云平台”上传递交的“电子加密投标文件”无法按时解密的，其投标无效。</w:t>
            </w:r>
          </w:p>
          <w:p w14:paraId="4B931429">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14:paraId="20B45A9F">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14:paraId="048D5B16">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14:paraId="652DC144">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bidi="ar"/>
              </w:rPr>
              <w:t>（2）投标有效期内撤销投标文件的</w:t>
            </w:r>
            <w:r>
              <w:rPr>
                <w:rFonts w:hint="eastAsia" w:ascii="宋体" w:hAnsi="宋体" w:cs="宋体"/>
                <w:color w:val="auto"/>
                <w:sz w:val="22"/>
                <w:highlight w:val="none"/>
                <w:lang w:eastAsia="zh-CN" w:bidi="ar"/>
              </w:rPr>
              <w:t>。</w:t>
            </w:r>
          </w:p>
        </w:tc>
      </w:tr>
      <w:tr w14:paraId="15D58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75CD9F3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8616BB2">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4AA1D3B5">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145C9948">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051AC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62DEB9F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FB7CE1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7A8215FE">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089CE3C6">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1E9DC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0E8606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A221C46">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5334CAD6">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 xml:space="preserve">不需要  </w:t>
            </w:r>
          </w:p>
          <w:p w14:paraId="5AD918B1">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14:paraId="4A9C8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14:paraId="4E10B07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B619B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66A3288F">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14:paraId="50EBEF3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14:paraId="4DD0F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2AFF7C0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1106E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7401CA6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2025年0</w:t>
            </w:r>
            <w:r>
              <w:rPr>
                <w:rFonts w:hint="eastAsia" w:ascii="宋体" w:hAnsi="宋体" w:cs="宋体"/>
                <w:color w:val="auto"/>
                <w:sz w:val="22"/>
                <w:highlight w:val="none"/>
                <w:lang w:val="en-US" w:eastAsia="zh-CN"/>
              </w:rPr>
              <w:t>7</w:t>
            </w:r>
            <w:r>
              <w:rPr>
                <w:rFonts w:hint="eastAsia" w:ascii="宋体" w:hAnsi="宋体" w:cs="宋体"/>
                <w:color w:val="auto"/>
                <w:sz w:val="22"/>
                <w:highlight w:val="none"/>
                <w:lang w:eastAsia="zh-CN"/>
              </w:rPr>
              <w:t>月</w:t>
            </w:r>
            <w:r>
              <w:rPr>
                <w:rFonts w:hint="eastAsia" w:ascii="宋体" w:hAnsi="宋体" w:cs="宋体"/>
                <w:color w:val="auto"/>
                <w:sz w:val="22"/>
                <w:highlight w:val="none"/>
                <w:lang w:val="en-US" w:eastAsia="zh-CN"/>
              </w:rPr>
              <w:t>11</w:t>
            </w:r>
            <w:r>
              <w:rPr>
                <w:rFonts w:hint="eastAsia" w:ascii="宋体" w:hAnsi="宋体" w:cs="宋体"/>
                <w:color w:val="auto"/>
                <w:sz w:val="22"/>
                <w:highlight w:val="none"/>
                <w:lang w:eastAsia="zh-CN"/>
              </w:rPr>
              <w:t>日</w:t>
            </w:r>
            <w:r>
              <w:rPr>
                <w:rFonts w:hint="eastAsia" w:ascii="宋体" w:hAnsi="宋体" w:cs="宋体"/>
                <w:color w:val="auto"/>
                <w:sz w:val="22"/>
                <w:highlight w:val="none"/>
              </w:rPr>
              <w:t xml:space="preserve"> 09:00(北京时间)</w:t>
            </w:r>
          </w:p>
          <w:p w14:paraId="43BF9F1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0510C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196A857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9226DD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20FC07C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450A12F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2025年0</w:t>
            </w:r>
            <w:r>
              <w:rPr>
                <w:rFonts w:hint="eastAsia" w:ascii="宋体" w:hAnsi="宋体" w:cs="宋体"/>
                <w:color w:val="auto"/>
                <w:sz w:val="22"/>
                <w:highlight w:val="none"/>
                <w:lang w:val="en-US" w:eastAsia="zh-CN"/>
              </w:rPr>
              <w:t>7</w:t>
            </w:r>
            <w:r>
              <w:rPr>
                <w:rFonts w:hint="eastAsia" w:ascii="宋体" w:hAnsi="宋体" w:cs="宋体"/>
                <w:color w:val="auto"/>
                <w:sz w:val="22"/>
                <w:highlight w:val="none"/>
                <w:lang w:eastAsia="zh-CN"/>
              </w:rPr>
              <w:t>月</w:t>
            </w:r>
            <w:r>
              <w:rPr>
                <w:rFonts w:hint="eastAsia" w:ascii="宋体" w:hAnsi="宋体" w:cs="宋体"/>
                <w:color w:val="auto"/>
                <w:sz w:val="22"/>
                <w:highlight w:val="none"/>
                <w:lang w:val="en-US" w:eastAsia="zh-CN"/>
              </w:rPr>
              <w:t>11</w:t>
            </w:r>
            <w:r>
              <w:rPr>
                <w:rFonts w:hint="eastAsia" w:ascii="宋体" w:hAnsi="宋体" w:cs="宋体"/>
                <w:color w:val="auto"/>
                <w:sz w:val="22"/>
                <w:highlight w:val="none"/>
                <w:lang w:eastAsia="zh-CN"/>
              </w:rPr>
              <w:t>日</w:t>
            </w:r>
            <w:r>
              <w:rPr>
                <w:rFonts w:hint="eastAsia" w:ascii="宋体" w:hAnsi="宋体" w:cs="宋体"/>
                <w:color w:val="auto"/>
                <w:sz w:val="22"/>
                <w:highlight w:val="none"/>
              </w:rPr>
              <w:t xml:space="preserve"> 09:00 (北京时间)</w:t>
            </w:r>
          </w:p>
          <w:p w14:paraId="3ABBBFD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3708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BE1725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8C4B1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58003BA0">
            <w:pPr>
              <w:tabs>
                <w:tab w:val="left" w:pos="1069"/>
                <w:tab w:val="left" w:pos="2352"/>
              </w:tabs>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泰顺县公共资源交易中心</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楼评标室</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eastAsia="zh-CN"/>
              </w:rPr>
              <w:t>（温州市泰顺县罗阳镇新城大道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lang w:eastAsia="zh-CN"/>
              </w:rPr>
              <w:t>号）</w:t>
            </w:r>
          </w:p>
        </w:tc>
      </w:tr>
      <w:tr w14:paraId="75AFD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2C672D8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F26706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14:paraId="53C6BA2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5F46044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8DBC18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3435A7C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0DCC253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57470E4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5DBDDF8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14:paraId="2051937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14:paraId="29628F8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商务技术评分</w:t>
            </w:r>
            <w:r>
              <w:rPr>
                <w:rFonts w:hint="eastAsia" w:ascii="宋体" w:hAnsi="宋体" w:cs="宋体"/>
                <w:color w:val="auto"/>
                <w:sz w:val="22"/>
                <w:highlight w:val="none"/>
              </w:rPr>
              <w:t>评审结果；</w:t>
            </w:r>
          </w:p>
          <w:p w14:paraId="04182B5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14:paraId="5D97D9D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14:paraId="71A65CC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14:paraId="436BC15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14:paraId="35125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4645C3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3D8DC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5CB2DD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551472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4CDA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49FBE0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09AEBCD">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151E9B62">
            <w:pPr>
              <w:adjustRightInd w:val="0"/>
              <w:jc w:val="center"/>
              <w:rPr>
                <w:rFonts w:ascii="宋体" w:hAnsi="宋体" w:cs="宋体"/>
                <w:color w:val="auto"/>
                <w:sz w:val="22"/>
                <w:highlight w:val="none"/>
              </w:rPr>
            </w:pPr>
            <w:r>
              <w:rPr>
                <w:rFonts w:hint="eastAsia" w:ascii="宋体" w:hAnsi="宋体" w:cs="宋体"/>
                <w:color w:val="auto"/>
                <w:sz w:val="22"/>
                <w:highlight w:val="none"/>
              </w:rPr>
              <w:t>扶持政策</w:t>
            </w:r>
          </w:p>
        </w:tc>
        <w:tc>
          <w:tcPr>
            <w:tcW w:w="7619" w:type="dxa"/>
            <w:vAlign w:val="center"/>
          </w:tcPr>
          <w:p w14:paraId="6E9429F0">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hAnsi="宋体" w:cs="宋体"/>
                <w:color w:val="auto"/>
                <w:sz w:val="22"/>
                <w:highlight w:val="none"/>
              </w:rPr>
              <w:t>对符合财政扶持政策的小微企业（或监狱企业、或残疾人福利性单位）给予评标价格折扣。供应商企业属于以上多种性质的，不重复享受扶持政策</w:t>
            </w:r>
            <w:r>
              <w:rPr>
                <w:rFonts w:hint="eastAsia" w:ascii="宋体" w:cs="Arial"/>
                <w:color w:val="auto"/>
                <w:sz w:val="22"/>
                <w:highlight w:val="none"/>
              </w:rPr>
              <w:t>。</w:t>
            </w:r>
          </w:p>
          <w:p w14:paraId="351F9D3F">
            <w:pPr>
              <w:rPr>
                <w:rFonts w:ascii="宋体" w:hAnsi="宋体" w:cs="宋体"/>
                <w:color w:val="auto"/>
                <w:sz w:val="22"/>
                <w:highlight w:val="none"/>
              </w:rPr>
            </w:pPr>
            <w:r>
              <w:rPr>
                <w:rFonts w:ascii="宋体" w:cs="Arial"/>
                <w:color w:val="auto"/>
                <w:sz w:val="22"/>
                <w:highlight w:val="none"/>
              </w:rPr>
              <w:t>2</w:t>
            </w:r>
            <w:r>
              <w:rPr>
                <w:rFonts w:hint="eastAsia" w:ascii="宋体" w:cs="Arial"/>
                <w:color w:val="auto"/>
                <w:sz w:val="22"/>
                <w:highlight w:val="none"/>
                <w:lang w:eastAsia="zh-CN"/>
              </w:rPr>
              <w:t>.</w:t>
            </w:r>
            <w:r>
              <w:rPr>
                <w:rFonts w:hint="eastAsia" w:ascii="宋体" w:cs="Arial"/>
                <w:color w:val="auto"/>
                <w:sz w:val="22"/>
                <w:highlight w:val="none"/>
              </w:rPr>
              <w:t>对节能、环保产品优先采购。</w:t>
            </w:r>
          </w:p>
        </w:tc>
      </w:tr>
      <w:tr w14:paraId="14315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79DE99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5FB458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2E3A70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592C40E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投标供应商信用信息查询截止时点：本项目投标截止时间前。</w:t>
            </w:r>
          </w:p>
          <w:p w14:paraId="531A306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投标供应商信用信息查询记录和证据留存的具体方式：网页截图打印；</w:t>
            </w:r>
          </w:p>
          <w:p w14:paraId="73D47B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1476A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290DAA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9DFDD5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69A5CB91">
            <w:pPr>
              <w:numPr>
                <w:ilvl w:val="0"/>
                <w:numId w:val="0"/>
              </w:numPr>
              <w:tabs>
                <w:tab w:val="left" w:pos="1069"/>
                <w:tab w:val="left" w:pos="2352"/>
              </w:tabs>
              <w:jc w:val="both"/>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中标（成交）供应商须在发出中标（成交）通知书之日起30日历天内与</w:t>
            </w:r>
          </w:p>
          <w:p w14:paraId="3C9E40F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3EEF39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中标（成交）供应商与采购人签订合同后，2日历天内将合同原件交招标代理机构备案。</w:t>
            </w:r>
          </w:p>
          <w:p w14:paraId="3F5C88D8">
            <w:pPr>
              <w:numPr>
                <w:ilvl w:val="0"/>
                <w:numId w:val="0"/>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本项目政府采购合同按规定在浙江政府采购网（http://zfcg.czt.zj.gov.cn/）予以公告。</w:t>
            </w:r>
          </w:p>
        </w:tc>
      </w:tr>
      <w:tr w14:paraId="43D26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3CA140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5362EC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672182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427C1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78DEB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52396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3018521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投标供应商自行承担投标过程中产生的费用。无论何种因素导致采购项目延期开标、废标（流标）、投标供应商未成交、项目终止采购的，采购人与代理机构均不承担供应商投标费用。</w:t>
            </w:r>
          </w:p>
          <w:p w14:paraId="74C0CDA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投标供应商在投标、合同履行过程中必须做好安全保障工作，不因项目实施而危及自身及第三方人员、财产安全。若发生任何安全事故，由中标（成交）供应商自行承担一切责任并赔偿损失。</w:t>
            </w:r>
          </w:p>
        </w:tc>
      </w:tr>
      <w:tr w14:paraId="5D71C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620D8C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bookmarkStart w:id="2" w:name="_Toc758_WPSOffice_Level1"/>
          </w:p>
        </w:tc>
        <w:tc>
          <w:tcPr>
            <w:tcW w:w="1600" w:type="dxa"/>
            <w:vAlign w:val="center"/>
          </w:tcPr>
          <w:p w14:paraId="0E14A781">
            <w:pPr>
              <w:tabs>
                <w:tab w:val="left" w:pos="1069"/>
                <w:tab w:val="left" w:pos="2352"/>
              </w:tabs>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其他</w:t>
            </w:r>
          </w:p>
        </w:tc>
        <w:tc>
          <w:tcPr>
            <w:tcW w:w="7619" w:type="dxa"/>
            <w:vAlign w:val="center"/>
          </w:tcPr>
          <w:p w14:paraId="523B4614">
            <w:pPr>
              <w:tabs>
                <w:tab w:val="left" w:pos="1069"/>
                <w:tab w:val="left" w:pos="2352"/>
              </w:tabs>
              <w:rPr>
                <w:rFonts w:hint="eastAsia" w:ascii="宋体" w:hAnsi="宋体" w:cs="宋体"/>
                <w:color w:val="auto"/>
                <w:sz w:val="22"/>
                <w:highlight w:val="none"/>
              </w:rPr>
            </w:pPr>
            <w:r>
              <w:rPr>
                <w:rFonts w:hint="eastAsia" w:ascii="宋体" w:hAnsi="宋体" w:cs="宋体"/>
                <w:b/>
                <w:bCs/>
                <w:color w:val="auto"/>
                <w:sz w:val="22"/>
                <w:highlight w:val="none"/>
                <w:u w:val="single"/>
                <w:lang w:bidi="ar"/>
              </w:rPr>
              <w:t>中标后，中标（成交）供应商须提供4份纸质投标文件至招标代理机构处作为纸质存档</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val="en-US" w:eastAsia="zh-CN" w:bidi="ar"/>
              </w:rPr>
              <w:t>邮寄地址详见公告</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bidi="ar"/>
              </w:rPr>
              <w:t>。</w:t>
            </w:r>
          </w:p>
        </w:tc>
      </w:tr>
    </w:tbl>
    <w:p w14:paraId="41232391">
      <w:pPr>
        <w:tabs>
          <w:tab w:val="left" w:pos="1069"/>
          <w:tab w:val="left" w:pos="2352"/>
        </w:tabs>
        <w:autoSpaceDE w:val="0"/>
        <w:autoSpaceDN w:val="0"/>
        <w:adjustRightInd w:val="0"/>
        <w:snapToGrid w:val="0"/>
        <w:spacing w:line="400" w:lineRule="exact"/>
        <w:jc w:val="both"/>
        <w:rPr>
          <w:rFonts w:hint="eastAsia" w:ascii="宋体" w:hAnsi="宋体" w:cs="宋体"/>
          <w:b/>
          <w:color w:val="auto"/>
          <w:sz w:val="32"/>
          <w:szCs w:val="32"/>
          <w:highlight w:val="none"/>
          <w:lang w:val="zh-CN"/>
        </w:rPr>
      </w:pPr>
    </w:p>
    <w:p w14:paraId="5B5C2095">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14:paraId="1AEA704D">
      <w:pPr>
        <w:pStyle w:val="6"/>
        <w:spacing w:line="400" w:lineRule="exact"/>
        <w:rPr>
          <w:rFonts w:hint="eastAsia" w:ascii="宋体" w:hAnsi="宋体" w:eastAsia="宋体" w:cs="宋体"/>
          <w:color w:val="auto"/>
          <w:sz w:val="22"/>
          <w:szCs w:val="22"/>
          <w:highlight w:val="none"/>
          <w:lang w:eastAsia="zh-CN"/>
        </w:rPr>
      </w:pPr>
      <w:bookmarkStart w:id="3" w:name="_Toc5493_WPSOffice_Level1"/>
      <w:r>
        <w:rPr>
          <w:rFonts w:hint="eastAsia" w:ascii="宋体" w:hAnsi="宋体" w:cs="宋体"/>
          <w:b/>
          <w:bCs/>
          <w:color w:val="auto"/>
          <w:sz w:val="22"/>
          <w:szCs w:val="22"/>
          <w:highlight w:val="none"/>
          <w:lang w:val="en-US" w:eastAsia="zh-CN"/>
        </w:rPr>
        <w:t>一</w:t>
      </w:r>
      <w:r>
        <w:rPr>
          <w:rFonts w:hint="eastAsia" w:ascii="宋体" w:hAnsi="宋体" w:cs="宋体"/>
          <w:b/>
          <w:bCs/>
          <w:color w:val="auto"/>
          <w:sz w:val="22"/>
          <w:szCs w:val="22"/>
          <w:highlight w:val="none"/>
        </w:rPr>
        <w:t>、项目</w:t>
      </w:r>
      <w:r>
        <w:rPr>
          <w:rFonts w:hint="eastAsia" w:ascii="宋体" w:hAnsi="宋体" w:cs="宋体"/>
          <w:b/>
          <w:bCs/>
          <w:color w:val="auto"/>
          <w:sz w:val="22"/>
          <w:szCs w:val="22"/>
          <w:highlight w:val="none"/>
          <w:lang w:val="en-US" w:eastAsia="zh-CN"/>
        </w:rPr>
        <w:t>概况</w:t>
      </w:r>
    </w:p>
    <w:p w14:paraId="32993F3C">
      <w:pPr>
        <w:spacing w:line="500" w:lineRule="exact"/>
        <w:ind w:firstLine="440" w:firstLineChars="200"/>
        <w:rPr>
          <w:rFonts w:ascii="宋体" w:hAnsi="宋体" w:cs="宋体"/>
          <w:color w:val="auto"/>
          <w:sz w:val="22"/>
          <w:szCs w:val="22"/>
          <w:highlight w:val="none"/>
        </w:rPr>
      </w:pPr>
      <w:bookmarkStart w:id="4" w:name="_Toc65394761"/>
      <w:r>
        <w:rPr>
          <w:rFonts w:hint="eastAsia" w:ascii="宋体" w:hAnsi="宋体" w:eastAsia="宋体" w:cs="宋体"/>
          <w:color w:val="auto"/>
          <w:sz w:val="22"/>
          <w:szCs w:val="22"/>
          <w:highlight w:val="none"/>
        </w:rPr>
        <w:t>根据《浙江省地质灾害风险智控提能升级三年行动方案（2023-2025 年）》要求和《浙江省地质灾害风险“一坡一卡”调查评价技术要求（试行）》，在全县已开展乡镇地质灾害风险调查和评价项目的基础上，对全县未开展乡镇（街道）地质灾害风险调查评价的山地丘陵区域开展资料收集分析、遥感解译、野外补充调查等工作，评价斜坡单元内地质灾害风险程度，识别承灾对象，构建以斜坡为单元的地质灾害基础信息档案卡，形成地质灾害风险“一坡一卡”空间数据库。</w:t>
      </w:r>
    </w:p>
    <w:bookmarkEnd w:id="4"/>
    <w:p w14:paraId="09C61D56">
      <w:pPr>
        <w:pStyle w:val="6"/>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、工作内容</w:t>
      </w:r>
    </w:p>
    <w:p w14:paraId="31D3C32D">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（一）资料收集。</w:t>
      </w:r>
      <w:r>
        <w:rPr>
          <w:rFonts w:hint="eastAsia" w:ascii="宋体" w:hAnsi="宋体" w:eastAsia="宋体" w:cs="宋体"/>
          <w:color w:val="auto"/>
          <w:sz w:val="22"/>
          <w:szCs w:val="22"/>
          <w:highlight w:val="none"/>
          <w:lang w:val="en-US" w:eastAsia="zh-CN"/>
        </w:rPr>
        <w:t>泰顺</w:t>
      </w:r>
      <w:r>
        <w:rPr>
          <w:rFonts w:hint="eastAsia" w:ascii="宋体" w:hAnsi="宋体" w:eastAsia="宋体" w:cs="宋体"/>
          <w:color w:val="auto"/>
          <w:sz w:val="22"/>
          <w:szCs w:val="22"/>
          <w:highlight w:val="none"/>
        </w:rPr>
        <w:t>县地质灾害防治规划、以往地质灾害调查评价成果（包含风险普查、乡镇地质灾害风险调查、切坡建房、农村山区、小流域泥石流、历史灾害点（核销）、在库灾害点、即查即治灾害点等）、高精度地理测绘成果、承灾体等资料。</w:t>
      </w:r>
    </w:p>
    <w:p w14:paraId="6FE6040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（二）设计书编制。参照《浙江省乡镇（街道）地质灾害风险调查评价技术要求（试行）》附录A编写地质灾害风险“一坡一卡”建设设计书。</w:t>
      </w:r>
    </w:p>
    <w:p w14:paraId="5A852F70">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划分斜坡单元。一是参照《浙江省乡镇（街道）地质灾害风险调查评价技术要求（试行）》中“附录B斜坡单元划分方法”对未开展乡镇（街道）地质灾害风险调查评价的区域划分斜坡单元；二是对已开展乡镇（街道）地质灾害风险调查评价的区域以往划分斜坡单元进行梳理、调整。</w:t>
      </w:r>
    </w:p>
    <w:p w14:paraId="5DC901F7">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（四）调查划定潜在致灾体、承灾体范围。在收集整理分析以往地质灾害专项调查、切坡建房调查、年度排查等成果基础上，开展遥感调查和野外补充调查，分别划定斜坡单元内潜在致灾体和承灾体范围。</w:t>
      </w:r>
    </w:p>
    <w:p w14:paraId="35FF1ECD">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1.遥感调查：对县内未做过山区乡镇地质灾害风险调查评价的山区乡镇区域（除去平原区），采用高精度地理测绘成果开展孕灾地质条件及承灾体调查。</w:t>
      </w:r>
    </w:p>
    <w:p w14:paraId="3BA7C208">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2.地面补充调查：在充分集成以往地质灾害调查评价资料基础上，对无法获取相关参数的斜坡（沟谷）单元开展地面补充调查。</w:t>
      </w:r>
    </w:p>
    <w:p w14:paraId="032C1044">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（五）地质灾害评价及划定。开展斜坡单元地质灾害易发性、危险性和风险评价，划定地质灾害风险防范区。</w:t>
      </w:r>
    </w:p>
    <w:p w14:paraId="50151818">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降雨预警阈值设定。在充分收集分析以往地质灾害发生特征和降雨资料的基础上，采用定量计算和定性分析相结合的方式，灵活设定斜坡（沟谷）降雨预警阈值。参照《浙江省地质灾害风险”一坡一卡“调查评价技术要求（试行）》、《浙江省乡镇（街道）地质灾害风险调查评价技术要求（试行）》中“附录M降雨阈值研究的主要方法”的要求执行。</w:t>
      </w:r>
    </w:p>
    <w:p w14:paraId="0FF89352">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（七）成果报告编制。参照《浙江省乡镇（街道）地质灾害风险调查评价技术要求（试行）》完成成果报告编制，根据调查评价成果，划定地质灾害风险防范区，提出地质灾害风险防控对策建议。</w:t>
      </w:r>
    </w:p>
    <w:p w14:paraId="6BDDB56F">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（八）数据库建设。利用“地质灾害综合数据录入采集系统”，开展常山县地质灾害风险“一坡一卡”空间数据库建设，数据库建设内容包括项目基本信息、野外调查数据、空间图形数据、成果资料等。</w:t>
      </w:r>
    </w:p>
    <w:p w14:paraId="3640EA6A">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rPr>
        <w:t>、项目成果</w:t>
      </w:r>
    </w:p>
    <w:p w14:paraId="322543D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按照《浙江省地质灾害风险”一坡一卡“调查评价技术要求（试行）》提交</w:t>
      </w:r>
      <w:r>
        <w:rPr>
          <w:rFonts w:hint="eastAsia" w:ascii="宋体" w:hAnsi="宋体" w:eastAsia="宋体" w:cs="宋体"/>
          <w:color w:val="auto"/>
          <w:highlight w:val="none"/>
          <w:lang w:val="en-US" w:eastAsia="zh-CN"/>
        </w:rPr>
        <w:t>泰顺</w:t>
      </w:r>
      <w:r>
        <w:rPr>
          <w:rFonts w:hint="eastAsia" w:ascii="宋体" w:hAnsi="宋体" w:eastAsia="宋体" w:cs="宋体"/>
          <w:color w:val="auto"/>
          <w:highlight w:val="none"/>
        </w:rPr>
        <w:t>县“一坡一卡”风险调查报告、风险调查附图、地质灾害风险管控图册（未开展乡镇地质灾害风险调查评价，分乡镇编制）、数据库建设报告等。</w:t>
      </w:r>
    </w:p>
    <w:p w14:paraId="650466C6">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四</w:t>
      </w:r>
      <w:r>
        <w:rPr>
          <w:rFonts w:hint="eastAsia" w:ascii="宋体" w:hAnsi="宋体" w:cs="宋体"/>
          <w:b/>
          <w:bCs/>
          <w:color w:val="auto"/>
          <w:sz w:val="22"/>
          <w:highlight w:val="none"/>
        </w:rPr>
        <w:t>、服务要求</w:t>
      </w:r>
    </w:p>
    <w:p w14:paraId="4884CAC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1、服务响应：未经采购人许可，本项目投入人员不得擅自更换，工作期间，要求在12小时内响应采购人提出的疑问并及时提交解释说明或修改意见。</w:t>
      </w:r>
    </w:p>
    <w:p w14:paraId="5CD90E5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2、项目负责人须全过程参与项目及各阶段项目成果的交流、汇报等工作。</w:t>
      </w:r>
    </w:p>
    <w:p w14:paraId="4FBD2C6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3、质保期及售后服务</w:t>
      </w:r>
    </w:p>
    <w:p w14:paraId="7E9048D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(1)质保期：项目完工后，自项目验收合格之日起不少于1年的质保期。</w:t>
      </w:r>
    </w:p>
    <w:p w14:paraId="47D2612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(2)质保期内中标供应商须按照招标采购单位要求提供技术支持等服务。</w:t>
      </w:r>
    </w:p>
    <w:p w14:paraId="0151BE7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(3)响应时间要求：提供7×24小时电话技术咨询支持，在收到用户通知后，30分钟内须响应，必要时按采购人需要到达现场。</w:t>
      </w:r>
    </w:p>
    <w:p w14:paraId="275E910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(4)问题解决时间要求：一般问题在8小时内解决，严重问题要求及时提出招标采购单位可接受的解决方案和服务承诺。</w:t>
      </w:r>
    </w:p>
    <w:p w14:paraId="0A76D32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4、其他</w:t>
      </w:r>
    </w:p>
    <w:p w14:paraId="6FD6A7C7">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项目过程保密及数据保密：在项目实施过程中运行过程中（包括合同解除、终止后），中标方必须对采购人提供的任何数据及文档有保密的责任和义务。不得以任何理由留存，不得转让和使用本项目的成果。否则，中标单位应承担由此产生的一切法律和经济责任。在投标书中应对该项内容提交书面承诺书，作为签订项目保密合同的依据，并作为合同密不可分的一部分。</w:t>
      </w:r>
    </w:p>
    <w:p w14:paraId="0F5A395B">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(2)严格遵守《中华人民共和国档案法》、《保密法》保密规定及相关规章制度。档案整理和加工工作须在采购人指定的场所内进行，确保档案数据的安全。</w:t>
      </w:r>
    </w:p>
    <w:p w14:paraId="7A841AD5">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版权与保密：本项目所有数据的版权属采购人所有，未经同意，中标方不得自行删除、复制、修改、转移数据，亦不得以任何形式向第三方提供；采购人提供的任何业务资料，中标方需认真保管、严格保密，并在使用完毕后及时归还。</w:t>
      </w:r>
    </w:p>
    <w:p w14:paraId="64A2B582">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(4)保密期限：永久。</w:t>
      </w:r>
    </w:p>
    <w:p w14:paraId="58B1C83D">
      <w:pPr>
        <w:pStyle w:val="6"/>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五</w:t>
      </w:r>
      <w:r>
        <w:rPr>
          <w:rFonts w:hint="eastAsia" w:ascii="宋体" w:hAnsi="宋体" w:cs="宋体"/>
          <w:b/>
          <w:bCs/>
          <w:color w:val="auto"/>
          <w:sz w:val="22"/>
          <w:szCs w:val="22"/>
          <w:highlight w:val="none"/>
        </w:rPr>
        <w:t>、技术规范标准</w:t>
      </w:r>
    </w:p>
    <w:p w14:paraId="2765093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1.《浙江省地质灾害风险“一坡一卡”调查评价技术要求（试行）》；</w:t>
      </w:r>
    </w:p>
    <w:p w14:paraId="37F7B6CA">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2.《浙江省乡镇（街道）地质灾害风险调查评价技术要求（1:2000试行）》；</w:t>
      </w:r>
    </w:p>
    <w:p w14:paraId="145019BE">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3.《地质灾害风险调查评价技术要求（1:50000）（试用稿）》；</w:t>
      </w:r>
    </w:p>
    <w:p w14:paraId="5CF7C36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4.《地质灾害风险调查评价编图技术要求（试行）》(2021年5月)；</w:t>
      </w:r>
    </w:p>
    <w:p w14:paraId="4FA7D913">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5.《地质灾害风险调查评价成果信息化技术要求（试行）》(2021年5月)；</w:t>
      </w:r>
    </w:p>
    <w:p w14:paraId="798E3546">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6.《滑坡崩塌泥石流灾害调查规范（1:50000）》（DZ/T0261-2014）；</w:t>
      </w:r>
    </w:p>
    <w:p w14:paraId="5E5379F4">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7.《岩土工程勘察规范》（GB50021-2001）；</w:t>
      </w:r>
    </w:p>
    <w:p w14:paraId="7BAADEE1">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8.《区域环境地质勘查遥感技术规程》（DZ/T0190-2015）；</w:t>
      </w:r>
    </w:p>
    <w:p w14:paraId="00642F99">
      <w:pPr>
        <w:spacing w:line="500" w:lineRule="exact"/>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9.其他上级相关规范文件等。</w:t>
      </w:r>
    </w:p>
    <w:p w14:paraId="67B894BE">
      <w:pPr>
        <w:pStyle w:val="6"/>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、工期要求</w:t>
      </w:r>
    </w:p>
    <w:p w14:paraId="7344D347">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成果于202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12月15号前</w:t>
      </w:r>
      <w:r>
        <w:rPr>
          <w:rFonts w:hint="eastAsia" w:ascii="宋体" w:hAnsi="宋体" w:cs="宋体"/>
          <w:color w:val="auto"/>
          <w:sz w:val="22"/>
          <w:szCs w:val="22"/>
          <w:highlight w:val="none"/>
        </w:rPr>
        <w:t>提交。</w:t>
      </w:r>
    </w:p>
    <w:p w14:paraId="3D9AEDB6">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、验收</w:t>
      </w:r>
    </w:p>
    <w:p w14:paraId="6A468A35">
      <w:pPr>
        <w:tabs>
          <w:tab w:val="left" w:pos="1069"/>
        </w:tabs>
        <w:snapToGrid w:val="0"/>
        <w:spacing w:line="400" w:lineRule="exact"/>
        <w:ind w:firstLine="541" w:firstLineChars="246"/>
        <w:rPr>
          <w:rFonts w:ascii="宋体" w:hAnsi="宋体" w:cs="宋体"/>
          <w:b/>
          <w:color w:val="auto"/>
          <w:sz w:val="22"/>
          <w:highlight w:val="none"/>
        </w:rPr>
      </w:pPr>
      <w:r>
        <w:rPr>
          <w:rFonts w:hint="eastAsia" w:ascii="宋体" w:hAnsi="宋体" w:cs="宋体"/>
          <w:color w:val="auto"/>
          <w:sz w:val="22"/>
          <w:highlight w:val="none"/>
        </w:rPr>
        <w:t>1.验收按有关的规定、规范进行；2.验收标准：按省市县文件规范要求；3.所需费用由中标方承担</w:t>
      </w:r>
      <w:r>
        <w:rPr>
          <w:rFonts w:hint="eastAsia" w:ascii="宋体" w:hAnsi="宋体" w:cs="宋体"/>
          <w:bCs/>
          <w:color w:val="auto"/>
          <w:sz w:val="22"/>
          <w:highlight w:val="none"/>
        </w:rPr>
        <w:t>。</w:t>
      </w:r>
    </w:p>
    <w:p w14:paraId="3DD51C42">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八</w:t>
      </w:r>
      <w:r>
        <w:rPr>
          <w:rFonts w:hint="eastAsia" w:ascii="宋体" w:hAnsi="宋体" w:cs="宋体"/>
          <w:b/>
          <w:bCs/>
          <w:color w:val="auto"/>
          <w:sz w:val="22"/>
          <w:highlight w:val="none"/>
        </w:rPr>
        <w:t>、付款方式</w:t>
      </w:r>
    </w:p>
    <w:p w14:paraId="5D2180D5">
      <w:pPr>
        <w:tabs>
          <w:tab w:val="left" w:pos="1069"/>
          <w:tab w:val="left" w:pos="2352"/>
        </w:tabs>
        <w:spacing w:line="400" w:lineRule="exact"/>
        <w:ind w:firstLine="440" w:firstLineChars="200"/>
        <w:jc w:val="left"/>
        <w:rPr>
          <w:rFonts w:ascii="宋体" w:hAnsi="宋体" w:cs="宋体"/>
          <w:color w:val="auto"/>
          <w:sz w:val="22"/>
          <w:highlight w:val="none"/>
        </w:rPr>
      </w:pPr>
      <w:r>
        <w:rPr>
          <w:rFonts w:hint="eastAsia" w:ascii="宋体" w:hAnsi="宋体" w:cs="宋体"/>
          <w:bCs/>
          <w:color w:val="auto"/>
          <w:sz w:val="22"/>
          <w:highlight w:val="none"/>
        </w:rPr>
        <w:t>根据《保障中小企业款项支付条例》、省财政厅《关于坚决打赢疫情防控阻击战进一步做</w:t>
      </w:r>
      <w:r>
        <w:rPr>
          <w:rFonts w:hint="eastAsia" w:ascii="宋体" w:hAnsi="宋体" w:cs="宋体"/>
          <w:color w:val="auto"/>
          <w:sz w:val="22"/>
          <w:highlight w:val="none"/>
        </w:rPr>
        <w:t>好政府采购资金支持企业发展工作的通知》（浙财采监〔2020〕33号）、（6）《浙江省财政厅关于进一步发挥政府采购政策 功能全力推动经济稳进提质的通知》（浙财采监〔2022〕3号）、《关于进一步加大政府采购 支持中小企业力度 助力扎实稳住经济 的通知》（浙财采监〔2022〕8号）要求，制定如下付款方式：</w:t>
      </w:r>
    </w:p>
    <w:p w14:paraId="783B7047">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1.合同生效且具备支付条件后，采购人预付合同总价的40%。</w:t>
      </w:r>
    </w:p>
    <w:p w14:paraId="76D9845E">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2.通过采购人验收后，采购人支付合同总价的60%。</w:t>
      </w:r>
    </w:p>
    <w:p w14:paraId="4D017F17">
      <w:pPr>
        <w:spacing w:line="40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若中标供应商明确表示无需预付款或者主动要求降低预付款比例的，采购人可不适用前述规定。注： 中标供应商在接到采购人通知后的7个工作日内将增值税发票送达采购人</w:t>
      </w:r>
      <w:r>
        <w:rPr>
          <w:rFonts w:hint="eastAsia" w:ascii="宋体" w:hAnsi="宋体" w:cs="宋体"/>
          <w:color w:val="auto"/>
          <w:sz w:val="22"/>
          <w:highlight w:val="none"/>
        </w:rPr>
        <w:t>。</w:t>
      </w:r>
    </w:p>
    <w:p w14:paraId="116C0174">
      <w:pPr>
        <w:pStyle w:val="32"/>
        <w:snapToGrid w:val="0"/>
        <w:spacing w:line="400" w:lineRule="exact"/>
        <w:ind w:firstLine="0" w:firstLineChars="0"/>
        <w:rPr>
          <w:rFonts w:ascii="宋体" w:hAnsi="宋体" w:cs="宋体"/>
          <w:color w:val="auto"/>
          <w:sz w:val="22"/>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14:paraId="2258E196">
      <w:pPr>
        <w:spacing w:line="400" w:lineRule="exact"/>
        <w:rPr>
          <w:rFonts w:ascii="宋体" w:hAnsi="宋体" w:cs="宋体"/>
          <w:color w:val="auto"/>
          <w:sz w:val="22"/>
          <w:highlight w:val="none"/>
        </w:rPr>
      </w:pPr>
    </w:p>
    <w:p w14:paraId="7AC89061">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5D593B35">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5" w:name="_Toc9317_WPSOffice_Level2"/>
      <w:r>
        <w:rPr>
          <w:rFonts w:hint="eastAsia" w:ascii="宋体" w:hAnsi="宋体" w:cs="宋体"/>
          <w:b/>
          <w:color w:val="auto"/>
          <w:sz w:val="22"/>
          <w:highlight w:val="none"/>
          <w:lang w:val="zh-CN"/>
        </w:rPr>
        <w:t>一、说明</w:t>
      </w:r>
      <w:bookmarkEnd w:id="5"/>
    </w:p>
    <w:p w14:paraId="59D27AFE">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E8D7868">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60E2758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7ADE6E8D">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2A071F37">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3C66251">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2523132E">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4534677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571223E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3A352CB5">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7BCFAB9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D54145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1CC45C98">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1EAC5E08">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116CE0B0">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0391FB56">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0454F599">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4D9941E0">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315378B2">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54A3B987">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6"/>
    </w:p>
    <w:p w14:paraId="514B8023">
      <w:pPr>
        <w:tabs>
          <w:tab w:val="left" w:pos="1069"/>
          <w:tab w:val="left" w:pos="2352"/>
        </w:tabs>
        <w:spacing w:line="400" w:lineRule="atLeast"/>
        <w:ind w:firstLine="446" w:firstLineChars="200"/>
        <w:rPr>
          <w:rFonts w:ascii="宋体" w:hAnsi="宋体" w:cs="宋体"/>
          <w:color w:val="auto"/>
          <w:sz w:val="22"/>
          <w:highlight w:val="none"/>
        </w:rPr>
      </w:pPr>
      <w:bookmarkStart w:id="7" w:name="_Toc24610_WPSOffice_Level3"/>
      <w:r>
        <w:rPr>
          <w:rFonts w:hint="eastAsia" w:ascii="宋体" w:hAnsi="宋体" w:cs="宋体"/>
          <w:color w:val="auto"/>
          <w:sz w:val="22"/>
          <w:highlight w:val="none"/>
          <w:lang w:val="zh-CN"/>
        </w:rPr>
        <w:t>1.竞争性磋商文件</w:t>
      </w:r>
      <w:bookmarkEnd w:id="7"/>
    </w:p>
    <w:p w14:paraId="258B84D3">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7E6620DD">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23337320">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54BD7CE5">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5D47950A">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8" w:name="_Toc9317_WPSOffice_Level3"/>
      <w:r>
        <w:rPr>
          <w:rFonts w:hint="eastAsia" w:ascii="宋体" w:hAnsi="宋体" w:cs="宋体"/>
          <w:color w:val="auto"/>
          <w:sz w:val="22"/>
          <w:highlight w:val="none"/>
          <w:lang w:val="zh-CN"/>
        </w:rPr>
        <w:t>2.竞争性磋商文件的澄清</w:t>
      </w:r>
      <w:bookmarkEnd w:id="8"/>
    </w:p>
    <w:p w14:paraId="650E62A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6BD898CF">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9" w:name="_Toc6226_WPSOffice_Level3"/>
      <w:r>
        <w:rPr>
          <w:rFonts w:hint="eastAsia" w:ascii="宋体" w:hAnsi="宋体" w:cs="宋体"/>
          <w:color w:val="auto"/>
          <w:sz w:val="22"/>
          <w:highlight w:val="none"/>
          <w:lang w:val="zh-CN"/>
        </w:rPr>
        <w:t>3.竞争性磋商文件的修改</w:t>
      </w:r>
      <w:bookmarkEnd w:id="9"/>
    </w:p>
    <w:p w14:paraId="67E1ABCC">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516F82D1">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6A0724FC">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0"/>
      <w:r>
        <w:rPr>
          <w:rFonts w:hint="eastAsia" w:ascii="宋体" w:hAnsi="宋体" w:cs="宋体"/>
          <w:b/>
          <w:color w:val="auto"/>
          <w:sz w:val="22"/>
          <w:highlight w:val="none"/>
          <w:lang w:val="zh-CN"/>
        </w:rPr>
        <w:t>投标（响应）文件</w:t>
      </w:r>
    </w:p>
    <w:p w14:paraId="4BB8F0C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2218990C">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1435B989">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1684DBE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5106F7B5">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6495B994">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60FAACF6">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E7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3347DFD3">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1" w:name="_Toc132122113"/>
            <w:bookmarkStart w:id="12" w:name="_Toc132122410"/>
            <w:r>
              <w:rPr>
                <w:rFonts w:hint="eastAsia" w:ascii="宋体" w:hAnsi="宋体" w:cs="宋体"/>
                <w:color w:val="auto"/>
                <w:sz w:val="22"/>
                <w:highlight w:val="none"/>
                <w:lang w:val="zh-CN"/>
              </w:rPr>
              <w:t>序号</w:t>
            </w:r>
          </w:p>
        </w:tc>
        <w:tc>
          <w:tcPr>
            <w:tcW w:w="8736" w:type="dxa"/>
          </w:tcPr>
          <w:p w14:paraId="57D0E60F">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14:paraId="403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B48F7A7">
            <w:pPr>
              <w:numPr>
                <w:ilvl w:val="0"/>
                <w:numId w:val="2"/>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51F62001">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14:paraId="7E87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7B21D19">
            <w:pPr>
              <w:numPr>
                <w:ilvl w:val="0"/>
                <w:numId w:val="2"/>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26C07992">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1"/>
      <w:bookmarkEnd w:id="12"/>
    </w:tbl>
    <w:p w14:paraId="5585166E">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7D5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6A426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4F9E5555">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05E7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5B0F4A68">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75E79E2">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14:paraId="0B5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EE01F57">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18B6D18">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4"/>
                <w:szCs w:val="24"/>
                <w:highlight w:val="none"/>
              </w:rPr>
              <w:t>符合参加政府采购活动应当具备的一般条件的承诺函（附件三）</w:t>
            </w:r>
          </w:p>
        </w:tc>
      </w:tr>
      <w:tr w14:paraId="36F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1FD6602">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23353D2">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7C69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2DDD40B">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57DDCB55">
            <w:pPr>
              <w:tabs>
                <w:tab w:val="left" w:pos="1069"/>
                <w:tab w:val="left" w:pos="2352"/>
              </w:tabs>
              <w:autoSpaceDE w:val="0"/>
              <w:autoSpaceDN w:val="0"/>
              <w:adjustRightInd w:val="0"/>
              <w:spacing w:line="260" w:lineRule="exact"/>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法定代表人授权书（附件四）</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若法定代表人直接参与的无需提供此项</w:t>
            </w:r>
            <w:r>
              <w:rPr>
                <w:rFonts w:hint="eastAsia" w:ascii="宋体" w:hAnsi="宋体" w:eastAsia="宋体" w:cs="宋体"/>
                <w:color w:val="auto"/>
                <w:sz w:val="22"/>
                <w:highlight w:val="none"/>
                <w:lang w:eastAsia="zh-CN"/>
              </w:rPr>
              <w:t>）</w:t>
            </w:r>
          </w:p>
        </w:tc>
      </w:tr>
      <w:tr w14:paraId="426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4730BB96">
            <w:pPr>
              <w:numPr>
                <w:ilvl w:val="0"/>
                <w:numId w:val="3"/>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8C5256C">
            <w:pPr>
              <w:tabs>
                <w:tab w:val="left" w:pos="1069"/>
                <w:tab w:val="left" w:pos="2352"/>
              </w:tabs>
              <w:autoSpaceDE w:val="0"/>
              <w:autoSpaceDN w:val="0"/>
              <w:adjustRightInd w:val="0"/>
              <w:spacing w:line="260" w:lineRule="exact"/>
              <w:textAlignment w:val="bottom"/>
              <w:rPr>
                <w:rFonts w:hint="eastAsia" w:ascii="宋体" w:hAnsi="宋体" w:eastAsia="宋体" w:cs="宋体"/>
                <w:color w:val="auto"/>
                <w:sz w:val="22"/>
                <w:highlight w:val="none"/>
              </w:rPr>
            </w:pPr>
            <w:r>
              <w:rPr>
                <w:rFonts w:hint="eastAsia" w:ascii="宋体" w:hAnsi="宋体" w:eastAsia="宋体" w:cs="宋体"/>
                <w:color w:val="auto"/>
                <w:kern w:val="2"/>
                <w:sz w:val="24"/>
                <w:szCs w:val="24"/>
                <w:highlight w:val="none"/>
                <w:lang w:val="en-US" w:eastAsia="zh-CN" w:bidi="ar-SA"/>
              </w:rPr>
              <w:t>具有地质灾害评估和治理工程勘查设计甲级资质，或同时具备地质灾害危险性评估甲级资质、地质灾害防治勘查甲级资质、地质灾害防治设计甲级资质，上述资质均需在有效期内</w:t>
            </w:r>
            <w:r>
              <w:rPr>
                <w:rFonts w:hint="eastAsia" w:ascii="宋体" w:hAnsi="宋体" w:eastAsia="宋体" w:cs="宋体"/>
                <w:color w:val="auto"/>
                <w:sz w:val="22"/>
                <w:highlight w:val="none"/>
                <w:lang w:val="en-US" w:eastAsia="zh-CN"/>
              </w:rPr>
              <w:t>。（复印件）</w:t>
            </w:r>
          </w:p>
        </w:tc>
      </w:tr>
    </w:tbl>
    <w:p w14:paraId="6A83E36A">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CF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0AD41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6D2C741D">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484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6D9DA61D">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B19884C">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14:paraId="6ED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064E7B3">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5124098">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14:paraId="7E62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43E82E">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1AFA051">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14:paraId="3E53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1D2FD2">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92BB7D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商务偏离表（附件九（一））、技术偏离表（附件九（二））</w:t>
            </w:r>
          </w:p>
        </w:tc>
      </w:tr>
      <w:tr w14:paraId="25F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DBD2F0">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08F6664">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b/>
                <w:bCs/>
                <w:color w:val="auto"/>
                <w:sz w:val="22"/>
                <w:highlight w:val="none"/>
              </w:rPr>
              <w:t>技术方案</w:t>
            </w:r>
          </w:p>
        </w:tc>
      </w:tr>
      <w:tr w14:paraId="4E5C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7EBDAC6">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871AC00">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p>
        </w:tc>
      </w:tr>
      <w:tr w14:paraId="1216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02B6310">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E08762">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14:paraId="360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F294A4C">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AB79A88">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14:paraId="7860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AC1CE77">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F3F611F">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541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333A71">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BD75B44">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14:paraId="765D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2F6BF3">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ABE2587">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0F7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346881">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77510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09C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99A09C9">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E607B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34DA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82373C">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8581207">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4E67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6974BA">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67D118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r w14:paraId="3CAE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EDF75F3">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253B246">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中小企业（含监狱企业、残疾人福利性单位）提供以下相关的证明材料：</w:t>
            </w:r>
          </w:p>
          <w:p w14:paraId="413D0C0E">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（1）中小企业</w:t>
            </w:r>
          </w:p>
          <w:p w14:paraId="2A79FFA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35DAA579">
            <w:pPr>
              <w:autoSpaceDE w:val="0"/>
              <w:autoSpaceDN w:val="0"/>
              <w:adjustRightInd w:val="0"/>
              <w:spacing w:line="260" w:lineRule="exact"/>
              <w:jc w:val="left"/>
              <w:textAlignment w:val="bottom"/>
              <w:rPr>
                <w:rFonts w:hint="eastAsia"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D8C816F">
            <w:pPr>
              <w:autoSpaceDE w:val="0"/>
              <w:autoSpaceDN w:val="0"/>
              <w:adjustRightInd w:val="0"/>
              <w:spacing w:line="260" w:lineRule="exact"/>
              <w:jc w:val="left"/>
              <w:textAlignment w:val="bottom"/>
              <w:rPr>
                <w:rFonts w:hint="eastAsia"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bl>
    <w:p w14:paraId="3C1F6280">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7E748E1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554D3B22">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3" w:name="_Toc132122115"/>
      <w:bookmarkStart w:id="14" w:name="_Toc132122412"/>
      <w:r>
        <w:rPr>
          <w:rFonts w:hint="eastAsia" w:ascii="宋体" w:hAnsi="宋体" w:cs="宋体"/>
          <w:color w:val="auto"/>
          <w:sz w:val="22"/>
          <w:highlight w:val="none"/>
        </w:rPr>
        <w:t>4.投标报价</w:t>
      </w:r>
      <w:bookmarkEnd w:id="13"/>
      <w:bookmarkEnd w:id="14"/>
    </w:p>
    <w:p w14:paraId="33201E7D">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57DBDBB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22C2E12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5436A4F2">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15" w:name="_Toc132122117"/>
      <w:bookmarkStart w:id="16" w:name="_Toc132122414"/>
      <w:r>
        <w:rPr>
          <w:rFonts w:hint="eastAsia" w:ascii="宋体" w:hAnsi="宋体" w:cs="宋体"/>
          <w:color w:val="auto"/>
          <w:sz w:val="22"/>
          <w:highlight w:val="none"/>
        </w:rPr>
        <w:t>6.投标（响应）文件的有效期</w:t>
      </w:r>
      <w:bookmarkEnd w:id="15"/>
      <w:bookmarkEnd w:id="16"/>
    </w:p>
    <w:p w14:paraId="6270B7D1">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587AB50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0D1B5387">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5C64A58E">
      <w:pPr>
        <w:pStyle w:val="33"/>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7" w:name="_Toc132123839"/>
      <w:bookmarkStart w:id="18" w:name="_Toc132126155"/>
      <w:bookmarkStart w:id="19" w:name="_Toc132124595"/>
      <w:bookmarkStart w:id="20" w:name="_Toc132123882"/>
      <w:bookmarkStart w:id="21" w:name="_Toc132125984"/>
      <w:bookmarkStart w:id="22" w:name="_Toc132122120"/>
      <w:bookmarkStart w:id="23" w:name="_Toc132125096"/>
      <w:bookmarkStart w:id="24" w:name="_Toc132123635"/>
      <w:bookmarkStart w:id="25" w:name="_Toc132122417"/>
      <w:bookmarkStart w:id="26" w:name="_Toc132125038"/>
      <w:bookmarkStart w:id="27" w:name="_Toc132123440"/>
      <w:bookmarkStart w:id="28" w:name="_Toc132123548"/>
      <w:bookmarkStart w:id="29" w:name="_Toc132125575"/>
      <w:bookmarkStart w:id="30" w:name="_Toc132655777"/>
      <w:bookmarkStart w:id="31" w:name="_Toc132125152"/>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64562CA0">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18A6C3B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62D5FF93">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02B53939">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DF589FF">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290ABE46">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0DE306D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158D3C49">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1E505B4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190861FC">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1484E7D8">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2" w:name="_Toc493530207"/>
      <w:bookmarkStart w:id="33" w:name="_Toc15003_WPSOffice_Level2"/>
      <w:r>
        <w:rPr>
          <w:rFonts w:hint="eastAsia" w:hAnsi="宋体" w:cs="宋体"/>
          <w:b/>
          <w:bCs/>
          <w:color w:val="auto"/>
          <w:sz w:val="22"/>
          <w:highlight w:val="none"/>
        </w:rPr>
        <w:t>五、开标和评标</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CF6D1D7">
      <w:pPr>
        <w:pStyle w:val="12"/>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14:paraId="38584FC7">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4EFE36FB">
      <w:pPr>
        <w:pStyle w:val="34"/>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2554B76F">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14:paraId="6F75D1C0">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14:paraId="309DBABD">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4075ED6E">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14:paraId="4561AA8B">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14:paraId="1B37AF23">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14:paraId="58E0086E">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14:paraId="048164FA">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14:paraId="5D0211B0">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14:paraId="3E4F9BC6">
      <w:pPr>
        <w:pStyle w:val="12"/>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02F7B73B">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220C5993">
      <w:pPr>
        <w:pStyle w:val="12"/>
        <w:tabs>
          <w:tab w:val="left" w:pos="1069"/>
          <w:tab w:val="left" w:pos="2352"/>
        </w:tabs>
        <w:adjustRightInd w:val="0"/>
        <w:spacing w:line="400" w:lineRule="exact"/>
        <w:ind w:firstLine="446" w:firstLineChars="200"/>
        <w:rPr>
          <w:rFonts w:hAnsi="宋体" w:cs="宋体"/>
          <w:b/>
          <w:bCs/>
          <w:color w:val="auto"/>
          <w:sz w:val="22"/>
          <w:szCs w:val="22"/>
          <w:highlight w:val="none"/>
        </w:rPr>
      </w:pPr>
    </w:p>
    <w:p w14:paraId="10341F3D">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14:paraId="152CBBD2">
      <w:pPr>
        <w:pStyle w:val="12"/>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349CFD4C">
      <w:pPr>
        <w:tabs>
          <w:tab w:val="left" w:pos="1069"/>
          <w:tab w:val="left" w:pos="2352"/>
        </w:tabs>
        <w:spacing w:line="400" w:lineRule="exact"/>
        <w:ind w:firstLine="436" w:firstLineChars="196"/>
        <w:rPr>
          <w:rFonts w:ascii="宋体" w:hAnsi="宋体" w:cs="宋体"/>
          <w:color w:val="auto"/>
          <w:sz w:val="22"/>
          <w:highlight w:val="none"/>
        </w:rPr>
      </w:pPr>
      <w:bookmarkStart w:id="34" w:name="_Toc2500_WPSOffice_Level3"/>
      <w:r>
        <w:rPr>
          <w:rFonts w:hint="eastAsia" w:ascii="宋体" w:hAnsi="宋体" w:cs="宋体"/>
          <w:color w:val="auto"/>
          <w:sz w:val="22"/>
          <w:highlight w:val="none"/>
        </w:rPr>
        <w:t>1）审查投标（响应）文件是否符合竞争性磋商文件要求，并作出评价；</w:t>
      </w:r>
      <w:bookmarkEnd w:id="34"/>
    </w:p>
    <w:p w14:paraId="01A57D36">
      <w:pPr>
        <w:tabs>
          <w:tab w:val="left" w:pos="1069"/>
          <w:tab w:val="left" w:pos="2352"/>
        </w:tabs>
        <w:spacing w:line="400" w:lineRule="exact"/>
        <w:ind w:firstLine="446" w:firstLineChars="200"/>
        <w:rPr>
          <w:rFonts w:ascii="宋体" w:hAnsi="宋体" w:cs="宋体"/>
          <w:color w:val="auto"/>
          <w:sz w:val="22"/>
          <w:highlight w:val="none"/>
        </w:rPr>
      </w:pPr>
      <w:bookmarkStart w:id="35" w:name="_Toc20806_WPSOffice_Level3"/>
      <w:r>
        <w:rPr>
          <w:rFonts w:hint="eastAsia" w:ascii="宋体" w:hAnsi="宋体" w:cs="宋体"/>
          <w:color w:val="auto"/>
          <w:sz w:val="22"/>
          <w:highlight w:val="none"/>
        </w:rPr>
        <w:t>2）要求供应商对投标（响应）文件有关事项作出解释或者澄清；</w:t>
      </w:r>
      <w:bookmarkEnd w:id="35"/>
    </w:p>
    <w:p w14:paraId="79592E09">
      <w:pPr>
        <w:tabs>
          <w:tab w:val="left" w:pos="1069"/>
          <w:tab w:val="left" w:pos="2352"/>
        </w:tabs>
        <w:spacing w:line="400" w:lineRule="exact"/>
        <w:ind w:firstLine="446" w:firstLineChars="200"/>
        <w:rPr>
          <w:rFonts w:ascii="宋体" w:hAnsi="宋体" w:cs="宋体"/>
          <w:color w:val="auto"/>
          <w:sz w:val="22"/>
          <w:highlight w:val="none"/>
        </w:rPr>
      </w:pPr>
      <w:bookmarkStart w:id="36" w:name="_Toc12689_WPSOffice_Level3"/>
      <w:r>
        <w:rPr>
          <w:rFonts w:hint="eastAsia" w:ascii="宋体" w:hAnsi="宋体" w:cs="宋体"/>
          <w:color w:val="auto"/>
          <w:sz w:val="22"/>
          <w:highlight w:val="none"/>
        </w:rPr>
        <w:t>3）按照竞争性磋商文件确定的评标办法直接确定中标（成交）供应商；</w:t>
      </w:r>
      <w:bookmarkEnd w:id="36"/>
    </w:p>
    <w:p w14:paraId="1A1CC9CC">
      <w:pPr>
        <w:pStyle w:val="12"/>
        <w:tabs>
          <w:tab w:val="left" w:pos="1069"/>
          <w:tab w:val="left" w:pos="2352"/>
        </w:tabs>
        <w:adjustRightInd w:val="0"/>
        <w:spacing w:line="400" w:lineRule="exact"/>
        <w:ind w:firstLine="436" w:firstLineChars="196"/>
        <w:rPr>
          <w:rFonts w:hAnsi="宋体" w:cs="宋体"/>
          <w:b/>
          <w:bCs/>
          <w:color w:val="auto"/>
          <w:sz w:val="22"/>
          <w:highlight w:val="none"/>
        </w:rPr>
      </w:pPr>
      <w:bookmarkStart w:id="37" w:name="_Toc20017_WPSOffice_Level3"/>
      <w:r>
        <w:rPr>
          <w:rFonts w:hint="eastAsia" w:hAnsi="宋体" w:cs="宋体"/>
          <w:color w:val="auto"/>
          <w:sz w:val="22"/>
          <w:highlight w:val="none"/>
        </w:rPr>
        <w:t>4）向采购人或者有关部门报告非法干预评标工作的行为。</w:t>
      </w:r>
      <w:bookmarkEnd w:id="37"/>
    </w:p>
    <w:p w14:paraId="5D74344E">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D5962DF">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00751BC6">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D35898F">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23E94DD5">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2B8EB6B4">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5FB3F288">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29F085CD">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62BCEE2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5B330684">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CFE6B3B">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44BEEE08">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55320F0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12D10FF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7E859F1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2B0093E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7E446883">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383CCF4D">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037C3FE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786FB9B6">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1BB4394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019BF1A2">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17762EE2">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5130BF1B">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70590551">
      <w:pPr>
        <w:pStyle w:val="12"/>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14:paraId="7B88D543">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07CF983E">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64C9EA9B">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12E90CAB">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660987ED">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65790DC3">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6032B54D">
      <w:pPr>
        <w:pStyle w:val="12"/>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4FCCA418">
      <w:pPr>
        <w:pStyle w:val="12"/>
        <w:tabs>
          <w:tab w:val="left" w:pos="1069"/>
          <w:tab w:val="left" w:pos="2352"/>
        </w:tabs>
        <w:adjustRightInd w:val="0"/>
        <w:spacing w:line="400" w:lineRule="exact"/>
        <w:ind w:left="443" w:leftChars="208"/>
        <w:rPr>
          <w:rFonts w:hint="eastAsia" w:hAnsi="宋体" w:cs="宋体"/>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0C81B5BA">
      <w:pPr>
        <w:pStyle w:val="12"/>
        <w:adjustRightInd w:val="0"/>
        <w:spacing w:line="400" w:lineRule="exact"/>
        <w:ind w:left="443" w:leftChars="208"/>
        <w:rPr>
          <w:rFonts w:hint="eastAsia" w:cs="宋体"/>
          <w:b/>
          <w:bCs/>
          <w:color w:val="auto"/>
          <w:sz w:val="22"/>
          <w:highlight w:val="none"/>
          <w:u w:val="single"/>
        </w:rPr>
      </w:pPr>
      <w:r>
        <w:rPr>
          <w:rFonts w:hint="eastAsia" w:cs="宋体"/>
          <w:b/>
          <w:bCs/>
          <w:color w:val="auto"/>
          <w:sz w:val="22"/>
          <w:highlight w:val="none"/>
          <w:u w:val="single"/>
          <w:lang w:val="en-US" w:eastAsia="zh-CN"/>
        </w:rPr>
        <w:t>5</w:t>
      </w:r>
      <w:r>
        <w:rPr>
          <w:rFonts w:hint="eastAsia" w:cs="宋体"/>
          <w:b/>
          <w:bCs/>
          <w:color w:val="auto"/>
          <w:sz w:val="22"/>
          <w:highlight w:val="none"/>
          <w:u w:val="single"/>
        </w:rPr>
        <w:t>.除政府采购法律法规规章规定的属于恶意串通、视为串通投标情形外，在不影响公平竞争</w:t>
      </w:r>
    </w:p>
    <w:p w14:paraId="0F887178">
      <w:pPr>
        <w:pStyle w:val="12"/>
        <w:adjustRightInd w:val="0"/>
        <w:spacing w:line="400" w:lineRule="exact"/>
        <w:rPr>
          <w:rFonts w:hint="eastAsia" w:cs="宋体"/>
          <w:b/>
          <w:bCs/>
          <w:color w:val="auto"/>
          <w:sz w:val="22"/>
          <w:highlight w:val="none"/>
          <w:u w:val="single"/>
        </w:rPr>
      </w:pPr>
      <w:r>
        <w:rPr>
          <w:rFonts w:hint="eastAsia" w:cs="宋体"/>
          <w:b/>
          <w:bCs/>
          <w:color w:val="auto"/>
          <w:sz w:val="22"/>
          <w:highlight w:val="none"/>
          <w:u w:val="single"/>
        </w:rPr>
        <w:t>的前提下，参与同一个采购包（标段）的供应商存在下列情形之一且无法合理解释的，其投标（响应）文件无效：</w:t>
      </w:r>
    </w:p>
    <w:p w14:paraId="1506632A">
      <w:pPr>
        <w:pStyle w:val="12"/>
        <w:numPr>
          <w:ilvl w:val="0"/>
          <w:numId w:val="5"/>
        </w:numPr>
        <w:adjustRightInd w:val="0"/>
        <w:spacing w:line="400" w:lineRule="exact"/>
        <w:ind w:left="443" w:leftChars="208"/>
        <w:rPr>
          <w:rFonts w:hint="eastAsia" w:cs="宋体"/>
          <w:b/>
          <w:bCs/>
          <w:color w:val="auto"/>
          <w:sz w:val="22"/>
          <w:highlight w:val="none"/>
          <w:u w:val="single"/>
        </w:rPr>
      </w:pPr>
      <w:r>
        <w:rPr>
          <w:rFonts w:hint="eastAsia" w:cs="宋体"/>
          <w:b/>
          <w:bCs/>
          <w:color w:val="auto"/>
          <w:sz w:val="22"/>
          <w:highlight w:val="none"/>
          <w:u w:val="single"/>
        </w:rPr>
        <w:t>不同供应商的电子投标（响应）文件上传计算机的网卡MAC地址或硬盘序列号等硬件</w:t>
      </w:r>
    </w:p>
    <w:p w14:paraId="1B0B1265">
      <w:pPr>
        <w:pStyle w:val="12"/>
        <w:adjustRightInd w:val="0"/>
        <w:spacing w:line="400" w:lineRule="exact"/>
        <w:rPr>
          <w:rFonts w:hint="eastAsia" w:cs="宋体"/>
          <w:b/>
          <w:bCs/>
          <w:color w:val="auto"/>
          <w:sz w:val="22"/>
          <w:highlight w:val="none"/>
          <w:u w:val="single"/>
        </w:rPr>
      </w:pPr>
      <w:r>
        <w:rPr>
          <w:rFonts w:hint="eastAsia" w:cs="宋体"/>
          <w:b/>
          <w:bCs/>
          <w:color w:val="auto"/>
          <w:sz w:val="22"/>
          <w:highlight w:val="none"/>
          <w:u w:val="single"/>
        </w:rPr>
        <w:t>信息相同的；</w:t>
      </w:r>
    </w:p>
    <w:p w14:paraId="2AFE9593">
      <w:pPr>
        <w:pStyle w:val="12"/>
        <w:numPr>
          <w:ilvl w:val="0"/>
          <w:numId w:val="5"/>
        </w:numPr>
        <w:adjustRightInd w:val="0"/>
        <w:spacing w:line="400" w:lineRule="exact"/>
        <w:ind w:left="443" w:leftChars="208"/>
        <w:rPr>
          <w:rFonts w:hint="eastAsia" w:cs="宋体"/>
          <w:b/>
          <w:bCs/>
          <w:color w:val="auto"/>
          <w:sz w:val="22"/>
          <w:highlight w:val="none"/>
          <w:u w:val="single"/>
        </w:rPr>
      </w:pPr>
      <w:r>
        <w:rPr>
          <w:rFonts w:hint="eastAsia" w:cs="宋体"/>
          <w:b/>
          <w:bCs/>
          <w:color w:val="auto"/>
          <w:sz w:val="22"/>
          <w:highlight w:val="none"/>
          <w:u w:val="single"/>
        </w:rPr>
        <w:t>上传的电子投标（响应）文件若出现使用本项目其他投标（响应）供应商的数字证书</w:t>
      </w:r>
    </w:p>
    <w:p w14:paraId="753B8699">
      <w:pPr>
        <w:pStyle w:val="12"/>
        <w:adjustRightInd w:val="0"/>
        <w:spacing w:line="400" w:lineRule="exact"/>
        <w:rPr>
          <w:rFonts w:hint="eastAsia" w:cs="宋体"/>
          <w:b/>
          <w:bCs/>
          <w:color w:val="auto"/>
          <w:sz w:val="22"/>
          <w:highlight w:val="none"/>
          <w:u w:val="single"/>
        </w:rPr>
      </w:pPr>
      <w:r>
        <w:rPr>
          <w:rFonts w:hint="eastAsia" w:cs="宋体"/>
          <w:b/>
          <w:bCs/>
          <w:color w:val="auto"/>
          <w:sz w:val="22"/>
          <w:highlight w:val="none"/>
          <w:u w:val="single"/>
        </w:rPr>
        <w:t>加密的，或者加盖本项目其他投标（响应）供应商的电子印章的；</w:t>
      </w:r>
    </w:p>
    <w:p w14:paraId="0C86F13E">
      <w:pPr>
        <w:pStyle w:val="12"/>
        <w:adjustRightInd w:val="0"/>
        <w:spacing w:line="400" w:lineRule="exact"/>
        <w:ind w:left="443" w:leftChars="208"/>
        <w:rPr>
          <w:rFonts w:hint="eastAsia" w:cs="宋体"/>
          <w:b/>
          <w:bCs/>
          <w:color w:val="auto"/>
          <w:sz w:val="22"/>
          <w:highlight w:val="none"/>
          <w:u w:val="single"/>
        </w:rPr>
      </w:pPr>
      <w:r>
        <w:rPr>
          <w:rFonts w:hint="eastAsia" w:cs="宋体"/>
          <w:b/>
          <w:bCs/>
          <w:color w:val="auto"/>
          <w:sz w:val="22"/>
          <w:highlight w:val="none"/>
          <w:u w:val="single"/>
        </w:rPr>
        <w:t>（3）不同供应商的投标（响应）文件的内容存在</w:t>
      </w:r>
      <w:r>
        <w:rPr>
          <w:rFonts w:hint="eastAsia" w:cs="宋体"/>
          <w:b/>
          <w:bCs/>
          <w:color w:val="auto"/>
          <w:sz w:val="22"/>
          <w:highlight w:val="none"/>
          <w:u w:val="single"/>
          <w:lang w:eastAsia="zh"/>
        </w:rPr>
        <w:t>3</w:t>
      </w:r>
      <w:r>
        <w:rPr>
          <w:rFonts w:hint="eastAsia" w:cs="宋体"/>
          <w:b/>
          <w:bCs/>
          <w:color w:val="auto"/>
          <w:sz w:val="22"/>
          <w:highlight w:val="none"/>
          <w:u w:val="single"/>
        </w:rPr>
        <w:t>处（含）以上错误一致的；</w:t>
      </w:r>
    </w:p>
    <w:p w14:paraId="6CE50C77">
      <w:pPr>
        <w:pStyle w:val="12"/>
        <w:adjustRightInd w:val="0"/>
        <w:snapToGrid w:val="0"/>
        <w:spacing w:line="400" w:lineRule="exact"/>
        <w:ind w:firstLine="438" w:firstLineChars="197"/>
        <w:rPr>
          <w:rFonts w:hint="eastAsia" w:cs="宋体"/>
          <w:b/>
          <w:bCs/>
          <w:color w:val="auto"/>
          <w:sz w:val="22"/>
          <w:highlight w:val="none"/>
          <w:u w:val="single"/>
        </w:rPr>
      </w:pPr>
      <w:r>
        <w:rPr>
          <w:rFonts w:hint="eastAsia" w:cs="宋体"/>
          <w:b/>
          <w:bCs/>
          <w:color w:val="auto"/>
          <w:sz w:val="22"/>
          <w:highlight w:val="none"/>
          <w:u w:val="single"/>
        </w:rPr>
        <w:t>（4）不同供应商联系人为同一人或不同联系人的联系电话一致的。</w:t>
      </w:r>
    </w:p>
    <w:p w14:paraId="48DD5969">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lang w:val="en-US" w:eastAsia="zh-CN"/>
        </w:rPr>
        <w:t>6</w:t>
      </w:r>
      <w:r>
        <w:rPr>
          <w:rFonts w:hint="eastAsia" w:hAnsi="宋体" w:cs="宋体"/>
          <w:color w:val="auto"/>
          <w:sz w:val="22"/>
          <w:highlight w:val="none"/>
        </w:rPr>
        <w:t>.评标原则</w:t>
      </w:r>
    </w:p>
    <w:p w14:paraId="3031ED4F">
      <w:pPr>
        <w:pStyle w:val="33"/>
        <w:adjustRightInd w:val="0"/>
        <w:snapToGrid w:val="0"/>
        <w:spacing w:line="400" w:lineRule="atLeast"/>
        <w:ind w:firstLine="438" w:firstLineChars="197"/>
        <w:rPr>
          <w:rFonts w:hint="eastAsia" w:ascii="宋体" w:hAnsi="宋体" w:eastAsia="宋体" w:cs="宋体"/>
          <w:color w:val="auto"/>
          <w:sz w:val="22"/>
          <w:szCs w:val="22"/>
          <w:highlight w:val="none"/>
        </w:rPr>
      </w:pPr>
      <w:bookmarkStart w:id="38" w:name="_Toc132125097"/>
      <w:bookmarkStart w:id="39" w:name="_Toc132125576"/>
      <w:bookmarkStart w:id="40" w:name="_Toc132655778"/>
      <w:bookmarkStart w:id="41" w:name="_Toc132122418"/>
      <w:bookmarkStart w:id="42" w:name="_Toc132124596"/>
      <w:bookmarkStart w:id="43" w:name="_Toc132125039"/>
      <w:bookmarkStart w:id="44" w:name="_Toc132125985"/>
      <w:bookmarkStart w:id="45" w:name="_Toc132122121"/>
      <w:bookmarkStart w:id="46" w:name="_Toc132126156"/>
      <w:bookmarkStart w:id="47" w:name="_Toc24884_WPSOffice_Level2"/>
      <w:bookmarkStart w:id="48" w:name="_Toc132123883"/>
      <w:bookmarkStart w:id="49" w:name="_Toc493530208"/>
      <w:bookmarkStart w:id="50" w:name="_Toc132125153"/>
      <w:bookmarkStart w:id="51" w:name="_Toc132123636"/>
      <w:bookmarkStart w:id="52" w:name="_Toc132123549"/>
      <w:bookmarkStart w:id="53" w:name="_Toc132123840"/>
      <w:bookmarkStart w:id="54" w:name="_Toc132123441"/>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投标截止时或评审过程中有效投标供应商不足三家的，不予开标或评标</w:t>
      </w:r>
      <w:r>
        <w:rPr>
          <w:rFonts w:hint="eastAsia" w:ascii="宋体" w:hAnsi="宋体" w:eastAsia="宋体" w:cs="宋体"/>
          <w:color w:val="auto"/>
          <w:sz w:val="22"/>
          <w:szCs w:val="22"/>
          <w:highlight w:val="none"/>
        </w:rPr>
        <w:t>。</w:t>
      </w:r>
    </w:p>
    <w:p w14:paraId="28368078">
      <w:pPr>
        <w:pStyle w:val="33"/>
        <w:adjustRightInd w:val="0"/>
        <w:snapToGrid w:val="0"/>
        <w:spacing w:line="400" w:lineRule="atLeast"/>
        <w:ind w:firstLine="438"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评审小组按照询价文件的要求和条件对投标文件进行商务、技术评审。</w:t>
      </w:r>
    </w:p>
    <w:p w14:paraId="1D8ED106">
      <w:pPr>
        <w:pStyle w:val="12"/>
        <w:tabs>
          <w:tab w:val="left" w:pos="1069"/>
          <w:tab w:val="left" w:pos="2352"/>
        </w:tabs>
        <w:adjustRightInd w:val="0"/>
        <w:snapToGrid w:val="0"/>
        <w:spacing w:line="400" w:lineRule="exact"/>
        <w:ind w:firstLine="48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w:t>
      </w:r>
      <w:r>
        <w:rPr>
          <w:rFonts w:hint="eastAsia" w:ascii="宋体" w:hAnsi="宋体" w:eastAsia="宋体" w:cs="宋体"/>
          <w:color w:val="auto"/>
          <w:sz w:val="22"/>
          <w:szCs w:val="22"/>
          <w:highlight w:val="none"/>
          <w:lang w:val="en-US" w:eastAsia="zh-CN"/>
        </w:rPr>
        <w:t>竞争性磋商</w:t>
      </w:r>
      <w:r>
        <w:rPr>
          <w:rFonts w:hint="eastAsia" w:ascii="宋体" w:hAnsi="宋体" w:eastAsia="宋体" w:cs="宋体"/>
          <w:color w:val="auto"/>
          <w:sz w:val="22"/>
          <w:szCs w:val="22"/>
          <w:highlight w:val="none"/>
        </w:rPr>
        <w:t>文件第七部分。</w:t>
      </w:r>
    </w:p>
    <w:p w14:paraId="448D5E18">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r>
        <w:rPr>
          <w:rFonts w:hint="eastAsia" w:hAnsi="宋体" w:cs="宋体"/>
          <w:b/>
          <w:bCs/>
          <w:color w:val="auto"/>
          <w:sz w:val="22"/>
          <w:highlight w:val="none"/>
        </w:rPr>
        <w:t>六、授予合同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0D21978">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5" w:name="_Toc23038_WPSOffice_Level3"/>
      <w:r>
        <w:rPr>
          <w:rFonts w:hint="eastAsia" w:hAnsi="宋体" w:cs="宋体"/>
          <w:color w:val="auto"/>
          <w:sz w:val="22"/>
          <w:highlight w:val="none"/>
        </w:rPr>
        <w:t>1.决标</w:t>
      </w:r>
      <w:bookmarkEnd w:id="55"/>
    </w:p>
    <w:p w14:paraId="690C8865">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C9B7390">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6" w:name="_Toc764_WPSOffice_Level3"/>
      <w:r>
        <w:rPr>
          <w:rFonts w:hint="eastAsia" w:hAnsi="宋体" w:cs="宋体"/>
          <w:color w:val="auto"/>
          <w:sz w:val="22"/>
          <w:highlight w:val="none"/>
        </w:rPr>
        <w:t>2.</w:t>
      </w:r>
      <w:bookmarkEnd w:id="56"/>
      <w:r>
        <w:rPr>
          <w:rFonts w:hint="eastAsia" w:hAnsi="宋体" w:cs="宋体"/>
          <w:color w:val="auto"/>
          <w:sz w:val="22"/>
          <w:highlight w:val="none"/>
        </w:rPr>
        <w:t>中标（成交）通知书</w:t>
      </w:r>
    </w:p>
    <w:p w14:paraId="13CF7C09">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195C8E35">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488ECA0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5BAD3918">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31907E3B">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1B2AEACE">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7" w:name="_Toc3709_WPSOffice_Level3"/>
      <w:r>
        <w:rPr>
          <w:rFonts w:hint="eastAsia" w:hAnsi="宋体" w:cs="宋体"/>
          <w:color w:val="auto"/>
          <w:sz w:val="22"/>
          <w:highlight w:val="none"/>
        </w:rPr>
        <w:t>4.签订合同</w:t>
      </w:r>
      <w:bookmarkEnd w:id="57"/>
    </w:p>
    <w:p w14:paraId="6B6A8F24">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64A5BE7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75DED700">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224F5A1A">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17FBA949">
      <w:pPr>
        <w:pStyle w:val="12"/>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8" w:name="_Toc21884_WPSOffice_Level3"/>
      <w:r>
        <w:rPr>
          <w:rFonts w:hint="eastAsia" w:hAnsi="宋体" w:cs="宋体"/>
          <w:color w:val="auto"/>
          <w:sz w:val="22"/>
          <w:highlight w:val="none"/>
        </w:rPr>
        <w:t>5.</w:t>
      </w:r>
      <w:bookmarkEnd w:id="58"/>
      <w:r>
        <w:rPr>
          <w:rFonts w:hint="eastAsia" w:hAnsi="宋体" w:cs="宋体"/>
          <w:color w:val="auto"/>
          <w:sz w:val="22"/>
          <w:highlight w:val="none"/>
        </w:rPr>
        <w:t>履约保证金</w:t>
      </w:r>
    </w:p>
    <w:p w14:paraId="0AC0423C">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hAnsi="宋体" w:cs="宋体"/>
          <w:color w:val="auto"/>
          <w:sz w:val="22"/>
          <w:highlight w:val="none"/>
        </w:rPr>
        <w:t>无</w:t>
      </w:r>
      <w:r>
        <w:rPr>
          <w:rFonts w:hint="eastAsia" w:ascii="宋体" w:hAnsi="宋体" w:cs="宋体"/>
          <w:color w:val="auto"/>
          <w:sz w:val="22"/>
          <w:highlight w:val="none"/>
        </w:rPr>
        <w:t>。</w:t>
      </w:r>
    </w:p>
    <w:p w14:paraId="51B2B2E8">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6CA883C6">
      <w:pPr>
        <w:tabs>
          <w:tab w:val="left" w:pos="1069"/>
          <w:tab w:val="left" w:pos="2352"/>
        </w:tabs>
        <w:spacing w:line="400" w:lineRule="exact"/>
        <w:ind w:firstLine="446" w:firstLineChars="200"/>
        <w:rPr>
          <w:rFonts w:hint="eastAsia" w:ascii="宋体" w:hAnsi="宋体" w:cs="宋体"/>
          <w:color w:val="auto"/>
          <w:sz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en-US" w:eastAsia="zh-CN"/>
        </w:rPr>
        <w:t>金额贰万</w:t>
      </w:r>
      <w:r>
        <w:rPr>
          <w:rFonts w:hint="eastAsia" w:ascii="宋体" w:hAnsi="宋体" w:cs="宋体"/>
          <w:color w:val="auto"/>
          <w:sz w:val="22"/>
          <w:highlight w:val="none"/>
          <w:u w:val="none"/>
        </w:rPr>
        <w:t>元。</w:t>
      </w:r>
      <w:r>
        <w:rPr>
          <w:rFonts w:hint="eastAsia" w:ascii="宋体" w:hAnsi="宋体" w:cs="宋体"/>
          <w:color w:val="auto"/>
          <w:sz w:val="22"/>
          <w:highlight w:val="none"/>
        </w:rPr>
        <w:t>招标代理费汇入账号以招标代理机构提供的为准。</w:t>
      </w:r>
    </w:p>
    <w:p w14:paraId="1B636B4F">
      <w:pPr>
        <w:tabs>
          <w:tab w:val="left" w:pos="1069"/>
          <w:tab w:val="left" w:pos="2352"/>
        </w:tabs>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七、投诉质疑</w:t>
      </w:r>
    </w:p>
    <w:p w14:paraId="386FF900">
      <w:pPr>
        <w:pStyle w:val="35"/>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374EBD2">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346CEBFE">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56329180">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63A57A03">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27EFCD2B">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64E570FF">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79DD78E6">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4430E447">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67D738E1">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3034C2D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245B3C8C">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2CF89DE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0AE10D4B">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7E77013A">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79107D69">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71A66FB5">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284F03CB">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56C49A91">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2AA5F125">
      <w:pPr>
        <w:pStyle w:val="12"/>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24468D9A">
      <w:pPr>
        <w:pStyle w:val="12"/>
        <w:tabs>
          <w:tab w:val="left" w:pos="1069"/>
          <w:tab w:val="left" w:pos="2352"/>
        </w:tabs>
        <w:spacing w:line="400" w:lineRule="exact"/>
        <w:ind w:firstLine="501" w:firstLineChars="225"/>
        <w:rPr>
          <w:rFonts w:hint="eastAsia"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3B4BA89E">
      <w:pPr>
        <w:pStyle w:val="12"/>
        <w:tabs>
          <w:tab w:val="left" w:pos="1069"/>
          <w:tab w:val="left" w:pos="2352"/>
        </w:tabs>
        <w:spacing w:line="400" w:lineRule="exact"/>
        <w:ind w:firstLine="478" w:firstLineChars="225"/>
        <w:rPr>
          <w:rFonts w:hint="default" w:ascii="宋体" w:hAnsi="宋体" w:eastAsia="宋体"/>
          <w:b/>
          <w:bCs/>
          <w:color w:val="auto"/>
          <w:highlight w:val="none"/>
          <w:lang w:val="en-US" w:eastAsia="zh-CN"/>
        </w:rPr>
      </w:pPr>
      <w:r>
        <w:rPr>
          <w:rFonts w:hint="eastAsia" w:ascii="宋体" w:hAnsi="宋体"/>
          <w:color w:val="auto"/>
          <w:highlight w:val="none"/>
        </w:rPr>
        <w:t>质疑函范本</w:t>
      </w:r>
      <w:r>
        <w:rPr>
          <w:rFonts w:hint="eastAsia" w:ascii="宋体" w:hAnsi="宋体"/>
          <w:color w:val="auto"/>
          <w:highlight w:val="none"/>
          <w:lang w:eastAsia="zh-CN"/>
        </w:rPr>
        <w:t>、</w:t>
      </w:r>
      <w:r>
        <w:rPr>
          <w:rFonts w:hint="eastAsia" w:ascii="宋体" w:hAnsi="宋体"/>
          <w:color w:val="auto"/>
          <w:highlight w:val="none"/>
        </w:rPr>
        <w:t>投诉书范本</w:t>
      </w:r>
      <w:r>
        <w:rPr>
          <w:rFonts w:hint="eastAsia" w:ascii="宋体" w:hAnsi="宋体"/>
          <w:color w:val="auto"/>
          <w:highlight w:val="none"/>
          <w:lang w:val="en-US" w:eastAsia="zh-CN"/>
        </w:rPr>
        <w:t>请至浙江政府采购网下载。</w:t>
      </w:r>
    </w:p>
    <w:p w14:paraId="7F78AE60">
      <w:pPr>
        <w:pStyle w:val="33"/>
        <w:spacing w:line="400" w:lineRule="exact"/>
        <w:ind w:firstLine="446" w:firstLineChars="200"/>
        <w:rPr>
          <w:rFonts w:hint="eastAsia"/>
          <w:b/>
          <w:bCs/>
          <w:color w:val="auto"/>
          <w:sz w:val="22"/>
          <w:szCs w:val="22"/>
          <w:highlight w:val="none"/>
        </w:rPr>
      </w:pPr>
      <w:r>
        <w:rPr>
          <w:rFonts w:hint="eastAsia"/>
          <w:b/>
          <w:bCs/>
          <w:color w:val="auto"/>
          <w:sz w:val="22"/>
          <w:szCs w:val="22"/>
          <w:highlight w:val="none"/>
        </w:rPr>
        <w:t>4.线上质疑及投诉</w:t>
      </w:r>
    </w:p>
    <w:p w14:paraId="1D58F232">
      <w:pPr>
        <w:pStyle w:val="33"/>
        <w:spacing w:line="400" w:lineRule="exact"/>
        <w:ind w:firstLine="446" w:firstLineChars="200"/>
        <w:rPr>
          <w:rFonts w:ascii="宋体" w:hAnsi="宋体" w:cs="宋体"/>
          <w:b/>
          <w:color w:val="auto"/>
          <w:sz w:val="32"/>
          <w:szCs w:val="32"/>
          <w:highlight w:val="none"/>
        </w:rPr>
      </w:pPr>
      <w:r>
        <w:rPr>
          <w:rFonts w:hint="eastAsia"/>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Start w:id="59" w:name="_Toc29876_WPSOffice_Level1"/>
    </w:p>
    <w:p w14:paraId="7B426968">
      <w:pPr>
        <w:tabs>
          <w:tab w:val="left" w:pos="1069"/>
          <w:tab w:val="left" w:pos="2352"/>
        </w:tabs>
        <w:jc w:val="center"/>
        <w:rPr>
          <w:rFonts w:hint="eastAsia" w:ascii="宋体" w:hAnsi="宋体" w:cs="宋体"/>
          <w:b/>
          <w:color w:val="auto"/>
          <w:sz w:val="32"/>
          <w:szCs w:val="32"/>
          <w:highlight w:val="none"/>
        </w:rPr>
      </w:pPr>
    </w:p>
    <w:p w14:paraId="1F204B52">
      <w:pPr>
        <w:tabs>
          <w:tab w:val="left" w:pos="1069"/>
          <w:tab w:val="left" w:pos="2352"/>
        </w:tabs>
        <w:jc w:val="center"/>
        <w:rPr>
          <w:rFonts w:hint="eastAsia" w:ascii="宋体" w:hAnsi="宋体" w:cs="宋体"/>
          <w:b/>
          <w:color w:val="auto"/>
          <w:sz w:val="32"/>
          <w:szCs w:val="32"/>
          <w:highlight w:val="none"/>
        </w:rPr>
      </w:pPr>
    </w:p>
    <w:p w14:paraId="1E4294C8">
      <w:pPr>
        <w:tabs>
          <w:tab w:val="left" w:pos="1069"/>
          <w:tab w:val="left" w:pos="2352"/>
        </w:tabs>
        <w:jc w:val="center"/>
        <w:rPr>
          <w:rFonts w:hint="eastAsia" w:ascii="宋体" w:hAnsi="宋体" w:cs="宋体"/>
          <w:b/>
          <w:color w:val="auto"/>
          <w:sz w:val="32"/>
          <w:szCs w:val="32"/>
          <w:highlight w:val="none"/>
        </w:rPr>
      </w:pPr>
    </w:p>
    <w:p w14:paraId="1B90DE13">
      <w:pPr>
        <w:tabs>
          <w:tab w:val="left" w:pos="1069"/>
          <w:tab w:val="left" w:pos="2352"/>
        </w:tabs>
        <w:jc w:val="center"/>
        <w:rPr>
          <w:rFonts w:hint="eastAsia" w:ascii="宋体" w:hAnsi="宋体" w:cs="宋体"/>
          <w:b/>
          <w:color w:val="auto"/>
          <w:sz w:val="32"/>
          <w:szCs w:val="32"/>
          <w:highlight w:val="none"/>
        </w:rPr>
      </w:pPr>
    </w:p>
    <w:p w14:paraId="6D313414">
      <w:pPr>
        <w:tabs>
          <w:tab w:val="left" w:pos="1069"/>
          <w:tab w:val="left" w:pos="2352"/>
        </w:tabs>
        <w:jc w:val="center"/>
        <w:rPr>
          <w:rFonts w:hint="eastAsia" w:ascii="宋体" w:hAnsi="宋体" w:cs="宋体"/>
          <w:b/>
          <w:color w:val="auto"/>
          <w:sz w:val="32"/>
          <w:szCs w:val="32"/>
          <w:highlight w:val="none"/>
        </w:rPr>
      </w:pPr>
    </w:p>
    <w:p w14:paraId="1781E7DA">
      <w:pPr>
        <w:tabs>
          <w:tab w:val="left" w:pos="1069"/>
          <w:tab w:val="left" w:pos="2352"/>
        </w:tabs>
        <w:jc w:val="center"/>
        <w:rPr>
          <w:rFonts w:hint="eastAsia" w:ascii="宋体" w:hAnsi="宋体" w:cs="宋体"/>
          <w:b/>
          <w:color w:val="auto"/>
          <w:sz w:val="32"/>
          <w:szCs w:val="32"/>
          <w:highlight w:val="none"/>
        </w:rPr>
      </w:pPr>
    </w:p>
    <w:p w14:paraId="500B2431">
      <w:pPr>
        <w:tabs>
          <w:tab w:val="left" w:pos="1069"/>
          <w:tab w:val="left" w:pos="2352"/>
        </w:tabs>
        <w:jc w:val="center"/>
        <w:rPr>
          <w:rFonts w:hint="eastAsia" w:ascii="宋体" w:hAnsi="宋体" w:cs="宋体"/>
          <w:b/>
          <w:color w:val="auto"/>
          <w:sz w:val="32"/>
          <w:szCs w:val="32"/>
          <w:highlight w:val="none"/>
        </w:rPr>
      </w:pPr>
    </w:p>
    <w:p w14:paraId="78C38C34">
      <w:pPr>
        <w:tabs>
          <w:tab w:val="left" w:pos="1069"/>
          <w:tab w:val="left" w:pos="2352"/>
        </w:tabs>
        <w:jc w:val="center"/>
        <w:rPr>
          <w:rFonts w:hint="eastAsia" w:ascii="宋体" w:hAnsi="宋体" w:cs="宋体"/>
          <w:b/>
          <w:color w:val="auto"/>
          <w:sz w:val="32"/>
          <w:szCs w:val="32"/>
          <w:highlight w:val="none"/>
        </w:rPr>
      </w:pPr>
    </w:p>
    <w:p w14:paraId="428089C4">
      <w:pPr>
        <w:tabs>
          <w:tab w:val="left" w:pos="1069"/>
          <w:tab w:val="left" w:pos="2352"/>
        </w:tabs>
        <w:jc w:val="center"/>
        <w:rPr>
          <w:rFonts w:hint="eastAsia" w:ascii="宋体" w:hAnsi="宋体" w:cs="宋体"/>
          <w:b/>
          <w:color w:val="auto"/>
          <w:sz w:val="32"/>
          <w:szCs w:val="32"/>
          <w:highlight w:val="none"/>
        </w:rPr>
      </w:pPr>
    </w:p>
    <w:p w14:paraId="640078C7">
      <w:pPr>
        <w:tabs>
          <w:tab w:val="left" w:pos="1069"/>
          <w:tab w:val="left" w:pos="2352"/>
        </w:tabs>
        <w:jc w:val="center"/>
        <w:rPr>
          <w:rFonts w:hint="eastAsia" w:ascii="宋体" w:hAnsi="宋体" w:cs="宋体"/>
          <w:b/>
          <w:color w:val="auto"/>
          <w:sz w:val="32"/>
          <w:szCs w:val="32"/>
          <w:highlight w:val="none"/>
        </w:rPr>
      </w:pPr>
    </w:p>
    <w:p w14:paraId="5F4B2149">
      <w:pPr>
        <w:tabs>
          <w:tab w:val="left" w:pos="1069"/>
          <w:tab w:val="left" w:pos="2352"/>
        </w:tabs>
        <w:jc w:val="center"/>
        <w:rPr>
          <w:rFonts w:hint="eastAsia" w:ascii="宋体" w:hAnsi="宋体" w:cs="宋体"/>
          <w:b/>
          <w:color w:val="auto"/>
          <w:sz w:val="32"/>
          <w:szCs w:val="32"/>
          <w:highlight w:val="none"/>
        </w:rPr>
      </w:pPr>
    </w:p>
    <w:p w14:paraId="39AA8009">
      <w:pPr>
        <w:tabs>
          <w:tab w:val="left" w:pos="1069"/>
          <w:tab w:val="left" w:pos="2352"/>
        </w:tabs>
        <w:jc w:val="center"/>
        <w:rPr>
          <w:rFonts w:hint="eastAsia" w:ascii="宋体" w:hAnsi="宋体" w:cs="宋体"/>
          <w:b/>
          <w:color w:val="auto"/>
          <w:sz w:val="32"/>
          <w:szCs w:val="32"/>
          <w:highlight w:val="none"/>
        </w:rPr>
      </w:pPr>
    </w:p>
    <w:p w14:paraId="4EE56180">
      <w:pPr>
        <w:tabs>
          <w:tab w:val="left" w:pos="1069"/>
          <w:tab w:val="left" w:pos="2352"/>
        </w:tabs>
        <w:jc w:val="center"/>
        <w:rPr>
          <w:rFonts w:hint="eastAsia" w:ascii="宋体" w:hAnsi="宋体" w:cs="宋体"/>
          <w:b/>
          <w:color w:val="auto"/>
          <w:sz w:val="32"/>
          <w:szCs w:val="32"/>
          <w:highlight w:val="none"/>
        </w:rPr>
      </w:pPr>
    </w:p>
    <w:p w14:paraId="77FC58C0">
      <w:pPr>
        <w:tabs>
          <w:tab w:val="left" w:pos="1069"/>
          <w:tab w:val="left" w:pos="2352"/>
        </w:tabs>
        <w:jc w:val="center"/>
        <w:rPr>
          <w:rFonts w:hint="eastAsia" w:ascii="宋体" w:hAnsi="宋体" w:cs="宋体"/>
          <w:b/>
          <w:color w:val="auto"/>
          <w:sz w:val="32"/>
          <w:szCs w:val="32"/>
          <w:highlight w:val="none"/>
        </w:rPr>
      </w:pPr>
    </w:p>
    <w:p w14:paraId="424FF88A">
      <w:pPr>
        <w:tabs>
          <w:tab w:val="left" w:pos="1069"/>
          <w:tab w:val="left" w:pos="2352"/>
        </w:tabs>
        <w:jc w:val="center"/>
        <w:rPr>
          <w:rFonts w:hint="eastAsia" w:ascii="宋体" w:hAnsi="宋体" w:cs="宋体"/>
          <w:b/>
          <w:color w:val="auto"/>
          <w:sz w:val="32"/>
          <w:szCs w:val="32"/>
          <w:highlight w:val="none"/>
        </w:rPr>
      </w:pPr>
    </w:p>
    <w:p w14:paraId="4616A608">
      <w:pPr>
        <w:tabs>
          <w:tab w:val="left" w:pos="1069"/>
          <w:tab w:val="left" w:pos="2352"/>
        </w:tabs>
        <w:jc w:val="center"/>
        <w:rPr>
          <w:rFonts w:hint="eastAsia" w:ascii="宋体" w:hAnsi="宋体" w:cs="宋体"/>
          <w:b/>
          <w:color w:val="auto"/>
          <w:sz w:val="32"/>
          <w:szCs w:val="32"/>
          <w:highlight w:val="none"/>
        </w:rPr>
      </w:pPr>
    </w:p>
    <w:p w14:paraId="4F36C171">
      <w:pPr>
        <w:tabs>
          <w:tab w:val="left" w:pos="1069"/>
          <w:tab w:val="left" w:pos="2352"/>
        </w:tabs>
        <w:jc w:val="center"/>
        <w:rPr>
          <w:rFonts w:hint="eastAsia" w:ascii="宋体" w:hAnsi="宋体" w:cs="宋体"/>
          <w:b/>
          <w:color w:val="auto"/>
          <w:sz w:val="32"/>
          <w:szCs w:val="32"/>
          <w:highlight w:val="none"/>
        </w:rPr>
      </w:pPr>
    </w:p>
    <w:p w14:paraId="07B5AC75">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385481F2">
      <w:pPr>
        <w:tabs>
          <w:tab w:val="left" w:pos="1069"/>
          <w:tab w:val="left" w:pos="2352"/>
        </w:tabs>
        <w:jc w:val="left"/>
        <w:rPr>
          <w:rFonts w:ascii="宋体"/>
          <w:b/>
          <w:bCs/>
          <w:color w:val="auto"/>
          <w:sz w:val="22"/>
          <w:highlight w:val="none"/>
        </w:rPr>
      </w:pPr>
      <w:bookmarkStart w:id="60" w:name="_Toc25899_WPSOffice_Level2"/>
      <w:bookmarkStart w:id="61" w:name="_Toc10483_WPSOffice_Level2"/>
      <w:r>
        <w:rPr>
          <w:rFonts w:hint="eastAsia" w:ascii="宋体"/>
          <w:b/>
          <w:bCs/>
          <w:color w:val="auto"/>
          <w:sz w:val="22"/>
          <w:highlight w:val="none"/>
        </w:rPr>
        <w:t>一、</w:t>
      </w:r>
      <w:bookmarkEnd w:id="60"/>
      <w:r>
        <w:rPr>
          <w:rFonts w:hint="eastAsia" w:ascii="宋体"/>
          <w:b/>
          <w:bCs/>
          <w:color w:val="auto"/>
          <w:sz w:val="22"/>
          <w:highlight w:val="none"/>
        </w:rPr>
        <w:t>中小企业（含监狱企业、残疾人福利性单位）扶持政策说明</w:t>
      </w:r>
    </w:p>
    <w:p w14:paraId="00BA3065">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05D583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0EDB0EE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5E2A9FD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2CCFF17">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0825573B">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129C2E56">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14:paraId="2CF67A27">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14:paraId="492285CD">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lang w:eastAsia="zh-CN"/>
        </w:rPr>
        <w:t>本项目对小型和微型企业产品的价格给予扣除10%，按扣除后的价格参与评审。符合要求应的应提供以下证明材料（附在《商务技术文件》中）</w:t>
      </w:r>
      <w:r>
        <w:rPr>
          <w:rFonts w:hint="eastAsia" w:ascii="宋体"/>
          <w:color w:val="auto"/>
          <w:sz w:val="22"/>
          <w:highlight w:val="none"/>
        </w:rPr>
        <w:t>：</w:t>
      </w:r>
    </w:p>
    <w:p w14:paraId="52D00FB9">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14:paraId="0E1A8DB9">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0AD1E042">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591ED5D1">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16FADC1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49CE0E8C">
      <w:pPr>
        <w:tabs>
          <w:tab w:val="left" w:pos="2352"/>
        </w:tabs>
        <w:spacing w:line="440" w:lineRule="atLeast"/>
        <w:jc w:val="left"/>
        <w:rPr>
          <w:rFonts w:ascii="宋体"/>
          <w:color w:val="auto"/>
          <w:sz w:val="22"/>
          <w:highlight w:val="none"/>
        </w:rPr>
      </w:pPr>
      <w:r>
        <w:rPr>
          <w:rFonts w:hint="eastAsia" w:ascii="宋体"/>
          <w:color w:val="auto"/>
          <w:sz w:val="22"/>
          <w:highlight w:val="none"/>
        </w:rPr>
        <w:t>4、</w:t>
      </w:r>
      <w:r>
        <w:rPr>
          <w:rFonts w:hint="eastAsia" w:ascii="宋体"/>
          <w:b/>
          <w:bCs/>
          <w:color w:val="auto"/>
          <w:sz w:val="22"/>
          <w:highlight w:val="none"/>
        </w:rPr>
        <w:t xml:space="preserve">本项目采购标的所属行业为 </w:t>
      </w:r>
      <w:r>
        <w:rPr>
          <w:rFonts w:hint="eastAsia" w:ascii="宋体" w:hAnsi="宋体" w:cs="宋体"/>
          <w:b/>
          <w:bCs/>
          <w:color w:val="auto"/>
          <w:sz w:val="22"/>
          <w:highlight w:val="none"/>
          <w:u w:val="single"/>
        </w:rPr>
        <w:t>其他未列明行业。</w:t>
      </w:r>
    </w:p>
    <w:p w14:paraId="23F954BC">
      <w:pPr>
        <w:tabs>
          <w:tab w:val="left" w:pos="2352"/>
        </w:tabs>
        <w:snapToGrid w:val="0"/>
        <w:spacing w:line="360" w:lineRule="auto"/>
        <w:jc w:val="left"/>
        <w:rPr>
          <w:b/>
          <w:color w:val="auto"/>
          <w:sz w:val="28"/>
          <w:szCs w:val="28"/>
          <w:highlight w:val="none"/>
        </w:rPr>
      </w:pPr>
    </w:p>
    <w:p w14:paraId="38789DD9">
      <w:pPr>
        <w:tabs>
          <w:tab w:val="left" w:pos="2352"/>
        </w:tabs>
        <w:snapToGrid w:val="0"/>
        <w:spacing w:line="360" w:lineRule="auto"/>
        <w:jc w:val="left"/>
        <w:rPr>
          <w:rFonts w:hint="eastAsia"/>
          <w:b/>
          <w:color w:val="auto"/>
          <w:sz w:val="28"/>
          <w:szCs w:val="28"/>
          <w:highlight w:val="none"/>
        </w:rPr>
      </w:pPr>
    </w:p>
    <w:p w14:paraId="303F031C">
      <w:pPr>
        <w:tabs>
          <w:tab w:val="left" w:pos="2352"/>
        </w:tabs>
        <w:snapToGrid w:val="0"/>
        <w:spacing w:line="360" w:lineRule="auto"/>
        <w:jc w:val="left"/>
        <w:rPr>
          <w:rFonts w:hint="eastAsia"/>
          <w:b/>
          <w:color w:val="auto"/>
          <w:sz w:val="28"/>
          <w:szCs w:val="28"/>
          <w:highlight w:val="none"/>
        </w:rPr>
      </w:pPr>
    </w:p>
    <w:p w14:paraId="4544ADE9">
      <w:pPr>
        <w:tabs>
          <w:tab w:val="left" w:pos="2352"/>
        </w:tabs>
        <w:snapToGrid w:val="0"/>
        <w:spacing w:line="360" w:lineRule="auto"/>
        <w:jc w:val="left"/>
        <w:rPr>
          <w:rFonts w:hint="eastAsia"/>
          <w:b/>
          <w:color w:val="auto"/>
          <w:sz w:val="28"/>
          <w:szCs w:val="28"/>
          <w:highlight w:val="none"/>
        </w:rPr>
      </w:pPr>
    </w:p>
    <w:p w14:paraId="18A2CCDC">
      <w:pPr>
        <w:tabs>
          <w:tab w:val="left" w:pos="2352"/>
        </w:tabs>
        <w:snapToGrid w:val="0"/>
        <w:spacing w:line="360" w:lineRule="auto"/>
        <w:jc w:val="left"/>
        <w:rPr>
          <w:rFonts w:hint="eastAsia"/>
          <w:b/>
          <w:color w:val="auto"/>
          <w:sz w:val="28"/>
          <w:szCs w:val="28"/>
          <w:highlight w:val="none"/>
        </w:rPr>
      </w:pPr>
    </w:p>
    <w:p w14:paraId="00B60BC2">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2D487AC9">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2B888AE5">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rPr>
        <w:t>泰顺县自然资源和规划局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泰顺县地质灾害风险“一坡一卡”调查评价</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BDB7FFA">
      <w:pPr>
        <w:numPr>
          <w:ilvl w:val="0"/>
          <w:numId w:val="6"/>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4CD6A62">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833C9D3">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D4BAE5B">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2A8D977C">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14:paraId="1E343BA2">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18A62953">
      <w:pPr>
        <w:pStyle w:val="9"/>
        <w:tabs>
          <w:tab w:val="left" w:pos="2352"/>
        </w:tabs>
        <w:rPr>
          <w:color w:val="auto"/>
          <w:highlight w:val="none"/>
        </w:rPr>
      </w:pPr>
    </w:p>
    <w:p w14:paraId="7CE0611B">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396DAA4B">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6A8E6049">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7B069E">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55E34AD5">
      <w:pPr>
        <w:tabs>
          <w:tab w:val="left" w:pos="2352"/>
        </w:tabs>
        <w:snapToGrid w:val="0"/>
        <w:spacing w:line="360" w:lineRule="auto"/>
        <w:ind w:firstLine="446" w:firstLineChars="200"/>
        <w:rPr>
          <w:color w:val="auto"/>
          <w:sz w:val="22"/>
          <w:highlight w:val="none"/>
        </w:rPr>
      </w:pPr>
    </w:p>
    <w:p w14:paraId="072B435A">
      <w:pPr>
        <w:tabs>
          <w:tab w:val="left" w:pos="2352"/>
        </w:tabs>
        <w:snapToGrid w:val="0"/>
        <w:spacing w:line="360" w:lineRule="auto"/>
        <w:ind w:firstLine="446" w:firstLineChars="200"/>
        <w:rPr>
          <w:color w:val="auto"/>
          <w:sz w:val="22"/>
          <w:highlight w:val="none"/>
        </w:rPr>
      </w:pPr>
    </w:p>
    <w:p w14:paraId="4C6B1764">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3615E00F">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14:paraId="7F5BF215">
      <w:pPr>
        <w:pStyle w:val="36"/>
        <w:tabs>
          <w:tab w:val="left" w:pos="2352"/>
        </w:tabs>
        <w:snapToGrid w:val="0"/>
        <w:spacing w:line="360" w:lineRule="auto"/>
        <w:ind w:left="360" w:firstLine="0" w:firstLineChars="0"/>
        <w:rPr>
          <w:rFonts w:cs="宋体"/>
          <w:color w:val="auto"/>
          <w:sz w:val="22"/>
          <w:highlight w:val="none"/>
        </w:rPr>
      </w:pPr>
    </w:p>
    <w:bookmarkEnd w:id="61"/>
    <w:p w14:paraId="16CDBBE4">
      <w:pPr>
        <w:pStyle w:val="8"/>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7C1D0BA6">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1BE7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75A40B4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1B8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18C927CA">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092EF605">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5D62FB28">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3E93F49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144F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24AD380">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4EB5174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810F16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2601B6F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1AB5D951">
            <w:pPr>
              <w:tabs>
                <w:tab w:val="left" w:pos="1069"/>
                <w:tab w:val="left" w:pos="2352"/>
              </w:tabs>
              <w:jc w:val="left"/>
              <w:rPr>
                <w:rFonts w:ascii="宋体" w:hAnsi="宋体" w:cs="宋体"/>
                <w:color w:val="auto"/>
                <w:sz w:val="22"/>
                <w:highlight w:val="none"/>
              </w:rPr>
            </w:pPr>
          </w:p>
        </w:tc>
      </w:tr>
      <w:tr w14:paraId="1CF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576949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05C568F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262261A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36007AC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409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F36860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653455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31FA9B0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37052B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470B1CB9">
            <w:pPr>
              <w:tabs>
                <w:tab w:val="left" w:pos="1069"/>
                <w:tab w:val="left" w:pos="2352"/>
              </w:tabs>
              <w:jc w:val="left"/>
              <w:rPr>
                <w:rFonts w:ascii="宋体" w:hAnsi="宋体" w:cs="宋体"/>
                <w:color w:val="auto"/>
                <w:sz w:val="22"/>
                <w:highlight w:val="none"/>
              </w:rPr>
            </w:pPr>
          </w:p>
        </w:tc>
      </w:tr>
      <w:tr w14:paraId="108F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7B77CB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0ECFD9E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15F5913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4F7DCF3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669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5914C3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60BFE2A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6EA33A2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1F5A3C2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2B900927">
            <w:pPr>
              <w:tabs>
                <w:tab w:val="left" w:pos="1069"/>
                <w:tab w:val="left" w:pos="2352"/>
              </w:tabs>
              <w:jc w:val="left"/>
              <w:rPr>
                <w:rFonts w:ascii="宋体" w:hAnsi="宋体" w:cs="宋体"/>
                <w:color w:val="auto"/>
                <w:sz w:val="22"/>
                <w:highlight w:val="none"/>
              </w:rPr>
            </w:pPr>
          </w:p>
        </w:tc>
      </w:tr>
      <w:tr w14:paraId="4401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03F3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69AFA5AD">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4DA44AEA">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495B456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2FB06589">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4BB4F9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56C6568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1A30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6C9B287">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2B6C71F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8EB21C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0B17F5B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71EE4894">
            <w:pPr>
              <w:tabs>
                <w:tab w:val="left" w:pos="1069"/>
                <w:tab w:val="left" w:pos="2352"/>
              </w:tabs>
              <w:jc w:val="left"/>
              <w:rPr>
                <w:rFonts w:ascii="宋体" w:hAnsi="宋体" w:cs="宋体"/>
                <w:color w:val="auto"/>
                <w:sz w:val="22"/>
                <w:highlight w:val="none"/>
              </w:rPr>
            </w:pPr>
          </w:p>
        </w:tc>
      </w:tr>
      <w:tr w14:paraId="43E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3E1953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010B8A81">
            <w:pPr>
              <w:pStyle w:val="37"/>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11C5A2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50ECB79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74917245">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16C47605">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3325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C16F48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09810B6C">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5478C2B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72B9339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3CE2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AEE6E2">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40B09D6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55683827">
            <w:pPr>
              <w:pStyle w:val="36"/>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691C41E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F91C1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523AD17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0BE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CE317D8">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CA8DAEA">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A6BF1E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5F2B116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4CC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397AC4F0">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3DAF249E">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394AB63E">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74B847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61295CF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04269909">
            <w:pPr>
              <w:tabs>
                <w:tab w:val="left" w:pos="1069"/>
                <w:tab w:val="left" w:pos="2352"/>
              </w:tabs>
              <w:jc w:val="left"/>
              <w:rPr>
                <w:rFonts w:ascii="宋体" w:hAnsi="宋体" w:cs="宋体"/>
                <w:color w:val="auto"/>
                <w:sz w:val="22"/>
                <w:highlight w:val="none"/>
              </w:rPr>
            </w:pPr>
          </w:p>
        </w:tc>
      </w:tr>
    </w:tbl>
    <w:p w14:paraId="6AF854A5">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14:paraId="11AD9E03">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C09E45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7DE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3E7C0EB7">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05204DE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5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7BCEFB8">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52BDA60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382AD38C">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758B3B2C">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22B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22F6B103">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3602EB0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772A31E7">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69337240">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2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9A1F884">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7CC36A4F">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6DF8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179297E">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2F41586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485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D32645C">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317869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391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1578D9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019A91E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588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5A20CF2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1A43D3C">
            <w:pPr>
              <w:tabs>
                <w:tab w:val="left" w:pos="1069"/>
                <w:tab w:val="left" w:pos="2352"/>
              </w:tabs>
              <w:rPr>
                <w:rFonts w:ascii="宋体" w:hAnsi="宋体" w:cs="宋体"/>
                <w:color w:val="auto"/>
                <w:sz w:val="22"/>
                <w:highlight w:val="none"/>
              </w:rPr>
            </w:pPr>
          </w:p>
        </w:tc>
      </w:tr>
      <w:tr w14:paraId="5A7F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DAF941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1BFA9F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BD7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87AED0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4AC3989D">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F1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41D1D22">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4120C22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0DC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52F54C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108910E7">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AC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762146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129E684F">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C18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93268BB">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01CABD9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B18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F301CA8">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20097E0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9D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21A7F52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44DD42B3">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74B4BB58">
      <w:pPr>
        <w:tabs>
          <w:tab w:val="left" w:pos="1069"/>
          <w:tab w:val="left" w:pos="2352"/>
        </w:tabs>
        <w:rPr>
          <w:rFonts w:ascii="宋体" w:hAnsi="宋体" w:cs="宋体"/>
          <w:color w:val="auto"/>
          <w:sz w:val="22"/>
          <w:highlight w:val="none"/>
        </w:rPr>
      </w:pPr>
    </w:p>
    <w:p w14:paraId="2EB6DD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18D38129">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449E8835">
      <w:pPr>
        <w:pStyle w:val="9"/>
        <w:tabs>
          <w:tab w:val="left" w:pos="1069"/>
          <w:tab w:val="left" w:pos="2352"/>
        </w:tabs>
        <w:rPr>
          <w:rFonts w:ascii="宋体" w:hAnsi="宋体" w:cs="宋体"/>
          <w:b/>
          <w:color w:val="auto"/>
          <w:sz w:val="32"/>
          <w:szCs w:val="32"/>
          <w:highlight w:val="none"/>
        </w:rPr>
      </w:pPr>
    </w:p>
    <w:p w14:paraId="1CF2947B">
      <w:pPr>
        <w:tabs>
          <w:tab w:val="left" w:pos="1069"/>
          <w:tab w:val="left" w:pos="2352"/>
        </w:tabs>
        <w:snapToGrid w:val="0"/>
        <w:spacing w:line="380" w:lineRule="exact"/>
        <w:jc w:val="center"/>
        <w:rPr>
          <w:rFonts w:ascii="宋体" w:hAnsi="宋体" w:cs="宋体"/>
          <w:b/>
          <w:color w:val="auto"/>
          <w:sz w:val="32"/>
          <w:szCs w:val="32"/>
          <w:highlight w:val="none"/>
        </w:rPr>
      </w:pPr>
    </w:p>
    <w:p w14:paraId="5CA69884">
      <w:pPr>
        <w:tabs>
          <w:tab w:val="left" w:pos="1069"/>
          <w:tab w:val="left" w:pos="2352"/>
        </w:tabs>
        <w:snapToGrid w:val="0"/>
        <w:spacing w:line="380" w:lineRule="exact"/>
        <w:jc w:val="center"/>
        <w:rPr>
          <w:rFonts w:ascii="宋体" w:hAnsi="宋体" w:cs="宋体"/>
          <w:b/>
          <w:color w:val="auto"/>
          <w:sz w:val="32"/>
          <w:szCs w:val="32"/>
          <w:highlight w:val="none"/>
        </w:rPr>
      </w:pPr>
    </w:p>
    <w:p w14:paraId="1C973342">
      <w:pPr>
        <w:tabs>
          <w:tab w:val="left" w:pos="1069"/>
          <w:tab w:val="left" w:pos="2352"/>
        </w:tabs>
        <w:snapToGrid w:val="0"/>
        <w:spacing w:line="380" w:lineRule="exact"/>
        <w:jc w:val="center"/>
        <w:rPr>
          <w:rFonts w:ascii="宋体" w:hAnsi="宋体" w:cs="宋体"/>
          <w:b/>
          <w:color w:val="auto"/>
          <w:sz w:val="32"/>
          <w:szCs w:val="32"/>
          <w:highlight w:val="none"/>
        </w:rPr>
      </w:pPr>
    </w:p>
    <w:p w14:paraId="0FB5DA80">
      <w:pPr>
        <w:tabs>
          <w:tab w:val="left" w:pos="1069"/>
          <w:tab w:val="left" w:pos="2352"/>
        </w:tabs>
        <w:snapToGrid w:val="0"/>
        <w:spacing w:line="380" w:lineRule="exact"/>
        <w:jc w:val="center"/>
        <w:rPr>
          <w:rFonts w:ascii="宋体" w:hAnsi="宋体" w:cs="宋体"/>
          <w:b/>
          <w:color w:val="auto"/>
          <w:sz w:val="32"/>
          <w:szCs w:val="32"/>
          <w:highlight w:val="none"/>
        </w:rPr>
      </w:pPr>
    </w:p>
    <w:p w14:paraId="10FD8565">
      <w:pPr>
        <w:tabs>
          <w:tab w:val="left" w:pos="1069"/>
          <w:tab w:val="left" w:pos="2352"/>
        </w:tabs>
        <w:snapToGrid w:val="0"/>
        <w:spacing w:line="380" w:lineRule="exact"/>
        <w:jc w:val="center"/>
        <w:rPr>
          <w:rFonts w:ascii="宋体" w:hAnsi="宋体" w:cs="宋体"/>
          <w:b/>
          <w:color w:val="auto"/>
          <w:sz w:val="32"/>
          <w:szCs w:val="32"/>
          <w:highlight w:val="none"/>
        </w:rPr>
      </w:pPr>
    </w:p>
    <w:p w14:paraId="397CF09D">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94EBF3F">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9"/>
      <w:bookmarkStart w:id="62" w:name="_Toc11700_WPSOffice_Level1"/>
    </w:p>
    <w:p w14:paraId="09F995C7">
      <w:pPr>
        <w:tabs>
          <w:tab w:val="left" w:pos="1069"/>
          <w:tab w:val="left" w:pos="2352"/>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14:paraId="3B1FE4C9">
      <w:pPr>
        <w:tabs>
          <w:tab w:val="left" w:pos="1069"/>
          <w:tab w:val="left" w:pos="2352"/>
        </w:tabs>
        <w:spacing w:line="460" w:lineRule="exact"/>
        <w:rPr>
          <w:rFonts w:ascii="宋体"/>
          <w:color w:val="auto"/>
          <w:sz w:val="22"/>
          <w:highlight w:val="none"/>
        </w:rPr>
      </w:pPr>
      <w:r>
        <w:rPr>
          <w:rFonts w:hint="eastAsia" w:ascii="宋体"/>
          <w:color w:val="auto"/>
          <w:sz w:val="22"/>
          <w:highlight w:val="none"/>
        </w:rPr>
        <w:t>乙方（中标单位）：</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14:paraId="7EA7D20A">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甲、乙双方根据</w:t>
      </w:r>
      <w:r>
        <w:rPr>
          <w:rFonts w:hint="eastAsia" w:ascii="宋体" w:hAnsi="宋体" w:cs="宋体"/>
          <w:bCs/>
          <w:color w:val="auto"/>
          <w:sz w:val="22"/>
          <w:highlight w:val="none"/>
          <w:u w:val="single"/>
          <w:lang w:eastAsia="zh-CN"/>
        </w:rPr>
        <w:t>泰顺县地质灾害风险“一坡一卡”调查评价</w:t>
      </w:r>
      <w:r>
        <w:rPr>
          <w:rFonts w:hint="eastAsia" w:ascii="宋体" w:hAnsi="宋体" w:cs="宋体"/>
          <w:bCs/>
          <w:color w:val="auto"/>
          <w:sz w:val="22"/>
          <w:highlight w:val="none"/>
          <w:u w:val="single"/>
        </w:rPr>
        <w:t>（项目编号：</w:t>
      </w:r>
      <w:r>
        <w:rPr>
          <w:rFonts w:hint="eastAsia" w:ascii="宋体" w:hAnsi="宋体" w:cs="宋体"/>
          <w:bCs/>
          <w:color w:val="auto"/>
          <w:sz w:val="22"/>
          <w:highlight w:val="none"/>
          <w:u w:val="single"/>
          <w:lang w:eastAsia="zh-CN"/>
        </w:rPr>
        <w:t xml:space="preserve">TSCG202506026 </w:t>
      </w:r>
      <w:r>
        <w:rPr>
          <w:rFonts w:hint="eastAsia" w:ascii="宋体" w:hAnsi="宋体" w:cs="宋体"/>
          <w:bCs/>
          <w:color w:val="auto"/>
          <w:sz w:val="22"/>
          <w:highlight w:val="none"/>
          <w:u w:val="single"/>
        </w:rPr>
        <w:t>）公开</w:t>
      </w:r>
      <w:r>
        <w:rPr>
          <w:rFonts w:hint="eastAsia" w:ascii="宋体" w:hAnsi="宋体" w:cs="宋体"/>
          <w:bCs/>
          <w:color w:val="auto"/>
          <w:sz w:val="22"/>
          <w:highlight w:val="none"/>
        </w:rPr>
        <w:t>招标采购结果，签订此合同。</w:t>
      </w:r>
    </w:p>
    <w:p w14:paraId="2C63B04D">
      <w:pPr>
        <w:tabs>
          <w:tab w:val="left" w:pos="1069"/>
          <w:tab w:val="left" w:pos="2352"/>
        </w:tabs>
        <w:snapToGrid w:val="0"/>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一、合同内容</w:t>
      </w:r>
    </w:p>
    <w:p w14:paraId="32A970CC">
      <w:pPr>
        <w:pStyle w:val="6"/>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具体工作内容</w:t>
      </w:r>
    </w:p>
    <w:p w14:paraId="1B16455A">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（一）资料收集。</w:t>
      </w:r>
      <w:r>
        <w:rPr>
          <w:rFonts w:hint="eastAsia" w:ascii="宋体" w:hAnsi="宋体" w:eastAsia="宋体" w:cs="宋体"/>
          <w:color w:val="auto"/>
          <w:sz w:val="22"/>
          <w:szCs w:val="22"/>
          <w:highlight w:val="none"/>
          <w:lang w:val="en-US" w:eastAsia="zh-CN"/>
        </w:rPr>
        <w:t>泰顺</w:t>
      </w:r>
      <w:r>
        <w:rPr>
          <w:rFonts w:hint="eastAsia" w:ascii="宋体" w:hAnsi="宋体" w:eastAsia="宋体" w:cs="宋体"/>
          <w:color w:val="auto"/>
          <w:sz w:val="22"/>
          <w:szCs w:val="22"/>
          <w:highlight w:val="none"/>
        </w:rPr>
        <w:t>县地质灾害防治规划、以往地质灾害调查评价成果（包含风险普查、乡镇地质灾害风险调查、切坡建房、农村山区、小流域泥石流、历史灾害点（核销）、在库灾害点、即查即治灾害点等）、高精度地理测绘成果、承灾体等资料。</w:t>
      </w:r>
    </w:p>
    <w:p w14:paraId="4CA650D7">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（二）设计书编制。参照《浙江省乡镇（街道）地质灾害风险调查评价技术要求（试行）》附录A编写地质灾害风险“一坡一卡”建设设计书。</w:t>
      </w:r>
    </w:p>
    <w:p w14:paraId="5B6EA9C1">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划分斜坡单元。一是参照《浙江省乡镇（街道）地质灾害风险调查评价技术要求（试行）》中“附录B斜坡单元划分方法”对未开展乡镇（街道）地质灾害风险调查评价的区域划分斜坡单元；二是对已开展乡镇（街道）地质灾害风险调查评价的区域以往划分斜坡单元进行梳理、调整。</w:t>
      </w:r>
    </w:p>
    <w:p w14:paraId="76D36726">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（四）调查划定潜在致灾体、承灾体范围。在收集整理分析以往地质灾害专项调查、切坡建房调查、年度排查等成果基础上，开展遥感调查和野外补充调查，分别划定斜坡单元内潜在致灾体和承灾体范围。</w:t>
      </w:r>
    </w:p>
    <w:p w14:paraId="6F900066">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1.遥感调查：对县内未做过山区乡镇地质灾害风险调查评价的山区乡镇区域（除去平原区），采用高精度地理测绘成果开展孕灾地质条件及承灾体调查。</w:t>
      </w:r>
    </w:p>
    <w:p w14:paraId="52787EED">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2.地面补充调查：在充分集成以往地质灾害调查评价资料基础上，对无法获取相关参数的斜坡（沟谷）单元开展地面补充调查。</w:t>
      </w:r>
    </w:p>
    <w:p w14:paraId="5F7D6A9D">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（五）地质灾害评价及划定。开展斜坡单元地质灾害易发性、危险性和风险评价，划定地质灾害风险防范区。</w:t>
      </w:r>
    </w:p>
    <w:p w14:paraId="12C25A66">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降雨预警阈值设定。在充分收集分析以往地质灾害发生特征和降雨资料的基础上，采用定量计算和定性分析相结合的方式，灵活设定斜坡（沟谷）降雨预警阈值。参照《浙江省地质灾害风险”一坡一卡“调查评价技术要求（试行）》、《浙江省乡镇（街道）地质灾害风险调查评价技术要求（试行）》中“附录M降雨阈值研究的主要方法”的要求执行。</w:t>
      </w:r>
    </w:p>
    <w:p w14:paraId="3509DD2A">
      <w:pPr>
        <w:spacing w:line="5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（七）成果报告编制。参照《浙江省乡镇（街道）地质灾害风险调查评价技术要求（试行）》完成成果报告编制，根据调查评价成果，划定地质灾害风险防范区，提出地质灾害风险防控对策建议。</w:t>
      </w:r>
    </w:p>
    <w:p w14:paraId="4D5574B8">
      <w:pPr>
        <w:spacing w:line="500" w:lineRule="exact"/>
        <w:ind w:firstLine="446" w:firstLineChars="200"/>
        <w:rPr>
          <w:rFonts w:ascii="宋体" w:hAnsi="宋体" w:cs="宋体"/>
          <w:color w:val="auto"/>
          <w:sz w:val="22"/>
          <w:highlight w:val="none"/>
        </w:rPr>
      </w:pPr>
      <w:r>
        <w:rPr>
          <w:rFonts w:hint="eastAsia" w:ascii="宋体" w:hAnsi="宋体" w:eastAsia="宋体" w:cs="宋体"/>
          <w:color w:val="auto"/>
          <w:sz w:val="22"/>
          <w:szCs w:val="22"/>
          <w:highlight w:val="none"/>
        </w:rPr>
        <w:t>（八）数据库建设。利用“地质灾害综合数据录入采集系统”，开展常山县地质灾害风险“一坡一卡”空间数据库建设，数据库建设内容包括项目基本信息、野外调查数据、空间图形数据、成果资料等。</w:t>
      </w:r>
    </w:p>
    <w:p w14:paraId="301377D7">
      <w:pPr>
        <w:tabs>
          <w:tab w:val="left" w:pos="1069"/>
          <w:tab w:val="left" w:pos="2352"/>
        </w:tabs>
        <w:snapToGrid w:val="0"/>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二、合同金额</w:t>
      </w:r>
    </w:p>
    <w:p w14:paraId="6DC21335">
      <w:pPr>
        <w:tabs>
          <w:tab w:val="left" w:pos="1069"/>
          <w:tab w:val="left" w:pos="2352"/>
        </w:tabs>
        <w:snapToGrid w:val="0"/>
        <w:spacing w:line="400" w:lineRule="exact"/>
        <w:rPr>
          <w:rFonts w:ascii="宋体" w:hAnsi="宋体" w:cs="宋体"/>
          <w:bCs/>
          <w:color w:val="auto"/>
          <w:sz w:val="22"/>
          <w:highlight w:val="none"/>
        </w:rPr>
      </w:pPr>
      <w:r>
        <w:rPr>
          <w:rFonts w:hint="eastAsia" w:ascii="宋体" w:hAnsi="宋体" w:cs="宋体"/>
          <w:bCs/>
          <w:color w:val="auto"/>
          <w:sz w:val="22"/>
          <w:highlight w:val="none"/>
        </w:rPr>
        <w:t xml:space="preserve">   1.合同金额：</w:t>
      </w:r>
    </w:p>
    <w:p w14:paraId="76FC9E52">
      <w:pPr>
        <w:tabs>
          <w:tab w:val="left" w:pos="1060"/>
          <w:tab w:val="left" w:pos="1069"/>
          <w:tab w:val="left" w:pos="2352"/>
        </w:tabs>
        <w:spacing w:line="400" w:lineRule="exact"/>
        <w:ind w:firstLine="446" w:firstLineChars="200"/>
        <w:rPr>
          <w:rFonts w:ascii="宋体" w:hAnsi="宋体" w:cs="宋体"/>
          <w:bCs/>
          <w:color w:val="auto"/>
          <w:sz w:val="22"/>
          <w:highlight w:val="none"/>
          <w:u w:val="single"/>
        </w:rPr>
      </w:pPr>
      <w:r>
        <w:rPr>
          <w:rFonts w:hint="eastAsia" w:ascii="宋体" w:hAnsi="宋体" w:cs="宋体"/>
          <w:bCs/>
          <w:color w:val="auto"/>
          <w:sz w:val="22"/>
          <w:highlight w:val="none"/>
        </w:rPr>
        <w:t>合同总价：</w:t>
      </w:r>
      <w:r>
        <w:rPr>
          <w:rFonts w:hint="eastAsia" w:ascii="宋体" w:hAnsi="宋体" w:cs="宋体"/>
          <w:bCs/>
          <w:color w:val="auto"/>
          <w:sz w:val="22"/>
          <w:highlight w:val="none"/>
          <w:u w:val="single"/>
        </w:rPr>
        <w:t>人民币（大写）        元整（￥      ）。</w:t>
      </w:r>
    </w:p>
    <w:p w14:paraId="705D384C">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合同金额己包含因采购本项目所需服务而产生的全部费用和税费、合理理利润、验收费用以及采购需求未提及但完成本项目所需服务必不可少的费用。</w:t>
      </w:r>
    </w:p>
    <w:p w14:paraId="1FFBA6BE">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三、成果提交</w:t>
      </w:r>
    </w:p>
    <w:p w14:paraId="798C924E">
      <w:pPr>
        <w:spacing w:line="400" w:lineRule="exact"/>
        <w:ind w:firstLine="426" w:firstLineChars="200"/>
        <w:rPr>
          <w:rFonts w:ascii="宋体" w:hAnsi="宋体" w:cs="宋体"/>
          <w:bCs/>
          <w:color w:val="auto"/>
          <w:sz w:val="22"/>
          <w:highlight w:val="none"/>
        </w:rPr>
      </w:pPr>
      <w:r>
        <w:rPr>
          <w:rFonts w:hint="eastAsia" w:ascii="宋体" w:hAnsi="宋体" w:eastAsia="宋体" w:cs="宋体"/>
          <w:color w:val="auto"/>
          <w:highlight w:val="none"/>
        </w:rPr>
        <w:t>按照《浙江省地质灾害风险”一坡一卡“调查评价技术要求（试行）》提交</w:t>
      </w:r>
      <w:r>
        <w:rPr>
          <w:rFonts w:hint="eastAsia" w:ascii="宋体" w:hAnsi="宋体" w:eastAsia="宋体" w:cs="宋体"/>
          <w:color w:val="auto"/>
          <w:highlight w:val="none"/>
          <w:lang w:val="en-US" w:eastAsia="zh-CN"/>
        </w:rPr>
        <w:t>泰顺</w:t>
      </w:r>
      <w:r>
        <w:rPr>
          <w:rFonts w:hint="eastAsia" w:ascii="宋体" w:hAnsi="宋体" w:eastAsia="宋体" w:cs="宋体"/>
          <w:color w:val="auto"/>
          <w:highlight w:val="none"/>
        </w:rPr>
        <w:t>县“一坡一卡”风险调查报告、风险调查附图、地质灾害风险管控图册（未开展乡镇地质灾害风险调查评价，分乡镇编制）、数据库建设报告等。</w:t>
      </w:r>
    </w:p>
    <w:p w14:paraId="11613EB9">
      <w:pPr>
        <w:tabs>
          <w:tab w:val="left" w:pos="1069"/>
          <w:tab w:val="left" w:pos="2352"/>
        </w:tabs>
        <w:spacing w:line="400" w:lineRule="exact"/>
        <w:ind w:firstLine="223" w:firstLineChars="100"/>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四、知识产权</w:t>
      </w:r>
    </w:p>
    <w:p w14:paraId="6035C975">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 xml:space="preserve">  乙方应保证提供服务过程中不会侵犯任何第三方的知识产权，所有提交资料成果所有权均归甲方所有，不得设置保密、保护措施。没有甲方事先书面同意，乙方不得将由甲方提供的有关合同或任何合同条文、规划报告、图纸、样品或资料提供给与履行本合同无关的任何其他人。即使向履行本合同有关的人员提供，也应注意保密并限于履行合同的必需范围。</w:t>
      </w:r>
    </w:p>
    <w:p w14:paraId="2FEC2189">
      <w:pPr>
        <w:tabs>
          <w:tab w:val="left" w:pos="1069"/>
          <w:tab w:val="left" w:pos="2352"/>
        </w:tabs>
        <w:spacing w:line="400" w:lineRule="exact"/>
        <w:ind w:firstLine="223" w:firstLineChars="100"/>
        <w:rPr>
          <w:rFonts w:hint="eastAsia" w:ascii="宋体" w:hAnsi="宋体" w:cs="宋体"/>
          <w:b/>
          <w:bCs w:val="0"/>
          <w:color w:val="auto"/>
          <w:sz w:val="22"/>
          <w:highlight w:val="none"/>
        </w:rPr>
      </w:pPr>
      <w:r>
        <w:rPr>
          <w:rFonts w:hint="eastAsia" w:ascii="宋体" w:hAnsi="宋体" w:cs="宋体"/>
          <w:b/>
          <w:bCs w:val="0"/>
          <w:color w:val="auto"/>
          <w:sz w:val="22"/>
          <w:highlight w:val="none"/>
        </w:rPr>
        <w:t>五、转包或分包</w:t>
      </w:r>
    </w:p>
    <w:p w14:paraId="68ABDF0D">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1.本合同范围的服务，应由乙方直接供应，不得转让他人供应；</w:t>
      </w:r>
    </w:p>
    <w:p w14:paraId="7EFA524D">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2.除非得到甲方的书面同意，乙方不得将本合同范围的服务全部或部分分包给他人供应；</w:t>
      </w:r>
    </w:p>
    <w:p w14:paraId="74D09772">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3.如有转让和未经甲方同意的分包行为，甲方有权解除合同，并追究乙方的违约责任。</w:t>
      </w:r>
    </w:p>
    <w:p w14:paraId="3D2E57C0">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六、工期进度要求及履行地点</w:t>
      </w:r>
    </w:p>
    <w:p w14:paraId="6F58BBBA">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1.工期进度要求</w:t>
      </w:r>
    </w:p>
    <w:p w14:paraId="5BF3B1FF">
      <w:pPr>
        <w:tabs>
          <w:tab w:val="left" w:pos="1069"/>
          <w:tab w:val="left" w:pos="2352"/>
        </w:tabs>
        <w:spacing w:line="400" w:lineRule="exact"/>
        <w:ind w:firstLine="223" w:firstLineChars="100"/>
        <w:rPr>
          <w:rFonts w:hint="eastAsia" w:ascii="宋体" w:hAnsi="宋体" w:eastAsia="宋体" w:cs="宋体"/>
          <w:bCs/>
          <w:color w:val="auto"/>
          <w:sz w:val="22"/>
          <w:highlight w:val="none"/>
          <w:lang w:eastAsia="zh-CN"/>
        </w:rPr>
      </w:pPr>
      <w:r>
        <w:rPr>
          <w:rFonts w:hint="eastAsia" w:ascii="宋体" w:hAnsi="宋体" w:cs="宋体"/>
          <w:bCs/>
          <w:color w:val="auto"/>
          <w:sz w:val="22"/>
          <w:highlight w:val="none"/>
        </w:rPr>
        <w:t>成果于202</w:t>
      </w:r>
      <w:r>
        <w:rPr>
          <w:rFonts w:hint="eastAsia" w:ascii="宋体" w:hAnsi="宋体" w:cs="宋体"/>
          <w:bCs/>
          <w:color w:val="auto"/>
          <w:sz w:val="22"/>
          <w:highlight w:val="none"/>
          <w:lang w:val="en-US" w:eastAsia="zh-CN"/>
        </w:rPr>
        <w:t>5</w:t>
      </w:r>
      <w:r>
        <w:rPr>
          <w:rFonts w:hint="eastAsia" w:ascii="宋体" w:hAnsi="宋体" w:cs="宋体"/>
          <w:bCs/>
          <w:color w:val="auto"/>
          <w:sz w:val="22"/>
          <w:highlight w:val="none"/>
        </w:rPr>
        <w:t>年</w:t>
      </w:r>
      <w:r>
        <w:rPr>
          <w:rFonts w:hint="eastAsia" w:ascii="宋体" w:hAnsi="宋体" w:cs="宋体"/>
          <w:bCs/>
          <w:color w:val="auto"/>
          <w:sz w:val="22"/>
          <w:highlight w:val="none"/>
          <w:lang w:val="en-US" w:eastAsia="zh-CN"/>
        </w:rPr>
        <w:t xml:space="preserve"> 12月15日前</w:t>
      </w:r>
      <w:r>
        <w:rPr>
          <w:rFonts w:hint="eastAsia" w:ascii="宋体" w:hAnsi="宋体" w:cs="宋体"/>
          <w:bCs/>
          <w:color w:val="auto"/>
          <w:sz w:val="22"/>
          <w:highlight w:val="none"/>
        </w:rPr>
        <w:t>提交</w:t>
      </w:r>
      <w:r>
        <w:rPr>
          <w:rFonts w:hint="eastAsia" w:ascii="宋体" w:hAnsi="宋体" w:cs="宋体"/>
          <w:bCs/>
          <w:color w:val="auto"/>
          <w:sz w:val="22"/>
          <w:highlight w:val="none"/>
          <w:lang w:eastAsia="zh-CN"/>
        </w:rPr>
        <w:t>。</w:t>
      </w:r>
    </w:p>
    <w:p w14:paraId="681BB1C2">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2.履行地点：甲方指定地点。</w:t>
      </w:r>
    </w:p>
    <w:p w14:paraId="33DF4D56">
      <w:pPr>
        <w:tabs>
          <w:tab w:val="left" w:pos="1069"/>
          <w:tab w:val="left" w:pos="2352"/>
        </w:tabs>
        <w:spacing w:line="400" w:lineRule="exact"/>
        <w:ind w:firstLine="223" w:firstLineChars="100"/>
        <w:rPr>
          <w:rFonts w:hint="eastAsia" w:ascii="宋体" w:hAnsi="宋体" w:cs="宋体"/>
          <w:b/>
          <w:bCs w:val="0"/>
          <w:color w:val="auto"/>
          <w:sz w:val="22"/>
          <w:highlight w:val="none"/>
        </w:rPr>
      </w:pPr>
      <w:r>
        <w:rPr>
          <w:rFonts w:hint="eastAsia" w:ascii="宋体" w:hAnsi="宋体" w:cs="宋体"/>
          <w:b/>
          <w:bCs w:val="0"/>
          <w:color w:val="auto"/>
          <w:sz w:val="22"/>
          <w:highlight w:val="none"/>
        </w:rPr>
        <w:t>七、付款方式</w:t>
      </w:r>
    </w:p>
    <w:p w14:paraId="6A950E5E">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下列付款条件具备后，乙方提供相应的增值税发票并经甲方确认无误后7个工作日内支付合同价款。</w:t>
      </w:r>
    </w:p>
    <w:p w14:paraId="298B53C9">
      <w:pPr>
        <w:tabs>
          <w:tab w:val="left" w:pos="1069"/>
          <w:tab w:val="left" w:pos="2352"/>
        </w:tabs>
        <w:spacing w:line="400" w:lineRule="exact"/>
        <w:ind w:firstLine="223" w:firstLineChars="100"/>
        <w:rPr>
          <w:rFonts w:ascii="宋体" w:hAnsi="宋体" w:cs="宋体"/>
          <w:color w:val="auto"/>
          <w:sz w:val="22"/>
          <w:highlight w:val="none"/>
        </w:rPr>
      </w:pPr>
      <w:r>
        <w:rPr>
          <w:rFonts w:hint="eastAsia" w:ascii="宋体" w:hAnsi="宋体" w:cs="宋体"/>
          <w:bCs/>
          <w:color w:val="auto"/>
          <w:sz w:val="22"/>
          <w:highlight w:val="none"/>
        </w:rPr>
        <w:t>根据《保障中小企业款项支付条例》、省财政厅《关于坚决打赢疫情防控阻击战进一步做好政府采购资金支持企业发展工作的通知》（浙财采监〔2020〕33号）、省财政厅《关于进一步发挥政府采购政策功能全力推动经济稳进</w:t>
      </w:r>
      <w:r>
        <w:rPr>
          <w:rFonts w:hint="eastAsia" w:ascii="宋体" w:hAnsi="宋体" w:cs="宋体"/>
          <w:color w:val="auto"/>
          <w:sz w:val="22"/>
          <w:highlight w:val="none"/>
        </w:rPr>
        <w:t>提质的通知》（浙财采监〔2022〕3号）、《关于进一步加大政府采购 支持中小企业力度 助力扎实稳住经济 的通知》（浙财采监〔2022〕8号）要求。</w:t>
      </w:r>
    </w:p>
    <w:p w14:paraId="15764A45">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制定如下付款方式：</w:t>
      </w:r>
    </w:p>
    <w:p w14:paraId="783CE8CD">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1.合同生效且具备支付条件后，甲方预付合同总价的40%，即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14:paraId="16B03D3D">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2.通过甲方验收后，甲方支付合同总价的60%，即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14:paraId="38F4A1C9">
      <w:pPr>
        <w:pStyle w:val="12"/>
        <w:numPr>
          <w:ilvl w:val="0"/>
          <w:numId w:val="7"/>
        </w:numPr>
        <w:tabs>
          <w:tab w:val="left" w:pos="1069"/>
          <w:tab w:val="left" w:pos="2352"/>
        </w:tabs>
        <w:snapToGrid w:val="0"/>
        <w:spacing w:line="400" w:lineRule="exact"/>
        <w:ind w:firstLine="223" w:firstLineChars="100"/>
        <w:rPr>
          <w:rFonts w:hAnsi="宋体" w:cs="宋体"/>
          <w:b/>
          <w:color w:val="auto"/>
          <w:kern w:val="2"/>
          <w:sz w:val="22"/>
          <w:szCs w:val="22"/>
          <w:highlight w:val="none"/>
        </w:rPr>
      </w:pPr>
      <w:r>
        <w:rPr>
          <w:rFonts w:hint="eastAsia" w:hAnsi="宋体" w:cs="宋体"/>
          <w:b/>
          <w:color w:val="auto"/>
          <w:kern w:val="2"/>
          <w:sz w:val="22"/>
          <w:szCs w:val="22"/>
          <w:highlight w:val="none"/>
        </w:rPr>
        <w:t>验收</w:t>
      </w:r>
    </w:p>
    <w:p w14:paraId="18DB3D3B">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1.按项目相关规定、规范进行。</w:t>
      </w:r>
    </w:p>
    <w:p w14:paraId="1EEF2387">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2.验收标准：提交的</w:t>
      </w:r>
      <w:r>
        <w:rPr>
          <w:rFonts w:hint="eastAsia" w:ascii="宋体" w:hAnsi="宋体" w:cs="宋体"/>
          <w:color w:val="auto"/>
          <w:sz w:val="22"/>
          <w:highlight w:val="none"/>
        </w:rPr>
        <w:t>成果通过专家评审，满足省市考核要求</w:t>
      </w:r>
      <w:r>
        <w:rPr>
          <w:rFonts w:hint="eastAsia" w:ascii="宋体" w:hAnsi="宋体"/>
          <w:color w:val="auto"/>
          <w:sz w:val="22"/>
          <w:highlight w:val="none"/>
        </w:rPr>
        <w:t>。</w:t>
      </w:r>
    </w:p>
    <w:p w14:paraId="5BE6DBCE">
      <w:pPr>
        <w:tabs>
          <w:tab w:val="left" w:pos="1069"/>
          <w:tab w:val="left" w:pos="2352"/>
        </w:tabs>
        <w:snapToGrid w:val="0"/>
        <w:spacing w:line="400" w:lineRule="exact"/>
        <w:ind w:firstLine="223" w:firstLineChars="100"/>
        <w:rPr>
          <w:rFonts w:hAnsi="宋体" w:cs="宋体"/>
          <w:b/>
          <w:color w:val="auto"/>
          <w:sz w:val="22"/>
          <w:highlight w:val="none"/>
        </w:rPr>
      </w:pPr>
      <w:r>
        <w:rPr>
          <w:rFonts w:hint="eastAsia" w:ascii="宋体" w:hAnsi="宋体"/>
          <w:color w:val="auto"/>
          <w:sz w:val="22"/>
          <w:highlight w:val="none"/>
        </w:rPr>
        <w:t>3.验收所需（含专家评审费用）费用由乙方承担</w:t>
      </w:r>
      <w:r>
        <w:rPr>
          <w:rFonts w:hint="eastAsia" w:hAnsi="宋体" w:cs="宋体"/>
          <w:bCs/>
          <w:color w:val="auto"/>
          <w:sz w:val="22"/>
          <w:highlight w:val="none"/>
        </w:rPr>
        <w:t>。</w:t>
      </w:r>
    </w:p>
    <w:p w14:paraId="61A67C7D">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
          <w:color w:val="auto"/>
          <w:sz w:val="22"/>
          <w:szCs w:val="22"/>
          <w:highlight w:val="none"/>
        </w:rPr>
        <w:t>九、税费</w:t>
      </w:r>
    </w:p>
    <w:p w14:paraId="01B7BA9B">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本合同执行中相关的一切税费均由乙方负担。</w:t>
      </w:r>
    </w:p>
    <w:p w14:paraId="17794395">
      <w:pPr>
        <w:tabs>
          <w:tab w:val="left" w:pos="2352"/>
        </w:tabs>
        <w:spacing w:line="400" w:lineRule="exact"/>
        <w:ind w:firstLine="223" w:firstLineChars="100"/>
        <w:rPr>
          <w:rFonts w:hAnsi="宋体" w:cs="宋体"/>
          <w:b/>
          <w:color w:val="auto"/>
          <w:sz w:val="22"/>
          <w:highlight w:val="none"/>
        </w:rPr>
      </w:pPr>
      <w:r>
        <w:rPr>
          <w:rFonts w:hint="eastAsia" w:hAnsi="宋体" w:cs="宋体"/>
          <w:b/>
          <w:bCs w:val="0"/>
          <w:color w:val="auto"/>
          <w:sz w:val="22"/>
          <w:highlight w:val="none"/>
        </w:rPr>
        <w:t>十、</w:t>
      </w:r>
      <w:r>
        <w:rPr>
          <w:rFonts w:hint="eastAsia" w:hAnsi="宋体" w:cs="宋体"/>
          <w:b/>
          <w:color w:val="auto"/>
          <w:sz w:val="22"/>
          <w:highlight w:val="none"/>
        </w:rPr>
        <w:t>质量保证及后续服务</w:t>
      </w:r>
    </w:p>
    <w:p w14:paraId="74A2AAD1">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1．本项目成果维护期为自项目验收合格之日起1年</w:t>
      </w:r>
      <w:r>
        <w:rPr>
          <w:rFonts w:hint="eastAsia" w:ascii="宋体" w:hAnsi="宋体" w:cs="宋体"/>
          <w:color w:val="auto"/>
          <w:sz w:val="22"/>
          <w:highlight w:val="none"/>
        </w:rPr>
        <w:t>。</w:t>
      </w:r>
      <w:r>
        <w:rPr>
          <w:rFonts w:hint="eastAsia" w:hAnsi="宋体" w:cs="宋体"/>
          <w:bCs/>
          <w:color w:val="auto"/>
          <w:sz w:val="22"/>
          <w:highlight w:val="none"/>
        </w:rPr>
        <w:t>维护期内乙方负责提供免费的技术、咨询及修改工作，乙方应对服务成果出现的质量问题负责处理解决并承担一切费用。</w:t>
      </w:r>
    </w:p>
    <w:p w14:paraId="7EB02C1E">
      <w:pPr>
        <w:pStyle w:val="12"/>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2.乙方应按响应文件承诺及采购文件规定向甲方提供服务。</w:t>
      </w:r>
    </w:p>
    <w:p w14:paraId="2955D4F1">
      <w:pPr>
        <w:pStyle w:val="12"/>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3．乙方提供的服务成果在服务质量保证期内发生质量问题，乙方应负责免费提供后续服务。对达不到要求者，根据实际情况，经双方协商，可按以下办法处理：</w:t>
      </w:r>
    </w:p>
    <w:p w14:paraId="3F04CB7F">
      <w:pPr>
        <w:pStyle w:val="12"/>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（1）重做：由乙方承担所发生的全部费用。</w:t>
      </w:r>
    </w:p>
    <w:p w14:paraId="0BFDEEB3">
      <w:pPr>
        <w:pStyle w:val="12"/>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（2）贬值处理：由甲乙双方合议定价。</w:t>
      </w:r>
    </w:p>
    <w:p w14:paraId="20F82503">
      <w:pPr>
        <w:pStyle w:val="12"/>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（3）解除合同。</w:t>
      </w:r>
    </w:p>
    <w:p w14:paraId="70A55974">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4.乙方需提供7×24小时电话技术咨询支持，在收到甲方质量问题通知后30分钟内须作出有效响应，如非现场响应无法解决问题的，须到达现场解决问题。</w:t>
      </w:r>
    </w:p>
    <w:p w14:paraId="4771F4C0">
      <w:pPr>
        <w:pStyle w:val="12"/>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Cs/>
          <w:color w:val="auto"/>
          <w:sz w:val="22"/>
          <w:szCs w:val="22"/>
          <w:highlight w:val="none"/>
        </w:rPr>
        <w:t xml:space="preserve"> </w:t>
      </w:r>
      <w:r>
        <w:rPr>
          <w:rFonts w:hint="eastAsia" w:hAnsi="宋体" w:cs="宋体"/>
          <w:b/>
          <w:color w:val="auto"/>
          <w:sz w:val="22"/>
          <w:szCs w:val="22"/>
          <w:highlight w:val="none"/>
        </w:rPr>
        <w:t>十一、违约责任</w:t>
      </w:r>
    </w:p>
    <w:p w14:paraId="2EAA5D5C">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1.乙方没有达到服务质量要求，甲方有权终止服务合同并停止付款及扣除全部服务质量保证金。</w:t>
      </w:r>
    </w:p>
    <w:p w14:paraId="13F1BE93">
      <w:pPr>
        <w:pStyle w:val="12"/>
        <w:tabs>
          <w:tab w:val="left" w:pos="1069"/>
          <w:tab w:val="left" w:pos="2352"/>
        </w:tabs>
        <w:adjustRightInd w:val="0"/>
        <w:snapToGrid w:val="0"/>
        <w:spacing w:line="400" w:lineRule="atLeast"/>
        <w:ind w:firstLine="446" w:firstLineChars="200"/>
        <w:rPr>
          <w:rFonts w:hAnsi="宋体" w:cs="宋体"/>
          <w:bCs/>
          <w:color w:val="auto"/>
          <w:sz w:val="22"/>
          <w:szCs w:val="22"/>
          <w:highlight w:val="none"/>
        </w:rPr>
      </w:pPr>
      <w:r>
        <w:rPr>
          <w:rFonts w:hint="eastAsia" w:hAnsi="宋体" w:cs="宋体"/>
          <w:bCs/>
          <w:color w:val="auto"/>
          <w:sz w:val="22"/>
          <w:szCs w:val="22"/>
          <w:highlight w:val="none"/>
        </w:rPr>
        <w:t>2.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1476304">
      <w:pPr>
        <w:pStyle w:val="12"/>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十二、合同生效和终止</w:t>
      </w:r>
    </w:p>
    <w:p w14:paraId="5AEA7A5B">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1.本合同经双方法定代表人或其授权代表签字盖章后生效。</w:t>
      </w:r>
    </w:p>
    <w:p w14:paraId="2CCF65C2">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2.终止</w:t>
      </w:r>
    </w:p>
    <w:p w14:paraId="5FC63976">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2.1提前终止</w:t>
      </w:r>
    </w:p>
    <w:p w14:paraId="5FB0D826">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（1）乙方未能提供符合本合同约定的服务要求，甲方有权提前终止合同。</w:t>
      </w:r>
    </w:p>
    <w:p w14:paraId="0B2330E5">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（2）乙方未能履行合同和遵守有关规定，在甲方发出书面警告后仍未采取补救措施或补救措施无效的，甲方可立即终止合同。</w:t>
      </w:r>
    </w:p>
    <w:p w14:paraId="36FB0636">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（3）乙方破产清算、重组及兼并等事实发生，或被债权人接管经营，甲方不必通知乙方即可终止合同。</w:t>
      </w:r>
    </w:p>
    <w:p w14:paraId="3ADDD2B9">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2.2自然终止</w:t>
      </w:r>
    </w:p>
    <w:p w14:paraId="7DC9F46F">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合同约定的服务期限届满，本合同自然终止。</w:t>
      </w:r>
    </w:p>
    <w:p w14:paraId="21AAF452">
      <w:pPr>
        <w:pStyle w:val="12"/>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十三、争议的解决</w:t>
      </w:r>
    </w:p>
    <w:p w14:paraId="4C143B0B">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因本合同引起的或与本合同有关的任何争议，合同双方应首先通过协商解决，达成书面协议，如协商不成，可选择下列第（2）种方式解决。</w:t>
      </w:r>
    </w:p>
    <w:p w14:paraId="6C940F37">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（1）提请温州仲裁委员会按照该会仲裁规则进行仲裁，仲裁裁决是终局的，对合同双方均有约束力。</w:t>
      </w:r>
    </w:p>
    <w:p w14:paraId="779AA24F">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（2）向泰顺县人民法院提起诉讼。</w:t>
      </w:r>
    </w:p>
    <w:p w14:paraId="414CD323">
      <w:pPr>
        <w:pStyle w:val="12"/>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十四、不可抗力</w:t>
      </w:r>
    </w:p>
    <w:p w14:paraId="10CBE566">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1.合同存续期间发生地震、火灾及其他双方不能控制的原因，导致服务区域损毁或灭</w:t>
      </w:r>
    </w:p>
    <w:p w14:paraId="1CADE0EA">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失，合同不能或不能全部履行的。双方按以下各项执行：</w:t>
      </w:r>
    </w:p>
    <w:p w14:paraId="752C578E">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（1）任何一方均可以书面形式提出终止合同且无需做出任何赔偿。</w:t>
      </w:r>
    </w:p>
    <w:p w14:paraId="30873D2C">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 因不可抗力导致合同终止，并不影响任何一方对不可抗力发生前的违约行为的合</w:t>
      </w:r>
    </w:p>
    <w:p w14:paraId="2FBB06E9">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法追偿。</w:t>
      </w:r>
    </w:p>
    <w:p w14:paraId="44D81D77">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2.遇国家政策调整，影响合同履行的，双方协商解决。</w:t>
      </w:r>
    </w:p>
    <w:p w14:paraId="18BB687D">
      <w:pPr>
        <w:pStyle w:val="12"/>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十五、合同生效</w:t>
      </w:r>
    </w:p>
    <w:p w14:paraId="4173A899">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1．中标（成交）通知书作为乙方与甲方签订合同的凭证。</w:t>
      </w:r>
    </w:p>
    <w:p w14:paraId="49E1F98A">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2．本合同经甲、乙双方法定代表人或其授权委托人签字并加盖单位公章后生效。</w:t>
      </w:r>
    </w:p>
    <w:p w14:paraId="5FF500CD">
      <w:pPr>
        <w:pStyle w:val="12"/>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 本合同一式伍份，甲、乙双方各执</w:t>
      </w:r>
      <w:r>
        <w:rPr>
          <w:rFonts w:hint="eastAsia" w:hAnsi="宋体" w:cs="宋体"/>
          <w:bCs/>
          <w:color w:val="auto"/>
          <w:sz w:val="22"/>
          <w:szCs w:val="22"/>
          <w:highlight w:val="none"/>
          <w:u w:val="single"/>
        </w:rPr>
        <w:t>贰</w:t>
      </w:r>
      <w:r>
        <w:rPr>
          <w:rFonts w:hint="eastAsia" w:hAnsi="宋体" w:cs="宋体"/>
          <w:bCs/>
          <w:color w:val="auto"/>
          <w:sz w:val="22"/>
          <w:szCs w:val="22"/>
          <w:highlight w:val="none"/>
        </w:rPr>
        <w:t>份，招标代理机构备案</w:t>
      </w:r>
      <w:r>
        <w:rPr>
          <w:rFonts w:hint="eastAsia" w:hAnsi="宋体" w:cs="宋体"/>
          <w:bCs/>
          <w:color w:val="auto"/>
          <w:sz w:val="22"/>
          <w:szCs w:val="22"/>
          <w:highlight w:val="none"/>
          <w:u w:val="single"/>
        </w:rPr>
        <w:t>壹</w:t>
      </w:r>
      <w:r>
        <w:rPr>
          <w:rFonts w:hint="eastAsia" w:hAnsi="宋体" w:cs="宋体"/>
          <w:bCs/>
          <w:color w:val="auto"/>
          <w:sz w:val="22"/>
          <w:szCs w:val="22"/>
          <w:highlight w:val="none"/>
        </w:rPr>
        <w:t>份。</w:t>
      </w:r>
    </w:p>
    <w:p w14:paraId="4B04834D">
      <w:pPr>
        <w:widowControl/>
        <w:tabs>
          <w:tab w:val="left" w:pos="1069"/>
          <w:tab w:val="left" w:pos="2352"/>
        </w:tabs>
        <w:spacing w:line="380" w:lineRule="exact"/>
        <w:jc w:val="left"/>
        <w:rPr>
          <w:rFonts w:ascii="宋体" w:hAnsi="宋体" w:cs="宋体"/>
          <w:b/>
          <w:color w:val="auto"/>
          <w:sz w:val="22"/>
          <w:highlight w:val="none"/>
        </w:rPr>
      </w:pPr>
      <w:r>
        <w:rPr>
          <w:rFonts w:hint="eastAsia" w:ascii="宋体" w:hAnsi="宋体" w:cs="宋体"/>
          <w:b/>
          <w:color w:val="auto"/>
          <w:sz w:val="22"/>
          <w:highlight w:val="none"/>
        </w:rPr>
        <w:t>十六、合同组成文件及解释顺序</w:t>
      </w:r>
    </w:p>
    <w:p w14:paraId="46977BE5">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1．合同条款；</w:t>
      </w:r>
    </w:p>
    <w:p w14:paraId="4DA998E6">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2．中标（成交）通知书；</w:t>
      </w:r>
    </w:p>
    <w:p w14:paraId="3B05AA59">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3．响应文件及澄清内容；</w:t>
      </w:r>
    </w:p>
    <w:p w14:paraId="774EACE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4．澄清更正公告（如有）；</w:t>
      </w:r>
    </w:p>
    <w:p w14:paraId="04EC4D7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5．采购文件。</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716"/>
      </w:tblGrid>
      <w:tr w14:paraId="0158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03529D95">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甲方（盖章）：</w:t>
            </w:r>
          </w:p>
        </w:tc>
        <w:tc>
          <w:tcPr>
            <w:tcW w:w="4716" w:type="dxa"/>
          </w:tcPr>
          <w:p w14:paraId="20BB506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乙方（盖章）：</w:t>
            </w:r>
          </w:p>
        </w:tc>
      </w:tr>
      <w:tr w14:paraId="5120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E9AAF0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c>
          <w:tcPr>
            <w:tcW w:w="4716" w:type="dxa"/>
          </w:tcPr>
          <w:p w14:paraId="2515A48E">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r>
      <w:tr w14:paraId="7548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C545CD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法定代表人签字</w:t>
            </w:r>
          </w:p>
        </w:tc>
        <w:tc>
          <w:tcPr>
            <w:tcW w:w="4716" w:type="dxa"/>
          </w:tcPr>
          <w:p w14:paraId="3255AB9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法定（授权）代表人签字</w:t>
            </w:r>
          </w:p>
        </w:tc>
      </w:tr>
      <w:tr w14:paraId="616C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17796ED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c>
          <w:tcPr>
            <w:tcW w:w="4716" w:type="dxa"/>
          </w:tcPr>
          <w:p w14:paraId="2F3444A9">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r>
      <w:tr w14:paraId="0DEF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10302EC0">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c>
          <w:tcPr>
            <w:tcW w:w="4716" w:type="dxa"/>
          </w:tcPr>
          <w:p w14:paraId="250C722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r>
      <w:tr w14:paraId="5C9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63E889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c>
          <w:tcPr>
            <w:tcW w:w="4716" w:type="dxa"/>
          </w:tcPr>
          <w:p w14:paraId="40281B5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r>
      <w:tr w14:paraId="65B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5487B1E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c>
          <w:tcPr>
            <w:tcW w:w="4716" w:type="dxa"/>
          </w:tcPr>
          <w:p w14:paraId="7055F97A">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r>
      <w:tr w14:paraId="4E0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47" w:type="dxa"/>
            <w:gridSpan w:val="2"/>
          </w:tcPr>
          <w:p w14:paraId="70405E3E">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签订地点：                         签订时间：                年  月  日</w:t>
            </w:r>
          </w:p>
        </w:tc>
      </w:tr>
    </w:tbl>
    <w:p w14:paraId="7D537CBE">
      <w:pPr>
        <w:tabs>
          <w:tab w:val="left" w:pos="1069"/>
          <w:tab w:val="left" w:pos="2352"/>
        </w:tabs>
        <w:spacing w:line="430" w:lineRule="atLeast"/>
        <w:rPr>
          <w:rFonts w:ascii="宋体"/>
          <w:color w:val="auto"/>
          <w:sz w:val="22"/>
          <w:highlight w:val="none"/>
          <w:u w:val="single"/>
        </w:rPr>
      </w:pPr>
    </w:p>
    <w:p w14:paraId="3A3F0521">
      <w:pPr>
        <w:tabs>
          <w:tab w:val="left" w:pos="1069"/>
          <w:tab w:val="left" w:pos="2352"/>
        </w:tabs>
        <w:spacing w:line="430" w:lineRule="atLeast"/>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14:paraId="781F3B41">
      <w:pPr>
        <w:pStyle w:val="6"/>
        <w:tabs>
          <w:tab w:val="left" w:pos="1069"/>
          <w:tab w:val="left" w:pos="2352"/>
        </w:tabs>
        <w:jc w:val="center"/>
        <w:rPr>
          <w:rFonts w:hint="eastAsia" w:ascii="宋体" w:hAnsi="宋体" w:cs="宋体"/>
          <w:b/>
          <w:bCs/>
          <w:color w:val="auto"/>
          <w:sz w:val="32"/>
          <w:szCs w:val="32"/>
          <w:highlight w:val="none"/>
        </w:rPr>
      </w:pPr>
    </w:p>
    <w:p w14:paraId="7155AADD">
      <w:pPr>
        <w:pStyle w:val="6"/>
        <w:tabs>
          <w:tab w:val="left" w:pos="1069"/>
          <w:tab w:val="left" w:pos="2352"/>
        </w:tabs>
        <w:jc w:val="center"/>
        <w:rPr>
          <w:rFonts w:hint="eastAsia" w:ascii="宋体" w:hAnsi="宋体" w:cs="宋体"/>
          <w:b/>
          <w:bCs/>
          <w:color w:val="auto"/>
          <w:sz w:val="32"/>
          <w:szCs w:val="32"/>
          <w:highlight w:val="none"/>
        </w:rPr>
      </w:pPr>
    </w:p>
    <w:p w14:paraId="63811BEA">
      <w:pPr>
        <w:pStyle w:val="6"/>
        <w:tabs>
          <w:tab w:val="left" w:pos="1069"/>
          <w:tab w:val="left" w:pos="2352"/>
        </w:tabs>
        <w:jc w:val="center"/>
        <w:rPr>
          <w:rFonts w:hint="eastAsia" w:ascii="宋体" w:hAnsi="宋体" w:cs="宋体"/>
          <w:b/>
          <w:bCs/>
          <w:color w:val="auto"/>
          <w:sz w:val="32"/>
          <w:szCs w:val="32"/>
          <w:highlight w:val="none"/>
        </w:rPr>
      </w:pPr>
    </w:p>
    <w:p w14:paraId="7EA99B1E">
      <w:pPr>
        <w:pStyle w:val="6"/>
        <w:tabs>
          <w:tab w:val="left" w:pos="1069"/>
          <w:tab w:val="left" w:pos="2352"/>
        </w:tabs>
        <w:jc w:val="center"/>
        <w:rPr>
          <w:rFonts w:hint="eastAsia" w:ascii="宋体" w:hAnsi="宋体" w:cs="宋体"/>
          <w:b/>
          <w:bCs/>
          <w:color w:val="auto"/>
          <w:sz w:val="32"/>
          <w:szCs w:val="32"/>
          <w:highlight w:val="none"/>
        </w:rPr>
      </w:pPr>
    </w:p>
    <w:p w14:paraId="4C5FD934">
      <w:pPr>
        <w:pStyle w:val="6"/>
        <w:tabs>
          <w:tab w:val="left" w:pos="1069"/>
          <w:tab w:val="left" w:pos="2352"/>
        </w:tabs>
        <w:jc w:val="center"/>
        <w:rPr>
          <w:rFonts w:hint="eastAsia" w:ascii="宋体" w:hAnsi="宋体" w:cs="宋体"/>
          <w:b/>
          <w:bCs/>
          <w:color w:val="auto"/>
          <w:sz w:val="32"/>
          <w:szCs w:val="32"/>
          <w:highlight w:val="none"/>
        </w:rPr>
      </w:pPr>
    </w:p>
    <w:p w14:paraId="380EFFAD">
      <w:pPr>
        <w:pStyle w:val="6"/>
        <w:tabs>
          <w:tab w:val="left" w:pos="1069"/>
          <w:tab w:val="left" w:pos="2352"/>
        </w:tabs>
        <w:jc w:val="center"/>
        <w:rPr>
          <w:rFonts w:hint="eastAsia" w:ascii="宋体" w:hAnsi="宋体" w:cs="宋体"/>
          <w:b/>
          <w:bCs/>
          <w:color w:val="auto"/>
          <w:sz w:val="32"/>
          <w:szCs w:val="32"/>
          <w:highlight w:val="none"/>
        </w:rPr>
      </w:pPr>
    </w:p>
    <w:p w14:paraId="646B9E80">
      <w:pPr>
        <w:pStyle w:val="6"/>
        <w:tabs>
          <w:tab w:val="left" w:pos="1069"/>
          <w:tab w:val="left" w:pos="2352"/>
        </w:tabs>
        <w:jc w:val="center"/>
        <w:rPr>
          <w:rFonts w:hint="eastAsia" w:ascii="宋体" w:hAnsi="宋体" w:cs="宋体"/>
          <w:b/>
          <w:bCs/>
          <w:color w:val="auto"/>
          <w:sz w:val="32"/>
          <w:szCs w:val="32"/>
          <w:highlight w:val="none"/>
        </w:rPr>
      </w:pPr>
    </w:p>
    <w:p w14:paraId="015602BB">
      <w:pPr>
        <w:pStyle w:val="6"/>
        <w:tabs>
          <w:tab w:val="left" w:pos="1069"/>
          <w:tab w:val="left" w:pos="2352"/>
        </w:tabs>
        <w:jc w:val="center"/>
        <w:rPr>
          <w:rFonts w:hint="eastAsia" w:ascii="宋体" w:hAnsi="宋体" w:cs="宋体"/>
          <w:b/>
          <w:bCs/>
          <w:color w:val="auto"/>
          <w:sz w:val="32"/>
          <w:szCs w:val="32"/>
          <w:highlight w:val="none"/>
        </w:rPr>
      </w:pPr>
    </w:p>
    <w:p w14:paraId="72096288">
      <w:pPr>
        <w:pStyle w:val="6"/>
        <w:tabs>
          <w:tab w:val="left" w:pos="1069"/>
          <w:tab w:val="left" w:pos="2352"/>
        </w:tabs>
        <w:jc w:val="center"/>
        <w:rPr>
          <w:rFonts w:hint="eastAsia" w:ascii="宋体" w:hAnsi="宋体" w:cs="宋体"/>
          <w:b/>
          <w:bCs/>
          <w:color w:val="auto"/>
          <w:sz w:val="32"/>
          <w:szCs w:val="32"/>
          <w:highlight w:val="none"/>
        </w:rPr>
      </w:pPr>
    </w:p>
    <w:p w14:paraId="023ED0DF">
      <w:pPr>
        <w:pStyle w:val="6"/>
        <w:tabs>
          <w:tab w:val="left" w:pos="1069"/>
          <w:tab w:val="left" w:pos="2352"/>
        </w:tabs>
        <w:jc w:val="center"/>
        <w:rPr>
          <w:rFonts w:hint="eastAsia" w:ascii="宋体" w:hAnsi="宋体" w:cs="宋体"/>
          <w:b/>
          <w:bCs/>
          <w:color w:val="auto"/>
          <w:sz w:val="32"/>
          <w:szCs w:val="32"/>
          <w:highlight w:val="none"/>
        </w:rPr>
      </w:pPr>
    </w:p>
    <w:p w14:paraId="0054B6E2">
      <w:pPr>
        <w:pStyle w:val="6"/>
        <w:tabs>
          <w:tab w:val="left" w:pos="1069"/>
          <w:tab w:val="left" w:pos="2352"/>
        </w:tabs>
        <w:jc w:val="center"/>
        <w:rPr>
          <w:rFonts w:hint="eastAsia" w:ascii="宋体" w:hAnsi="宋体" w:cs="宋体"/>
          <w:b/>
          <w:bCs/>
          <w:color w:val="auto"/>
          <w:sz w:val="32"/>
          <w:szCs w:val="32"/>
          <w:highlight w:val="none"/>
        </w:rPr>
      </w:pPr>
    </w:p>
    <w:p w14:paraId="346DB1BB">
      <w:pPr>
        <w:pStyle w:val="6"/>
        <w:tabs>
          <w:tab w:val="left" w:pos="1069"/>
          <w:tab w:val="left" w:pos="2352"/>
        </w:tabs>
        <w:jc w:val="center"/>
        <w:rPr>
          <w:rFonts w:hint="eastAsia" w:ascii="宋体" w:hAnsi="宋体" w:cs="宋体"/>
          <w:b/>
          <w:bCs/>
          <w:color w:val="auto"/>
          <w:sz w:val="32"/>
          <w:szCs w:val="32"/>
          <w:highlight w:val="none"/>
        </w:rPr>
      </w:pPr>
    </w:p>
    <w:p w14:paraId="08CA90EA">
      <w:pPr>
        <w:pStyle w:val="6"/>
        <w:tabs>
          <w:tab w:val="left" w:pos="1069"/>
          <w:tab w:val="left" w:pos="2352"/>
        </w:tabs>
        <w:jc w:val="center"/>
        <w:rPr>
          <w:rFonts w:hint="eastAsia" w:ascii="宋体" w:hAnsi="宋体" w:cs="宋体"/>
          <w:b/>
          <w:bCs/>
          <w:color w:val="auto"/>
          <w:sz w:val="32"/>
          <w:szCs w:val="32"/>
          <w:highlight w:val="none"/>
        </w:rPr>
      </w:pPr>
    </w:p>
    <w:p w14:paraId="62847BB5">
      <w:pPr>
        <w:pStyle w:val="6"/>
        <w:tabs>
          <w:tab w:val="left" w:pos="1069"/>
          <w:tab w:val="left" w:pos="2352"/>
        </w:tabs>
        <w:jc w:val="center"/>
        <w:rPr>
          <w:rFonts w:hint="eastAsia" w:ascii="宋体" w:hAnsi="宋体" w:cs="宋体"/>
          <w:b/>
          <w:bCs/>
          <w:color w:val="auto"/>
          <w:sz w:val="32"/>
          <w:szCs w:val="32"/>
          <w:highlight w:val="none"/>
        </w:rPr>
      </w:pPr>
    </w:p>
    <w:p w14:paraId="5F03961A">
      <w:pPr>
        <w:pStyle w:val="6"/>
        <w:tabs>
          <w:tab w:val="left" w:pos="1069"/>
          <w:tab w:val="left" w:pos="2352"/>
        </w:tabs>
        <w:jc w:val="center"/>
        <w:rPr>
          <w:rFonts w:hint="eastAsia" w:ascii="宋体" w:hAnsi="宋体" w:cs="宋体"/>
          <w:b/>
          <w:bCs/>
          <w:color w:val="auto"/>
          <w:sz w:val="32"/>
          <w:szCs w:val="32"/>
          <w:highlight w:val="none"/>
        </w:rPr>
      </w:pPr>
    </w:p>
    <w:p w14:paraId="512AB082">
      <w:pPr>
        <w:pStyle w:val="6"/>
        <w:tabs>
          <w:tab w:val="left" w:pos="1069"/>
          <w:tab w:val="left" w:pos="2352"/>
        </w:tabs>
        <w:jc w:val="center"/>
        <w:rPr>
          <w:rFonts w:hint="eastAsia" w:ascii="宋体" w:hAnsi="宋体" w:cs="宋体"/>
          <w:b/>
          <w:bCs/>
          <w:color w:val="auto"/>
          <w:sz w:val="32"/>
          <w:szCs w:val="32"/>
          <w:highlight w:val="none"/>
        </w:rPr>
      </w:pPr>
    </w:p>
    <w:p w14:paraId="16F00350">
      <w:pPr>
        <w:pStyle w:val="6"/>
        <w:tabs>
          <w:tab w:val="left" w:pos="1069"/>
          <w:tab w:val="left" w:pos="2352"/>
        </w:tabs>
        <w:jc w:val="center"/>
        <w:rPr>
          <w:rFonts w:hint="eastAsia" w:ascii="宋体" w:hAnsi="宋体" w:cs="宋体"/>
          <w:b/>
          <w:bCs/>
          <w:color w:val="auto"/>
          <w:sz w:val="32"/>
          <w:szCs w:val="32"/>
          <w:highlight w:val="none"/>
        </w:rPr>
      </w:pPr>
    </w:p>
    <w:p w14:paraId="57EC7781">
      <w:pPr>
        <w:pStyle w:val="6"/>
        <w:tabs>
          <w:tab w:val="left" w:pos="1069"/>
          <w:tab w:val="left" w:pos="2352"/>
        </w:tabs>
        <w:jc w:val="center"/>
        <w:rPr>
          <w:rFonts w:hint="eastAsia" w:ascii="宋体" w:hAnsi="宋体" w:cs="宋体"/>
          <w:b/>
          <w:bCs/>
          <w:color w:val="auto"/>
          <w:sz w:val="32"/>
          <w:szCs w:val="32"/>
          <w:highlight w:val="none"/>
        </w:rPr>
      </w:pPr>
    </w:p>
    <w:p w14:paraId="07491E28">
      <w:pPr>
        <w:pStyle w:val="6"/>
        <w:tabs>
          <w:tab w:val="left" w:pos="1069"/>
          <w:tab w:val="left" w:pos="2352"/>
        </w:tabs>
        <w:jc w:val="center"/>
        <w:rPr>
          <w:rFonts w:hint="eastAsia" w:ascii="宋体" w:hAnsi="宋体" w:cs="宋体"/>
          <w:b/>
          <w:bCs/>
          <w:color w:val="auto"/>
          <w:sz w:val="32"/>
          <w:szCs w:val="32"/>
          <w:highlight w:val="none"/>
        </w:rPr>
      </w:pPr>
    </w:p>
    <w:p w14:paraId="64E8AFB9">
      <w:pPr>
        <w:pStyle w:val="6"/>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2"/>
    </w:p>
    <w:p w14:paraId="0F8A9394">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267BA9E6">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2ACC13">
      <w:pPr>
        <w:tabs>
          <w:tab w:val="left" w:pos="1069"/>
          <w:tab w:val="left" w:pos="2352"/>
        </w:tabs>
        <w:snapToGrid w:val="0"/>
        <w:spacing w:line="440" w:lineRule="exact"/>
        <w:jc w:val="center"/>
        <w:rPr>
          <w:rFonts w:ascii="宋体" w:hAnsi="宋体" w:cs="宋体"/>
          <w:b/>
          <w:color w:val="auto"/>
          <w:sz w:val="32"/>
          <w:szCs w:val="32"/>
          <w:highlight w:val="none"/>
        </w:rPr>
      </w:pPr>
    </w:p>
    <w:p w14:paraId="7FD2EA55">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泰顺县地质灾害风险“一坡一卡”调查评价</w:t>
      </w:r>
    </w:p>
    <w:p w14:paraId="5F7B51B9">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94437FD">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667F590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290BF784">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11D6CD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8DB225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TSCG202506026 </w:t>
            </w:r>
          </w:p>
        </w:tc>
      </w:tr>
      <w:tr w14:paraId="26F6EBD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EF46E7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12F1B23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535BF0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306B85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337EC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1FEDAB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F7FE3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A9808D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99BCD5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6AE737B">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5E5D3BE1">
      <w:pPr>
        <w:pStyle w:val="6"/>
        <w:tabs>
          <w:tab w:val="left" w:pos="1069"/>
          <w:tab w:val="left" w:pos="2352"/>
        </w:tabs>
        <w:rPr>
          <w:color w:val="auto"/>
          <w:highlight w:val="none"/>
          <w:lang w:val="zh-CN"/>
        </w:rPr>
      </w:pPr>
    </w:p>
    <w:p w14:paraId="51C59063">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0F24CD5F">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014DAD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D3512AD">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1A27699">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466E8E2">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6DD913FA">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泰顺县地质灾害风险“一坡一卡”调查评价</w:t>
      </w:r>
    </w:p>
    <w:p w14:paraId="0E71C452">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TSCG202506026 </w:t>
      </w:r>
    </w:p>
    <w:p w14:paraId="4706F4A5">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14:paraId="7637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477C15E4">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461F5867">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14:paraId="4D614B26">
            <w:pPr>
              <w:pStyle w:val="12"/>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540" w:type="dxa"/>
            <w:vAlign w:val="center"/>
          </w:tcPr>
          <w:p w14:paraId="08179A35">
            <w:pPr>
              <w:pStyle w:val="12"/>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14:paraId="68F94DED">
            <w:pPr>
              <w:pStyle w:val="12"/>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14:paraId="5516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532C691C">
            <w:pPr>
              <w:pStyle w:val="12"/>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41A0FB21">
            <w:pPr>
              <w:pStyle w:val="12"/>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泰顺县地质灾害风险“一坡一卡”调查评价</w:t>
            </w:r>
          </w:p>
        </w:tc>
        <w:tc>
          <w:tcPr>
            <w:tcW w:w="4225" w:type="dxa"/>
            <w:tcBorders>
              <w:left w:val="single" w:color="000000" w:sz="4" w:space="0"/>
            </w:tcBorders>
            <w:vAlign w:val="center"/>
          </w:tcPr>
          <w:p w14:paraId="0107079D">
            <w:pPr>
              <w:pStyle w:val="12"/>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5861E9DB">
            <w:pPr>
              <w:pStyle w:val="12"/>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14:paraId="5247BAAA">
            <w:pPr>
              <w:pStyle w:val="12"/>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14:paraId="198BD6D2">
            <w:pPr>
              <w:pStyle w:val="12"/>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lang w:val="en-US" w:eastAsia="zh-CN"/>
              </w:rPr>
              <w:t>1</w:t>
            </w:r>
            <w:r>
              <w:rPr>
                <w:rFonts w:hint="eastAsia" w:hAnsi="宋体" w:cs="宋体"/>
                <w:color w:val="auto"/>
                <w:kern w:val="2"/>
                <w:sz w:val="22"/>
                <w:szCs w:val="22"/>
                <w:highlight w:val="none"/>
              </w:rPr>
              <w:t>500000元</w:t>
            </w:r>
          </w:p>
        </w:tc>
      </w:tr>
    </w:tbl>
    <w:p w14:paraId="709D2E8A">
      <w:pPr>
        <w:pStyle w:val="12"/>
        <w:tabs>
          <w:tab w:val="left" w:pos="1069"/>
          <w:tab w:val="left" w:pos="2352"/>
        </w:tabs>
        <w:spacing w:line="440" w:lineRule="atLeast"/>
        <w:rPr>
          <w:rFonts w:hAnsi="宋体" w:cs="宋体"/>
          <w:color w:val="auto"/>
          <w:sz w:val="22"/>
          <w:highlight w:val="none"/>
        </w:rPr>
      </w:pPr>
    </w:p>
    <w:p w14:paraId="47122023">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color w:val="auto"/>
          <w:sz w:val="22"/>
          <w:highlight w:val="none"/>
        </w:rPr>
        <w:t>。</w:t>
      </w:r>
    </w:p>
    <w:p w14:paraId="4C43DEB1">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5D4DBBF9">
      <w:pPr>
        <w:pStyle w:val="12"/>
        <w:tabs>
          <w:tab w:val="left" w:pos="1069"/>
          <w:tab w:val="left" w:pos="2352"/>
        </w:tabs>
        <w:spacing w:line="440" w:lineRule="atLeast"/>
        <w:rPr>
          <w:rFonts w:hAnsi="宋体" w:cs="宋体"/>
          <w:b/>
          <w:bCs/>
          <w:color w:val="auto"/>
          <w:sz w:val="22"/>
          <w:highlight w:val="none"/>
        </w:rPr>
      </w:pPr>
    </w:p>
    <w:p w14:paraId="27132E78">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10B98F31">
      <w:pPr>
        <w:pStyle w:val="12"/>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736CA13B">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3685B825">
      <w:pPr>
        <w:tabs>
          <w:tab w:val="left" w:pos="1069"/>
          <w:tab w:val="left" w:pos="2352"/>
        </w:tabs>
        <w:spacing w:line="360" w:lineRule="exact"/>
        <w:jc w:val="left"/>
        <w:rPr>
          <w:rFonts w:ascii="宋体" w:hAnsi="宋体" w:cs="宋体"/>
          <w:color w:val="auto"/>
          <w:sz w:val="22"/>
          <w:highlight w:val="none"/>
          <w:lang w:val="zh-CN"/>
        </w:rPr>
      </w:pPr>
      <w:bookmarkStart w:id="63" w:name="_Toc31481_WPSOffice_Level2"/>
    </w:p>
    <w:p w14:paraId="5325A70E">
      <w:pPr>
        <w:pStyle w:val="9"/>
        <w:tabs>
          <w:tab w:val="left" w:pos="1069"/>
          <w:tab w:val="left" w:pos="2352"/>
        </w:tabs>
        <w:rPr>
          <w:rFonts w:ascii="宋体" w:hAnsi="宋体" w:cs="宋体"/>
          <w:color w:val="auto"/>
          <w:sz w:val="22"/>
          <w:highlight w:val="none"/>
          <w:lang w:val="zh-CN"/>
        </w:rPr>
      </w:pPr>
    </w:p>
    <w:p w14:paraId="34F242F8">
      <w:pPr>
        <w:pStyle w:val="9"/>
        <w:tabs>
          <w:tab w:val="left" w:pos="1069"/>
          <w:tab w:val="left" w:pos="2352"/>
        </w:tabs>
        <w:rPr>
          <w:rFonts w:ascii="宋体" w:hAnsi="宋体" w:cs="宋体"/>
          <w:color w:val="auto"/>
          <w:sz w:val="22"/>
          <w:highlight w:val="none"/>
          <w:lang w:val="zh-CN"/>
        </w:rPr>
      </w:pPr>
    </w:p>
    <w:p w14:paraId="23C441AD">
      <w:pPr>
        <w:pStyle w:val="9"/>
        <w:tabs>
          <w:tab w:val="left" w:pos="1069"/>
          <w:tab w:val="left" w:pos="2352"/>
        </w:tabs>
        <w:rPr>
          <w:rFonts w:ascii="宋体" w:hAnsi="宋体" w:cs="宋体"/>
          <w:color w:val="auto"/>
          <w:sz w:val="22"/>
          <w:highlight w:val="none"/>
          <w:lang w:val="zh-CN"/>
        </w:rPr>
      </w:pPr>
    </w:p>
    <w:bookmarkEnd w:id="63"/>
    <w:p w14:paraId="6E72FF9E">
      <w:pPr>
        <w:pStyle w:val="8"/>
        <w:tabs>
          <w:tab w:val="left" w:pos="1069"/>
          <w:tab w:val="left" w:pos="2352"/>
        </w:tabs>
        <w:rPr>
          <w:rFonts w:ascii="宋体" w:hAnsi="宋体" w:cs="宋体"/>
          <w:b/>
          <w:bCs/>
          <w:color w:val="auto"/>
          <w:sz w:val="32"/>
          <w:szCs w:val="32"/>
          <w:highlight w:val="none"/>
        </w:rPr>
      </w:pPr>
    </w:p>
    <w:p w14:paraId="4621FB71">
      <w:pPr>
        <w:pStyle w:val="8"/>
        <w:tabs>
          <w:tab w:val="left" w:pos="2352"/>
        </w:tabs>
        <w:rPr>
          <w:rFonts w:ascii="宋体"/>
          <w:b/>
          <w:bCs/>
          <w:color w:val="auto"/>
          <w:sz w:val="32"/>
          <w:szCs w:val="32"/>
          <w:highlight w:val="none"/>
        </w:rPr>
      </w:pPr>
    </w:p>
    <w:p w14:paraId="146A47A8">
      <w:pPr>
        <w:pStyle w:val="8"/>
        <w:tabs>
          <w:tab w:val="left" w:pos="2352"/>
        </w:tabs>
        <w:rPr>
          <w:rFonts w:ascii="宋体"/>
          <w:b/>
          <w:bCs/>
          <w:color w:val="auto"/>
          <w:sz w:val="32"/>
          <w:szCs w:val="32"/>
          <w:highlight w:val="none"/>
        </w:rPr>
      </w:pPr>
    </w:p>
    <w:p w14:paraId="47E09251">
      <w:pPr>
        <w:pStyle w:val="8"/>
        <w:tabs>
          <w:tab w:val="left" w:pos="2352"/>
        </w:tabs>
        <w:rPr>
          <w:rFonts w:hint="eastAsia" w:ascii="宋体"/>
          <w:b/>
          <w:bCs/>
          <w:color w:val="auto"/>
          <w:sz w:val="32"/>
          <w:szCs w:val="32"/>
          <w:highlight w:val="none"/>
        </w:rPr>
      </w:pPr>
    </w:p>
    <w:p w14:paraId="738BEBA9">
      <w:pPr>
        <w:pStyle w:val="8"/>
        <w:tabs>
          <w:tab w:val="left" w:pos="2352"/>
        </w:tabs>
        <w:rPr>
          <w:rFonts w:hint="eastAsia" w:ascii="宋体"/>
          <w:b/>
          <w:bCs/>
          <w:color w:val="auto"/>
          <w:sz w:val="32"/>
          <w:szCs w:val="32"/>
          <w:highlight w:val="none"/>
        </w:rPr>
      </w:pPr>
    </w:p>
    <w:p w14:paraId="3127AF98">
      <w:pPr>
        <w:pStyle w:val="8"/>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14:paraId="6A21051C">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25A8255">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泰顺县地质灾害风险“一坡一卡”调查评价</w:t>
      </w:r>
    </w:p>
    <w:p w14:paraId="729ED614">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TSCG202506026 </w:t>
      </w:r>
    </w:p>
    <w:p w14:paraId="34656AED">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4DFC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4C5A389A">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10E18A12">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3DD771CA">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2C73115A">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5C34B774">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14:paraId="21BE6F35">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14:paraId="0982E5E2">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14:paraId="6E5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2834292">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14:paraId="1DA8058C">
            <w:pPr>
              <w:tabs>
                <w:tab w:val="left" w:pos="2352"/>
              </w:tabs>
              <w:rPr>
                <w:rFonts w:ascii="宋体" w:cs="Arial"/>
                <w:color w:val="auto"/>
                <w:sz w:val="22"/>
                <w:highlight w:val="none"/>
              </w:rPr>
            </w:pPr>
          </w:p>
        </w:tc>
        <w:tc>
          <w:tcPr>
            <w:tcW w:w="988" w:type="dxa"/>
            <w:vAlign w:val="center"/>
          </w:tcPr>
          <w:p w14:paraId="7E44ED87">
            <w:pPr>
              <w:tabs>
                <w:tab w:val="left" w:pos="2352"/>
              </w:tabs>
              <w:ind w:right="-11"/>
              <w:jc w:val="center"/>
              <w:rPr>
                <w:rFonts w:ascii="宋体" w:cs="Arial"/>
                <w:color w:val="auto"/>
                <w:sz w:val="22"/>
                <w:highlight w:val="none"/>
              </w:rPr>
            </w:pPr>
          </w:p>
        </w:tc>
        <w:tc>
          <w:tcPr>
            <w:tcW w:w="1012" w:type="dxa"/>
            <w:vAlign w:val="center"/>
          </w:tcPr>
          <w:p w14:paraId="1B85033B">
            <w:pPr>
              <w:tabs>
                <w:tab w:val="left" w:pos="2352"/>
              </w:tabs>
              <w:jc w:val="center"/>
              <w:rPr>
                <w:rFonts w:ascii="宋体" w:cs="Arial"/>
                <w:color w:val="auto"/>
                <w:sz w:val="22"/>
                <w:highlight w:val="none"/>
              </w:rPr>
            </w:pPr>
          </w:p>
        </w:tc>
        <w:tc>
          <w:tcPr>
            <w:tcW w:w="1336" w:type="dxa"/>
            <w:vAlign w:val="center"/>
          </w:tcPr>
          <w:p w14:paraId="5EDD7C32">
            <w:pPr>
              <w:tabs>
                <w:tab w:val="left" w:pos="2352"/>
              </w:tabs>
              <w:ind w:right="-11"/>
              <w:jc w:val="center"/>
              <w:rPr>
                <w:rFonts w:ascii="宋体" w:cs="Arial"/>
                <w:color w:val="auto"/>
                <w:sz w:val="22"/>
                <w:highlight w:val="none"/>
              </w:rPr>
            </w:pPr>
          </w:p>
        </w:tc>
        <w:tc>
          <w:tcPr>
            <w:tcW w:w="1503" w:type="dxa"/>
            <w:vAlign w:val="center"/>
          </w:tcPr>
          <w:p w14:paraId="75FEF866">
            <w:pPr>
              <w:tabs>
                <w:tab w:val="left" w:pos="2352"/>
              </w:tabs>
              <w:ind w:right="-11"/>
              <w:jc w:val="center"/>
              <w:rPr>
                <w:rFonts w:ascii="宋体" w:cs="Arial"/>
                <w:color w:val="auto"/>
                <w:sz w:val="22"/>
                <w:highlight w:val="none"/>
              </w:rPr>
            </w:pPr>
          </w:p>
        </w:tc>
        <w:tc>
          <w:tcPr>
            <w:tcW w:w="1560" w:type="dxa"/>
            <w:vAlign w:val="center"/>
          </w:tcPr>
          <w:p w14:paraId="3F2CADE5">
            <w:pPr>
              <w:tabs>
                <w:tab w:val="left" w:pos="2352"/>
              </w:tabs>
              <w:ind w:right="-11"/>
              <w:jc w:val="center"/>
              <w:rPr>
                <w:rFonts w:ascii="宋体" w:cs="Arial"/>
                <w:color w:val="auto"/>
                <w:sz w:val="22"/>
                <w:highlight w:val="none"/>
              </w:rPr>
            </w:pPr>
          </w:p>
        </w:tc>
      </w:tr>
      <w:tr w14:paraId="51F5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0877D00">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14:paraId="0B95996B">
            <w:pPr>
              <w:tabs>
                <w:tab w:val="left" w:pos="2352"/>
              </w:tabs>
              <w:rPr>
                <w:rFonts w:ascii="宋体" w:cs="Arial"/>
                <w:color w:val="auto"/>
                <w:sz w:val="22"/>
                <w:highlight w:val="none"/>
              </w:rPr>
            </w:pPr>
          </w:p>
        </w:tc>
        <w:tc>
          <w:tcPr>
            <w:tcW w:w="988" w:type="dxa"/>
            <w:vAlign w:val="center"/>
          </w:tcPr>
          <w:p w14:paraId="6F6A8123">
            <w:pPr>
              <w:tabs>
                <w:tab w:val="left" w:pos="2352"/>
              </w:tabs>
              <w:ind w:right="-11"/>
              <w:jc w:val="center"/>
              <w:rPr>
                <w:rFonts w:ascii="宋体" w:cs="Arial"/>
                <w:color w:val="auto"/>
                <w:sz w:val="22"/>
                <w:highlight w:val="none"/>
              </w:rPr>
            </w:pPr>
          </w:p>
        </w:tc>
        <w:tc>
          <w:tcPr>
            <w:tcW w:w="1012" w:type="dxa"/>
            <w:vAlign w:val="center"/>
          </w:tcPr>
          <w:p w14:paraId="5CF7FED3">
            <w:pPr>
              <w:tabs>
                <w:tab w:val="left" w:pos="2352"/>
              </w:tabs>
              <w:jc w:val="center"/>
              <w:rPr>
                <w:rFonts w:ascii="宋体" w:cs="Arial"/>
                <w:color w:val="auto"/>
                <w:sz w:val="22"/>
                <w:highlight w:val="none"/>
              </w:rPr>
            </w:pPr>
          </w:p>
        </w:tc>
        <w:tc>
          <w:tcPr>
            <w:tcW w:w="1336" w:type="dxa"/>
            <w:vAlign w:val="center"/>
          </w:tcPr>
          <w:p w14:paraId="77480839">
            <w:pPr>
              <w:tabs>
                <w:tab w:val="left" w:pos="2352"/>
              </w:tabs>
              <w:ind w:right="-11"/>
              <w:jc w:val="center"/>
              <w:rPr>
                <w:rFonts w:ascii="宋体" w:cs="Arial"/>
                <w:color w:val="auto"/>
                <w:sz w:val="22"/>
                <w:highlight w:val="none"/>
              </w:rPr>
            </w:pPr>
          </w:p>
        </w:tc>
        <w:tc>
          <w:tcPr>
            <w:tcW w:w="1503" w:type="dxa"/>
            <w:vAlign w:val="center"/>
          </w:tcPr>
          <w:p w14:paraId="0277FC1C">
            <w:pPr>
              <w:tabs>
                <w:tab w:val="left" w:pos="2352"/>
              </w:tabs>
              <w:ind w:right="-11"/>
              <w:jc w:val="center"/>
              <w:rPr>
                <w:rFonts w:ascii="宋体" w:cs="Arial"/>
                <w:color w:val="auto"/>
                <w:sz w:val="22"/>
                <w:highlight w:val="none"/>
              </w:rPr>
            </w:pPr>
          </w:p>
        </w:tc>
        <w:tc>
          <w:tcPr>
            <w:tcW w:w="1560" w:type="dxa"/>
            <w:vAlign w:val="center"/>
          </w:tcPr>
          <w:p w14:paraId="3F6CB43E">
            <w:pPr>
              <w:tabs>
                <w:tab w:val="left" w:pos="2352"/>
              </w:tabs>
              <w:ind w:right="-11"/>
              <w:jc w:val="center"/>
              <w:rPr>
                <w:rFonts w:ascii="宋体" w:cs="Arial"/>
                <w:color w:val="auto"/>
                <w:sz w:val="22"/>
                <w:highlight w:val="none"/>
              </w:rPr>
            </w:pPr>
          </w:p>
        </w:tc>
      </w:tr>
      <w:tr w14:paraId="0828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34ECE9B">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14:paraId="00F0EAC9">
            <w:pPr>
              <w:tabs>
                <w:tab w:val="left" w:pos="2352"/>
              </w:tabs>
              <w:rPr>
                <w:rFonts w:ascii="宋体" w:cs="Arial"/>
                <w:color w:val="auto"/>
                <w:sz w:val="22"/>
                <w:highlight w:val="none"/>
              </w:rPr>
            </w:pPr>
          </w:p>
        </w:tc>
        <w:tc>
          <w:tcPr>
            <w:tcW w:w="988" w:type="dxa"/>
            <w:vAlign w:val="center"/>
          </w:tcPr>
          <w:p w14:paraId="3A1BAA4E">
            <w:pPr>
              <w:tabs>
                <w:tab w:val="left" w:pos="2352"/>
              </w:tabs>
              <w:ind w:right="-11"/>
              <w:jc w:val="center"/>
              <w:rPr>
                <w:rFonts w:ascii="宋体" w:cs="Arial"/>
                <w:color w:val="auto"/>
                <w:sz w:val="22"/>
                <w:highlight w:val="none"/>
              </w:rPr>
            </w:pPr>
          </w:p>
        </w:tc>
        <w:tc>
          <w:tcPr>
            <w:tcW w:w="1012" w:type="dxa"/>
            <w:vAlign w:val="center"/>
          </w:tcPr>
          <w:p w14:paraId="7F9D681A">
            <w:pPr>
              <w:tabs>
                <w:tab w:val="left" w:pos="2352"/>
              </w:tabs>
              <w:jc w:val="center"/>
              <w:rPr>
                <w:rFonts w:ascii="宋体" w:cs="Arial"/>
                <w:color w:val="auto"/>
                <w:sz w:val="22"/>
                <w:highlight w:val="none"/>
              </w:rPr>
            </w:pPr>
          </w:p>
        </w:tc>
        <w:tc>
          <w:tcPr>
            <w:tcW w:w="1336" w:type="dxa"/>
            <w:vAlign w:val="center"/>
          </w:tcPr>
          <w:p w14:paraId="2DC44F44">
            <w:pPr>
              <w:tabs>
                <w:tab w:val="left" w:pos="2352"/>
              </w:tabs>
              <w:ind w:right="-11"/>
              <w:jc w:val="center"/>
              <w:rPr>
                <w:rFonts w:ascii="宋体" w:cs="Arial"/>
                <w:color w:val="auto"/>
                <w:sz w:val="22"/>
                <w:highlight w:val="none"/>
              </w:rPr>
            </w:pPr>
          </w:p>
        </w:tc>
        <w:tc>
          <w:tcPr>
            <w:tcW w:w="1503" w:type="dxa"/>
            <w:vAlign w:val="center"/>
          </w:tcPr>
          <w:p w14:paraId="4DDBCFF8">
            <w:pPr>
              <w:tabs>
                <w:tab w:val="left" w:pos="2352"/>
              </w:tabs>
              <w:ind w:right="-11"/>
              <w:jc w:val="center"/>
              <w:rPr>
                <w:rFonts w:ascii="宋体" w:cs="Arial"/>
                <w:color w:val="auto"/>
                <w:sz w:val="22"/>
                <w:highlight w:val="none"/>
              </w:rPr>
            </w:pPr>
          </w:p>
        </w:tc>
        <w:tc>
          <w:tcPr>
            <w:tcW w:w="1560" w:type="dxa"/>
            <w:vAlign w:val="center"/>
          </w:tcPr>
          <w:p w14:paraId="4D4062BD">
            <w:pPr>
              <w:tabs>
                <w:tab w:val="left" w:pos="2352"/>
              </w:tabs>
              <w:ind w:right="-11"/>
              <w:jc w:val="center"/>
              <w:rPr>
                <w:rFonts w:ascii="宋体" w:cs="Arial"/>
                <w:color w:val="auto"/>
                <w:sz w:val="22"/>
                <w:highlight w:val="none"/>
              </w:rPr>
            </w:pPr>
          </w:p>
        </w:tc>
      </w:tr>
      <w:tr w14:paraId="4E4C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14893A2">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BCEBE27">
            <w:pPr>
              <w:tabs>
                <w:tab w:val="left" w:pos="2352"/>
              </w:tabs>
              <w:rPr>
                <w:rFonts w:ascii="宋体" w:cs="Arial"/>
                <w:color w:val="auto"/>
                <w:sz w:val="22"/>
                <w:highlight w:val="none"/>
              </w:rPr>
            </w:pPr>
          </w:p>
        </w:tc>
        <w:tc>
          <w:tcPr>
            <w:tcW w:w="988" w:type="dxa"/>
            <w:vAlign w:val="center"/>
          </w:tcPr>
          <w:p w14:paraId="74CAC54E">
            <w:pPr>
              <w:tabs>
                <w:tab w:val="left" w:pos="2352"/>
              </w:tabs>
              <w:ind w:right="-11"/>
              <w:jc w:val="center"/>
              <w:rPr>
                <w:rFonts w:ascii="宋体" w:cs="Arial"/>
                <w:color w:val="auto"/>
                <w:sz w:val="22"/>
                <w:highlight w:val="none"/>
              </w:rPr>
            </w:pPr>
          </w:p>
        </w:tc>
        <w:tc>
          <w:tcPr>
            <w:tcW w:w="1012" w:type="dxa"/>
            <w:vAlign w:val="center"/>
          </w:tcPr>
          <w:p w14:paraId="42E8B619">
            <w:pPr>
              <w:tabs>
                <w:tab w:val="left" w:pos="2352"/>
              </w:tabs>
              <w:rPr>
                <w:rFonts w:ascii="宋体" w:cs="Arial"/>
                <w:color w:val="auto"/>
                <w:sz w:val="22"/>
                <w:highlight w:val="none"/>
              </w:rPr>
            </w:pPr>
          </w:p>
        </w:tc>
        <w:tc>
          <w:tcPr>
            <w:tcW w:w="1336" w:type="dxa"/>
            <w:vAlign w:val="center"/>
          </w:tcPr>
          <w:p w14:paraId="30960209">
            <w:pPr>
              <w:tabs>
                <w:tab w:val="left" w:pos="2352"/>
              </w:tabs>
              <w:ind w:right="-11"/>
              <w:jc w:val="center"/>
              <w:rPr>
                <w:rFonts w:ascii="宋体" w:cs="Arial"/>
                <w:color w:val="auto"/>
                <w:sz w:val="22"/>
                <w:highlight w:val="none"/>
              </w:rPr>
            </w:pPr>
          </w:p>
        </w:tc>
        <w:tc>
          <w:tcPr>
            <w:tcW w:w="1503" w:type="dxa"/>
            <w:vAlign w:val="center"/>
          </w:tcPr>
          <w:p w14:paraId="6ABA224B">
            <w:pPr>
              <w:tabs>
                <w:tab w:val="left" w:pos="2352"/>
              </w:tabs>
              <w:ind w:right="-11"/>
              <w:jc w:val="center"/>
              <w:rPr>
                <w:rFonts w:ascii="宋体" w:cs="Arial"/>
                <w:color w:val="auto"/>
                <w:sz w:val="22"/>
                <w:highlight w:val="none"/>
              </w:rPr>
            </w:pPr>
          </w:p>
        </w:tc>
        <w:tc>
          <w:tcPr>
            <w:tcW w:w="1560" w:type="dxa"/>
            <w:vAlign w:val="center"/>
          </w:tcPr>
          <w:p w14:paraId="7E351566">
            <w:pPr>
              <w:tabs>
                <w:tab w:val="left" w:pos="2352"/>
              </w:tabs>
              <w:ind w:right="-11"/>
              <w:jc w:val="center"/>
              <w:rPr>
                <w:rFonts w:ascii="宋体" w:cs="Arial"/>
                <w:color w:val="auto"/>
                <w:sz w:val="22"/>
                <w:highlight w:val="none"/>
              </w:rPr>
            </w:pPr>
          </w:p>
        </w:tc>
      </w:tr>
      <w:tr w14:paraId="4A7B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B1B98E1">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399BDEC7">
            <w:pPr>
              <w:tabs>
                <w:tab w:val="left" w:pos="2352"/>
              </w:tabs>
              <w:rPr>
                <w:rFonts w:ascii="宋体" w:cs="Arial"/>
                <w:color w:val="auto"/>
                <w:sz w:val="22"/>
                <w:highlight w:val="none"/>
              </w:rPr>
            </w:pPr>
          </w:p>
        </w:tc>
        <w:tc>
          <w:tcPr>
            <w:tcW w:w="988" w:type="dxa"/>
            <w:vAlign w:val="center"/>
          </w:tcPr>
          <w:p w14:paraId="0DD4245C">
            <w:pPr>
              <w:tabs>
                <w:tab w:val="left" w:pos="2352"/>
              </w:tabs>
              <w:ind w:right="-11"/>
              <w:jc w:val="center"/>
              <w:rPr>
                <w:rFonts w:ascii="宋体" w:cs="Arial"/>
                <w:color w:val="auto"/>
                <w:sz w:val="22"/>
                <w:highlight w:val="none"/>
              </w:rPr>
            </w:pPr>
          </w:p>
        </w:tc>
        <w:tc>
          <w:tcPr>
            <w:tcW w:w="1012" w:type="dxa"/>
            <w:vAlign w:val="center"/>
          </w:tcPr>
          <w:p w14:paraId="4B8DDBEF">
            <w:pPr>
              <w:tabs>
                <w:tab w:val="left" w:pos="2352"/>
              </w:tabs>
              <w:jc w:val="center"/>
              <w:rPr>
                <w:rFonts w:ascii="宋体" w:cs="Arial"/>
                <w:color w:val="auto"/>
                <w:sz w:val="22"/>
                <w:highlight w:val="none"/>
              </w:rPr>
            </w:pPr>
          </w:p>
        </w:tc>
        <w:tc>
          <w:tcPr>
            <w:tcW w:w="1336" w:type="dxa"/>
            <w:vAlign w:val="center"/>
          </w:tcPr>
          <w:p w14:paraId="026E7893">
            <w:pPr>
              <w:tabs>
                <w:tab w:val="left" w:pos="2352"/>
              </w:tabs>
              <w:ind w:right="-11"/>
              <w:jc w:val="center"/>
              <w:rPr>
                <w:rFonts w:ascii="宋体" w:cs="Arial"/>
                <w:color w:val="auto"/>
                <w:sz w:val="22"/>
                <w:highlight w:val="none"/>
              </w:rPr>
            </w:pPr>
          </w:p>
        </w:tc>
        <w:tc>
          <w:tcPr>
            <w:tcW w:w="1503" w:type="dxa"/>
            <w:vAlign w:val="center"/>
          </w:tcPr>
          <w:p w14:paraId="5A60B6C0">
            <w:pPr>
              <w:tabs>
                <w:tab w:val="left" w:pos="2352"/>
              </w:tabs>
              <w:ind w:right="-11"/>
              <w:jc w:val="center"/>
              <w:rPr>
                <w:rFonts w:ascii="宋体" w:cs="Arial"/>
                <w:color w:val="auto"/>
                <w:sz w:val="22"/>
                <w:highlight w:val="none"/>
              </w:rPr>
            </w:pPr>
          </w:p>
        </w:tc>
        <w:tc>
          <w:tcPr>
            <w:tcW w:w="1560" w:type="dxa"/>
            <w:vAlign w:val="center"/>
          </w:tcPr>
          <w:p w14:paraId="25971FDF">
            <w:pPr>
              <w:tabs>
                <w:tab w:val="left" w:pos="2352"/>
              </w:tabs>
              <w:ind w:right="-11"/>
              <w:jc w:val="center"/>
              <w:rPr>
                <w:rFonts w:ascii="宋体" w:cs="Arial"/>
                <w:color w:val="auto"/>
                <w:sz w:val="22"/>
                <w:highlight w:val="none"/>
              </w:rPr>
            </w:pPr>
          </w:p>
        </w:tc>
      </w:tr>
      <w:tr w14:paraId="1EF5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DBB1FA9">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48F4E2D">
            <w:pPr>
              <w:tabs>
                <w:tab w:val="left" w:pos="2352"/>
              </w:tabs>
              <w:rPr>
                <w:rFonts w:ascii="宋体" w:cs="Arial"/>
                <w:color w:val="auto"/>
                <w:sz w:val="22"/>
                <w:highlight w:val="none"/>
              </w:rPr>
            </w:pPr>
          </w:p>
        </w:tc>
        <w:tc>
          <w:tcPr>
            <w:tcW w:w="988" w:type="dxa"/>
            <w:vAlign w:val="center"/>
          </w:tcPr>
          <w:p w14:paraId="11B33178">
            <w:pPr>
              <w:tabs>
                <w:tab w:val="left" w:pos="2352"/>
              </w:tabs>
              <w:ind w:right="-11"/>
              <w:jc w:val="center"/>
              <w:rPr>
                <w:rFonts w:ascii="宋体" w:cs="Arial"/>
                <w:color w:val="auto"/>
                <w:sz w:val="22"/>
                <w:highlight w:val="none"/>
              </w:rPr>
            </w:pPr>
          </w:p>
        </w:tc>
        <w:tc>
          <w:tcPr>
            <w:tcW w:w="1012" w:type="dxa"/>
            <w:vAlign w:val="center"/>
          </w:tcPr>
          <w:p w14:paraId="2EB026AA">
            <w:pPr>
              <w:tabs>
                <w:tab w:val="left" w:pos="2352"/>
              </w:tabs>
              <w:jc w:val="center"/>
              <w:rPr>
                <w:rFonts w:ascii="宋体" w:cs="Arial"/>
                <w:color w:val="auto"/>
                <w:sz w:val="22"/>
                <w:highlight w:val="none"/>
              </w:rPr>
            </w:pPr>
          </w:p>
        </w:tc>
        <w:tc>
          <w:tcPr>
            <w:tcW w:w="1336" w:type="dxa"/>
            <w:vAlign w:val="center"/>
          </w:tcPr>
          <w:p w14:paraId="7BB9CECF">
            <w:pPr>
              <w:tabs>
                <w:tab w:val="left" w:pos="2352"/>
              </w:tabs>
              <w:ind w:right="-11"/>
              <w:jc w:val="center"/>
              <w:rPr>
                <w:rFonts w:ascii="宋体" w:cs="Arial"/>
                <w:color w:val="auto"/>
                <w:sz w:val="22"/>
                <w:highlight w:val="none"/>
              </w:rPr>
            </w:pPr>
          </w:p>
        </w:tc>
        <w:tc>
          <w:tcPr>
            <w:tcW w:w="1503" w:type="dxa"/>
            <w:vAlign w:val="center"/>
          </w:tcPr>
          <w:p w14:paraId="3FE86739">
            <w:pPr>
              <w:tabs>
                <w:tab w:val="left" w:pos="2352"/>
              </w:tabs>
              <w:ind w:right="-11"/>
              <w:jc w:val="center"/>
              <w:rPr>
                <w:rFonts w:ascii="宋体" w:cs="Arial"/>
                <w:color w:val="auto"/>
                <w:sz w:val="22"/>
                <w:highlight w:val="none"/>
              </w:rPr>
            </w:pPr>
          </w:p>
        </w:tc>
        <w:tc>
          <w:tcPr>
            <w:tcW w:w="1560" w:type="dxa"/>
            <w:vAlign w:val="center"/>
          </w:tcPr>
          <w:p w14:paraId="655AFE49">
            <w:pPr>
              <w:tabs>
                <w:tab w:val="left" w:pos="2352"/>
              </w:tabs>
              <w:ind w:right="-11"/>
              <w:jc w:val="center"/>
              <w:rPr>
                <w:rFonts w:ascii="宋体" w:cs="Arial"/>
                <w:color w:val="auto"/>
                <w:sz w:val="22"/>
                <w:highlight w:val="none"/>
              </w:rPr>
            </w:pPr>
          </w:p>
        </w:tc>
      </w:tr>
      <w:tr w14:paraId="1CC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507A7CE">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5F5F2B03">
            <w:pPr>
              <w:tabs>
                <w:tab w:val="left" w:pos="2352"/>
              </w:tabs>
              <w:rPr>
                <w:rFonts w:ascii="宋体" w:cs="Arial"/>
                <w:color w:val="auto"/>
                <w:sz w:val="22"/>
                <w:highlight w:val="none"/>
              </w:rPr>
            </w:pPr>
          </w:p>
        </w:tc>
        <w:tc>
          <w:tcPr>
            <w:tcW w:w="988" w:type="dxa"/>
            <w:vAlign w:val="center"/>
          </w:tcPr>
          <w:p w14:paraId="19B056F4">
            <w:pPr>
              <w:tabs>
                <w:tab w:val="left" w:pos="2352"/>
              </w:tabs>
              <w:ind w:right="-11"/>
              <w:jc w:val="center"/>
              <w:rPr>
                <w:rFonts w:ascii="宋体" w:cs="Arial"/>
                <w:color w:val="auto"/>
                <w:sz w:val="22"/>
                <w:highlight w:val="none"/>
              </w:rPr>
            </w:pPr>
          </w:p>
        </w:tc>
        <w:tc>
          <w:tcPr>
            <w:tcW w:w="1012" w:type="dxa"/>
            <w:vAlign w:val="center"/>
          </w:tcPr>
          <w:p w14:paraId="5ACE7AB2">
            <w:pPr>
              <w:tabs>
                <w:tab w:val="left" w:pos="2352"/>
              </w:tabs>
              <w:jc w:val="center"/>
              <w:rPr>
                <w:rFonts w:ascii="宋体" w:cs="Arial"/>
                <w:color w:val="auto"/>
                <w:sz w:val="22"/>
                <w:highlight w:val="none"/>
              </w:rPr>
            </w:pPr>
          </w:p>
        </w:tc>
        <w:tc>
          <w:tcPr>
            <w:tcW w:w="1336" w:type="dxa"/>
            <w:vAlign w:val="center"/>
          </w:tcPr>
          <w:p w14:paraId="1DCAE4E0">
            <w:pPr>
              <w:tabs>
                <w:tab w:val="left" w:pos="2352"/>
              </w:tabs>
              <w:ind w:right="-11"/>
              <w:jc w:val="center"/>
              <w:rPr>
                <w:rFonts w:ascii="宋体" w:cs="Arial"/>
                <w:color w:val="auto"/>
                <w:sz w:val="22"/>
                <w:highlight w:val="none"/>
              </w:rPr>
            </w:pPr>
          </w:p>
        </w:tc>
        <w:tc>
          <w:tcPr>
            <w:tcW w:w="1503" w:type="dxa"/>
            <w:vAlign w:val="center"/>
          </w:tcPr>
          <w:p w14:paraId="52F0F5BF">
            <w:pPr>
              <w:tabs>
                <w:tab w:val="left" w:pos="2352"/>
              </w:tabs>
              <w:ind w:right="-11"/>
              <w:jc w:val="center"/>
              <w:rPr>
                <w:rFonts w:ascii="宋体" w:cs="Arial"/>
                <w:color w:val="auto"/>
                <w:sz w:val="22"/>
                <w:highlight w:val="none"/>
              </w:rPr>
            </w:pPr>
          </w:p>
        </w:tc>
        <w:tc>
          <w:tcPr>
            <w:tcW w:w="1560" w:type="dxa"/>
            <w:vAlign w:val="center"/>
          </w:tcPr>
          <w:p w14:paraId="0249D85A">
            <w:pPr>
              <w:tabs>
                <w:tab w:val="left" w:pos="2352"/>
              </w:tabs>
              <w:ind w:right="-11"/>
              <w:jc w:val="center"/>
              <w:rPr>
                <w:rFonts w:ascii="宋体" w:cs="Arial"/>
                <w:color w:val="auto"/>
                <w:sz w:val="22"/>
                <w:highlight w:val="none"/>
              </w:rPr>
            </w:pPr>
          </w:p>
        </w:tc>
      </w:tr>
      <w:tr w14:paraId="4A22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F1D74EC">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C90D79F">
            <w:pPr>
              <w:widowControl/>
              <w:tabs>
                <w:tab w:val="left" w:pos="2352"/>
              </w:tabs>
              <w:jc w:val="center"/>
              <w:textAlignment w:val="center"/>
              <w:rPr>
                <w:rFonts w:ascii="宋体" w:cs="Arial"/>
                <w:color w:val="auto"/>
                <w:sz w:val="22"/>
                <w:highlight w:val="none"/>
              </w:rPr>
            </w:pPr>
          </w:p>
        </w:tc>
        <w:tc>
          <w:tcPr>
            <w:tcW w:w="988" w:type="dxa"/>
            <w:vAlign w:val="center"/>
          </w:tcPr>
          <w:p w14:paraId="7A19A36F">
            <w:pPr>
              <w:widowControl/>
              <w:tabs>
                <w:tab w:val="left" w:pos="2352"/>
              </w:tabs>
              <w:jc w:val="center"/>
              <w:textAlignment w:val="center"/>
              <w:rPr>
                <w:rFonts w:ascii="宋体" w:cs="Arial"/>
                <w:color w:val="auto"/>
                <w:sz w:val="22"/>
                <w:highlight w:val="none"/>
              </w:rPr>
            </w:pPr>
          </w:p>
        </w:tc>
        <w:tc>
          <w:tcPr>
            <w:tcW w:w="1012" w:type="dxa"/>
            <w:vAlign w:val="center"/>
          </w:tcPr>
          <w:p w14:paraId="4C8667B6">
            <w:pPr>
              <w:widowControl/>
              <w:tabs>
                <w:tab w:val="left" w:pos="2352"/>
              </w:tabs>
              <w:jc w:val="center"/>
              <w:textAlignment w:val="center"/>
              <w:rPr>
                <w:rFonts w:ascii="宋体" w:cs="Arial"/>
                <w:color w:val="auto"/>
                <w:sz w:val="22"/>
                <w:highlight w:val="none"/>
              </w:rPr>
            </w:pPr>
          </w:p>
        </w:tc>
        <w:tc>
          <w:tcPr>
            <w:tcW w:w="1336" w:type="dxa"/>
            <w:vAlign w:val="center"/>
          </w:tcPr>
          <w:p w14:paraId="2C2212E6">
            <w:pPr>
              <w:widowControl/>
              <w:tabs>
                <w:tab w:val="left" w:pos="2352"/>
              </w:tabs>
              <w:jc w:val="center"/>
              <w:textAlignment w:val="center"/>
              <w:rPr>
                <w:rFonts w:ascii="宋体" w:cs="Arial"/>
                <w:color w:val="auto"/>
                <w:sz w:val="22"/>
                <w:highlight w:val="none"/>
              </w:rPr>
            </w:pPr>
          </w:p>
        </w:tc>
        <w:tc>
          <w:tcPr>
            <w:tcW w:w="1503" w:type="dxa"/>
            <w:vAlign w:val="center"/>
          </w:tcPr>
          <w:p w14:paraId="26F2AA89">
            <w:pPr>
              <w:tabs>
                <w:tab w:val="left" w:pos="2352"/>
              </w:tabs>
              <w:ind w:right="-11"/>
              <w:jc w:val="center"/>
              <w:rPr>
                <w:rFonts w:ascii="宋体" w:cs="Arial"/>
                <w:color w:val="auto"/>
                <w:sz w:val="22"/>
                <w:highlight w:val="none"/>
              </w:rPr>
            </w:pPr>
          </w:p>
        </w:tc>
        <w:tc>
          <w:tcPr>
            <w:tcW w:w="1560" w:type="dxa"/>
            <w:vAlign w:val="center"/>
          </w:tcPr>
          <w:p w14:paraId="7BD07F18">
            <w:pPr>
              <w:tabs>
                <w:tab w:val="left" w:pos="2352"/>
              </w:tabs>
              <w:ind w:right="-11"/>
              <w:jc w:val="center"/>
              <w:rPr>
                <w:rFonts w:ascii="宋体" w:cs="Arial"/>
                <w:color w:val="auto"/>
                <w:sz w:val="22"/>
                <w:highlight w:val="none"/>
              </w:rPr>
            </w:pPr>
          </w:p>
        </w:tc>
      </w:tr>
      <w:tr w14:paraId="213A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E1EED77">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13AFCF4F">
            <w:pPr>
              <w:widowControl/>
              <w:tabs>
                <w:tab w:val="left" w:pos="2352"/>
              </w:tabs>
              <w:jc w:val="left"/>
              <w:textAlignment w:val="center"/>
              <w:rPr>
                <w:rFonts w:ascii="宋体" w:cs="Arial"/>
                <w:color w:val="auto"/>
                <w:sz w:val="22"/>
                <w:highlight w:val="none"/>
              </w:rPr>
            </w:pPr>
          </w:p>
        </w:tc>
        <w:tc>
          <w:tcPr>
            <w:tcW w:w="988" w:type="dxa"/>
            <w:vAlign w:val="center"/>
          </w:tcPr>
          <w:p w14:paraId="0EB125C3">
            <w:pPr>
              <w:widowControl/>
              <w:tabs>
                <w:tab w:val="left" w:pos="2352"/>
              </w:tabs>
              <w:jc w:val="center"/>
              <w:textAlignment w:val="center"/>
              <w:rPr>
                <w:rFonts w:ascii="宋体" w:cs="Arial"/>
                <w:color w:val="auto"/>
                <w:sz w:val="22"/>
                <w:highlight w:val="none"/>
              </w:rPr>
            </w:pPr>
          </w:p>
        </w:tc>
        <w:tc>
          <w:tcPr>
            <w:tcW w:w="1012" w:type="dxa"/>
            <w:vAlign w:val="center"/>
          </w:tcPr>
          <w:p w14:paraId="6476F851">
            <w:pPr>
              <w:widowControl/>
              <w:tabs>
                <w:tab w:val="left" w:pos="2352"/>
              </w:tabs>
              <w:jc w:val="center"/>
              <w:textAlignment w:val="center"/>
              <w:rPr>
                <w:rFonts w:ascii="宋体" w:cs="Arial"/>
                <w:color w:val="auto"/>
                <w:sz w:val="22"/>
                <w:highlight w:val="none"/>
              </w:rPr>
            </w:pPr>
          </w:p>
        </w:tc>
        <w:tc>
          <w:tcPr>
            <w:tcW w:w="1336" w:type="dxa"/>
            <w:vAlign w:val="center"/>
          </w:tcPr>
          <w:p w14:paraId="6F4C0AAA">
            <w:pPr>
              <w:widowControl/>
              <w:tabs>
                <w:tab w:val="left" w:pos="2352"/>
              </w:tabs>
              <w:jc w:val="center"/>
              <w:textAlignment w:val="center"/>
              <w:rPr>
                <w:rFonts w:ascii="宋体" w:cs="Arial"/>
                <w:color w:val="auto"/>
                <w:sz w:val="22"/>
                <w:highlight w:val="none"/>
              </w:rPr>
            </w:pPr>
          </w:p>
        </w:tc>
        <w:tc>
          <w:tcPr>
            <w:tcW w:w="1503" w:type="dxa"/>
            <w:vAlign w:val="center"/>
          </w:tcPr>
          <w:p w14:paraId="398E64C9">
            <w:pPr>
              <w:tabs>
                <w:tab w:val="left" w:pos="2352"/>
              </w:tabs>
              <w:ind w:right="-11"/>
              <w:jc w:val="center"/>
              <w:rPr>
                <w:rFonts w:ascii="宋体" w:cs="Arial"/>
                <w:color w:val="auto"/>
                <w:sz w:val="22"/>
                <w:highlight w:val="none"/>
              </w:rPr>
            </w:pPr>
          </w:p>
        </w:tc>
        <w:tc>
          <w:tcPr>
            <w:tcW w:w="1560" w:type="dxa"/>
            <w:vAlign w:val="center"/>
          </w:tcPr>
          <w:p w14:paraId="0F1D4736">
            <w:pPr>
              <w:tabs>
                <w:tab w:val="left" w:pos="2352"/>
              </w:tabs>
              <w:ind w:right="-11"/>
              <w:jc w:val="center"/>
              <w:rPr>
                <w:rFonts w:ascii="宋体" w:cs="Arial"/>
                <w:color w:val="auto"/>
                <w:sz w:val="22"/>
                <w:highlight w:val="none"/>
              </w:rPr>
            </w:pPr>
          </w:p>
        </w:tc>
      </w:tr>
      <w:tr w14:paraId="3FBB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F4BEA3C">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1EEF966D">
            <w:pPr>
              <w:widowControl/>
              <w:tabs>
                <w:tab w:val="left" w:pos="2352"/>
              </w:tabs>
              <w:jc w:val="left"/>
              <w:textAlignment w:val="center"/>
              <w:rPr>
                <w:rFonts w:ascii="宋体" w:cs="Arial"/>
                <w:color w:val="auto"/>
                <w:sz w:val="22"/>
                <w:highlight w:val="none"/>
              </w:rPr>
            </w:pPr>
          </w:p>
        </w:tc>
        <w:tc>
          <w:tcPr>
            <w:tcW w:w="988" w:type="dxa"/>
            <w:vAlign w:val="center"/>
          </w:tcPr>
          <w:p w14:paraId="39C134A5">
            <w:pPr>
              <w:widowControl/>
              <w:tabs>
                <w:tab w:val="left" w:pos="2352"/>
              </w:tabs>
              <w:jc w:val="center"/>
              <w:textAlignment w:val="center"/>
              <w:rPr>
                <w:rFonts w:ascii="宋体" w:cs="Arial"/>
                <w:color w:val="auto"/>
                <w:sz w:val="22"/>
                <w:highlight w:val="none"/>
              </w:rPr>
            </w:pPr>
          </w:p>
        </w:tc>
        <w:tc>
          <w:tcPr>
            <w:tcW w:w="1012" w:type="dxa"/>
            <w:vAlign w:val="center"/>
          </w:tcPr>
          <w:p w14:paraId="64FD4008">
            <w:pPr>
              <w:widowControl/>
              <w:tabs>
                <w:tab w:val="left" w:pos="2352"/>
              </w:tabs>
              <w:jc w:val="center"/>
              <w:textAlignment w:val="center"/>
              <w:rPr>
                <w:rFonts w:ascii="宋体" w:cs="Arial"/>
                <w:color w:val="auto"/>
                <w:sz w:val="22"/>
                <w:highlight w:val="none"/>
              </w:rPr>
            </w:pPr>
          </w:p>
        </w:tc>
        <w:tc>
          <w:tcPr>
            <w:tcW w:w="1336" w:type="dxa"/>
            <w:vAlign w:val="center"/>
          </w:tcPr>
          <w:p w14:paraId="05220163">
            <w:pPr>
              <w:widowControl/>
              <w:tabs>
                <w:tab w:val="left" w:pos="2352"/>
              </w:tabs>
              <w:jc w:val="center"/>
              <w:textAlignment w:val="center"/>
              <w:rPr>
                <w:rFonts w:ascii="宋体" w:cs="Arial"/>
                <w:color w:val="auto"/>
                <w:sz w:val="22"/>
                <w:highlight w:val="none"/>
              </w:rPr>
            </w:pPr>
          </w:p>
        </w:tc>
        <w:tc>
          <w:tcPr>
            <w:tcW w:w="1503" w:type="dxa"/>
            <w:vAlign w:val="center"/>
          </w:tcPr>
          <w:p w14:paraId="42201467">
            <w:pPr>
              <w:tabs>
                <w:tab w:val="left" w:pos="2352"/>
              </w:tabs>
              <w:ind w:right="-11"/>
              <w:jc w:val="center"/>
              <w:rPr>
                <w:rFonts w:ascii="宋体" w:cs="Arial"/>
                <w:color w:val="auto"/>
                <w:sz w:val="22"/>
                <w:highlight w:val="none"/>
              </w:rPr>
            </w:pPr>
          </w:p>
        </w:tc>
        <w:tc>
          <w:tcPr>
            <w:tcW w:w="1560" w:type="dxa"/>
            <w:vAlign w:val="center"/>
          </w:tcPr>
          <w:p w14:paraId="3345ED30">
            <w:pPr>
              <w:tabs>
                <w:tab w:val="left" w:pos="2352"/>
              </w:tabs>
              <w:ind w:right="-11"/>
              <w:jc w:val="center"/>
              <w:rPr>
                <w:rFonts w:ascii="宋体" w:cs="Arial"/>
                <w:color w:val="auto"/>
                <w:sz w:val="22"/>
                <w:highlight w:val="none"/>
              </w:rPr>
            </w:pPr>
          </w:p>
        </w:tc>
      </w:tr>
      <w:tr w14:paraId="5F6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F18F3D2">
            <w:pPr>
              <w:widowControl/>
              <w:tabs>
                <w:tab w:val="left" w:pos="2352"/>
              </w:tabs>
              <w:jc w:val="center"/>
              <w:textAlignment w:val="center"/>
              <w:rPr>
                <w:rFonts w:ascii="宋体" w:cs="Arial"/>
                <w:color w:val="auto"/>
                <w:sz w:val="22"/>
                <w:highlight w:val="none"/>
              </w:rPr>
            </w:pPr>
          </w:p>
        </w:tc>
        <w:tc>
          <w:tcPr>
            <w:tcW w:w="2668" w:type="dxa"/>
            <w:vAlign w:val="center"/>
          </w:tcPr>
          <w:p w14:paraId="1A623A47">
            <w:pPr>
              <w:widowControl/>
              <w:tabs>
                <w:tab w:val="left" w:pos="2352"/>
              </w:tabs>
              <w:jc w:val="left"/>
              <w:textAlignment w:val="center"/>
              <w:rPr>
                <w:rFonts w:ascii="宋体" w:cs="Arial"/>
                <w:color w:val="auto"/>
                <w:sz w:val="22"/>
                <w:highlight w:val="none"/>
              </w:rPr>
            </w:pPr>
          </w:p>
        </w:tc>
        <w:tc>
          <w:tcPr>
            <w:tcW w:w="988" w:type="dxa"/>
            <w:vAlign w:val="center"/>
          </w:tcPr>
          <w:p w14:paraId="0795D908">
            <w:pPr>
              <w:widowControl/>
              <w:tabs>
                <w:tab w:val="left" w:pos="2352"/>
              </w:tabs>
              <w:jc w:val="center"/>
              <w:textAlignment w:val="center"/>
              <w:rPr>
                <w:rFonts w:ascii="宋体" w:cs="Arial"/>
                <w:color w:val="auto"/>
                <w:sz w:val="22"/>
                <w:highlight w:val="none"/>
              </w:rPr>
            </w:pPr>
          </w:p>
        </w:tc>
        <w:tc>
          <w:tcPr>
            <w:tcW w:w="1012" w:type="dxa"/>
            <w:vAlign w:val="center"/>
          </w:tcPr>
          <w:p w14:paraId="021CD2F0">
            <w:pPr>
              <w:widowControl/>
              <w:tabs>
                <w:tab w:val="left" w:pos="2352"/>
              </w:tabs>
              <w:jc w:val="center"/>
              <w:textAlignment w:val="center"/>
              <w:rPr>
                <w:rFonts w:ascii="宋体" w:cs="Arial"/>
                <w:color w:val="auto"/>
                <w:sz w:val="22"/>
                <w:highlight w:val="none"/>
              </w:rPr>
            </w:pPr>
          </w:p>
        </w:tc>
        <w:tc>
          <w:tcPr>
            <w:tcW w:w="1336" w:type="dxa"/>
            <w:vAlign w:val="center"/>
          </w:tcPr>
          <w:p w14:paraId="1D93C88F">
            <w:pPr>
              <w:widowControl/>
              <w:tabs>
                <w:tab w:val="left" w:pos="2352"/>
              </w:tabs>
              <w:jc w:val="center"/>
              <w:textAlignment w:val="center"/>
              <w:rPr>
                <w:rFonts w:ascii="宋体" w:cs="Arial"/>
                <w:color w:val="auto"/>
                <w:sz w:val="22"/>
                <w:highlight w:val="none"/>
              </w:rPr>
            </w:pPr>
          </w:p>
        </w:tc>
        <w:tc>
          <w:tcPr>
            <w:tcW w:w="1503" w:type="dxa"/>
            <w:vAlign w:val="center"/>
          </w:tcPr>
          <w:p w14:paraId="3BF67D43">
            <w:pPr>
              <w:tabs>
                <w:tab w:val="left" w:pos="2352"/>
              </w:tabs>
              <w:ind w:right="-11"/>
              <w:jc w:val="center"/>
              <w:rPr>
                <w:rFonts w:ascii="宋体" w:cs="Arial"/>
                <w:color w:val="auto"/>
                <w:sz w:val="22"/>
                <w:highlight w:val="none"/>
              </w:rPr>
            </w:pPr>
          </w:p>
        </w:tc>
        <w:tc>
          <w:tcPr>
            <w:tcW w:w="1560" w:type="dxa"/>
            <w:vAlign w:val="center"/>
          </w:tcPr>
          <w:p w14:paraId="581777DA">
            <w:pPr>
              <w:tabs>
                <w:tab w:val="left" w:pos="2352"/>
              </w:tabs>
              <w:ind w:right="-11"/>
              <w:jc w:val="center"/>
              <w:rPr>
                <w:rFonts w:ascii="宋体" w:cs="Arial"/>
                <w:color w:val="auto"/>
                <w:sz w:val="22"/>
                <w:highlight w:val="none"/>
              </w:rPr>
            </w:pPr>
          </w:p>
        </w:tc>
      </w:tr>
      <w:tr w14:paraId="1F8A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50D32E7A">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14:paraId="14835962">
            <w:pPr>
              <w:widowControl/>
              <w:tabs>
                <w:tab w:val="left" w:pos="2352"/>
              </w:tabs>
              <w:jc w:val="center"/>
              <w:textAlignment w:val="center"/>
              <w:rPr>
                <w:rFonts w:ascii="宋体" w:cs="Arial"/>
                <w:color w:val="auto"/>
                <w:sz w:val="22"/>
                <w:highlight w:val="none"/>
              </w:rPr>
            </w:pPr>
          </w:p>
        </w:tc>
        <w:tc>
          <w:tcPr>
            <w:tcW w:w="1560" w:type="dxa"/>
            <w:vAlign w:val="center"/>
          </w:tcPr>
          <w:p w14:paraId="16E207CF">
            <w:pPr>
              <w:tabs>
                <w:tab w:val="left" w:pos="2352"/>
              </w:tabs>
              <w:ind w:right="-11"/>
              <w:jc w:val="center"/>
              <w:rPr>
                <w:rFonts w:ascii="宋体" w:cs="Arial"/>
                <w:color w:val="auto"/>
                <w:sz w:val="22"/>
                <w:highlight w:val="none"/>
              </w:rPr>
            </w:pPr>
          </w:p>
        </w:tc>
      </w:tr>
    </w:tbl>
    <w:p w14:paraId="23261A76">
      <w:pPr>
        <w:tabs>
          <w:tab w:val="left" w:pos="2352"/>
        </w:tabs>
        <w:rPr>
          <w:rFonts w:ascii="宋体" w:cs="Arial"/>
          <w:bCs/>
          <w:color w:val="auto"/>
          <w:sz w:val="22"/>
          <w:highlight w:val="none"/>
        </w:rPr>
      </w:pPr>
    </w:p>
    <w:p w14:paraId="141BD746">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14:paraId="6DD65AAF">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14:paraId="72A84395">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182649C0">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239D9C16">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0ABCB1F1">
      <w:pPr>
        <w:ind w:firstLine="630"/>
        <w:rPr>
          <w:color w:val="auto"/>
          <w:sz w:val="22"/>
          <w:highlight w:val="none"/>
          <w:u w:val="single"/>
        </w:rPr>
      </w:pPr>
      <w:r>
        <w:rPr>
          <w:rFonts w:hint="eastAsia" w:ascii="宋体" w:cs="Arial"/>
          <w:color w:val="auto"/>
          <w:sz w:val="22"/>
          <w:highlight w:val="none"/>
        </w:rPr>
        <w:t xml:space="preserve">6.表格可以延续。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6DD36B2E">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7A28A9CD">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4BB6F96B">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21E3B3C9">
      <w:pPr>
        <w:tabs>
          <w:tab w:val="left" w:pos="1069"/>
          <w:tab w:val="left" w:pos="2352"/>
        </w:tabs>
        <w:snapToGrid w:val="0"/>
        <w:spacing w:line="440" w:lineRule="exact"/>
        <w:rPr>
          <w:rFonts w:ascii="宋体" w:hAnsi="宋体" w:cs="宋体"/>
          <w:b/>
          <w:bCs/>
          <w:color w:val="auto"/>
          <w:sz w:val="22"/>
          <w:highlight w:val="none"/>
        </w:rPr>
      </w:pPr>
    </w:p>
    <w:p w14:paraId="483BB153">
      <w:pPr>
        <w:tabs>
          <w:tab w:val="left" w:pos="1069"/>
          <w:tab w:val="left" w:pos="2352"/>
        </w:tabs>
        <w:snapToGrid w:val="0"/>
        <w:spacing w:line="440" w:lineRule="exact"/>
        <w:rPr>
          <w:rFonts w:ascii="宋体" w:hAnsi="宋体" w:cs="宋体"/>
          <w:b/>
          <w:bCs/>
          <w:color w:val="auto"/>
          <w:sz w:val="22"/>
          <w:highlight w:val="none"/>
        </w:rPr>
      </w:pPr>
    </w:p>
    <w:p w14:paraId="186DA022">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6CC61BBA">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C981F0">
      <w:pPr>
        <w:tabs>
          <w:tab w:val="left" w:pos="1069"/>
          <w:tab w:val="left" w:pos="2352"/>
        </w:tabs>
        <w:spacing w:line="480" w:lineRule="auto"/>
        <w:jc w:val="center"/>
        <w:rPr>
          <w:rFonts w:ascii="宋体" w:hAnsi="宋体" w:cs="宋体"/>
          <w:b/>
          <w:color w:val="auto"/>
          <w:sz w:val="64"/>
          <w:szCs w:val="64"/>
          <w:highlight w:val="none"/>
        </w:rPr>
      </w:pPr>
    </w:p>
    <w:p w14:paraId="6E1F9329">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泰顺县地质灾害风险“一坡一卡”调查评价</w:t>
      </w:r>
    </w:p>
    <w:p w14:paraId="0DF32C7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8190D08">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3304B34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A1C473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6AD038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2E93EF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TSCG202506026 </w:t>
            </w:r>
          </w:p>
        </w:tc>
      </w:tr>
      <w:tr w14:paraId="452847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D7B96B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69DFB39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CEF4C8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1B3001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F2580B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DABBE3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678B92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5BBC29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3F8B89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37D84C4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1C592F71">
      <w:pPr>
        <w:pStyle w:val="6"/>
        <w:tabs>
          <w:tab w:val="left" w:pos="1069"/>
          <w:tab w:val="left" w:pos="2352"/>
        </w:tabs>
        <w:ind w:left="0" w:leftChars="0" w:firstLine="0" w:firstLineChars="0"/>
        <w:rPr>
          <w:rFonts w:ascii="宋体" w:hAnsi="宋体" w:cs="宋体"/>
          <w:b/>
          <w:bCs/>
          <w:color w:val="auto"/>
          <w:sz w:val="30"/>
          <w:highlight w:val="none"/>
          <w:lang w:val="zh-CN"/>
        </w:rPr>
      </w:pPr>
    </w:p>
    <w:p w14:paraId="0B32E99E">
      <w:pPr>
        <w:tabs>
          <w:tab w:val="left" w:pos="1069"/>
          <w:tab w:val="left" w:pos="2352"/>
        </w:tabs>
        <w:rPr>
          <w:color w:val="auto"/>
          <w:highlight w:val="none"/>
          <w:lang w:val="zh-CN"/>
        </w:rPr>
      </w:pPr>
    </w:p>
    <w:p w14:paraId="4707E18B">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14:paraId="2C61F808">
      <w:pPr>
        <w:autoSpaceDE w:val="0"/>
        <w:autoSpaceDN w:val="0"/>
        <w:adjustRightInd w:val="0"/>
        <w:spacing w:line="460" w:lineRule="atLeast"/>
        <w:jc w:val="center"/>
        <w:rPr>
          <w:rFonts w:asciiTheme="majorEastAsia" w:hAnsiTheme="majorEastAsia" w:eastAsiaTheme="majorEastAsia" w:cstheme="majorEastAsia"/>
          <w:b/>
          <w:bCs/>
          <w:color w:val="auto"/>
          <w:sz w:val="30"/>
          <w:highlight w:val="none"/>
          <w:lang w:val="zh-CN"/>
        </w:rPr>
      </w:pPr>
      <w:bookmarkStart w:id="64" w:name="_Toc11360"/>
      <w:bookmarkStart w:id="65" w:name="_Toc31784"/>
      <w:bookmarkStart w:id="66" w:name="_Toc18304"/>
      <w:bookmarkStart w:id="67" w:name="_Toc33194406"/>
      <w:bookmarkStart w:id="68" w:name="_Toc28957"/>
      <w:bookmarkStart w:id="69" w:name="_Toc31544"/>
      <w:bookmarkStart w:id="70" w:name="_Toc13669"/>
      <w:bookmarkStart w:id="71" w:name="_Toc6606"/>
      <w:bookmarkStart w:id="72" w:name="_Toc27119255"/>
      <w:bookmarkStart w:id="73" w:name="_Toc10630"/>
      <w:bookmarkStart w:id="74" w:name="_Toc14988"/>
      <w:bookmarkStart w:id="75" w:name="_Toc14589"/>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000630EA">
      <w:pPr>
        <w:snapToGrid w:val="0"/>
        <w:spacing w:line="360" w:lineRule="auto"/>
        <w:rPr>
          <w:rFonts w:ascii="宋体" w:hAnsi="宋体" w:cs="宋体"/>
          <w:color w:val="auto"/>
          <w:sz w:val="22"/>
          <w:highlight w:val="none"/>
          <w:u w:val="single"/>
        </w:rPr>
      </w:pPr>
    </w:p>
    <w:p w14:paraId="5458858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bCs/>
          <w:color w:val="auto"/>
          <w:sz w:val="22"/>
          <w:highlight w:val="none"/>
        </w:rPr>
      </w:pPr>
      <w:r>
        <w:rPr>
          <w:rFonts w:hint="eastAsia" w:ascii="宋体" w:hAnsi="宋体" w:cs="宋体"/>
          <w:bCs/>
          <w:color w:val="auto"/>
          <w:sz w:val="22"/>
          <w:highlight w:val="none"/>
          <w:u w:val="single"/>
        </w:rPr>
        <w:t>泰顺县自然资源和规划局、杭州华旗招标代理有限公司</w:t>
      </w:r>
      <w:r>
        <w:rPr>
          <w:rFonts w:hint="eastAsia" w:ascii="宋体" w:hAnsi="宋体" w:cs="宋体"/>
          <w:bCs/>
          <w:color w:val="auto"/>
          <w:sz w:val="22"/>
          <w:highlight w:val="none"/>
        </w:rPr>
        <w:t>：</w:t>
      </w:r>
    </w:p>
    <w:p w14:paraId="73AC2866">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我方参与</w:t>
      </w:r>
      <w:r>
        <w:rPr>
          <w:rFonts w:hint="eastAsia" w:ascii="宋体" w:hAnsi="宋体" w:cs="宋体"/>
          <w:bCs/>
          <w:color w:val="auto"/>
          <w:sz w:val="22"/>
          <w:highlight w:val="none"/>
          <w:u w:val="single"/>
        </w:rPr>
        <w:t xml:space="preserve">  </w:t>
      </w:r>
      <w:r>
        <w:rPr>
          <w:rFonts w:hint="eastAsia" w:ascii="宋体" w:hAnsi="宋体" w:cs="宋体"/>
          <w:bCs/>
          <w:color w:val="auto"/>
          <w:sz w:val="22"/>
          <w:highlight w:val="none"/>
          <w:u w:val="single"/>
          <w:lang w:eastAsia="zh-CN"/>
        </w:rPr>
        <w:t>泰顺县地质灾害风险“一坡一卡”调查评价</w:t>
      </w:r>
      <w:r>
        <w:rPr>
          <w:rFonts w:hint="eastAsia" w:ascii="宋体" w:cs="宋体"/>
          <w:bCs/>
          <w:color w:val="auto"/>
          <w:sz w:val="22"/>
          <w:highlight w:val="none"/>
          <w:u w:val="single"/>
        </w:rPr>
        <w:t xml:space="preserve"> </w:t>
      </w:r>
      <w:r>
        <w:rPr>
          <w:rFonts w:hint="eastAsia" w:ascii="宋体" w:hAnsi="宋体" w:cs="宋体"/>
          <w:bCs/>
          <w:color w:val="auto"/>
          <w:sz w:val="22"/>
          <w:highlight w:val="none"/>
          <w:u w:val="single"/>
        </w:rPr>
        <w:t>（项目编号：</w:t>
      </w:r>
      <w:r>
        <w:rPr>
          <w:rFonts w:hint="eastAsia" w:ascii="宋体" w:cs="宋体"/>
          <w:bCs/>
          <w:color w:val="auto"/>
          <w:sz w:val="22"/>
          <w:highlight w:val="none"/>
          <w:u w:val="single"/>
          <w:lang w:eastAsia="zh-CN"/>
        </w:rPr>
        <w:t xml:space="preserve">TSCG202506026 </w:t>
      </w:r>
      <w:r>
        <w:rPr>
          <w:rFonts w:hint="eastAsia" w:ascii="宋体" w:hAnsi="宋体" w:cs="宋体"/>
          <w:bCs/>
          <w:color w:val="auto"/>
          <w:sz w:val="22"/>
          <w:highlight w:val="none"/>
          <w:u w:val="single"/>
        </w:rPr>
        <w:t>）</w:t>
      </w:r>
      <w:r>
        <w:rPr>
          <w:rFonts w:hint="eastAsia" w:ascii="宋体" w:hAnsi="宋体" w:cs="宋体"/>
          <w:bCs/>
          <w:color w:val="auto"/>
          <w:sz w:val="22"/>
          <w:highlight w:val="none"/>
        </w:rPr>
        <w:t>政府采购活动，郑重承诺：</w:t>
      </w:r>
    </w:p>
    <w:p w14:paraId="325EA60F">
      <w:pPr>
        <w:keepNext w:val="0"/>
        <w:keepLines w:val="0"/>
        <w:pageBreakBefore w:val="0"/>
        <w:widowControl w:val="0"/>
        <w:kinsoku/>
        <w:wordWrap/>
        <w:overflowPunct/>
        <w:topLinePunct w:val="0"/>
        <w:autoSpaceDE/>
        <w:autoSpaceDN/>
        <w:bidi w:val="0"/>
        <w:adjustRightInd/>
        <w:snapToGrid w:val="0"/>
        <w:spacing w:line="360" w:lineRule="exact"/>
        <w:ind w:firstLine="334" w:firstLineChars="150"/>
        <w:textAlignment w:val="auto"/>
        <w:rPr>
          <w:rFonts w:ascii="宋体" w:hAnsi="宋体" w:cs="宋体"/>
          <w:bCs/>
          <w:color w:val="auto"/>
          <w:sz w:val="22"/>
          <w:highlight w:val="none"/>
        </w:rPr>
      </w:pPr>
      <w:r>
        <w:rPr>
          <w:rFonts w:hint="eastAsia" w:ascii="宋体" w:hAnsi="宋体" w:cs="宋体"/>
          <w:bCs/>
          <w:color w:val="auto"/>
          <w:sz w:val="22"/>
          <w:highlight w:val="none"/>
        </w:rPr>
        <w:t>（一）具备《中华人民共和国政府采购法》第二十二条规定的条件：</w:t>
      </w:r>
    </w:p>
    <w:p w14:paraId="3DD8FEB0">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1、具有独立承担民事责任的能力；</w:t>
      </w:r>
    </w:p>
    <w:p w14:paraId="6B83355F">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 xml:space="preserve">2、具有良好的商业信誉和健全的财务会计制度； </w:t>
      </w:r>
    </w:p>
    <w:p w14:paraId="437F284C">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3、具有履行合同所必需的设备和专业技术能力；</w:t>
      </w:r>
    </w:p>
    <w:p w14:paraId="32ED00C9">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4、有依法缴纳税收和社会保障资金的良好记录；</w:t>
      </w:r>
    </w:p>
    <w:p w14:paraId="251EDFCC">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5、参加政府采购活动前三年内，在经营活动中没有重大违法记录；</w:t>
      </w:r>
    </w:p>
    <w:p w14:paraId="7AAD950F">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6、具有法律、行政法规规定的其他条件。</w:t>
      </w:r>
    </w:p>
    <w:p w14:paraId="2D6620D3">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309FD5E">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（三）不存在以下情况：</w:t>
      </w:r>
    </w:p>
    <w:p w14:paraId="5BC2EAD1">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1、单位负责人为同一人或者存在直接控股、管理关系的不同供应商参加同一合同项下的政府采购活动的；</w:t>
      </w:r>
    </w:p>
    <w:p w14:paraId="3F596497">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2、为采购项目提供整体设计、规范编制或者项目管理、监理、检测等服务后再参加该采购项目的其他采购活动的。</w:t>
      </w:r>
    </w:p>
    <w:p w14:paraId="0FAC1C8A">
      <w:pPr>
        <w:keepNext w:val="0"/>
        <w:keepLines w:val="0"/>
        <w:pageBreakBefore w:val="0"/>
        <w:widowControl w:val="0"/>
        <w:kinsoku/>
        <w:wordWrap/>
        <w:overflowPunct/>
        <w:topLinePunct w:val="0"/>
        <w:autoSpaceDE/>
        <w:autoSpaceDN/>
        <w:bidi w:val="0"/>
        <w:adjustRightInd/>
        <w:snapToGrid w:val="0"/>
        <w:spacing w:line="360" w:lineRule="exact"/>
        <w:ind w:firstLine="446" w:firstLineChars="200"/>
        <w:textAlignment w:val="auto"/>
        <w:rPr>
          <w:rFonts w:ascii="宋体" w:hAnsi="宋体" w:cs="宋体"/>
          <w:bCs/>
          <w:color w:val="auto"/>
          <w:sz w:val="22"/>
          <w:highlight w:val="none"/>
        </w:rPr>
      </w:pPr>
      <w:r>
        <w:rPr>
          <w:rFonts w:hint="eastAsia" w:ascii="宋体" w:hAnsi="宋体" w:cs="宋体"/>
          <w:bCs/>
          <w:color w:val="auto"/>
          <w:sz w:val="22"/>
          <w:highlight w:val="none"/>
        </w:rPr>
        <w:t>（四）如有虚假，采购人可取消我方任何资格（投标/中标/签订合同），我方对此无任何异议。</w:t>
      </w:r>
    </w:p>
    <w:p w14:paraId="65BE269C">
      <w:pPr>
        <w:keepNext w:val="0"/>
        <w:keepLines w:val="0"/>
        <w:pageBreakBefore w:val="0"/>
        <w:widowControl w:val="0"/>
        <w:kinsoku/>
        <w:wordWrap/>
        <w:overflowPunct/>
        <w:topLinePunct w:val="0"/>
        <w:autoSpaceDE/>
        <w:autoSpaceDN/>
        <w:bidi w:val="0"/>
        <w:adjustRightInd/>
        <w:spacing w:line="360" w:lineRule="exact"/>
        <w:ind w:firstLine="4460" w:firstLineChars="2000"/>
        <w:textAlignment w:val="auto"/>
        <w:rPr>
          <w:rFonts w:ascii="宋体" w:hAnsi="宋体" w:cs="宋体"/>
          <w:bCs/>
          <w:color w:val="auto"/>
          <w:sz w:val="22"/>
          <w:highlight w:val="none"/>
        </w:rPr>
      </w:pPr>
    </w:p>
    <w:p w14:paraId="5316C6A2">
      <w:pPr>
        <w:keepNext w:val="0"/>
        <w:keepLines w:val="0"/>
        <w:pageBreakBefore w:val="0"/>
        <w:widowControl w:val="0"/>
        <w:kinsoku/>
        <w:wordWrap/>
        <w:overflowPunct/>
        <w:topLinePunct w:val="0"/>
        <w:autoSpaceDE/>
        <w:autoSpaceDN/>
        <w:bidi w:val="0"/>
        <w:adjustRightInd/>
        <w:spacing w:line="360" w:lineRule="exact"/>
        <w:ind w:firstLine="4906" w:firstLineChars="2200"/>
        <w:textAlignment w:val="auto"/>
        <w:rPr>
          <w:rFonts w:ascii="宋体" w:hAnsi="宋体" w:cs="宋体"/>
          <w:bCs/>
          <w:color w:val="auto"/>
          <w:sz w:val="22"/>
          <w:highlight w:val="none"/>
        </w:rPr>
      </w:pPr>
      <w:r>
        <w:rPr>
          <w:rFonts w:hint="eastAsia" w:ascii="宋体" w:hAnsi="宋体" w:cs="宋体"/>
          <w:bCs/>
          <w:color w:val="auto"/>
          <w:sz w:val="22"/>
          <w:highlight w:val="none"/>
        </w:rPr>
        <w:t>供应商名称（公章）：</w:t>
      </w:r>
    </w:p>
    <w:p w14:paraId="673DE8A4">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Cs/>
          <w:color w:val="auto"/>
          <w:sz w:val="22"/>
          <w:highlight w:val="none"/>
        </w:rPr>
      </w:pPr>
      <w:r>
        <w:rPr>
          <w:rFonts w:hint="eastAsia" w:ascii="宋体" w:hAnsi="宋体" w:cs="宋体"/>
          <w:bCs/>
          <w:color w:val="auto"/>
          <w:sz w:val="22"/>
          <w:highlight w:val="none"/>
        </w:rPr>
        <w:t xml:space="preserve">                       日期：  年  月  日</w:t>
      </w:r>
    </w:p>
    <w:p w14:paraId="7C156BFF">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Cs/>
          <w:color w:val="auto"/>
          <w:sz w:val="22"/>
          <w:highlight w:val="none"/>
        </w:rPr>
      </w:pPr>
    </w:p>
    <w:p w14:paraId="09AA8AFE">
      <w:pPr>
        <w:keepNext w:val="0"/>
        <w:keepLines w:val="0"/>
        <w:pageBreakBefore w:val="0"/>
        <w:widowControl w:val="0"/>
        <w:kinsoku/>
        <w:wordWrap/>
        <w:overflowPunct/>
        <w:topLinePunct w:val="0"/>
        <w:autoSpaceDE/>
        <w:autoSpaceDN/>
        <w:bidi w:val="0"/>
        <w:adjustRightInd/>
        <w:snapToGrid w:val="0"/>
        <w:spacing w:line="360" w:lineRule="exact"/>
        <w:ind w:right="480" w:firstLine="446" w:firstLineChars="200"/>
        <w:jc w:val="left"/>
        <w:textAlignment w:val="auto"/>
        <w:rPr>
          <w:rFonts w:ascii="宋体" w:hAnsi="宋体" w:cs="宋体"/>
          <w:bCs/>
          <w:color w:val="auto"/>
          <w:sz w:val="22"/>
          <w:highlight w:val="none"/>
        </w:rPr>
      </w:pPr>
      <w:r>
        <w:rPr>
          <w:rFonts w:hint="eastAsia" w:ascii="宋体" w:hAnsi="宋体" w:cs="宋体"/>
          <w:bCs/>
          <w:color w:val="auto"/>
          <w:sz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Cs/>
          <w:color w:val="auto"/>
          <w:sz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8C42897">
      <w:pPr>
        <w:rPr>
          <w:rFonts w:ascii="宋体" w:hAnsi="宋体" w:cs="宋体"/>
          <w:bCs/>
          <w:color w:val="auto"/>
          <w:sz w:val="22"/>
          <w:highlight w:val="none"/>
        </w:rPr>
      </w:pPr>
    </w:p>
    <w:bookmarkEnd w:id="64"/>
    <w:bookmarkEnd w:id="65"/>
    <w:bookmarkEnd w:id="66"/>
    <w:bookmarkEnd w:id="67"/>
    <w:bookmarkEnd w:id="68"/>
    <w:bookmarkEnd w:id="69"/>
    <w:bookmarkEnd w:id="70"/>
    <w:bookmarkEnd w:id="71"/>
    <w:bookmarkEnd w:id="72"/>
    <w:bookmarkEnd w:id="73"/>
    <w:bookmarkEnd w:id="74"/>
    <w:bookmarkEnd w:id="75"/>
    <w:p w14:paraId="0AA08B1D">
      <w:pPr>
        <w:tabs>
          <w:tab w:val="left" w:pos="1069"/>
          <w:tab w:val="left" w:pos="2352"/>
        </w:tabs>
        <w:spacing w:line="360" w:lineRule="exact"/>
        <w:jc w:val="left"/>
        <w:rPr>
          <w:rFonts w:ascii="宋体" w:hAnsi="宋体" w:cs="宋体"/>
          <w:b/>
          <w:bCs/>
          <w:color w:val="auto"/>
          <w:sz w:val="30"/>
          <w:highlight w:val="none"/>
        </w:rPr>
      </w:pPr>
    </w:p>
    <w:p w14:paraId="11A60F30">
      <w:pPr>
        <w:tabs>
          <w:tab w:val="left" w:pos="1069"/>
          <w:tab w:val="left" w:pos="2352"/>
        </w:tabs>
        <w:spacing w:line="360" w:lineRule="exact"/>
        <w:jc w:val="left"/>
        <w:rPr>
          <w:rFonts w:ascii="宋体" w:hAnsi="宋体" w:cs="宋体"/>
          <w:b/>
          <w:bCs/>
          <w:color w:val="auto"/>
          <w:sz w:val="30"/>
          <w:highlight w:val="none"/>
        </w:rPr>
      </w:pPr>
    </w:p>
    <w:p w14:paraId="6EEAB16E">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附件四</w:t>
      </w:r>
    </w:p>
    <w:p w14:paraId="3A373A2E">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6" w:name="_Toc32552_WPSOffice_Level3"/>
      <w:r>
        <w:rPr>
          <w:rFonts w:hint="eastAsia" w:ascii="宋体" w:hAnsi="宋体" w:cs="宋体"/>
          <w:b/>
          <w:bCs/>
          <w:color w:val="auto"/>
          <w:sz w:val="32"/>
          <w:highlight w:val="none"/>
          <w:lang w:val="zh-CN"/>
        </w:rPr>
        <w:t>法定代表人授权书</w:t>
      </w:r>
      <w:bookmarkEnd w:id="76"/>
    </w:p>
    <w:p w14:paraId="45C5A1CE">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5FB2199A">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泰顺县自然资源和规划局</w:t>
      </w:r>
      <w:r>
        <w:rPr>
          <w:rFonts w:hint="eastAsia" w:ascii="宋体" w:hAnsi="宋体" w:cs="宋体"/>
          <w:color w:val="auto"/>
          <w:sz w:val="22"/>
          <w:highlight w:val="none"/>
          <w:lang w:val="zh-CN"/>
        </w:rPr>
        <w:t>：</w:t>
      </w:r>
    </w:p>
    <w:p w14:paraId="7782C163">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泰顺县地质灾害风险“一坡一卡”调查评价</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TSCG202506026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4760F4F2">
      <w:pPr>
        <w:tabs>
          <w:tab w:val="left" w:pos="1069"/>
          <w:tab w:val="left" w:pos="2352"/>
        </w:tabs>
        <w:spacing w:line="400" w:lineRule="atLeast"/>
        <w:ind w:firstLine="446" w:firstLineChars="200"/>
        <w:rPr>
          <w:rFonts w:ascii="宋体" w:hAnsi="宋体" w:cs="宋体"/>
          <w:color w:val="auto"/>
          <w:sz w:val="22"/>
          <w:highlight w:val="none"/>
        </w:rPr>
      </w:pPr>
    </w:p>
    <w:p w14:paraId="22A618F2">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10BDEBAB">
      <w:pPr>
        <w:tabs>
          <w:tab w:val="left" w:pos="1069"/>
          <w:tab w:val="left" w:pos="2352"/>
        </w:tabs>
        <w:spacing w:line="400" w:lineRule="atLeast"/>
        <w:rPr>
          <w:rFonts w:ascii="宋体" w:hAnsi="宋体" w:cs="宋体"/>
          <w:color w:val="auto"/>
          <w:sz w:val="22"/>
          <w:highlight w:val="none"/>
        </w:rPr>
      </w:pPr>
    </w:p>
    <w:p w14:paraId="279C1387">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235E289D">
      <w:pPr>
        <w:tabs>
          <w:tab w:val="left" w:pos="1069"/>
          <w:tab w:val="left" w:pos="2352"/>
        </w:tabs>
        <w:spacing w:line="400" w:lineRule="atLeast"/>
        <w:ind w:firstLine="2992" w:firstLineChars="1342"/>
        <w:rPr>
          <w:rFonts w:ascii="宋体" w:hAnsi="宋体" w:cs="宋体"/>
          <w:color w:val="auto"/>
          <w:sz w:val="22"/>
          <w:highlight w:val="none"/>
          <w:u w:val="single"/>
        </w:rPr>
      </w:pPr>
    </w:p>
    <w:p w14:paraId="45AFF024">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0773B643">
      <w:pPr>
        <w:tabs>
          <w:tab w:val="left" w:pos="1069"/>
          <w:tab w:val="left" w:pos="2352"/>
        </w:tabs>
        <w:spacing w:line="400" w:lineRule="atLeast"/>
        <w:ind w:firstLine="2992" w:firstLineChars="1342"/>
        <w:rPr>
          <w:rFonts w:ascii="宋体" w:hAnsi="宋体" w:cs="宋体"/>
          <w:color w:val="auto"/>
          <w:sz w:val="22"/>
          <w:highlight w:val="none"/>
          <w:u w:val="single"/>
        </w:rPr>
      </w:pPr>
    </w:p>
    <w:p w14:paraId="7C7F2716">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79B14A92">
      <w:pPr>
        <w:tabs>
          <w:tab w:val="left" w:pos="1069"/>
          <w:tab w:val="left" w:pos="2352"/>
        </w:tabs>
        <w:spacing w:line="400" w:lineRule="atLeast"/>
        <w:ind w:left="1" w:firstLine="427" w:firstLineChars="192"/>
        <w:rPr>
          <w:rFonts w:ascii="宋体" w:hAnsi="宋体" w:cs="宋体"/>
          <w:color w:val="auto"/>
          <w:sz w:val="22"/>
          <w:highlight w:val="none"/>
        </w:rPr>
      </w:pPr>
    </w:p>
    <w:p w14:paraId="37D02482">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219A0FDD">
      <w:pPr>
        <w:tabs>
          <w:tab w:val="left" w:pos="1069"/>
          <w:tab w:val="left" w:pos="2352"/>
        </w:tabs>
        <w:spacing w:line="400" w:lineRule="atLeast"/>
        <w:ind w:left="1" w:firstLine="427" w:firstLineChars="192"/>
        <w:rPr>
          <w:rFonts w:ascii="宋体" w:hAnsi="宋体" w:cs="宋体"/>
          <w:color w:val="auto"/>
          <w:sz w:val="22"/>
          <w:highlight w:val="none"/>
        </w:rPr>
      </w:pPr>
    </w:p>
    <w:p w14:paraId="05DDE655">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46F8857">
      <w:pPr>
        <w:tabs>
          <w:tab w:val="left" w:pos="1069"/>
          <w:tab w:val="left" w:pos="2352"/>
        </w:tabs>
        <w:spacing w:line="400" w:lineRule="atLeast"/>
        <w:ind w:left="2699"/>
        <w:rPr>
          <w:rFonts w:ascii="宋体" w:hAnsi="宋体" w:cs="宋体"/>
          <w:color w:val="auto"/>
          <w:sz w:val="22"/>
          <w:highlight w:val="none"/>
        </w:rPr>
      </w:pPr>
    </w:p>
    <w:p w14:paraId="35868702">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330CA409">
      <w:pPr>
        <w:tabs>
          <w:tab w:val="left" w:pos="1069"/>
          <w:tab w:val="left" w:pos="2352"/>
        </w:tabs>
        <w:spacing w:line="360" w:lineRule="exact"/>
        <w:ind w:left="2699"/>
        <w:rPr>
          <w:rFonts w:ascii="宋体" w:hAnsi="宋体" w:cs="宋体"/>
          <w:color w:val="auto"/>
          <w:sz w:val="22"/>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81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69B27991">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10108950">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327AB356">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67618EFC">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14:paraId="36E63BC3">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14:paraId="66A6CAF4">
      <w:pPr>
        <w:pStyle w:val="12"/>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DB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4FB43605">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431D87AF">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25930F7A">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36E5E016">
      <w:pPr>
        <w:tabs>
          <w:tab w:val="left" w:pos="1069"/>
          <w:tab w:val="left" w:pos="2352"/>
        </w:tabs>
        <w:spacing w:line="360" w:lineRule="exact"/>
        <w:jc w:val="left"/>
        <w:rPr>
          <w:rFonts w:ascii="宋体" w:hAnsi="宋体" w:cs="宋体"/>
          <w:b/>
          <w:bCs/>
          <w:color w:val="auto"/>
          <w:sz w:val="30"/>
          <w:highlight w:val="none"/>
        </w:rPr>
      </w:pPr>
    </w:p>
    <w:p w14:paraId="5557833F">
      <w:pPr>
        <w:tabs>
          <w:tab w:val="left" w:pos="1069"/>
          <w:tab w:val="left" w:pos="2352"/>
        </w:tabs>
        <w:spacing w:line="360" w:lineRule="exact"/>
        <w:jc w:val="left"/>
        <w:rPr>
          <w:rFonts w:ascii="宋体" w:hAnsi="宋体" w:cs="宋体"/>
          <w:b/>
          <w:bCs/>
          <w:color w:val="auto"/>
          <w:sz w:val="30"/>
          <w:highlight w:val="none"/>
        </w:rPr>
      </w:pPr>
    </w:p>
    <w:p w14:paraId="776ECFF8">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6186558B">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653988A5">
      <w:pPr>
        <w:tabs>
          <w:tab w:val="left" w:pos="1069"/>
          <w:tab w:val="left" w:pos="2352"/>
        </w:tabs>
        <w:snapToGrid w:val="0"/>
        <w:spacing w:line="440" w:lineRule="exact"/>
        <w:jc w:val="center"/>
        <w:rPr>
          <w:rFonts w:ascii="宋体" w:hAnsi="宋体" w:cs="宋体"/>
          <w:b/>
          <w:color w:val="auto"/>
          <w:sz w:val="32"/>
          <w:szCs w:val="32"/>
          <w:highlight w:val="none"/>
        </w:rPr>
      </w:pPr>
    </w:p>
    <w:p w14:paraId="5124915A">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泰顺县地质灾害风险“一坡一卡”调查评价</w:t>
      </w:r>
    </w:p>
    <w:p w14:paraId="0A7777B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1F2113F">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1808560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FCFFBF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4C28CB7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9B688A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TSCG202506026 </w:t>
            </w:r>
          </w:p>
        </w:tc>
      </w:tr>
      <w:tr w14:paraId="5B5E0D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D38BBE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4174B1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88AF32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0BFE23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BD2C53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6548F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FF6FC9C">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C5B415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FA680E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827BB4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59CC3759">
      <w:pPr>
        <w:tabs>
          <w:tab w:val="left" w:pos="1069"/>
          <w:tab w:val="left" w:pos="2352"/>
        </w:tabs>
        <w:spacing w:line="360" w:lineRule="exact"/>
        <w:jc w:val="left"/>
        <w:rPr>
          <w:rFonts w:ascii="宋体" w:hAnsi="宋体" w:cs="宋体"/>
          <w:b/>
          <w:bCs/>
          <w:color w:val="auto"/>
          <w:sz w:val="30"/>
          <w:highlight w:val="none"/>
        </w:rPr>
      </w:pPr>
    </w:p>
    <w:p w14:paraId="33955217">
      <w:pPr>
        <w:tabs>
          <w:tab w:val="left" w:pos="1069"/>
          <w:tab w:val="left" w:pos="2352"/>
        </w:tabs>
        <w:spacing w:line="360" w:lineRule="exact"/>
        <w:jc w:val="left"/>
        <w:rPr>
          <w:rFonts w:ascii="宋体" w:hAnsi="宋体" w:cs="宋体"/>
          <w:b/>
          <w:bCs/>
          <w:color w:val="auto"/>
          <w:sz w:val="30"/>
          <w:highlight w:val="none"/>
        </w:rPr>
      </w:pPr>
    </w:p>
    <w:p w14:paraId="6B9EBEAA">
      <w:pPr>
        <w:tabs>
          <w:tab w:val="left" w:pos="1069"/>
          <w:tab w:val="left" w:pos="2352"/>
        </w:tabs>
        <w:spacing w:line="360" w:lineRule="exact"/>
        <w:jc w:val="left"/>
        <w:rPr>
          <w:rFonts w:hint="eastAsia" w:ascii="宋体" w:hAnsi="宋体" w:cs="宋体"/>
          <w:b/>
          <w:bCs/>
          <w:color w:val="auto"/>
          <w:sz w:val="30"/>
          <w:highlight w:val="none"/>
        </w:rPr>
      </w:pPr>
    </w:p>
    <w:p w14:paraId="76FB4847">
      <w:pPr>
        <w:tabs>
          <w:tab w:val="left" w:pos="1069"/>
          <w:tab w:val="left" w:pos="2352"/>
        </w:tabs>
        <w:spacing w:line="360" w:lineRule="exact"/>
        <w:jc w:val="left"/>
        <w:rPr>
          <w:rFonts w:hint="eastAsia" w:ascii="宋体" w:hAnsi="宋体" w:cs="宋体"/>
          <w:b/>
          <w:bCs/>
          <w:color w:val="auto"/>
          <w:sz w:val="30"/>
          <w:highlight w:val="none"/>
        </w:rPr>
      </w:pPr>
    </w:p>
    <w:p w14:paraId="6B9C7250">
      <w:pPr>
        <w:tabs>
          <w:tab w:val="left" w:pos="1069"/>
          <w:tab w:val="left" w:pos="2352"/>
        </w:tabs>
        <w:spacing w:line="360" w:lineRule="exact"/>
        <w:jc w:val="left"/>
        <w:rPr>
          <w:rFonts w:hint="eastAsia" w:ascii="宋体" w:hAnsi="宋体" w:cs="宋体"/>
          <w:b/>
          <w:bCs/>
          <w:color w:val="auto"/>
          <w:sz w:val="30"/>
          <w:highlight w:val="none"/>
        </w:rPr>
      </w:pPr>
    </w:p>
    <w:p w14:paraId="328727F5">
      <w:pPr>
        <w:tabs>
          <w:tab w:val="left" w:pos="1069"/>
          <w:tab w:val="left" w:pos="2352"/>
        </w:tabs>
        <w:spacing w:line="360" w:lineRule="exact"/>
        <w:jc w:val="left"/>
        <w:rPr>
          <w:rFonts w:hint="eastAsia" w:ascii="宋体" w:hAnsi="宋体" w:cs="宋体"/>
          <w:b/>
          <w:bCs/>
          <w:color w:val="auto"/>
          <w:sz w:val="30"/>
          <w:highlight w:val="none"/>
        </w:rPr>
      </w:pPr>
    </w:p>
    <w:p w14:paraId="088F60B5">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14:paraId="0F555C54">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77"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77"/>
    </w:p>
    <w:p w14:paraId="41783C6F">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06FDBC20">
      <w:pPr>
        <w:pStyle w:val="12"/>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泰顺县自然资源和规划局：</w:t>
      </w:r>
    </w:p>
    <w:p w14:paraId="169B838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泰顺县地质灾害风险“一坡一卡”调查评价</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TSCG202506026 </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泰顺县地质灾害风险“一坡一卡”调查评价</w:t>
      </w:r>
      <w:r>
        <w:rPr>
          <w:rFonts w:hint="eastAsia" w:ascii="宋体" w:hAnsi="宋体" w:cs="宋体"/>
          <w:color w:val="auto"/>
          <w:sz w:val="22"/>
          <w:highlight w:val="none"/>
          <w:lang w:val="zh-CN"/>
        </w:rPr>
        <w:t>进行投标。为此：</w:t>
      </w:r>
    </w:p>
    <w:p w14:paraId="26D01B47">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7335B30B">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3DC1F84D">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344902F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4F9E88B2">
      <w:pPr>
        <w:pStyle w:val="12"/>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691D8DFC">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14970F83">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AD0961">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983F83B">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1F43051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5CA1CF37">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616DF5C3">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440FF38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11644733">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768E58CE">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4095F9A">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088C74C3">
      <w:pPr>
        <w:tabs>
          <w:tab w:val="left" w:pos="1069"/>
          <w:tab w:val="left" w:pos="2352"/>
        </w:tabs>
        <w:spacing w:line="360" w:lineRule="exact"/>
        <w:jc w:val="left"/>
        <w:rPr>
          <w:rFonts w:ascii="宋体" w:hAnsi="宋体" w:cs="宋体"/>
          <w:color w:val="auto"/>
          <w:sz w:val="22"/>
          <w:highlight w:val="none"/>
        </w:rPr>
      </w:pPr>
    </w:p>
    <w:p w14:paraId="2B456DE8">
      <w:pPr>
        <w:tabs>
          <w:tab w:val="left" w:pos="1069"/>
          <w:tab w:val="left" w:pos="2352"/>
        </w:tabs>
        <w:spacing w:line="360" w:lineRule="exact"/>
        <w:jc w:val="left"/>
        <w:rPr>
          <w:rFonts w:ascii="宋体" w:hAnsi="宋体" w:cs="宋体"/>
          <w:color w:val="auto"/>
          <w:sz w:val="22"/>
          <w:highlight w:val="none"/>
        </w:rPr>
      </w:pPr>
    </w:p>
    <w:p w14:paraId="172AF221">
      <w:pPr>
        <w:tabs>
          <w:tab w:val="left" w:pos="1069"/>
          <w:tab w:val="left" w:pos="2352"/>
        </w:tabs>
        <w:spacing w:line="360" w:lineRule="exact"/>
        <w:jc w:val="left"/>
        <w:rPr>
          <w:rFonts w:ascii="宋体" w:hAnsi="宋体" w:cs="宋体"/>
          <w:b/>
          <w:bCs/>
          <w:color w:val="auto"/>
          <w:sz w:val="30"/>
          <w:highlight w:val="none"/>
        </w:rPr>
      </w:pPr>
    </w:p>
    <w:p w14:paraId="0F70392E">
      <w:pPr>
        <w:pStyle w:val="6"/>
        <w:tabs>
          <w:tab w:val="left" w:pos="1069"/>
          <w:tab w:val="left" w:pos="2352"/>
        </w:tabs>
        <w:rPr>
          <w:color w:val="auto"/>
          <w:highlight w:val="none"/>
        </w:rPr>
      </w:pPr>
    </w:p>
    <w:p w14:paraId="1BAF9778">
      <w:pPr>
        <w:pStyle w:val="6"/>
        <w:tabs>
          <w:tab w:val="left" w:pos="1069"/>
          <w:tab w:val="left" w:pos="2352"/>
        </w:tabs>
        <w:rPr>
          <w:color w:val="auto"/>
          <w:highlight w:val="none"/>
        </w:rPr>
      </w:pPr>
    </w:p>
    <w:p w14:paraId="242215E8">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附件六</w:t>
      </w:r>
    </w:p>
    <w:p w14:paraId="79F5CCA9">
      <w:pPr>
        <w:tabs>
          <w:tab w:val="left" w:pos="1069"/>
          <w:tab w:val="left" w:pos="2352"/>
        </w:tabs>
        <w:spacing w:line="360" w:lineRule="exact"/>
        <w:jc w:val="center"/>
        <w:rPr>
          <w:rFonts w:ascii="宋体" w:hAnsi="宋体" w:cs="宋体"/>
          <w:b/>
          <w:bCs/>
          <w:color w:val="auto"/>
          <w:sz w:val="30"/>
          <w:highlight w:val="none"/>
          <w:lang w:val="zh-CN"/>
        </w:rPr>
      </w:pPr>
      <w:bookmarkStart w:id="78" w:name="_Toc15399_WPSOffice_Level3"/>
      <w:r>
        <w:rPr>
          <w:rFonts w:hint="eastAsia" w:ascii="宋体" w:hAnsi="宋体" w:cs="宋体"/>
          <w:b/>
          <w:bCs/>
          <w:color w:val="auto"/>
          <w:sz w:val="30"/>
          <w:highlight w:val="none"/>
          <w:lang w:val="zh-CN"/>
        </w:rPr>
        <w:t>供应商参与政府采购活动投标资格声明函</w:t>
      </w:r>
      <w:bookmarkEnd w:id="78"/>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20E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9ED4458">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0D01F471">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泰顺县地质灾害风险“一坡一卡”调查评价</w:t>
            </w:r>
          </w:p>
        </w:tc>
      </w:tr>
      <w:tr w14:paraId="0327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FD48E05">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5EDCA676">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 xml:space="preserve">TSCG202506026 </w:t>
            </w:r>
          </w:p>
        </w:tc>
      </w:tr>
      <w:tr w14:paraId="01E4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403FD69">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0AA3357">
            <w:pPr>
              <w:pStyle w:val="12"/>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75F4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5AA764C">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72013691">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4E8F8DF2">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0EE6FB67">
            <w:pPr>
              <w:tabs>
                <w:tab w:val="left" w:pos="1069"/>
                <w:tab w:val="left" w:pos="2352"/>
                <w:tab w:val="center" w:pos="4483"/>
              </w:tabs>
              <w:adjustRightInd w:val="0"/>
              <w:spacing w:line="360" w:lineRule="auto"/>
              <w:ind w:firstLine="40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r>
              <w:rPr>
                <w:rFonts w:hint="eastAsia" w:ascii="宋体" w:hAnsi="宋体" w:cs="宋体"/>
                <w:color w:val="auto"/>
                <w:szCs w:val="21"/>
                <w:highlight w:val="none"/>
                <w:u w:val="single"/>
              </w:rPr>
              <w:t>（若无则说明无）。</w:t>
            </w:r>
          </w:p>
          <w:p w14:paraId="598F3998">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14:paraId="1B0DC801">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2A21C2CC">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0E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8E341F3">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182E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32FE68F5">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3F1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47674F9C">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664159E">
      <w:pPr>
        <w:tabs>
          <w:tab w:val="left" w:pos="1069"/>
          <w:tab w:val="left" w:pos="2352"/>
        </w:tabs>
        <w:spacing w:line="360" w:lineRule="exact"/>
        <w:jc w:val="left"/>
        <w:rPr>
          <w:rFonts w:ascii="宋体" w:hAnsi="宋体" w:cs="宋体"/>
          <w:bCs/>
          <w:color w:val="auto"/>
          <w:sz w:val="22"/>
          <w:highlight w:val="none"/>
          <w:u w:val="single"/>
        </w:rPr>
      </w:pPr>
    </w:p>
    <w:p w14:paraId="67E379CA">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61D7DCF">
      <w:pPr>
        <w:tabs>
          <w:tab w:val="left" w:pos="1069"/>
          <w:tab w:val="left" w:pos="2352"/>
        </w:tabs>
        <w:spacing w:line="360" w:lineRule="exact"/>
        <w:jc w:val="left"/>
        <w:rPr>
          <w:rFonts w:ascii="宋体" w:hAnsi="宋体" w:cs="宋体"/>
          <w:b/>
          <w:bCs/>
          <w:color w:val="auto"/>
          <w:sz w:val="32"/>
          <w:szCs w:val="32"/>
          <w:highlight w:val="none"/>
        </w:rPr>
      </w:pPr>
    </w:p>
    <w:p w14:paraId="127C2F9F">
      <w:pPr>
        <w:tabs>
          <w:tab w:val="left" w:pos="1069"/>
          <w:tab w:val="left" w:pos="2352"/>
        </w:tabs>
        <w:spacing w:line="360" w:lineRule="exact"/>
        <w:jc w:val="left"/>
        <w:rPr>
          <w:rFonts w:ascii="宋体" w:hAnsi="宋体" w:cs="宋体"/>
          <w:b/>
          <w:bCs/>
          <w:color w:val="auto"/>
          <w:sz w:val="32"/>
          <w:szCs w:val="32"/>
          <w:highlight w:val="none"/>
        </w:rPr>
      </w:pPr>
    </w:p>
    <w:p w14:paraId="5520CB9B">
      <w:pPr>
        <w:tabs>
          <w:tab w:val="left" w:pos="1069"/>
          <w:tab w:val="left" w:pos="2352"/>
        </w:tabs>
        <w:spacing w:line="360" w:lineRule="exact"/>
        <w:jc w:val="left"/>
        <w:rPr>
          <w:rFonts w:hint="eastAsia" w:ascii="宋体" w:hAnsi="宋体" w:cs="宋体"/>
          <w:b/>
          <w:bCs/>
          <w:color w:val="auto"/>
          <w:sz w:val="32"/>
          <w:szCs w:val="32"/>
          <w:highlight w:val="none"/>
        </w:rPr>
      </w:pPr>
    </w:p>
    <w:p w14:paraId="2F34464F">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附件七</w:t>
      </w:r>
    </w:p>
    <w:p w14:paraId="143A06A8">
      <w:pPr>
        <w:tabs>
          <w:tab w:val="left" w:pos="1069"/>
          <w:tab w:val="left" w:pos="2352"/>
        </w:tabs>
        <w:jc w:val="center"/>
        <w:rPr>
          <w:rFonts w:ascii="宋体" w:hAnsi="宋体" w:cs="宋体"/>
          <w:color w:val="auto"/>
          <w:sz w:val="24"/>
          <w:highlight w:val="none"/>
        </w:rPr>
      </w:pPr>
      <w:bookmarkStart w:id="79" w:name="_Toc7010_WPSOffice_Level3"/>
      <w:r>
        <w:rPr>
          <w:rFonts w:hint="eastAsia" w:ascii="宋体" w:hAnsi="宋体" w:cs="宋体"/>
          <w:b/>
          <w:bCs/>
          <w:color w:val="auto"/>
          <w:sz w:val="32"/>
          <w:szCs w:val="32"/>
          <w:highlight w:val="none"/>
        </w:rPr>
        <w:t>法定代表人诚信投标承诺书</w:t>
      </w:r>
      <w:bookmarkEnd w:id="79"/>
    </w:p>
    <w:p w14:paraId="4A9EB63E">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39FCBD5E">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泰顺县地质灾害风险“一坡一卡”调查评价</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 xml:space="preserve">TSCG202506026 </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4E56E55B">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31C861AC">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2F4E921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18351A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1C1ABB4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BBEE181">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16EB924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4D8105A5">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58B36DE8">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6D7EDA3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0CB7F111">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06370479">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9174300">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4F9AC2AE">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A7F398D">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2819BBC1">
      <w:pPr>
        <w:pStyle w:val="12"/>
        <w:tabs>
          <w:tab w:val="left" w:pos="1069"/>
          <w:tab w:val="left" w:pos="2352"/>
        </w:tabs>
        <w:spacing w:line="360" w:lineRule="exact"/>
        <w:jc w:val="center"/>
        <w:rPr>
          <w:rFonts w:hAnsi="宋体" w:cs="宋体"/>
          <w:color w:val="auto"/>
          <w:sz w:val="32"/>
          <w:highlight w:val="none"/>
        </w:rPr>
      </w:pPr>
    </w:p>
    <w:p w14:paraId="44E96D0C">
      <w:pPr>
        <w:tabs>
          <w:tab w:val="left" w:pos="1069"/>
          <w:tab w:val="left" w:pos="2352"/>
        </w:tabs>
        <w:spacing w:line="360" w:lineRule="exact"/>
        <w:jc w:val="left"/>
        <w:rPr>
          <w:rFonts w:ascii="宋体" w:hAnsi="宋体" w:cs="宋体"/>
          <w:color w:val="auto"/>
          <w:sz w:val="30"/>
          <w:highlight w:val="none"/>
        </w:rPr>
      </w:pPr>
    </w:p>
    <w:p w14:paraId="40738FE5">
      <w:pPr>
        <w:pStyle w:val="12"/>
        <w:tabs>
          <w:tab w:val="left" w:pos="1069"/>
          <w:tab w:val="left" w:pos="2352"/>
        </w:tabs>
        <w:spacing w:line="360" w:lineRule="exact"/>
        <w:jc w:val="left"/>
        <w:rPr>
          <w:rFonts w:hAnsi="宋体" w:cs="宋体"/>
          <w:b/>
          <w:bCs/>
          <w:color w:val="auto"/>
          <w:sz w:val="32"/>
          <w:highlight w:val="none"/>
          <w:lang w:val="zh-CN"/>
        </w:rPr>
      </w:pPr>
    </w:p>
    <w:p w14:paraId="05BFB221">
      <w:pPr>
        <w:tabs>
          <w:tab w:val="left" w:pos="2352"/>
        </w:tabs>
        <w:rPr>
          <w:color w:val="auto"/>
          <w:highlight w:val="none"/>
          <w:lang w:val="zh-CN"/>
        </w:rPr>
      </w:pPr>
    </w:p>
    <w:p w14:paraId="579874BB">
      <w:pPr>
        <w:pStyle w:val="12"/>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八</w:t>
      </w:r>
    </w:p>
    <w:p w14:paraId="47C013C1">
      <w:pPr>
        <w:pStyle w:val="12"/>
        <w:tabs>
          <w:tab w:val="left" w:pos="1069"/>
          <w:tab w:val="left" w:pos="2352"/>
        </w:tabs>
        <w:spacing w:line="360" w:lineRule="exact"/>
        <w:jc w:val="center"/>
        <w:rPr>
          <w:rFonts w:hAnsi="宋体" w:cs="宋体"/>
          <w:b/>
          <w:bCs/>
          <w:color w:val="auto"/>
          <w:sz w:val="32"/>
          <w:highlight w:val="none"/>
          <w:lang w:val="zh-CN"/>
        </w:rPr>
      </w:pPr>
      <w:bookmarkStart w:id="80" w:name="_Toc18541_WPSOffice_Level3"/>
      <w:r>
        <w:rPr>
          <w:rFonts w:hint="eastAsia" w:hAnsi="宋体" w:cs="宋体"/>
          <w:b/>
          <w:bCs/>
          <w:color w:val="auto"/>
          <w:sz w:val="32"/>
          <w:highlight w:val="none"/>
          <w:lang w:val="zh-CN"/>
        </w:rPr>
        <w:t>（一）商务偏离表</w:t>
      </w:r>
      <w:bookmarkEnd w:id="80"/>
    </w:p>
    <w:p w14:paraId="12127C03">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64B91795">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847D02F">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73A58C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272F85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B635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560ABA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0B5E29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0F1114C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FCE0DF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CCD8D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5391E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629878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0C56F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4BBCA2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2876A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031B75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B7301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0B74E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A2502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CA3D82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77F285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B695C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8D90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741FF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F6B4FE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3DBD4E0">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58EA6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18C2B6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2540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A68E83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1B051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4023AB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60B162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27AA5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88D51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6858B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034CEA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632643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3A4F8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185FD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EEAC6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A56F6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89A9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2B4C93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FABEF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1E312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E9E84D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7BDEF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2CE65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E3533A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098D78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9F962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5C52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A97C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563F9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CFC785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2FEE8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ADDA7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967B10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47257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C27C4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611284E8">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4EBB1593">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29D2A5EC">
      <w:pPr>
        <w:pStyle w:val="12"/>
        <w:tabs>
          <w:tab w:val="left" w:pos="1069"/>
          <w:tab w:val="left" w:pos="2352"/>
        </w:tabs>
        <w:spacing w:line="360" w:lineRule="exact"/>
        <w:jc w:val="center"/>
        <w:rPr>
          <w:rFonts w:hAnsi="宋体" w:cs="宋体"/>
          <w:b/>
          <w:bCs/>
          <w:color w:val="auto"/>
          <w:sz w:val="32"/>
          <w:highlight w:val="none"/>
          <w:lang w:val="zh-CN"/>
        </w:rPr>
      </w:pPr>
      <w:bookmarkStart w:id="81" w:name="_Toc4031_WPSOffice_Level3"/>
      <w:r>
        <w:rPr>
          <w:rFonts w:hint="eastAsia" w:hAnsi="宋体" w:cs="宋体"/>
          <w:b/>
          <w:bCs/>
          <w:color w:val="auto"/>
          <w:sz w:val="32"/>
          <w:highlight w:val="none"/>
          <w:lang w:val="zh-CN"/>
        </w:rPr>
        <w:t>（二）技术偏离表</w:t>
      </w:r>
      <w:bookmarkEnd w:id="81"/>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2D9269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3468C5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B2ABBA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B5FD6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01EEE8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0416D78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23F48A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79C8807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506FD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8662F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CE0F5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5375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66451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1C8B6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A31DE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28771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1632D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472D3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F8C3B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7A2ED3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1BB260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4C97E8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66E96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80CA1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46918C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932D79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F29AB6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DEC8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4D85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DE471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59C7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91C43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D31B31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A576D7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52BFC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D8D939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6CD6D4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2B4C96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762296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C590A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1FC05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2454A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913D9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0A5041C8">
        <w:tc>
          <w:tcPr>
            <w:tcW w:w="1080" w:type="dxa"/>
            <w:tcBorders>
              <w:top w:val="single" w:color="auto" w:sz="6" w:space="0"/>
              <w:left w:val="single" w:color="auto" w:sz="6" w:space="0"/>
              <w:bottom w:val="single" w:color="auto" w:sz="6" w:space="0"/>
              <w:right w:val="single" w:color="auto" w:sz="6" w:space="0"/>
            </w:tcBorders>
          </w:tcPr>
          <w:p w14:paraId="1B2CB64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FB079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6689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701CD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79478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696282E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50829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A88107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4B59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6EE1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AFBA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6CED18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3FE926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07C06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19784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FC40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F271B3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24E4FB4B">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1289EB4B">
      <w:pPr>
        <w:tabs>
          <w:tab w:val="left" w:pos="1069"/>
          <w:tab w:val="left" w:pos="2352"/>
        </w:tabs>
        <w:rPr>
          <w:rFonts w:ascii="宋体" w:hAnsi="宋体" w:cs="宋体"/>
          <w:color w:val="auto"/>
          <w:highlight w:val="none"/>
        </w:rPr>
      </w:pPr>
      <w:bookmarkStart w:id="82" w:name="_Toc30988_WPSOffice_Level2"/>
      <w:r>
        <w:rPr>
          <w:rFonts w:hint="eastAsia" w:ascii="宋体" w:hAnsi="宋体" w:cs="宋体"/>
          <w:color w:val="auto"/>
          <w:highlight w:val="none"/>
        </w:rPr>
        <w:t>备注：1</w:t>
      </w:r>
      <w:r>
        <w:rPr>
          <w:rFonts w:ascii="宋体" w:hAnsi="宋体" w:cs="宋体"/>
          <w:color w:val="auto"/>
          <w:highlight w:val="none"/>
        </w:rPr>
        <w:t>.</w:t>
      </w:r>
      <w:r>
        <w:rPr>
          <w:rFonts w:hint="eastAsia" w:ascii="宋体" w:hAnsi="宋体" w:cs="宋体"/>
          <w:color w:val="auto"/>
          <w:highlight w:val="none"/>
        </w:rPr>
        <w:t>表格可以延续</w:t>
      </w:r>
      <w:bookmarkEnd w:id="82"/>
    </w:p>
    <w:p w14:paraId="79B1F955">
      <w:pPr>
        <w:pStyle w:val="25"/>
        <w:ind w:left="856" w:hanging="428"/>
        <w:rPr>
          <w:rFonts w:cs="Times New Roman"/>
          <w:color w:val="auto"/>
          <w:highlight w:val="none"/>
        </w:rPr>
      </w:pPr>
      <w:r>
        <w:rPr>
          <w:color w:val="auto"/>
          <w:highlight w:val="none"/>
        </w:rPr>
        <w:t>2.</w:t>
      </w:r>
      <w:r>
        <w:rPr>
          <w:rFonts w:hint="eastAsia"/>
          <w:color w:val="auto"/>
          <w:highlight w:val="none"/>
        </w:rPr>
        <w:t>如不填写，则视为完全响应招标文件要求</w:t>
      </w:r>
    </w:p>
    <w:p w14:paraId="2ADFD3D9">
      <w:pPr>
        <w:pStyle w:val="12"/>
        <w:tabs>
          <w:tab w:val="left" w:pos="1069"/>
          <w:tab w:val="left" w:pos="2352"/>
        </w:tabs>
        <w:spacing w:line="360" w:lineRule="exact"/>
        <w:rPr>
          <w:rFonts w:hAnsi="宋体" w:cs="宋体"/>
          <w:color w:val="auto"/>
          <w:sz w:val="22"/>
          <w:highlight w:val="none"/>
        </w:rPr>
      </w:pPr>
    </w:p>
    <w:p w14:paraId="442BFAD6">
      <w:pPr>
        <w:tabs>
          <w:tab w:val="left" w:pos="1069"/>
          <w:tab w:val="left" w:pos="2352"/>
        </w:tabs>
        <w:rPr>
          <w:rFonts w:ascii="宋体" w:hAnsi="宋体" w:cs="宋体"/>
          <w:b/>
          <w:bCs/>
          <w:color w:val="auto"/>
          <w:sz w:val="32"/>
          <w:szCs w:val="32"/>
          <w:highlight w:val="none"/>
        </w:rPr>
      </w:pPr>
    </w:p>
    <w:p w14:paraId="24011B3E">
      <w:pPr>
        <w:tabs>
          <w:tab w:val="left" w:pos="1069"/>
          <w:tab w:val="left" w:pos="2352"/>
        </w:tabs>
        <w:rPr>
          <w:rFonts w:ascii="宋体" w:hAnsi="宋体" w:cs="宋体"/>
          <w:b/>
          <w:bCs/>
          <w:color w:val="auto"/>
          <w:sz w:val="32"/>
          <w:szCs w:val="32"/>
          <w:highlight w:val="none"/>
        </w:rPr>
      </w:pPr>
    </w:p>
    <w:p w14:paraId="5F332C28">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附件九</w:t>
      </w:r>
    </w:p>
    <w:p w14:paraId="049607C5">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7BC286A0">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泰顺县地质灾害风险“一坡一卡”调查评价</w:t>
      </w:r>
    </w:p>
    <w:p w14:paraId="74CD0131">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 xml:space="preserve">TSCG202506026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E651EC4">
        <w:tblPrEx>
          <w:tblCellMar>
            <w:top w:w="0" w:type="dxa"/>
            <w:left w:w="108" w:type="dxa"/>
            <w:bottom w:w="0" w:type="dxa"/>
            <w:right w:w="108" w:type="dxa"/>
          </w:tblCellMar>
        </w:tblPrEx>
        <w:trPr>
          <w:trHeight w:val="396" w:hRule="atLeast"/>
        </w:trPr>
        <w:tc>
          <w:tcPr>
            <w:tcW w:w="828" w:type="dxa"/>
            <w:vAlign w:val="center"/>
          </w:tcPr>
          <w:p w14:paraId="2440632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7E83867F">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491C5DB5">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513814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C75D56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11D1B9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5FC68C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787DC3BA">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69AD9DC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91AC3C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CA4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1B5C5BD">
            <w:pPr>
              <w:tabs>
                <w:tab w:val="left" w:pos="1069"/>
                <w:tab w:val="left" w:pos="2352"/>
              </w:tabs>
              <w:spacing w:line="360" w:lineRule="auto"/>
              <w:rPr>
                <w:rFonts w:ascii="宋体" w:hAnsi="宋体" w:cs="宋体"/>
                <w:color w:val="auto"/>
                <w:sz w:val="22"/>
                <w:highlight w:val="none"/>
              </w:rPr>
            </w:pPr>
          </w:p>
        </w:tc>
        <w:tc>
          <w:tcPr>
            <w:tcW w:w="2520" w:type="dxa"/>
            <w:vAlign w:val="center"/>
          </w:tcPr>
          <w:p w14:paraId="6F24F0FB">
            <w:pPr>
              <w:tabs>
                <w:tab w:val="left" w:pos="1069"/>
                <w:tab w:val="left" w:pos="2352"/>
              </w:tabs>
              <w:spacing w:line="360" w:lineRule="auto"/>
              <w:rPr>
                <w:rFonts w:ascii="宋体" w:hAnsi="宋体" w:cs="宋体"/>
                <w:color w:val="auto"/>
                <w:sz w:val="22"/>
                <w:highlight w:val="none"/>
              </w:rPr>
            </w:pPr>
          </w:p>
        </w:tc>
        <w:tc>
          <w:tcPr>
            <w:tcW w:w="720" w:type="dxa"/>
            <w:vAlign w:val="center"/>
          </w:tcPr>
          <w:p w14:paraId="5A00C6FD">
            <w:pPr>
              <w:tabs>
                <w:tab w:val="left" w:pos="1069"/>
                <w:tab w:val="left" w:pos="2352"/>
              </w:tabs>
              <w:spacing w:line="360" w:lineRule="auto"/>
              <w:rPr>
                <w:rFonts w:ascii="宋体" w:hAnsi="宋体" w:cs="宋体"/>
                <w:color w:val="auto"/>
                <w:sz w:val="22"/>
                <w:highlight w:val="none"/>
              </w:rPr>
            </w:pPr>
          </w:p>
        </w:tc>
        <w:tc>
          <w:tcPr>
            <w:tcW w:w="720" w:type="dxa"/>
            <w:vAlign w:val="center"/>
          </w:tcPr>
          <w:p w14:paraId="0D58D1FA">
            <w:pPr>
              <w:tabs>
                <w:tab w:val="left" w:pos="1069"/>
                <w:tab w:val="left" w:pos="2352"/>
              </w:tabs>
              <w:spacing w:line="360" w:lineRule="auto"/>
              <w:rPr>
                <w:rFonts w:ascii="宋体" w:hAnsi="宋体" w:cs="宋体"/>
                <w:color w:val="auto"/>
                <w:sz w:val="22"/>
                <w:highlight w:val="none"/>
              </w:rPr>
            </w:pPr>
          </w:p>
        </w:tc>
        <w:tc>
          <w:tcPr>
            <w:tcW w:w="720" w:type="dxa"/>
            <w:vAlign w:val="center"/>
          </w:tcPr>
          <w:p w14:paraId="5B9530FE">
            <w:pPr>
              <w:tabs>
                <w:tab w:val="left" w:pos="1069"/>
                <w:tab w:val="left" w:pos="2352"/>
              </w:tabs>
              <w:spacing w:line="360" w:lineRule="auto"/>
              <w:rPr>
                <w:rFonts w:ascii="宋体" w:hAnsi="宋体" w:cs="宋体"/>
                <w:color w:val="auto"/>
                <w:sz w:val="22"/>
                <w:highlight w:val="none"/>
              </w:rPr>
            </w:pPr>
          </w:p>
        </w:tc>
        <w:tc>
          <w:tcPr>
            <w:tcW w:w="1080" w:type="dxa"/>
            <w:vAlign w:val="center"/>
          </w:tcPr>
          <w:p w14:paraId="7242A9D1">
            <w:pPr>
              <w:tabs>
                <w:tab w:val="left" w:pos="1069"/>
                <w:tab w:val="left" w:pos="2352"/>
              </w:tabs>
              <w:spacing w:line="360" w:lineRule="auto"/>
              <w:rPr>
                <w:rFonts w:ascii="宋体" w:hAnsi="宋体" w:cs="宋体"/>
                <w:color w:val="auto"/>
                <w:sz w:val="22"/>
                <w:highlight w:val="none"/>
              </w:rPr>
            </w:pPr>
          </w:p>
        </w:tc>
        <w:tc>
          <w:tcPr>
            <w:tcW w:w="1458" w:type="dxa"/>
            <w:vAlign w:val="center"/>
          </w:tcPr>
          <w:p w14:paraId="5B381BF6">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14:paraId="05727E07">
            <w:pPr>
              <w:tabs>
                <w:tab w:val="left" w:pos="1069"/>
                <w:tab w:val="left" w:pos="2352"/>
              </w:tabs>
              <w:spacing w:line="360" w:lineRule="auto"/>
              <w:rPr>
                <w:rFonts w:ascii="宋体" w:hAnsi="宋体" w:cs="宋体"/>
                <w:color w:val="auto"/>
                <w:sz w:val="22"/>
                <w:highlight w:val="none"/>
              </w:rPr>
            </w:pPr>
          </w:p>
        </w:tc>
      </w:tr>
      <w:tr w14:paraId="493A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07A25C">
            <w:pPr>
              <w:tabs>
                <w:tab w:val="left" w:pos="1069"/>
                <w:tab w:val="left" w:pos="2352"/>
              </w:tabs>
              <w:spacing w:line="360" w:lineRule="auto"/>
              <w:rPr>
                <w:rFonts w:ascii="宋体" w:hAnsi="宋体" w:cs="宋体"/>
                <w:color w:val="auto"/>
                <w:sz w:val="22"/>
                <w:highlight w:val="none"/>
              </w:rPr>
            </w:pPr>
          </w:p>
        </w:tc>
        <w:tc>
          <w:tcPr>
            <w:tcW w:w="2520" w:type="dxa"/>
            <w:vAlign w:val="center"/>
          </w:tcPr>
          <w:p w14:paraId="6EC1517D">
            <w:pPr>
              <w:tabs>
                <w:tab w:val="left" w:pos="1069"/>
                <w:tab w:val="left" w:pos="2352"/>
              </w:tabs>
              <w:spacing w:line="360" w:lineRule="auto"/>
              <w:rPr>
                <w:rFonts w:ascii="宋体" w:hAnsi="宋体" w:cs="宋体"/>
                <w:color w:val="auto"/>
                <w:sz w:val="22"/>
                <w:highlight w:val="none"/>
              </w:rPr>
            </w:pPr>
          </w:p>
        </w:tc>
        <w:tc>
          <w:tcPr>
            <w:tcW w:w="720" w:type="dxa"/>
            <w:vAlign w:val="center"/>
          </w:tcPr>
          <w:p w14:paraId="143C1AD6">
            <w:pPr>
              <w:tabs>
                <w:tab w:val="left" w:pos="1069"/>
                <w:tab w:val="left" w:pos="2352"/>
              </w:tabs>
              <w:spacing w:line="360" w:lineRule="auto"/>
              <w:rPr>
                <w:rFonts w:ascii="宋体" w:hAnsi="宋体" w:cs="宋体"/>
                <w:color w:val="auto"/>
                <w:sz w:val="22"/>
                <w:highlight w:val="none"/>
              </w:rPr>
            </w:pPr>
          </w:p>
        </w:tc>
        <w:tc>
          <w:tcPr>
            <w:tcW w:w="720" w:type="dxa"/>
            <w:vAlign w:val="center"/>
          </w:tcPr>
          <w:p w14:paraId="15D795B4">
            <w:pPr>
              <w:tabs>
                <w:tab w:val="left" w:pos="1069"/>
                <w:tab w:val="left" w:pos="2352"/>
              </w:tabs>
              <w:spacing w:line="360" w:lineRule="auto"/>
              <w:rPr>
                <w:rFonts w:ascii="宋体" w:hAnsi="宋体" w:cs="宋体"/>
                <w:color w:val="auto"/>
                <w:sz w:val="22"/>
                <w:highlight w:val="none"/>
              </w:rPr>
            </w:pPr>
          </w:p>
        </w:tc>
        <w:tc>
          <w:tcPr>
            <w:tcW w:w="720" w:type="dxa"/>
            <w:vAlign w:val="center"/>
          </w:tcPr>
          <w:p w14:paraId="61C2ADE2">
            <w:pPr>
              <w:tabs>
                <w:tab w:val="left" w:pos="1069"/>
                <w:tab w:val="left" w:pos="2352"/>
              </w:tabs>
              <w:spacing w:line="360" w:lineRule="auto"/>
              <w:rPr>
                <w:rFonts w:ascii="宋体" w:hAnsi="宋体" w:cs="宋体"/>
                <w:color w:val="auto"/>
                <w:sz w:val="22"/>
                <w:highlight w:val="none"/>
              </w:rPr>
            </w:pPr>
          </w:p>
        </w:tc>
        <w:tc>
          <w:tcPr>
            <w:tcW w:w="1080" w:type="dxa"/>
            <w:vAlign w:val="center"/>
          </w:tcPr>
          <w:p w14:paraId="04E5FDD9">
            <w:pPr>
              <w:tabs>
                <w:tab w:val="left" w:pos="1069"/>
                <w:tab w:val="left" w:pos="2352"/>
              </w:tabs>
              <w:spacing w:line="360" w:lineRule="auto"/>
              <w:rPr>
                <w:rFonts w:ascii="宋体" w:hAnsi="宋体" w:cs="宋体"/>
                <w:color w:val="auto"/>
                <w:sz w:val="22"/>
                <w:highlight w:val="none"/>
              </w:rPr>
            </w:pPr>
          </w:p>
        </w:tc>
        <w:tc>
          <w:tcPr>
            <w:tcW w:w="1458" w:type="dxa"/>
            <w:vAlign w:val="center"/>
          </w:tcPr>
          <w:p w14:paraId="0B1CAEA8">
            <w:pPr>
              <w:tabs>
                <w:tab w:val="left" w:pos="1069"/>
                <w:tab w:val="left" w:pos="2352"/>
              </w:tabs>
              <w:spacing w:line="360" w:lineRule="auto"/>
              <w:rPr>
                <w:rFonts w:ascii="宋体" w:hAnsi="宋体" w:cs="宋体"/>
                <w:color w:val="auto"/>
                <w:sz w:val="22"/>
                <w:highlight w:val="none"/>
              </w:rPr>
            </w:pPr>
          </w:p>
        </w:tc>
        <w:tc>
          <w:tcPr>
            <w:tcW w:w="1560" w:type="dxa"/>
            <w:vAlign w:val="center"/>
          </w:tcPr>
          <w:p w14:paraId="014A6D80">
            <w:pPr>
              <w:tabs>
                <w:tab w:val="left" w:pos="1069"/>
                <w:tab w:val="left" w:pos="2352"/>
              </w:tabs>
              <w:spacing w:line="360" w:lineRule="auto"/>
              <w:ind w:left="5250"/>
              <w:rPr>
                <w:rFonts w:ascii="宋体" w:hAnsi="宋体" w:cs="宋体"/>
                <w:color w:val="auto"/>
                <w:spacing w:val="12"/>
                <w:sz w:val="22"/>
                <w:highlight w:val="none"/>
              </w:rPr>
            </w:pPr>
          </w:p>
        </w:tc>
      </w:tr>
      <w:tr w14:paraId="2A66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89F3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29612E0F">
            <w:pPr>
              <w:tabs>
                <w:tab w:val="left" w:pos="1069"/>
                <w:tab w:val="left" w:pos="2352"/>
              </w:tabs>
              <w:spacing w:line="360" w:lineRule="auto"/>
              <w:rPr>
                <w:rFonts w:ascii="宋体" w:hAnsi="宋体" w:cs="宋体"/>
                <w:color w:val="auto"/>
                <w:sz w:val="22"/>
                <w:highlight w:val="none"/>
              </w:rPr>
            </w:pPr>
          </w:p>
        </w:tc>
        <w:tc>
          <w:tcPr>
            <w:tcW w:w="720" w:type="dxa"/>
            <w:vAlign w:val="center"/>
          </w:tcPr>
          <w:p w14:paraId="313BB407">
            <w:pPr>
              <w:tabs>
                <w:tab w:val="left" w:pos="1069"/>
                <w:tab w:val="left" w:pos="2352"/>
              </w:tabs>
              <w:spacing w:line="360" w:lineRule="auto"/>
              <w:rPr>
                <w:rFonts w:ascii="宋体" w:hAnsi="宋体" w:cs="宋体"/>
                <w:color w:val="auto"/>
                <w:sz w:val="22"/>
                <w:highlight w:val="none"/>
              </w:rPr>
            </w:pPr>
          </w:p>
        </w:tc>
        <w:tc>
          <w:tcPr>
            <w:tcW w:w="720" w:type="dxa"/>
            <w:vAlign w:val="center"/>
          </w:tcPr>
          <w:p w14:paraId="69C3F57E">
            <w:pPr>
              <w:tabs>
                <w:tab w:val="left" w:pos="1069"/>
                <w:tab w:val="left" w:pos="2352"/>
              </w:tabs>
              <w:spacing w:line="360" w:lineRule="auto"/>
              <w:rPr>
                <w:rFonts w:ascii="宋体" w:hAnsi="宋体" w:cs="宋体"/>
                <w:color w:val="auto"/>
                <w:sz w:val="22"/>
                <w:highlight w:val="none"/>
              </w:rPr>
            </w:pPr>
          </w:p>
        </w:tc>
        <w:tc>
          <w:tcPr>
            <w:tcW w:w="720" w:type="dxa"/>
            <w:vAlign w:val="center"/>
          </w:tcPr>
          <w:p w14:paraId="7DC64197">
            <w:pPr>
              <w:tabs>
                <w:tab w:val="left" w:pos="1069"/>
                <w:tab w:val="left" w:pos="2352"/>
              </w:tabs>
              <w:spacing w:line="360" w:lineRule="auto"/>
              <w:rPr>
                <w:rFonts w:ascii="宋体" w:hAnsi="宋体" w:cs="宋体"/>
                <w:color w:val="auto"/>
                <w:sz w:val="22"/>
                <w:highlight w:val="none"/>
              </w:rPr>
            </w:pPr>
          </w:p>
        </w:tc>
        <w:tc>
          <w:tcPr>
            <w:tcW w:w="1080" w:type="dxa"/>
            <w:vAlign w:val="center"/>
          </w:tcPr>
          <w:p w14:paraId="70268E13">
            <w:pPr>
              <w:tabs>
                <w:tab w:val="left" w:pos="1069"/>
                <w:tab w:val="left" w:pos="2352"/>
              </w:tabs>
              <w:spacing w:line="360" w:lineRule="auto"/>
              <w:rPr>
                <w:rFonts w:ascii="宋体" w:hAnsi="宋体" w:cs="宋体"/>
                <w:color w:val="auto"/>
                <w:sz w:val="22"/>
                <w:highlight w:val="none"/>
              </w:rPr>
            </w:pPr>
          </w:p>
        </w:tc>
        <w:tc>
          <w:tcPr>
            <w:tcW w:w="1458" w:type="dxa"/>
            <w:vAlign w:val="center"/>
          </w:tcPr>
          <w:p w14:paraId="38B456C3">
            <w:pPr>
              <w:tabs>
                <w:tab w:val="left" w:pos="1069"/>
                <w:tab w:val="left" w:pos="2352"/>
              </w:tabs>
              <w:spacing w:line="360" w:lineRule="auto"/>
              <w:rPr>
                <w:rFonts w:ascii="宋体" w:hAnsi="宋体" w:cs="宋体"/>
                <w:color w:val="auto"/>
                <w:sz w:val="22"/>
                <w:highlight w:val="none"/>
              </w:rPr>
            </w:pPr>
          </w:p>
        </w:tc>
        <w:tc>
          <w:tcPr>
            <w:tcW w:w="1560" w:type="dxa"/>
            <w:vAlign w:val="center"/>
          </w:tcPr>
          <w:p w14:paraId="5E3EC8EC">
            <w:pPr>
              <w:tabs>
                <w:tab w:val="left" w:pos="1069"/>
                <w:tab w:val="left" w:pos="2352"/>
              </w:tabs>
              <w:spacing w:line="360" w:lineRule="auto"/>
              <w:rPr>
                <w:rFonts w:ascii="宋体" w:hAnsi="宋体" w:cs="宋体"/>
                <w:color w:val="auto"/>
                <w:sz w:val="22"/>
                <w:highlight w:val="none"/>
              </w:rPr>
            </w:pPr>
          </w:p>
        </w:tc>
      </w:tr>
      <w:tr w14:paraId="598B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477E55A">
            <w:pPr>
              <w:tabs>
                <w:tab w:val="left" w:pos="1069"/>
                <w:tab w:val="left" w:pos="2352"/>
              </w:tabs>
              <w:spacing w:line="360" w:lineRule="auto"/>
              <w:rPr>
                <w:rFonts w:ascii="宋体" w:hAnsi="宋体" w:cs="宋体"/>
                <w:color w:val="auto"/>
                <w:sz w:val="22"/>
                <w:highlight w:val="none"/>
              </w:rPr>
            </w:pPr>
          </w:p>
        </w:tc>
        <w:tc>
          <w:tcPr>
            <w:tcW w:w="2520" w:type="dxa"/>
            <w:vAlign w:val="center"/>
          </w:tcPr>
          <w:p w14:paraId="76CC8F19">
            <w:pPr>
              <w:tabs>
                <w:tab w:val="left" w:pos="1069"/>
                <w:tab w:val="left" w:pos="2352"/>
              </w:tabs>
              <w:spacing w:line="360" w:lineRule="auto"/>
              <w:rPr>
                <w:rFonts w:ascii="宋体" w:hAnsi="宋体" w:cs="宋体"/>
                <w:color w:val="auto"/>
                <w:sz w:val="22"/>
                <w:highlight w:val="none"/>
              </w:rPr>
            </w:pPr>
          </w:p>
        </w:tc>
        <w:tc>
          <w:tcPr>
            <w:tcW w:w="720" w:type="dxa"/>
            <w:vAlign w:val="center"/>
          </w:tcPr>
          <w:p w14:paraId="019DABA2">
            <w:pPr>
              <w:tabs>
                <w:tab w:val="left" w:pos="1069"/>
                <w:tab w:val="left" w:pos="2352"/>
              </w:tabs>
              <w:spacing w:line="360" w:lineRule="auto"/>
              <w:rPr>
                <w:rFonts w:ascii="宋体" w:hAnsi="宋体" w:cs="宋体"/>
                <w:color w:val="auto"/>
                <w:sz w:val="22"/>
                <w:highlight w:val="none"/>
              </w:rPr>
            </w:pPr>
          </w:p>
        </w:tc>
        <w:tc>
          <w:tcPr>
            <w:tcW w:w="720" w:type="dxa"/>
            <w:vAlign w:val="center"/>
          </w:tcPr>
          <w:p w14:paraId="16800A02">
            <w:pPr>
              <w:tabs>
                <w:tab w:val="left" w:pos="1069"/>
                <w:tab w:val="left" w:pos="2352"/>
              </w:tabs>
              <w:spacing w:line="360" w:lineRule="auto"/>
              <w:rPr>
                <w:rFonts w:ascii="宋体" w:hAnsi="宋体" w:cs="宋体"/>
                <w:color w:val="auto"/>
                <w:sz w:val="22"/>
                <w:highlight w:val="none"/>
              </w:rPr>
            </w:pPr>
          </w:p>
        </w:tc>
        <w:tc>
          <w:tcPr>
            <w:tcW w:w="720" w:type="dxa"/>
            <w:vAlign w:val="center"/>
          </w:tcPr>
          <w:p w14:paraId="37CCD254">
            <w:pPr>
              <w:tabs>
                <w:tab w:val="left" w:pos="1069"/>
                <w:tab w:val="left" w:pos="2352"/>
              </w:tabs>
              <w:spacing w:line="360" w:lineRule="auto"/>
              <w:rPr>
                <w:rFonts w:ascii="宋体" w:hAnsi="宋体" w:cs="宋体"/>
                <w:color w:val="auto"/>
                <w:sz w:val="22"/>
                <w:highlight w:val="none"/>
              </w:rPr>
            </w:pPr>
          </w:p>
        </w:tc>
        <w:tc>
          <w:tcPr>
            <w:tcW w:w="1080" w:type="dxa"/>
            <w:vAlign w:val="center"/>
          </w:tcPr>
          <w:p w14:paraId="2A23EB0D">
            <w:pPr>
              <w:tabs>
                <w:tab w:val="left" w:pos="1069"/>
                <w:tab w:val="left" w:pos="2352"/>
              </w:tabs>
              <w:spacing w:line="360" w:lineRule="auto"/>
              <w:rPr>
                <w:rFonts w:ascii="宋体" w:hAnsi="宋体" w:cs="宋体"/>
                <w:color w:val="auto"/>
                <w:sz w:val="22"/>
                <w:highlight w:val="none"/>
              </w:rPr>
            </w:pPr>
          </w:p>
        </w:tc>
        <w:tc>
          <w:tcPr>
            <w:tcW w:w="1458" w:type="dxa"/>
            <w:vAlign w:val="center"/>
          </w:tcPr>
          <w:p w14:paraId="41E9A5BF">
            <w:pPr>
              <w:tabs>
                <w:tab w:val="left" w:pos="1069"/>
                <w:tab w:val="left" w:pos="2352"/>
              </w:tabs>
              <w:spacing w:line="360" w:lineRule="auto"/>
              <w:rPr>
                <w:rFonts w:ascii="宋体" w:hAnsi="宋体" w:cs="宋体"/>
                <w:color w:val="auto"/>
                <w:sz w:val="22"/>
                <w:highlight w:val="none"/>
              </w:rPr>
            </w:pPr>
          </w:p>
        </w:tc>
        <w:tc>
          <w:tcPr>
            <w:tcW w:w="1560" w:type="dxa"/>
            <w:vAlign w:val="center"/>
          </w:tcPr>
          <w:p w14:paraId="30F4C88A">
            <w:pPr>
              <w:tabs>
                <w:tab w:val="left" w:pos="1069"/>
                <w:tab w:val="left" w:pos="2352"/>
              </w:tabs>
              <w:spacing w:line="360" w:lineRule="auto"/>
              <w:rPr>
                <w:rFonts w:ascii="宋体" w:hAnsi="宋体" w:cs="宋体"/>
                <w:color w:val="auto"/>
                <w:sz w:val="22"/>
                <w:highlight w:val="none"/>
              </w:rPr>
            </w:pPr>
          </w:p>
        </w:tc>
      </w:tr>
      <w:tr w14:paraId="2C1E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7644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33112A45">
            <w:pPr>
              <w:tabs>
                <w:tab w:val="left" w:pos="1069"/>
                <w:tab w:val="left" w:pos="2352"/>
              </w:tabs>
              <w:spacing w:line="360" w:lineRule="auto"/>
              <w:rPr>
                <w:rFonts w:ascii="宋体" w:hAnsi="宋体" w:cs="宋体"/>
                <w:color w:val="auto"/>
                <w:sz w:val="22"/>
                <w:highlight w:val="none"/>
              </w:rPr>
            </w:pPr>
          </w:p>
        </w:tc>
        <w:tc>
          <w:tcPr>
            <w:tcW w:w="720" w:type="dxa"/>
            <w:vAlign w:val="center"/>
          </w:tcPr>
          <w:p w14:paraId="31E09CB6">
            <w:pPr>
              <w:tabs>
                <w:tab w:val="left" w:pos="1069"/>
                <w:tab w:val="left" w:pos="2352"/>
              </w:tabs>
              <w:spacing w:line="360" w:lineRule="auto"/>
              <w:rPr>
                <w:rFonts w:ascii="宋体" w:hAnsi="宋体" w:cs="宋体"/>
                <w:color w:val="auto"/>
                <w:sz w:val="22"/>
                <w:highlight w:val="none"/>
              </w:rPr>
            </w:pPr>
          </w:p>
        </w:tc>
        <w:tc>
          <w:tcPr>
            <w:tcW w:w="720" w:type="dxa"/>
            <w:vAlign w:val="center"/>
          </w:tcPr>
          <w:p w14:paraId="552B70C8">
            <w:pPr>
              <w:tabs>
                <w:tab w:val="left" w:pos="1069"/>
                <w:tab w:val="left" w:pos="2352"/>
              </w:tabs>
              <w:spacing w:line="360" w:lineRule="auto"/>
              <w:rPr>
                <w:rFonts w:ascii="宋体" w:hAnsi="宋体" w:cs="宋体"/>
                <w:color w:val="auto"/>
                <w:sz w:val="22"/>
                <w:highlight w:val="none"/>
              </w:rPr>
            </w:pPr>
          </w:p>
        </w:tc>
        <w:tc>
          <w:tcPr>
            <w:tcW w:w="720" w:type="dxa"/>
            <w:vAlign w:val="center"/>
          </w:tcPr>
          <w:p w14:paraId="6798C0C8">
            <w:pPr>
              <w:tabs>
                <w:tab w:val="left" w:pos="1069"/>
                <w:tab w:val="left" w:pos="2352"/>
              </w:tabs>
              <w:spacing w:line="360" w:lineRule="auto"/>
              <w:rPr>
                <w:rFonts w:ascii="宋体" w:hAnsi="宋体" w:cs="宋体"/>
                <w:color w:val="auto"/>
                <w:sz w:val="22"/>
                <w:highlight w:val="none"/>
              </w:rPr>
            </w:pPr>
          </w:p>
        </w:tc>
        <w:tc>
          <w:tcPr>
            <w:tcW w:w="1080" w:type="dxa"/>
            <w:vAlign w:val="center"/>
          </w:tcPr>
          <w:p w14:paraId="7C77D610">
            <w:pPr>
              <w:tabs>
                <w:tab w:val="left" w:pos="1069"/>
                <w:tab w:val="left" w:pos="2352"/>
              </w:tabs>
              <w:spacing w:line="360" w:lineRule="auto"/>
              <w:rPr>
                <w:rFonts w:ascii="宋体" w:hAnsi="宋体" w:cs="宋体"/>
                <w:color w:val="auto"/>
                <w:sz w:val="22"/>
                <w:highlight w:val="none"/>
              </w:rPr>
            </w:pPr>
          </w:p>
        </w:tc>
        <w:tc>
          <w:tcPr>
            <w:tcW w:w="1458" w:type="dxa"/>
            <w:vAlign w:val="center"/>
          </w:tcPr>
          <w:p w14:paraId="4DDD640B">
            <w:pPr>
              <w:tabs>
                <w:tab w:val="left" w:pos="1069"/>
                <w:tab w:val="left" w:pos="2352"/>
              </w:tabs>
              <w:spacing w:line="360" w:lineRule="auto"/>
              <w:rPr>
                <w:rFonts w:ascii="宋体" w:hAnsi="宋体" w:cs="宋体"/>
                <w:color w:val="auto"/>
                <w:sz w:val="22"/>
                <w:highlight w:val="none"/>
              </w:rPr>
            </w:pPr>
          </w:p>
        </w:tc>
        <w:tc>
          <w:tcPr>
            <w:tcW w:w="1560" w:type="dxa"/>
            <w:vAlign w:val="center"/>
          </w:tcPr>
          <w:p w14:paraId="4835866A">
            <w:pPr>
              <w:tabs>
                <w:tab w:val="left" w:pos="1069"/>
                <w:tab w:val="left" w:pos="2352"/>
              </w:tabs>
              <w:spacing w:line="360" w:lineRule="auto"/>
              <w:rPr>
                <w:rFonts w:ascii="宋体" w:hAnsi="宋体" w:cs="宋体"/>
                <w:color w:val="auto"/>
                <w:sz w:val="22"/>
                <w:highlight w:val="none"/>
              </w:rPr>
            </w:pPr>
          </w:p>
        </w:tc>
      </w:tr>
      <w:tr w14:paraId="6201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F4BE1CB">
            <w:pPr>
              <w:tabs>
                <w:tab w:val="left" w:pos="1069"/>
                <w:tab w:val="left" w:pos="2352"/>
              </w:tabs>
              <w:spacing w:line="360" w:lineRule="auto"/>
              <w:rPr>
                <w:rFonts w:ascii="宋体" w:hAnsi="宋体" w:cs="宋体"/>
                <w:color w:val="auto"/>
                <w:sz w:val="22"/>
                <w:highlight w:val="none"/>
              </w:rPr>
            </w:pPr>
          </w:p>
        </w:tc>
        <w:tc>
          <w:tcPr>
            <w:tcW w:w="2520" w:type="dxa"/>
            <w:vAlign w:val="center"/>
          </w:tcPr>
          <w:p w14:paraId="236A5834">
            <w:pPr>
              <w:tabs>
                <w:tab w:val="left" w:pos="1069"/>
                <w:tab w:val="left" w:pos="2352"/>
              </w:tabs>
              <w:spacing w:line="360" w:lineRule="auto"/>
              <w:rPr>
                <w:rFonts w:ascii="宋体" w:hAnsi="宋体" w:cs="宋体"/>
                <w:color w:val="auto"/>
                <w:sz w:val="22"/>
                <w:highlight w:val="none"/>
              </w:rPr>
            </w:pPr>
          </w:p>
        </w:tc>
        <w:tc>
          <w:tcPr>
            <w:tcW w:w="720" w:type="dxa"/>
            <w:vAlign w:val="center"/>
          </w:tcPr>
          <w:p w14:paraId="2750FFE7">
            <w:pPr>
              <w:tabs>
                <w:tab w:val="left" w:pos="1069"/>
                <w:tab w:val="left" w:pos="2352"/>
              </w:tabs>
              <w:spacing w:line="360" w:lineRule="auto"/>
              <w:rPr>
                <w:rFonts w:ascii="宋体" w:hAnsi="宋体" w:cs="宋体"/>
                <w:color w:val="auto"/>
                <w:sz w:val="22"/>
                <w:highlight w:val="none"/>
              </w:rPr>
            </w:pPr>
          </w:p>
        </w:tc>
        <w:tc>
          <w:tcPr>
            <w:tcW w:w="720" w:type="dxa"/>
            <w:vAlign w:val="center"/>
          </w:tcPr>
          <w:p w14:paraId="59865DD2">
            <w:pPr>
              <w:tabs>
                <w:tab w:val="left" w:pos="1069"/>
                <w:tab w:val="left" w:pos="2352"/>
              </w:tabs>
              <w:spacing w:line="360" w:lineRule="auto"/>
              <w:rPr>
                <w:rFonts w:ascii="宋体" w:hAnsi="宋体" w:cs="宋体"/>
                <w:color w:val="auto"/>
                <w:sz w:val="22"/>
                <w:highlight w:val="none"/>
              </w:rPr>
            </w:pPr>
          </w:p>
        </w:tc>
        <w:tc>
          <w:tcPr>
            <w:tcW w:w="720" w:type="dxa"/>
            <w:vAlign w:val="center"/>
          </w:tcPr>
          <w:p w14:paraId="52DC9391">
            <w:pPr>
              <w:tabs>
                <w:tab w:val="left" w:pos="1069"/>
                <w:tab w:val="left" w:pos="2352"/>
              </w:tabs>
              <w:spacing w:line="360" w:lineRule="auto"/>
              <w:rPr>
                <w:rFonts w:ascii="宋体" w:hAnsi="宋体" w:cs="宋体"/>
                <w:color w:val="auto"/>
                <w:sz w:val="22"/>
                <w:highlight w:val="none"/>
              </w:rPr>
            </w:pPr>
          </w:p>
        </w:tc>
        <w:tc>
          <w:tcPr>
            <w:tcW w:w="1080" w:type="dxa"/>
            <w:vAlign w:val="center"/>
          </w:tcPr>
          <w:p w14:paraId="6335D3E4">
            <w:pPr>
              <w:tabs>
                <w:tab w:val="left" w:pos="1069"/>
                <w:tab w:val="left" w:pos="2352"/>
              </w:tabs>
              <w:spacing w:line="360" w:lineRule="auto"/>
              <w:rPr>
                <w:rFonts w:ascii="宋体" w:hAnsi="宋体" w:cs="宋体"/>
                <w:color w:val="auto"/>
                <w:sz w:val="22"/>
                <w:highlight w:val="none"/>
              </w:rPr>
            </w:pPr>
          </w:p>
        </w:tc>
        <w:tc>
          <w:tcPr>
            <w:tcW w:w="1458" w:type="dxa"/>
            <w:vAlign w:val="center"/>
          </w:tcPr>
          <w:p w14:paraId="229AE015">
            <w:pPr>
              <w:tabs>
                <w:tab w:val="left" w:pos="1069"/>
                <w:tab w:val="left" w:pos="2352"/>
              </w:tabs>
              <w:spacing w:line="360" w:lineRule="auto"/>
              <w:rPr>
                <w:rFonts w:ascii="宋体" w:hAnsi="宋体" w:cs="宋体"/>
                <w:color w:val="auto"/>
                <w:sz w:val="22"/>
                <w:highlight w:val="none"/>
              </w:rPr>
            </w:pPr>
          </w:p>
        </w:tc>
        <w:tc>
          <w:tcPr>
            <w:tcW w:w="1560" w:type="dxa"/>
            <w:vAlign w:val="center"/>
          </w:tcPr>
          <w:p w14:paraId="22848F11">
            <w:pPr>
              <w:tabs>
                <w:tab w:val="left" w:pos="1069"/>
                <w:tab w:val="left" w:pos="2352"/>
              </w:tabs>
              <w:spacing w:line="360" w:lineRule="auto"/>
              <w:rPr>
                <w:rFonts w:ascii="宋体" w:hAnsi="宋体" w:cs="宋体"/>
                <w:color w:val="auto"/>
                <w:sz w:val="22"/>
                <w:highlight w:val="none"/>
              </w:rPr>
            </w:pPr>
          </w:p>
        </w:tc>
      </w:tr>
      <w:tr w14:paraId="287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4283460">
            <w:pPr>
              <w:tabs>
                <w:tab w:val="left" w:pos="1069"/>
                <w:tab w:val="left" w:pos="2352"/>
              </w:tabs>
              <w:spacing w:line="360" w:lineRule="auto"/>
              <w:rPr>
                <w:rFonts w:ascii="宋体" w:hAnsi="宋体" w:cs="宋体"/>
                <w:color w:val="auto"/>
                <w:sz w:val="22"/>
                <w:highlight w:val="none"/>
              </w:rPr>
            </w:pPr>
          </w:p>
        </w:tc>
        <w:tc>
          <w:tcPr>
            <w:tcW w:w="2520" w:type="dxa"/>
            <w:vAlign w:val="center"/>
          </w:tcPr>
          <w:p w14:paraId="5CA3D617">
            <w:pPr>
              <w:tabs>
                <w:tab w:val="left" w:pos="1069"/>
                <w:tab w:val="left" w:pos="2352"/>
              </w:tabs>
              <w:spacing w:line="360" w:lineRule="auto"/>
              <w:rPr>
                <w:rFonts w:ascii="宋体" w:hAnsi="宋体" w:cs="宋体"/>
                <w:color w:val="auto"/>
                <w:sz w:val="22"/>
                <w:highlight w:val="none"/>
              </w:rPr>
            </w:pPr>
          </w:p>
        </w:tc>
        <w:tc>
          <w:tcPr>
            <w:tcW w:w="720" w:type="dxa"/>
            <w:vAlign w:val="center"/>
          </w:tcPr>
          <w:p w14:paraId="0C48028A">
            <w:pPr>
              <w:tabs>
                <w:tab w:val="left" w:pos="1069"/>
                <w:tab w:val="left" w:pos="2352"/>
              </w:tabs>
              <w:spacing w:line="360" w:lineRule="auto"/>
              <w:rPr>
                <w:rFonts w:ascii="宋体" w:hAnsi="宋体" w:cs="宋体"/>
                <w:color w:val="auto"/>
                <w:sz w:val="22"/>
                <w:highlight w:val="none"/>
              </w:rPr>
            </w:pPr>
          </w:p>
        </w:tc>
        <w:tc>
          <w:tcPr>
            <w:tcW w:w="720" w:type="dxa"/>
            <w:vAlign w:val="center"/>
          </w:tcPr>
          <w:p w14:paraId="1E5CC5D2">
            <w:pPr>
              <w:tabs>
                <w:tab w:val="left" w:pos="1069"/>
                <w:tab w:val="left" w:pos="2352"/>
              </w:tabs>
              <w:spacing w:line="360" w:lineRule="auto"/>
              <w:rPr>
                <w:rFonts w:ascii="宋体" w:hAnsi="宋体" w:cs="宋体"/>
                <w:color w:val="auto"/>
                <w:sz w:val="22"/>
                <w:highlight w:val="none"/>
              </w:rPr>
            </w:pPr>
          </w:p>
        </w:tc>
        <w:tc>
          <w:tcPr>
            <w:tcW w:w="720" w:type="dxa"/>
            <w:vAlign w:val="center"/>
          </w:tcPr>
          <w:p w14:paraId="551602C1">
            <w:pPr>
              <w:tabs>
                <w:tab w:val="left" w:pos="1069"/>
                <w:tab w:val="left" w:pos="2352"/>
              </w:tabs>
              <w:spacing w:line="360" w:lineRule="auto"/>
              <w:rPr>
                <w:rFonts w:ascii="宋体" w:hAnsi="宋体" w:cs="宋体"/>
                <w:color w:val="auto"/>
                <w:sz w:val="22"/>
                <w:highlight w:val="none"/>
              </w:rPr>
            </w:pPr>
          </w:p>
        </w:tc>
        <w:tc>
          <w:tcPr>
            <w:tcW w:w="1080" w:type="dxa"/>
            <w:vAlign w:val="center"/>
          </w:tcPr>
          <w:p w14:paraId="31F42C9C">
            <w:pPr>
              <w:tabs>
                <w:tab w:val="left" w:pos="1069"/>
                <w:tab w:val="left" w:pos="2352"/>
              </w:tabs>
              <w:spacing w:line="360" w:lineRule="auto"/>
              <w:rPr>
                <w:rFonts w:ascii="宋体" w:hAnsi="宋体" w:cs="宋体"/>
                <w:color w:val="auto"/>
                <w:sz w:val="22"/>
                <w:highlight w:val="none"/>
              </w:rPr>
            </w:pPr>
          </w:p>
        </w:tc>
        <w:tc>
          <w:tcPr>
            <w:tcW w:w="1458" w:type="dxa"/>
            <w:vAlign w:val="center"/>
          </w:tcPr>
          <w:p w14:paraId="5DFB81BA">
            <w:pPr>
              <w:tabs>
                <w:tab w:val="left" w:pos="1069"/>
                <w:tab w:val="left" w:pos="2352"/>
              </w:tabs>
              <w:spacing w:line="360" w:lineRule="auto"/>
              <w:rPr>
                <w:rFonts w:ascii="宋体" w:hAnsi="宋体" w:cs="宋体"/>
                <w:color w:val="auto"/>
                <w:sz w:val="22"/>
                <w:highlight w:val="none"/>
              </w:rPr>
            </w:pPr>
          </w:p>
        </w:tc>
        <w:tc>
          <w:tcPr>
            <w:tcW w:w="1560" w:type="dxa"/>
            <w:vAlign w:val="center"/>
          </w:tcPr>
          <w:p w14:paraId="4AD9CA7F">
            <w:pPr>
              <w:tabs>
                <w:tab w:val="left" w:pos="1069"/>
                <w:tab w:val="left" w:pos="2352"/>
              </w:tabs>
              <w:spacing w:line="360" w:lineRule="auto"/>
              <w:rPr>
                <w:rFonts w:ascii="宋体" w:hAnsi="宋体" w:cs="宋体"/>
                <w:color w:val="auto"/>
                <w:sz w:val="22"/>
                <w:highlight w:val="none"/>
              </w:rPr>
            </w:pPr>
          </w:p>
        </w:tc>
      </w:tr>
      <w:tr w14:paraId="16F5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C493C08">
            <w:pPr>
              <w:tabs>
                <w:tab w:val="left" w:pos="1069"/>
                <w:tab w:val="left" w:pos="2352"/>
              </w:tabs>
              <w:spacing w:line="360" w:lineRule="auto"/>
              <w:rPr>
                <w:rFonts w:ascii="宋体" w:hAnsi="宋体" w:cs="宋体"/>
                <w:color w:val="auto"/>
                <w:sz w:val="22"/>
                <w:highlight w:val="none"/>
              </w:rPr>
            </w:pPr>
          </w:p>
        </w:tc>
        <w:tc>
          <w:tcPr>
            <w:tcW w:w="2520" w:type="dxa"/>
            <w:vAlign w:val="center"/>
          </w:tcPr>
          <w:p w14:paraId="79A27541">
            <w:pPr>
              <w:tabs>
                <w:tab w:val="left" w:pos="1069"/>
                <w:tab w:val="left" w:pos="2352"/>
              </w:tabs>
              <w:spacing w:line="360" w:lineRule="auto"/>
              <w:rPr>
                <w:rFonts w:ascii="宋体" w:hAnsi="宋体" w:cs="宋体"/>
                <w:color w:val="auto"/>
                <w:sz w:val="22"/>
                <w:highlight w:val="none"/>
              </w:rPr>
            </w:pPr>
          </w:p>
        </w:tc>
        <w:tc>
          <w:tcPr>
            <w:tcW w:w="720" w:type="dxa"/>
            <w:vAlign w:val="center"/>
          </w:tcPr>
          <w:p w14:paraId="088AD6AB">
            <w:pPr>
              <w:tabs>
                <w:tab w:val="left" w:pos="1069"/>
                <w:tab w:val="left" w:pos="2352"/>
              </w:tabs>
              <w:spacing w:line="360" w:lineRule="auto"/>
              <w:rPr>
                <w:rFonts w:ascii="宋体" w:hAnsi="宋体" w:cs="宋体"/>
                <w:color w:val="auto"/>
                <w:sz w:val="22"/>
                <w:highlight w:val="none"/>
              </w:rPr>
            </w:pPr>
          </w:p>
        </w:tc>
        <w:tc>
          <w:tcPr>
            <w:tcW w:w="720" w:type="dxa"/>
            <w:vAlign w:val="center"/>
          </w:tcPr>
          <w:p w14:paraId="5C23FD2E">
            <w:pPr>
              <w:tabs>
                <w:tab w:val="left" w:pos="1069"/>
                <w:tab w:val="left" w:pos="2352"/>
              </w:tabs>
              <w:spacing w:line="360" w:lineRule="auto"/>
              <w:rPr>
                <w:rFonts w:ascii="宋体" w:hAnsi="宋体" w:cs="宋体"/>
                <w:color w:val="auto"/>
                <w:sz w:val="22"/>
                <w:highlight w:val="none"/>
              </w:rPr>
            </w:pPr>
          </w:p>
        </w:tc>
        <w:tc>
          <w:tcPr>
            <w:tcW w:w="720" w:type="dxa"/>
            <w:vAlign w:val="center"/>
          </w:tcPr>
          <w:p w14:paraId="726D7425">
            <w:pPr>
              <w:tabs>
                <w:tab w:val="left" w:pos="1069"/>
                <w:tab w:val="left" w:pos="2352"/>
              </w:tabs>
              <w:spacing w:line="360" w:lineRule="auto"/>
              <w:rPr>
                <w:rFonts w:ascii="宋体" w:hAnsi="宋体" w:cs="宋体"/>
                <w:color w:val="auto"/>
                <w:sz w:val="22"/>
                <w:highlight w:val="none"/>
              </w:rPr>
            </w:pPr>
          </w:p>
        </w:tc>
        <w:tc>
          <w:tcPr>
            <w:tcW w:w="1080" w:type="dxa"/>
            <w:vAlign w:val="center"/>
          </w:tcPr>
          <w:p w14:paraId="56E532A8">
            <w:pPr>
              <w:tabs>
                <w:tab w:val="left" w:pos="1069"/>
                <w:tab w:val="left" w:pos="2352"/>
              </w:tabs>
              <w:spacing w:line="360" w:lineRule="auto"/>
              <w:rPr>
                <w:rFonts w:ascii="宋体" w:hAnsi="宋体" w:cs="宋体"/>
                <w:color w:val="auto"/>
                <w:sz w:val="22"/>
                <w:highlight w:val="none"/>
              </w:rPr>
            </w:pPr>
          </w:p>
        </w:tc>
        <w:tc>
          <w:tcPr>
            <w:tcW w:w="1458" w:type="dxa"/>
            <w:vAlign w:val="center"/>
          </w:tcPr>
          <w:p w14:paraId="44C2BCE4">
            <w:pPr>
              <w:tabs>
                <w:tab w:val="left" w:pos="1069"/>
                <w:tab w:val="left" w:pos="2352"/>
              </w:tabs>
              <w:spacing w:line="360" w:lineRule="auto"/>
              <w:rPr>
                <w:rFonts w:ascii="宋体" w:hAnsi="宋体" w:cs="宋体"/>
                <w:color w:val="auto"/>
                <w:sz w:val="22"/>
                <w:highlight w:val="none"/>
              </w:rPr>
            </w:pPr>
          </w:p>
        </w:tc>
        <w:tc>
          <w:tcPr>
            <w:tcW w:w="1560" w:type="dxa"/>
            <w:vAlign w:val="center"/>
          </w:tcPr>
          <w:p w14:paraId="6AE061CF">
            <w:pPr>
              <w:tabs>
                <w:tab w:val="left" w:pos="1069"/>
                <w:tab w:val="left" w:pos="2352"/>
              </w:tabs>
              <w:spacing w:line="360" w:lineRule="auto"/>
              <w:rPr>
                <w:rFonts w:ascii="宋体" w:hAnsi="宋体" w:cs="宋体"/>
                <w:color w:val="auto"/>
                <w:sz w:val="22"/>
                <w:highlight w:val="none"/>
              </w:rPr>
            </w:pPr>
          </w:p>
        </w:tc>
      </w:tr>
      <w:tr w14:paraId="728D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638B91">
            <w:pPr>
              <w:tabs>
                <w:tab w:val="left" w:pos="1069"/>
                <w:tab w:val="left" w:pos="2352"/>
              </w:tabs>
              <w:spacing w:line="360" w:lineRule="auto"/>
              <w:rPr>
                <w:rFonts w:ascii="宋体" w:hAnsi="宋体" w:cs="宋体"/>
                <w:color w:val="auto"/>
                <w:sz w:val="22"/>
                <w:highlight w:val="none"/>
              </w:rPr>
            </w:pPr>
          </w:p>
        </w:tc>
        <w:tc>
          <w:tcPr>
            <w:tcW w:w="2520" w:type="dxa"/>
            <w:vAlign w:val="center"/>
          </w:tcPr>
          <w:p w14:paraId="65D1379C">
            <w:pPr>
              <w:tabs>
                <w:tab w:val="left" w:pos="1069"/>
                <w:tab w:val="left" w:pos="2352"/>
              </w:tabs>
              <w:spacing w:line="360" w:lineRule="auto"/>
              <w:rPr>
                <w:rFonts w:ascii="宋体" w:hAnsi="宋体" w:cs="宋体"/>
                <w:color w:val="auto"/>
                <w:sz w:val="22"/>
                <w:highlight w:val="none"/>
              </w:rPr>
            </w:pPr>
          </w:p>
        </w:tc>
        <w:tc>
          <w:tcPr>
            <w:tcW w:w="720" w:type="dxa"/>
            <w:vAlign w:val="center"/>
          </w:tcPr>
          <w:p w14:paraId="2E022AE9">
            <w:pPr>
              <w:tabs>
                <w:tab w:val="left" w:pos="1069"/>
                <w:tab w:val="left" w:pos="2352"/>
              </w:tabs>
              <w:spacing w:line="360" w:lineRule="auto"/>
              <w:rPr>
                <w:rFonts w:ascii="宋体" w:hAnsi="宋体" w:cs="宋体"/>
                <w:color w:val="auto"/>
                <w:sz w:val="22"/>
                <w:highlight w:val="none"/>
              </w:rPr>
            </w:pPr>
          </w:p>
        </w:tc>
        <w:tc>
          <w:tcPr>
            <w:tcW w:w="720" w:type="dxa"/>
            <w:vAlign w:val="center"/>
          </w:tcPr>
          <w:p w14:paraId="072FFA72">
            <w:pPr>
              <w:tabs>
                <w:tab w:val="left" w:pos="1069"/>
                <w:tab w:val="left" w:pos="2352"/>
              </w:tabs>
              <w:spacing w:line="360" w:lineRule="auto"/>
              <w:rPr>
                <w:rFonts w:ascii="宋体" w:hAnsi="宋体" w:cs="宋体"/>
                <w:color w:val="auto"/>
                <w:sz w:val="22"/>
                <w:highlight w:val="none"/>
              </w:rPr>
            </w:pPr>
          </w:p>
        </w:tc>
        <w:tc>
          <w:tcPr>
            <w:tcW w:w="720" w:type="dxa"/>
            <w:vAlign w:val="center"/>
          </w:tcPr>
          <w:p w14:paraId="53B839CC">
            <w:pPr>
              <w:tabs>
                <w:tab w:val="left" w:pos="1069"/>
                <w:tab w:val="left" w:pos="2352"/>
              </w:tabs>
              <w:spacing w:line="360" w:lineRule="auto"/>
              <w:rPr>
                <w:rFonts w:ascii="宋体" w:hAnsi="宋体" w:cs="宋体"/>
                <w:color w:val="auto"/>
                <w:sz w:val="22"/>
                <w:highlight w:val="none"/>
              </w:rPr>
            </w:pPr>
          </w:p>
        </w:tc>
        <w:tc>
          <w:tcPr>
            <w:tcW w:w="1080" w:type="dxa"/>
            <w:vAlign w:val="center"/>
          </w:tcPr>
          <w:p w14:paraId="48408F65">
            <w:pPr>
              <w:tabs>
                <w:tab w:val="left" w:pos="1069"/>
                <w:tab w:val="left" w:pos="2352"/>
              </w:tabs>
              <w:spacing w:line="360" w:lineRule="auto"/>
              <w:rPr>
                <w:rFonts w:ascii="宋体" w:hAnsi="宋体" w:cs="宋体"/>
                <w:color w:val="auto"/>
                <w:sz w:val="22"/>
                <w:highlight w:val="none"/>
              </w:rPr>
            </w:pPr>
          </w:p>
        </w:tc>
        <w:tc>
          <w:tcPr>
            <w:tcW w:w="1458" w:type="dxa"/>
            <w:vAlign w:val="center"/>
          </w:tcPr>
          <w:p w14:paraId="0B827AF5">
            <w:pPr>
              <w:tabs>
                <w:tab w:val="left" w:pos="1069"/>
                <w:tab w:val="left" w:pos="2352"/>
              </w:tabs>
              <w:spacing w:line="360" w:lineRule="auto"/>
              <w:rPr>
                <w:rFonts w:ascii="宋体" w:hAnsi="宋体" w:cs="宋体"/>
                <w:color w:val="auto"/>
                <w:sz w:val="22"/>
                <w:highlight w:val="none"/>
              </w:rPr>
            </w:pPr>
          </w:p>
        </w:tc>
        <w:tc>
          <w:tcPr>
            <w:tcW w:w="1560" w:type="dxa"/>
            <w:vAlign w:val="center"/>
          </w:tcPr>
          <w:p w14:paraId="06C85A4A">
            <w:pPr>
              <w:tabs>
                <w:tab w:val="left" w:pos="1069"/>
                <w:tab w:val="left" w:pos="2352"/>
              </w:tabs>
              <w:spacing w:line="360" w:lineRule="auto"/>
              <w:rPr>
                <w:rFonts w:ascii="宋体" w:hAnsi="宋体" w:cs="宋体"/>
                <w:color w:val="auto"/>
                <w:sz w:val="22"/>
                <w:highlight w:val="none"/>
              </w:rPr>
            </w:pPr>
          </w:p>
        </w:tc>
      </w:tr>
      <w:tr w14:paraId="0F1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972026C">
            <w:pPr>
              <w:tabs>
                <w:tab w:val="left" w:pos="1069"/>
                <w:tab w:val="left" w:pos="2352"/>
              </w:tabs>
              <w:spacing w:line="360" w:lineRule="auto"/>
              <w:rPr>
                <w:rFonts w:ascii="宋体" w:hAnsi="宋体" w:cs="宋体"/>
                <w:color w:val="auto"/>
                <w:sz w:val="22"/>
                <w:highlight w:val="none"/>
              </w:rPr>
            </w:pPr>
          </w:p>
        </w:tc>
        <w:tc>
          <w:tcPr>
            <w:tcW w:w="2520" w:type="dxa"/>
            <w:vAlign w:val="center"/>
          </w:tcPr>
          <w:p w14:paraId="3F3164DA">
            <w:pPr>
              <w:tabs>
                <w:tab w:val="left" w:pos="1069"/>
                <w:tab w:val="left" w:pos="2352"/>
              </w:tabs>
              <w:spacing w:line="360" w:lineRule="auto"/>
              <w:rPr>
                <w:rFonts w:ascii="宋体" w:hAnsi="宋体" w:cs="宋体"/>
                <w:color w:val="auto"/>
                <w:sz w:val="22"/>
                <w:highlight w:val="none"/>
              </w:rPr>
            </w:pPr>
          </w:p>
        </w:tc>
        <w:tc>
          <w:tcPr>
            <w:tcW w:w="720" w:type="dxa"/>
            <w:vAlign w:val="center"/>
          </w:tcPr>
          <w:p w14:paraId="4960216A">
            <w:pPr>
              <w:tabs>
                <w:tab w:val="left" w:pos="1069"/>
                <w:tab w:val="left" w:pos="2352"/>
              </w:tabs>
              <w:spacing w:line="360" w:lineRule="auto"/>
              <w:rPr>
                <w:rFonts w:ascii="宋体" w:hAnsi="宋体" w:cs="宋体"/>
                <w:color w:val="auto"/>
                <w:sz w:val="22"/>
                <w:highlight w:val="none"/>
              </w:rPr>
            </w:pPr>
          </w:p>
        </w:tc>
        <w:tc>
          <w:tcPr>
            <w:tcW w:w="720" w:type="dxa"/>
            <w:vAlign w:val="center"/>
          </w:tcPr>
          <w:p w14:paraId="1C6E1380">
            <w:pPr>
              <w:tabs>
                <w:tab w:val="left" w:pos="1069"/>
                <w:tab w:val="left" w:pos="2352"/>
              </w:tabs>
              <w:spacing w:line="360" w:lineRule="auto"/>
              <w:rPr>
                <w:rFonts w:ascii="宋体" w:hAnsi="宋体" w:cs="宋体"/>
                <w:color w:val="auto"/>
                <w:sz w:val="22"/>
                <w:highlight w:val="none"/>
              </w:rPr>
            </w:pPr>
          </w:p>
        </w:tc>
        <w:tc>
          <w:tcPr>
            <w:tcW w:w="720" w:type="dxa"/>
            <w:vAlign w:val="center"/>
          </w:tcPr>
          <w:p w14:paraId="18B879B3">
            <w:pPr>
              <w:tabs>
                <w:tab w:val="left" w:pos="1069"/>
                <w:tab w:val="left" w:pos="2352"/>
              </w:tabs>
              <w:spacing w:line="360" w:lineRule="auto"/>
              <w:rPr>
                <w:rFonts w:ascii="宋体" w:hAnsi="宋体" w:cs="宋体"/>
                <w:color w:val="auto"/>
                <w:sz w:val="22"/>
                <w:highlight w:val="none"/>
              </w:rPr>
            </w:pPr>
          </w:p>
        </w:tc>
        <w:tc>
          <w:tcPr>
            <w:tcW w:w="1080" w:type="dxa"/>
            <w:vAlign w:val="center"/>
          </w:tcPr>
          <w:p w14:paraId="5B93E885">
            <w:pPr>
              <w:tabs>
                <w:tab w:val="left" w:pos="1069"/>
                <w:tab w:val="left" w:pos="2352"/>
              </w:tabs>
              <w:spacing w:line="360" w:lineRule="auto"/>
              <w:rPr>
                <w:rFonts w:ascii="宋体" w:hAnsi="宋体" w:cs="宋体"/>
                <w:color w:val="auto"/>
                <w:sz w:val="22"/>
                <w:highlight w:val="none"/>
              </w:rPr>
            </w:pPr>
          </w:p>
        </w:tc>
        <w:tc>
          <w:tcPr>
            <w:tcW w:w="1458" w:type="dxa"/>
            <w:vAlign w:val="center"/>
          </w:tcPr>
          <w:p w14:paraId="67014F91">
            <w:pPr>
              <w:tabs>
                <w:tab w:val="left" w:pos="1069"/>
                <w:tab w:val="left" w:pos="2352"/>
              </w:tabs>
              <w:spacing w:line="360" w:lineRule="auto"/>
              <w:rPr>
                <w:rFonts w:ascii="宋体" w:hAnsi="宋体" w:cs="宋体"/>
                <w:color w:val="auto"/>
                <w:sz w:val="22"/>
                <w:highlight w:val="none"/>
              </w:rPr>
            </w:pPr>
          </w:p>
        </w:tc>
        <w:tc>
          <w:tcPr>
            <w:tcW w:w="1560" w:type="dxa"/>
            <w:vAlign w:val="center"/>
          </w:tcPr>
          <w:p w14:paraId="17BB4DD5">
            <w:pPr>
              <w:tabs>
                <w:tab w:val="left" w:pos="1069"/>
                <w:tab w:val="left" w:pos="2352"/>
              </w:tabs>
              <w:spacing w:line="360" w:lineRule="auto"/>
              <w:rPr>
                <w:rFonts w:ascii="宋体" w:hAnsi="宋体" w:cs="宋体"/>
                <w:color w:val="auto"/>
                <w:sz w:val="22"/>
                <w:highlight w:val="none"/>
              </w:rPr>
            </w:pPr>
          </w:p>
        </w:tc>
      </w:tr>
      <w:tr w14:paraId="37F9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3D0358B">
            <w:pPr>
              <w:tabs>
                <w:tab w:val="left" w:pos="1069"/>
                <w:tab w:val="left" w:pos="2352"/>
              </w:tabs>
              <w:spacing w:line="360" w:lineRule="auto"/>
              <w:rPr>
                <w:rFonts w:ascii="宋体" w:hAnsi="宋体" w:cs="宋体"/>
                <w:color w:val="auto"/>
                <w:sz w:val="22"/>
                <w:highlight w:val="none"/>
              </w:rPr>
            </w:pPr>
          </w:p>
        </w:tc>
        <w:tc>
          <w:tcPr>
            <w:tcW w:w="2520" w:type="dxa"/>
            <w:vAlign w:val="center"/>
          </w:tcPr>
          <w:p w14:paraId="1324426F">
            <w:pPr>
              <w:tabs>
                <w:tab w:val="left" w:pos="1069"/>
                <w:tab w:val="left" w:pos="2352"/>
              </w:tabs>
              <w:spacing w:line="360" w:lineRule="auto"/>
              <w:rPr>
                <w:rFonts w:ascii="宋体" w:hAnsi="宋体" w:cs="宋体"/>
                <w:color w:val="auto"/>
                <w:sz w:val="22"/>
                <w:highlight w:val="none"/>
              </w:rPr>
            </w:pPr>
          </w:p>
        </w:tc>
        <w:tc>
          <w:tcPr>
            <w:tcW w:w="720" w:type="dxa"/>
            <w:vAlign w:val="center"/>
          </w:tcPr>
          <w:p w14:paraId="172474B0">
            <w:pPr>
              <w:tabs>
                <w:tab w:val="left" w:pos="1069"/>
                <w:tab w:val="left" w:pos="2352"/>
              </w:tabs>
              <w:spacing w:line="360" w:lineRule="auto"/>
              <w:rPr>
                <w:rFonts w:ascii="宋体" w:hAnsi="宋体" w:cs="宋体"/>
                <w:color w:val="auto"/>
                <w:sz w:val="22"/>
                <w:highlight w:val="none"/>
              </w:rPr>
            </w:pPr>
          </w:p>
        </w:tc>
        <w:tc>
          <w:tcPr>
            <w:tcW w:w="720" w:type="dxa"/>
            <w:vAlign w:val="center"/>
          </w:tcPr>
          <w:p w14:paraId="2232F60D">
            <w:pPr>
              <w:tabs>
                <w:tab w:val="left" w:pos="1069"/>
                <w:tab w:val="left" w:pos="2352"/>
              </w:tabs>
              <w:spacing w:line="360" w:lineRule="auto"/>
              <w:rPr>
                <w:rFonts w:ascii="宋体" w:hAnsi="宋体" w:cs="宋体"/>
                <w:color w:val="auto"/>
                <w:sz w:val="22"/>
                <w:highlight w:val="none"/>
              </w:rPr>
            </w:pPr>
          </w:p>
        </w:tc>
        <w:tc>
          <w:tcPr>
            <w:tcW w:w="720" w:type="dxa"/>
            <w:vAlign w:val="center"/>
          </w:tcPr>
          <w:p w14:paraId="4E2BAB6B">
            <w:pPr>
              <w:tabs>
                <w:tab w:val="left" w:pos="1069"/>
                <w:tab w:val="left" w:pos="2352"/>
              </w:tabs>
              <w:spacing w:line="360" w:lineRule="auto"/>
              <w:rPr>
                <w:rFonts w:ascii="宋体" w:hAnsi="宋体" w:cs="宋体"/>
                <w:color w:val="auto"/>
                <w:sz w:val="22"/>
                <w:highlight w:val="none"/>
              </w:rPr>
            </w:pPr>
          </w:p>
        </w:tc>
        <w:tc>
          <w:tcPr>
            <w:tcW w:w="1080" w:type="dxa"/>
            <w:vAlign w:val="center"/>
          </w:tcPr>
          <w:p w14:paraId="27268FC4">
            <w:pPr>
              <w:tabs>
                <w:tab w:val="left" w:pos="1069"/>
                <w:tab w:val="left" w:pos="2352"/>
              </w:tabs>
              <w:spacing w:line="360" w:lineRule="auto"/>
              <w:rPr>
                <w:rFonts w:ascii="宋体" w:hAnsi="宋体" w:cs="宋体"/>
                <w:color w:val="auto"/>
                <w:sz w:val="22"/>
                <w:highlight w:val="none"/>
              </w:rPr>
            </w:pPr>
          </w:p>
        </w:tc>
        <w:tc>
          <w:tcPr>
            <w:tcW w:w="1458" w:type="dxa"/>
            <w:vAlign w:val="center"/>
          </w:tcPr>
          <w:p w14:paraId="73719938">
            <w:pPr>
              <w:tabs>
                <w:tab w:val="left" w:pos="1069"/>
                <w:tab w:val="left" w:pos="2352"/>
              </w:tabs>
              <w:spacing w:line="360" w:lineRule="auto"/>
              <w:rPr>
                <w:rFonts w:ascii="宋体" w:hAnsi="宋体" w:cs="宋体"/>
                <w:color w:val="auto"/>
                <w:sz w:val="22"/>
                <w:highlight w:val="none"/>
              </w:rPr>
            </w:pPr>
          </w:p>
        </w:tc>
        <w:tc>
          <w:tcPr>
            <w:tcW w:w="1560" w:type="dxa"/>
            <w:vAlign w:val="center"/>
          </w:tcPr>
          <w:p w14:paraId="7492CC6A">
            <w:pPr>
              <w:tabs>
                <w:tab w:val="left" w:pos="1069"/>
                <w:tab w:val="left" w:pos="2352"/>
              </w:tabs>
              <w:spacing w:line="360" w:lineRule="auto"/>
              <w:rPr>
                <w:rFonts w:ascii="宋体" w:hAnsi="宋体" w:cs="宋体"/>
                <w:color w:val="auto"/>
                <w:sz w:val="22"/>
                <w:highlight w:val="none"/>
              </w:rPr>
            </w:pPr>
          </w:p>
        </w:tc>
      </w:tr>
      <w:tr w14:paraId="50E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942EF6">
            <w:pPr>
              <w:tabs>
                <w:tab w:val="left" w:pos="1069"/>
                <w:tab w:val="left" w:pos="2352"/>
              </w:tabs>
              <w:spacing w:line="360" w:lineRule="auto"/>
              <w:rPr>
                <w:rFonts w:ascii="宋体" w:hAnsi="宋体" w:cs="宋体"/>
                <w:color w:val="auto"/>
                <w:sz w:val="22"/>
                <w:highlight w:val="none"/>
              </w:rPr>
            </w:pPr>
          </w:p>
        </w:tc>
        <w:tc>
          <w:tcPr>
            <w:tcW w:w="2520" w:type="dxa"/>
            <w:vAlign w:val="center"/>
          </w:tcPr>
          <w:p w14:paraId="7368F65D">
            <w:pPr>
              <w:tabs>
                <w:tab w:val="left" w:pos="1069"/>
                <w:tab w:val="left" w:pos="2352"/>
              </w:tabs>
              <w:spacing w:line="360" w:lineRule="auto"/>
              <w:rPr>
                <w:rFonts w:ascii="宋体" w:hAnsi="宋体" w:cs="宋体"/>
                <w:color w:val="auto"/>
                <w:sz w:val="22"/>
                <w:highlight w:val="none"/>
              </w:rPr>
            </w:pPr>
          </w:p>
        </w:tc>
        <w:tc>
          <w:tcPr>
            <w:tcW w:w="720" w:type="dxa"/>
            <w:vAlign w:val="center"/>
          </w:tcPr>
          <w:p w14:paraId="7F861260">
            <w:pPr>
              <w:tabs>
                <w:tab w:val="left" w:pos="1069"/>
                <w:tab w:val="left" w:pos="2352"/>
              </w:tabs>
              <w:spacing w:line="360" w:lineRule="auto"/>
              <w:rPr>
                <w:rFonts w:ascii="宋体" w:hAnsi="宋体" w:cs="宋体"/>
                <w:color w:val="auto"/>
                <w:sz w:val="22"/>
                <w:highlight w:val="none"/>
              </w:rPr>
            </w:pPr>
          </w:p>
        </w:tc>
        <w:tc>
          <w:tcPr>
            <w:tcW w:w="720" w:type="dxa"/>
            <w:vAlign w:val="center"/>
          </w:tcPr>
          <w:p w14:paraId="3EBA6541">
            <w:pPr>
              <w:tabs>
                <w:tab w:val="left" w:pos="1069"/>
                <w:tab w:val="left" w:pos="2352"/>
              </w:tabs>
              <w:spacing w:line="360" w:lineRule="auto"/>
              <w:rPr>
                <w:rFonts w:ascii="宋体" w:hAnsi="宋体" w:cs="宋体"/>
                <w:color w:val="auto"/>
                <w:sz w:val="22"/>
                <w:highlight w:val="none"/>
              </w:rPr>
            </w:pPr>
          </w:p>
        </w:tc>
        <w:tc>
          <w:tcPr>
            <w:tcW w:w="720" w:type="dxa"/>
            <w:vAlign w:val="center"/>
          </w:tcPr>
          <w:p w14:paraId="735838BA">
            <w:pPr>
              <w:tabs>
                <w:tab w:val="left" w:pos="1069"/>
                <w:tab w:val="left" w:pos="2352"/>
              </w:tabs>
              <w:spacing w:line="360" w:lineRule="auto"/>
              <w:rPr>
                <w:rFonts w:ascii="宋体" w:hAnsi="宋体" w:cs="宋体"/>
                <w:color w:val="auto"/>
                <w:sz w:val="22"/>
                <w:highlight w:val="none"/>
              </w:rPr>
            </w:pPr>
          </w:p>
        </w:tc>
        <w:tc>
          <w:tcPr>
            <w:tcW w:w="1080" w:type="dxa"/>
            <w:vAlign w:val="center"/>
          </w:tcPr>
          <w:p w14:paraId="5B169D4E">
            <w:pPr>
              <w:tabs>
                <w:tab w:val="left" w:pos="1069"/>
                <w:tab w:val="left" w:pos="2352"/>
              </w:tabs>
              <w:spacing w:line="360" w:lineRule="auto"/>
              <w:rPr>
                <w:rFonts w:ascii="宋体" w:hAnsi="宋体" w:cs="宋体"/>
                <w:color w:val="auto"/>
                <w:sz w:val="22"/>
                <w:highlight w:val="none"/>
              </w:rPr>
            </w:pPr>
          </w:p>
        </w:tc>
        <w:tc>
          <w:tcPr>
            <w:tcW w:w="1458" w:type="dxa"/>
            <w:vAlign w:val="center"/>
          </w:tcPr>
          <w:p w14:paraId="3674BC94">
            <w:pPr>
              <w:tabs>
                <w:tab w:val="left" w:pos="1069"/>
                <w:tab w:val="left" w:pos="2352"/>
              </w:tabs>
              <w:spacing w:line="360" w:lineRule="auto"/>
              <w:rPr>
                <w:rFonts w:ascii="宋体" w:hAnsi="宋体" w:cs="宋体"/>
                <w:color w:val="auto"/>
                <w:sz w:val="22"/>
                <w:highlight w:val="none"/>
              </w:rPr>
            </w:pPr>
          </w:p>
        </w:tc>
        <w:tc>
          <w:tcPr>
            <w:tcW w:w="1560" w:type="dxa"/>
            <w:vAlign w:val="center"/>
          </w:tcPr>
          <w:p w14:paraId="533A0561">
            <w:pPr>
              <w:tabs>
                <w:tab w:val="left" w:pos="1069"/>
                <w:tab w:val="left" w:pos="2352"/>
              </w:tabs>
              <w:spacing w:line="360" w:lineRule="auto"/>
              <w:rPr>
                <w:rFonts w:ascii="宋体" w:hAnsi="宋体" w:cs="宋体"/>
                <w:color w:val="auto"/>
                <w:sz w:val="22"/>
                <w:highlight w:val="none"/>
              </w:rPr>
            </w:pPr>
          </w:p>
        </w:tc>
      </w:tr>
      <w:tr w14:paraId="397F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B47B4E1">
            <w:pPr>
              <w:tabs>
                <w:tab w:val="left" w:pos="1069"/>
                <w:tab w:val="left" w:pos="2352"/>
              </w:tabs>
              <w:spacing w:line="360" w:lineRule="auto"/>
              <w:rPr>
                <w:rFonts w:ascii="宋体" w:hAnsi="宋体" w:cs="宋体"/>
                <w:color w:val="auto"/>
                <w:sz w:val="22"/>
                <w:highlight w:val="none"/>
              </w:rPr>
            </w:pPr>
          </w:p>
        </w:tc>
        <w:tc>
          <w:tcPr>
            <w:tcW w:w="2520" w:type="dxa"/>
            <w:vAlign w:val="center"/>
          </w:tcPr>
          <w:p w14:paraId="2794CE8E">
            <w:pPr>
              <w:tabs>
                <w:tab w:val="left" w:pos="1069"/>
                <w:tab w:val="left" w:pos="2352"/>
              </w:tabs>
              <w:spacing w:line="360" w:lineRule="auto"/>
              <w:rPr>
                <w:rFonts w:ascii="宋体" w:hAnsi="宋体" w:cs="宋体"/>
                <w:color w:val="auto"/>
                <w:sz w:val="22"/>
                <w:highlight w:val="none"/>
              </w:rPr>
            </w:pPr>
          </w:p>
        </w:tc>
        <w:tc>
          <w:tcPr>
            <w:tcW w:w="720" w:type="dxa"/>
            <w:vAlign w:val="center"/>
          </w:tcPr>
          <w:p w14:paraId="21ADA145">
            <w:pPr>
              <w:tabs>
                <w:tab w:val="left" w:pos="1069"/>
                <w:tab w:val="left" w:pos="2352"/>
              </w:tabs>
              <w:spacing w:line="360" w:lineRule="auto"/>
              <w:rPr>
                <w:rFonts w:ascii="宋体" w:hAnsi="宋体" w:cs="宋体"/>
                <w:color w:val="auto"/>
                <w:sz w:val="22"/>
                <w:highlight w:val="none"/>
              </w:rPr>
            </w:pPr>
          </w:p>
        </w:tc>
        <w:tc>
          <w:tcPr>
            <w:tcW w:w="720" w:type="dxa"/>
            <w:vAlign w:val="center"/>
          </w:tcPr>
          <w:p w14:paraId="6410D9A7">
            <w:pPr>
              <w:tabs>
                <w:tab w:val="left" w:pos="1069"/>
                <w:tab w:val="left" w:pos="2352"/>
              </w:tabs>
              <w:spacing w:line="360" w:lineRule="auto"/>
              <w:rPr>
                <w:rFonts w:ascii="宋体" w:hAnsi="宋体" w:cs="宋体"/>
                <w:color w:val="auto"/>
                <w:sz w:val="22"/>
                <w:highlight w:val="none"/>
              </w:rPr>
            </w:pPr>
          </w:p>
        </w:tc>
        <w:tc>
          <w:tcPr>
            <w:tcW w:w="720" w:type="dxa"/>
            <w:vAlign w:val="center"/>
          </w:tcPr>
          <w:p w14:paraId="6E8D0969">
            <w:pPr>
              <w:tabs>
                <w:tab w:val="left" w:pos="1069"/>
                <w:tab w:val="left" w:pos="2352"/>
              </w:tabs>
              <w:spacing w:line="360" w:lineRule="auto"/>
              <w:rPr>
                <w:rFonts w:ascii="宋体" w:hAnsi="宋体" w:cs="宋体"/>
                <w:color w:val="auto"/>
                <w:sz w:val="22"/>
                <w:highlight w:val="none"/>
              </w:rPr>
            </w:pPr>
          </w:p>
        </w:tc>
        <w:tc>
          <w:tcPr>
            <w:tcW w:w="1080" w:type="dxa"/>
            <w:vAlign w:val="center"/>
          </w:tcPr>
          <w:p w14:paraId="560C3B74">
            <w:pPr>
              <w:tabs>
                <w:tab w:val="left" w:pos="1069"/>
                <w:tab w:val="left" w:pos="2352"/>
              </w:tabs>
              <w:spacing w:line="360" w:lineRule="auto"/>
              <w:rPr>
                <w:rFonts w:ascii="宋体" w:hAnsi="宋体" w:cs="宋体"/>
                <w:color w:val="auto"/>
                <w:sz w:val="22"/>
                <w:highlight w:val="none"/>
              </w:rPr>
            </w:pPr>
          </w:p>
        </w:tc>
        <w:tc>
          <w:tcPr>
            <w:tcW w:w="1458" w:type="dxa"/>
            <w:vAlign w:val="center"/>
          </w:tcPr>
          <w:p w14:paraId="3473BC5A">
            <w:pPr>
              <w:tabs>
                <w:tab w:val="left" w:pos="1069"/>
                <w:tab w:val="left" w:pos="2352"/>
              </w:tabs>
              <w:spacing w:line="360" w:lineRule="auto"/>
              <w:rPr>
                <w:rFonts w:ascii="宋体" w:hAnsi="宋体" w:cs="宋体"/>
                <w:color w:val="auto"/>
                <w:sz w:val="22"/>
                <w:highlight w:val="none"/>
              </w:rPr>
            </w:pPr>
          </w:p>
        </w:tc>
        <w:tc>
          <w:tcPr>
            <w:tcW w:w="1560" w:type="dxa"/>
            <w:vAlign w:val="center"/>
          </w:tcPr>
          <w:p w14:paraId="0CD437BD">
            <w:pPr>
              <w:tabs>
                <w:tab w:val="left" w:pos="1069"/>
                <w:tab w:val="left" w:pos="2352"/>
              </w:tabs>
              <w:spacing w:line="360" w:lineRule="auto"/>
              <w:rPr>
                <w:rFonts w:ascii="宋体" w:hAnsi="宋体" w:cs="宋体"/>
                <w:color w:val="auto"/>
                <w:sz w:val="22"/>
                <w:highlight w:val="none"/>
              </w:rPr>
            </w:pPr>
          </w:p>
        </w:tc>
      </w:tr>
      <w:tr w14:paraId="3967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50FBDBE">
            <w:pPr>
              <w:tabs>
                <w:tab w:val="left" w:pos="1069"/>
                <w:tab w:val="left" w:pos="2352"/>
              </w:tabs>
              <w:spacing w:line="360" w:lineRule="auto"/>
              <w:rPr>
                <w:rFonts w:ascii="宋体" w:hAnsi="宋体" w:cs="宋体"/>
                <w:color w:val="auto"/>
                <w:sz w:val="22"/>
                <w:highlight w:val="none"/>
              </w:rPr>
            </w:pPr>
          </w:p>
        </w:tc>
        <w:tc>
          <w:tcPr>
            <w:tcW w:w="2520" w:type="dxa"/>
            <w:vAlign w:val="center"/>
          </w:tcPr>
          <w:p w14:paraId="1070F896">
            <w:pPr>
              <w:tabs>
                <w:tab w:val="left" w:pos="1069"/>
                <w:tab w:val="left" w:pos="2352"/>
              </w:tabs>
              <w:spacing w:line="360" w:lineRule="auto"/>
              <w:rPr>
                <w:rFonts w:ascii="宋体" w:hAnsi="宋体" w:cs="宋体"/>
                <w:color w:val="auto"/>
                <w:sz w:val="22"/>
                <w:highlight w:val="none"/>
              </w:rPr>
            </w:pPr>
          </w:p>
        </w:tc>
        <w:tc>
          <w:tcPr>
            <w:tcW w:w="720" w:type="dxa"/>
            <w:vAlign w:val="center"/>
          </w:tcPr>
          <w:p w14:paraId="33399B59">
            <w:pPr>
              <w:tabs>
                <w:tab w:val="left" w:pos="1069"/>
                <w:tab w:val="left" w:pos="2352"/>
              </w:tabs>
              <w:spacing w:line="360" w:lineRule="auto"/>
              <w:rPr>
                <w:rFonts w:ascii="宋体" w:hAnsi="宋体" w:cs="宋体"/>
                <w:color w:val="auto"/>
                <w:sz w:val="22"/>
                <w:highlight w:val="none"/>
              </w:rPr>
            </w:pPr>
          </w:p>
        </w:tc>
        <w:tc>
          <w:tcPr>
            <w:tcW w:w="720" w:type="dxa"/>
            <w:vAlign w:val="center"/>
          </w:tcPr>
          <w:p w14:paraId="683E3A4A">
            <w:pPr>
              <w:tabs>
                <w:tab w:val="left" w:pos="1069"/>
                <w:tab w:val="left" w:pos="2352"/>
              </w:tabs>
              <w:spacing w:line="360" w:lineRule="auto"/>
              <w:rPr>
                <w:rFonts w:ascii="宋体" w:hAnsi="宋体" w:cs="宋体"/>
                <w:color w:val="auto"/>
                <w:sz w:val="22"/>
                <w:highlight w:val="none"/>
              </w:rPr>
            </w:pPr>
          </w:p>
        </w:tc>
        <w:tc>
          <w:tcPr>
            <w:tcW w:w="720" w:type="dxa"/>
            <w:vAlign w:val="center"/>
          </w:tcPr>
          <w:p w14:paraId="7A2FF9DD">
            <w:pPr>
              <w:tabs>
                <w:tab w:val="left" w:pos="1069"/>
                <w:tab w:val="left" w:pos="2352"/>
              </w:tabs>
              <w:spacing w:line="360" w:lineRule="auto"/>
              <w:rPr>
                <w:rFonts w:ascii="宋体" w:hAnsi="宋体" w:cs="宋体"/>
                <w:color w:val="auto"/>
                <w:sz w:val="22"/>
                <w:highlight w:val="none"/>
              </w:rPr>
            </w:pPr>
          </w:p>
        </w:tc>
        <w:tc>
          <w:tcPr>
            <w:tcW w:w="1080" w:type="dxa"/>
            <w:vAlign w:val="center"/>
          </w:tcPr>
          <w:p w14:paraId="16FBA256">
            <w:pPr>
              <w:tabs>
                <w:tab w:val="left" w:pos="1069"/>
                <w:tab w:val="left" w:pos="2352"/>
              </w:tabs>
              <w:spacing w:line="360" w:lineRule="auto"/>
              <w:rPr>
                <w:rFonts w:ascii="宋体" w:hAnsi="宋体" w:cs="宋体"/>
                <w:color w:val="auto"/>
                <w:sz w:val="22"/>
                <w:highlight w:val="none"/>
              </w:rPr>
            </w:pPr>
          </w:p>
        </w:tc>
        <w:tc>
          <w:tcPr>
            <w:tcW w:w="1458" w:type="dxa"/>
            <w:vAlign w:val="center"/>
          </w:tcPr>
          <w:p w14:paraId="07543BD8">
            <w:pPr>
              <w:tabs>
                <w:tab w:val="left" w:pos="1069"/>
                <w:tab w:val="left" w:pos="2352"/>
              </w:tabs>
              <w:spacing w:line="360" w:lineRule="auto"/>
              <w:rPr>
                <w:rFonts w:ascii="宋体" w:hAnsi="宋体" w:cs="宋体"/>
                <w:color w:val="auto"/>
                <w:sz w:val="22"/>
                <w:highlight w:val="none"/>
              </w:rPr>
            </w:pPr>
          </w:p>
        </w:tc>
        <w:tc>
          <w:tcPr>
            <w:tcW w:w="1560" w:type="dxa"/>
            <w:vAlign w:val="center"/>
          </w:tcPr>
          <w:p w14:paraId="53629B88">
            <w:pPr>
              <w:tabs>
                <w:tab w:val="left" w:pos="1069"/>
                <w:tab w:val="left" w:pos="2352"/>
              </w:tabs>
              <w:spacing w:line="360" w:lineRule="auto"/>
              <w:rPr>
                <w:rFonts w:ascii="宋体" w:hAnsi="宋体" w:cs="宋体"/>
                <w:color w:val="auto"/>
                <w:sz w:val="22"/>
                <w:highlight w:val="none"/>
              </w:rPr>
            </w:pPr>
          </w:p>
        </w:tc>
      </w:tr>
      <w:tr w14:paraId="7DB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6931276">
            <w:pPr>
              <w:tabs>
                <w:tab w:val="left" w:pos="1069"/>
                <w:tab w:val="left" w:pos="2352"/>
              </w:tabs>
              <w:spacing w:line="360" w:lineRule="auto"/>
              <w:rPr>
                <w:rFonts w:ascii="宋体" w:hAnsi="宋体" w:cs="宋体"/>
                <w:color w:val="auto"/>
                <w:sz w:val="22"/>
                <w:highlight w:val="none"/>
              </w:rPr>
            </w:pPr>
          </w:p>
        </w:tc>
        <w:tc>
          <w:tcPr>
            <w:tcW w:w="2520" w:type="dxa"/>
            <w:vAlign w:val="center"/>
          </w:tcPr>
          <w:p w14:paraId="6A08B73C">
            <w:pPr>
              <w:tabs>
                <w:tab w:val="left" w:pos="1069"/>
                <w:tab w:val="left" w:pos="2352"/>
              </w:tabs>
              <w:spacing w:line="360" w:lineRule="auto"/>
              <w:rPr>
                <w:rFonts w:ascii="宋体" w:hAnsi="宋体" w:cs="宋体"/>
                <w:color w:val="auto"/>
                <w:sz w:val="22"/>
                <w:highlight w:val="none"/>
              </w:rPr>
            </w:pPr>
          </w:p>
        </w:tc>
        <w:tc>
          <w:tcPr>
            <w:tcW w:w="720" w:type="dxa"/>
            <w:vAlign w:val="center"/>
          </w:tcPr>
          <w:p w14:paraId="5106CEC6">
            <w:pPr>
              <w:tabs>
                <w:tab w:val="left" w:pos="1069"/>
                <w:tab w:val="left" w:pos="2352"/>
              </w:tabs>
              <w:spacing w:line="360" w:lineRule="auto"/>
              <w:rPr>
                <w:rFonts w:ascii="宋体" w:hAnsi="宋体" w:cs="宋体"/>
                <w:color w:val="auto"/>
                <w:sz w:val="22"/>
                <w:highlight w:val="none"/>
              </w:rPr>
            </w:pPr>
          </w:p>
        </w:tc>
        <w:tc>
          <w:tcPr>
            <w:tcW w:w="720" w:type="dxa"/>
            <w:vAlign w:val="center"/>
          </w:tcPr>
          <w:p w14:paraId="2523F6E1">
            <w:pPr>
              <w:tabs>
                <w:tab w:val="left" w:pos="1069"/>
                <w:tab w:val="left" w:pos="2352"/>
              </w:tabs>
              <w:spacing w:line="360" w:lineRule="auto"/>
              <w:rPr>
                <w:rFonts w:ascii="宋体" w:hAnsi="宋体" w:cs="宋体"/>
                <w:color w:val="auto"/>
                <w:sz w:val="22"/>
                <w:highlight w:val="none"/>
              </w:rPr>
            </w:pPr>
          </w:p>
        </w:tc>
        <w:tc>
          <w:tcPr>
            <w:tcW w:w="720" w:type="dxa"/>
            <w:vAlign w:val="center"/>
          </w:tcPr>
          <w:p w14:paraId="7F8AF65F">
            <w:pPr>
              <w:tabs>
                <w:tab w:val="left" w:pos="1069"/>
                <w:tab w:val="left" w:pos="2352"/>
              </w:tabs>
              <w:spacing w:line="360" w:lineRule="auto"/>
              <w:rPr>
                <w:rFonts w:ascii="宋体" w:hAnsi="宋体" w:cs="宋体"/>
                <w:color w:val="auto"/>
                <w:sz w:val="22"/>
                <w:highlight w:val="none"/>
              </w:rPr>
            </w:pPr>
          </w:p>
        </w:tc>
        <w:tc>
          <w:tcPr>
            <w:tcW w:w="1080" w:type="dxa"/>
            <w:vAlign w:val="center"/>
          </w:tcPr>
          <w:p w14:paraId="63DC3A01">
            <w:pPr>
              <w:tabs>
                <w:tab w:val="left" w:pos="1069"/>
                <w:tab w:val="left" w:pos="2352"/>
              </w:tabs>
              <w:spacing w:line="360" w:lineRule="auto"/>
              <w:rPr>
                <w:rFonts w:ascii="宋体" w:hAnsi="宋体" w:cs="宋体"/>
                <w:color w:val="auto"/>
                <w:sz w:val="22"/>
                <w:highlight w:val="none"/>
              </w:rPr>
            </w:pPr>
          </w:p>
        </w:tc>
        <w:tc>
          <w:tcPr>
            <w:tcW w:w="1458" w:type="dxa"/>
            <w:vAlign w:val="center"/>
          </w:tcPr>
          <w:p w14:paraId="3334AC93">
            <w:pPr>
              <w:tabs>
                <w:tab w:val="left" w:pos="1069"/>
                <w:tab w:val="left" w:pos="2352"/>
              </w:tabs>
              <w:spacing w:line="360" w:lineRule="auto"/>
              <w:rPr>
                <w:rFonts w:ascii="宋体" w:hAnsi="宋体" w:cs="宋体"/>
                <w:color w:val="auto"/>
                <w:sz w:val="22"/>
                <w:highlight w:val="none"/>
              </w:rPr>
            </w:pPr>
          </w:p>
        </w:tc>
        <w:tc>
          <w:tcPr>
            <w:tcW w:w="1560" w:type="dxa"/>
            <w:vAlign w:val="center"/>
          </w:tcPr>
          <w:p w14:paraId="43A61D21">
            <w:pPr>
              <w:tabs>
                <w:tab w:val="left" w:pos="1069"/>
                <w:tab w:val="left" w:pos="2352"/>
              </w:tabs>
              <w:spacing w:line="360" w:lineRule="auto"/>
              <w:rPr>
                <w:rFonts w:ascii="宋体" w:hAnsi="宋体" w:cs="宋体"/>
                <w:color w:val="auto"/>
                <w:sz w:val="22"/>
                <w:highlight w:val="none"/>
              </w:rPr>
            </w:pPr>
          </w:p>
        </w:tc>
      </w:tr>
    </w:tbl>
    <w:p w14:paraId="7A45E420">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4923AD8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7978DE5D">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3A7DF8A5">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04AE0F66">
      <w:pPr>
        <w:pStyle w:val="12"/>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23A5754A">
      <w:pPr>
        <w:pStyle w:val="12"/>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030D1389">
      <w:pPr>
        <w:pStyle w:val="12"/>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A171E40">
      <w:pPr>
        <w:tabs>
          <w:tab w:val="left" w:pos="1069"/>
          <w:tab w:val="left" w:pos="2352"/>
        </w:tabs>
        <w:spacing w:line="360" w:lineRule="exact"/>
        <w:jc w:val="left"/>
        <w:rPr>
          <w:rFonts w:ascii="宋体" w:hAnsi="宋体" w:cs="宋体"/>
          <w:color w:val="auto"/>
          <w:sz w:val="30"/>
          <w:highlight w:val="none"/>
        </w:rPr>
      </w:pPr>
    </w:p>
    <w:p w14:paraId="3E15D24D">
      <w:pPr>
        <w:tabs>
          <w:tab w:val="left" w:pos="1069"/>
          <w:tab w:val="left" w:pos="2352"/>
        </w:tabs>
        <w:spacing w:line="360" w:lineRule="exact"/>
        <w:jc w:val="left"/>
        <w:rPr>
          <w:rFonts w:ascii="宋体" w:hAnsi="宋体" w:cs="宋体"/>
          <w:b/>
          <w:bCs/>
          <w:color w:val="auto"/>
          <w:sz w:val="30"/>
          <w:highlight w:val="none"/>
        </w:rPr>
      </w:pPr>
    </w:p>
    <w:p w14:paraId="07A9B2BE">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w:t>
      </w:r>
    </w:p>
    <w:p w14:paraId="5ECEE44D">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3" w:name="_Toc28287_WPSOffice_Level3"/>
      <w:r>
        <w:rPr>
          <w:rFonts w:hint="eastAsia" w:ascii="宋体" w:hAnsi="宋体" w:cs="宋体"/>
          <w:b/>
          <w:bCs/>
          <w:color w:val="auto"/>
          <w:sz w:val="32"/>
          <w:highlight w:val="none"/>
        </w:rPr>
        <w:t>供应商项目业绩清单</w:t>
      </w:r>
      <w:bookmarkEnd w:id="83"/>
    </w:p>
    <w:p w14:paraId="6EB59B57">
      <w:pPr>
        <w:pStyle w:val="12"/>
        <w:tabs>
          <w:tab w:val="left" w:pos="1069"/>
          <w:tab w:val="left" w:pos="2352"/>
        </w:tabs>
        <w:spacing w:line="360" w:lineRule="exact"/>
        <w:jc w:val="center"/>
        <w:rPr>
          <w:rFonts w:hAnsi="宋体" w:cs="宋体"/>
          <w:color w:val="auto"/>
          <w:sz w:val="22"/>
          <w:highlight w:val="none"/>
        </w:rPr>
      </w:pPr>
    </w:p>
    <w:tbl>
      <w:tblPr>
        <w:tblStyle w:val="26"/>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DF818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0526FD0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3ABCE857">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2CB3186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289C274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1F82B8A0">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364583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0FA7B5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67C7C35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4BE969FC">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3E56009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7A4D7A5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43A30A3E">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7892C02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3D98EBA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20242F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2408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2EE75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7CBE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2B74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FA0A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5D46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A5AE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F6039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57687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6800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6484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C7E4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CDE5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97E6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113A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3F37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492E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397A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6629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108A5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92AE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7DFC9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35CEB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70381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871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CAB3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9AEF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6DE5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8D050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0EEF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1408C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AFD4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B88D6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B8DB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2D53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B219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3D4C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9547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7261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F0DD6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4FB7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816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5D05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DC8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BADB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E6A5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73D7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74EB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D7B0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4A07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397EC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B0AF2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765C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830A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CD6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38E8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28E3C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5AB2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F668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6E31C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1919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2274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C4E8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8C65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4EFF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706D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1ACC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8182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12E4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CB78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303C3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3644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166E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3CC2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0D65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EA2C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B38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4DE0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A759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EC2D3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F5F4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42C2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2AB6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1515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5F0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747C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B39D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CE85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BA2D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2004C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0DB6F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9E7D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9867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D5A4E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D6B8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8EBC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D4306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8A54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0290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71312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6708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AA9D5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C0E3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2F545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ABE8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593F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999C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A1FE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99C0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6169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2C468D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04F72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FC97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7D08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BE0D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ABF4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074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3725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908D5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CAAD5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1E1C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D5C8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29F27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544D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CB3E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0A9D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36F3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239F2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9C769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24D2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42B34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6C853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3C9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279A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E924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7E1F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A064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60052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1F15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0AF0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E1D30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E8E18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CB74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80E5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93F1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104E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EFC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10E3B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E9437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95E8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ADF11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98181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84C5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8BDB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BDA3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92381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04B0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E919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416E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B6C44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D8D74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4C69B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E8FE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C6AC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1550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D5F6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C0DF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DEB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D4B73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A7ED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BF9B3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D73B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008A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5EF5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3CCE7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A4BC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6694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FC91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43BC2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96C71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ACA9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CC8CD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648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CAE4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41D3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E0B9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D29F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855A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70BD4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E36B8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CFFD1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8C05B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C21E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A253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2859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881C5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49BA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9BE7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268C14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9640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7F2BD12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0332AFD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813290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5A6FA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23AA6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BEB7E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68E3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70CA5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0CEB34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3C784DD4">
      <w:pPr>
        <w:pStyle w:val="12"/>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31ECEB42">
      <w:pPr>
        <w:tabs>
          <w:tab w:val="left" w:pos="1069"/>
          <w:tab w:val="left" w:pos="2352"/>
        </w:tabs>
        <w:rPr>
          <w:rFonts w:ascii="宋体" w:hAnsi="宋体" w:cs="宋体"/>
          <w:color w:val="auto"/>
          <w:spacing w:val="20"/>
          <w:sz w:val="22"/>
          <w:highlight w:val="none"/>
        </w:rPr>
      </w:pPr>
    </w:p>
    <w:p w14:paraId="5370C656">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1FF84BEE">
      <w:pPr>
        <w:pStyle w:val="12"/>
        <w:tabs>
          <w:tab w:val="left" w:pos="1069"/>
          <w:tab w:val="left" w:pos="2352"/>
        </w:tabs>
        <w:spacing w:line="360" w:lineRule="exact"/>
        <w:jc w:val="left"/>
        <w:rPr>
          <w:rFonts w:hAnsi="宋体" w:cs="宋体"/>
          <w:color w:val="auto"/>
          <w:sz w:val="22"/>
          <w:szCs w:val="22"/>
          <w:highlight w:val="none"/>
        </w:rPr>
      </w:pPr>
    </w:p>
    <w:p w14:paraId="68D2EF00">
      <w:pPr>
        <w:pStyle w:val="12"/>
        <w:tabs>
          <w:tab w:val="left" w:pos="1069"/>
          <w:tab w:val="left" w:pos="2352"/>
        </w:tabs>
        <w:spacing w:line="360" w:lineRule="exact"/>
        <w:jc w:val="left"/>
        <w:rPr>
          <w:rFonts w:hAnsi="宋体" w:cs="宋体"/>
          <w:color w:val="auto"/>
          <w:sz w:val="22"/>
          <w:szCs w:val="22"/>
          <w:highlight w:val="none"/>
        </w:rPr>
      </w:pPr>
    </w:p>
    <w:p w14:paraId="3CB9107E">
      <w:pPr>
        <w:pStyle w:val="12"/>
        <w:tabs>
          <w:tab w:val="left" w:pos="1069"/>
          <w:tab w:val="left" w:pos="2352"/>
        </w:tabs>
        <w:spacing w:line="360" w:lineRule="exact"/>
        <w:jc w:val="left"/>
        <w:rPr>
          <w:rFonts w:hAnsi="宋体" w:cs="宋体"/>
          <w:color w:val="auto"/>
          <w:sz w:val="22"/>
          <w:szCs w:val="22"/>
          <w:highlight w:val="none"/>
        </w:rPr>
      </w:pPr>
    </w:p>
    <w:p w14:paraId="3964683D">
      <w:pPr>
        <w:tabs>
          <w:tab w:val="left" w:pos="1069"/>
          <w:tab w:val="left" w:pos="2352"/>
        </w:tabs>
        <w:spacing w:line="400" w:lineRule="exact"/>
        <w:jc w:val="left"/>
        <w:rPr>
          <w:rFonts w:ascii="宋体" w:hAnsi="宋体" w:cs="宋体"/>
          <w:b/>
          <w:bCs/>
          <w:color w:val="auto"/>
          <w:sz w:val="30"/>
          <w:highlight w:val="none"/>
        </w:rPr>
      </w:pPr>
    </w:p>
    <w:p w14:paraId="371E3D2D">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附件十一</w:t>
      </w:r>
    </w:p>
    <w:p w14:paraId="4F30DB90">
      <w:pPr>
        <w:tabs>
          <w:tab w:val="left" w:pos="1069"/>
          <w:tab w:val="left" w:pos="2352"/>
        </w:tabs>
        <w:spacing w:line="420" w:lineRule="exact"/>
        <w:jc w:val="center"/>
        <w:rPr>
          <w:rFonts w:ascii="宋体" w:hAnsi="宋体" w:cs="宋体"/>
          <w:b/>
          <w:bCs/>
          <w:color w:val="auto"/>
          <w:sz w:val="30"/>
          <w:highlight w:val="none"/>
        </w:rPr>
      </w:pPr>
      <w:bookmarkStart w:id="84" w:name="_Toc31819"/>
      <w:r>
        <w:rPr>
          <w:rFonts w:hint="eastAsia" w:ascii="宋体" w:hAnsi="宋体" w:cs="宋体"/>
          <w:b/>
          <w:bCs/>
          <w:color w:val="auto"/>
          <w:sz w:val="30"/>
          <w:highlight w:val="none"/>
        </w:rPr>
        <w:t>政府采购活动现场确认声明书</w:t>
      </w:r>
      <w:bookmarkEnd w:id="84"/>
    </w:p>
    <w:p w14:paraId="69A2DE8B">
      <w:pPr>
        <w:pStyle w:val="38"/>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4BCDBD06">
      <w:pPr>
        <w:pStyle w:val="38"/>
        <w:keepNext w:val="0"/>
        <w:keepLines w:val="0"/>
        <w:pageBreakBefore w:val="0"/>
        <w:widowControl w:val="0"/>
        <w:tabs>
          <w:tab w:val="left" w:pos="1069"/>
          <w:tab w:val="left" w:pos="2352"/>
        </w:tabs>
        <w:kinsoku/>
        <w:wordWrap/>
        <w:overflowPunct/>
        <w:topLinePunct w:val="0"/>
        <w:autoSpaceDE/>
        <w:autoSpaceDN/>
        <w:bidi w:val="0"/>
        <w:snapToGrid w:val="0"/>
        <w:spacing w:line="46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0AFF4A2F">
      <w:pPr>
        <w:pStyle w:val="38"/>
        <w:keepNext w:val="0"/>
        <w:keepLines w:val="0"/>
        <w:pageBreakBefore w:val="0"/>
        <w:widowControl w:val="0"/>
        <w:tabs>
          <w:tab w:val="left" w:pos="1069"/>
          <w:tab w:val="left" w:pos="2352"/>
        </w:tabs>
        <w:kinsoku/>
        <w:wordWrap/>
        <w:overflowPunct/>
        <w:topLinePunct w:val="0"/>
        <w:autoSpaceDE/>
        <w:autoSpaceDN/>
        <w:bidi w:val="0"/>
        <w:snapToGrid w:val="0"/>
        <w:spacing w:line="46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泰顺县地质灾害风险“一坡一卡”调查评价</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 xml:space="preserve">TSCG202506026 </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7A4C6D40">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E770859">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4801E783">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1D372D99">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D9810C1">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66D808FF">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14E5E9CE">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A712593">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5827D7B">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2C7E8BDA">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01CA6A9B">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1E373DFA">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064C6A00">
      <w:pPr>
        <w:pStyle w:val="38"/>
        <w:keepNext w:val="0"/>
        <w:keepLines w:val="0"/>
        <w:pageBreakBefore w:val="0"/>
        <w:widowControl w:val="0"/>
        <w:tabs>
          <w:tab w:val="left" w:pos="1069"/>
          <w:tab w:val="left" w:pos="2352"/>
        </w:tabs>
        <w:kinsoku/>
        <w:wordWrap/>
        <w:overflowPunct/>
        <w:topLinePunct w:val="0"/>
        <w:autoSpaceDE/>
        <w:autoSpaceDN/>
        <w:bidi w:val="0"/>
        <w:adjustRightInd w:val="0"/>
        <w:snapToGrid w:val="0"/>
        <w:spacing w:line="46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28852A60">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5F2F18F0">
      <w:pPr>
        <w:pStyle w:val="39"/>
        <w:keepNext w:val="0"/>
        <w:keepLines w:val="0"/>
        <w:pageBreakBefore w:val="0"/>
        <w:widowControl/>
        <w:tabs>
          <w:tab w:val="left" w:pos="1069"/>
          <w:tab w:val="left" w:pos="2352"/>
        </w:tabs>
        <w:kinsoku/>
        <w:wordWrap/>
        <w:overflowPunct/>
        <w:topLinePunct w:val="0"/>
        <w:autoSpaceDE/>
        <w:autoSpaceDN/>
        <w:bidi w:val="0"/>
        <w:adjustRightInd w:val="0"/>
        <w:snapToGrid w:val="0"/>
        <w:spacing w:line="46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35B7A8AB">
      <w:pPr>
        <w:pStyle w:val="38"/>
        <w:keepNext w:val="0"/>
        <w:keepLines w:val="0"/>
        <w:pageBreakBefore w:val="0"/>
        <w:widowControl w:val="0"/>
        <w:tabs>
          <w:tab w:val="left" w:pos="1069"/>
          <w:tab w:val="left" w:pos="2352"/>
        </w:tabs>
        <w:kinsoku/>
        <w:wordWrap/>
        <w:overflowPunct/>
        <w:topLinePunct w:val="0"/>
        <w:autoSpaceDE/>
        <w:autoSpaceDN/>
        <w:bidi w:val="0"/>
        <w:snapToGrid w:val="0"/>
        <w:spacing w:line="460" w:lineRule="exact"/>
        <w:ind w:firstLine="446" w:firstLineChars="200"/>
        <w:jc w:val="both"/>
        <w:rPr>
          <w:rFonts w:hAnsi="宋体" w:cs="宋体"/>
          <w:color w:val="auto"/>
          <w:sz w:val="22"/>
          <w:szCs w:val="22"/>
          <w:highlight w:val="none"/>
        </w:rPr>
      </w:pPr>
    </w:p>
    <w:p w14:paraId="321AEED8">
      <w:pPr>
        <w:pStyle w:val="38"/>
        <w:keepNext w:val="0"/>
        <w:keepLines w:val="0"/>
        <w:pageBreakBefore w:val="0"/>
        <w:widowControl w:val="0"/>
        <w:tabs>
          <w:tab w:val="left" w:pos="1069"/>
          <w:tab w:val="left" w:pos="2352"/>
        </w:tabs>
        <w:kinsoku/>
        <w:wordWrap/>
        <w:overflowPunct/>
        <w:topLinePunct w:val="0"/>
        <w:autoSpaceDE/>
        <w:autoSpaceDN/>
        <w:bidi w:val="0"/>
        <w:snapToGrid w:val="0"/>
        <w:spacing w:line="46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559ED2D7">
      <w:pPr>
        <w:keepNext w:val="0"/>
        <w:keepLines w:val="0"/>
        <w:pageBreakBefore w:val="0"/>
        <w:tabs>
          <w:tab w:val="left" w:pos="1069"/>
          <w:tab w:val="left" w:pos="2352"/>
        </w:tabs>
        <w:kinsoku/>
        <w:wordWrap/>
        <w:overflowPunct/>
        <w:topLinePunct w:val="0"/>
        <w:autoSpaceDE/>
        <w:autoSpaceDN/>
        <w:bidi w:val="0"/>
        <w:spacing w:before="317" w:beforeLines="100" w:after="317" w:afterLines="100" w:line="46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371F4241">
      <w:pPr>
        <w:pStyle w:val="11"/>
        <w:tabs>
          <w:tab w:val="left" w:pos="1069"/>
          <w:tab w:val="left" w:pos="2352"/>
        </w:tabs>
        <w:spacing w:line="400" w:lineRule="exact"/>
        <w:ind w:left="490" w:hanging="490"/>
        <w:rPr>
          <w:rFonts w:ascii="宋体" w:hAnsi="宋体" w:cs="宋体"/>
          <w:b/>
          <w:bCs/>
          <w:color w:val="auto"/>
          <w:szCs w:val="21"/>
          <w:highlight w:val="none"/>
        </w:rPr>
      </w:pPr>
    </w:p>
    <w:p w14:paraId="1CB4D2D3">
      <w:pPr>
        <w:pStyle w:val="12"/>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5"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5"/>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4B1FBFDC">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05800ED4">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6" w:name="_Toc32552_WPSOffice_Level2"/>
      <w:r>
        <w:rPr>
          <w:rFonts w:hint="eastAsia" w:ascii="宋体" w:hAnsi="宋体" w:cs="宋体"/>
          <w:b/>
          <w:color w:val="auto"/>
          <w:sz w:val="22"/>
          <w:highlight w:val="none"/>
        </w:rPr>
        <w:t>一、总则</w:t>
      </w:r>
      <w:bookmarkEnd w:id="86"/>
    </w:p>
    <w:p w14:paraId="497F70C0">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0F32A147">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7" w:name="_Toc15399_WPSOffice_Level2"/>
      <w:r>
        <w:rPr>
          <w:rFonts w:hint="eastAsia" w:ascii="宋体" w:hAnsi="宋体" w:cs="宋体"/>
          <w:b/>
          <w:color w:val="auto"/>
          <w:sz w:val="22"/>
          <w:highlight w:val="none"/>
        </w:rPr>
        <w:t>二、评审组织</w:t>
      </w:r>
      <w:bookmarkEnd w:id="87"/>
    </w:p>
    <w:p w14:paraId="131B273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26F1F747">
      <w:pPr>
        <w:tabs>
          <w:tab w:val="left" w:pos="1069"/>
          <w:tab w:val="left" w:pos="2352"/>
        </w:tabs>
        <w:snapToGrid w:val="0"/>
        <w:spacing w:line="380" w:lineRule="exact"/>
        <w:ind w:firstLine="1774" w:firstLineChars="796"/>
        <w:rPr>
          <w:rFonts w:ascii="宋体" w:hAnsi="宋体" w:cs="宋体"/>
          <w:color w:val="auto"/>
          <w:sz w:val="22"/>
          <w:highlight w:val="none"/>
        </w:rPr>
      </w:pPr>
      <w:bookmarkStart w:id="88" w:name="_Toc7010_WPSOffice_Level2"/>
      <w:r>
        <w:rPr>
          <w:rFonts w:hint="eastAsia" w:ascii="宋体" w:hAnsi="宋体" w:cs="宋体"/>
          <w:b/>
          <w:color w:val="auto"/>
          <w:sz w:val="22"/>
          <w:highlight w:val="none"/>
        </w:rPr>
        <w:t>三、投标（响应）文件递交截止、磋商程序、磋商原则和方式</w:t>
      </w:r>
      <w:bookmarkEnd w:id="88"/>
    </w:p>
    <w:p w14:paraId="622372F1">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7C731A33">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14DF48AF">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2C89AEC3">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7D0188EC">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4C2E5FB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53F9DD1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1C89C311">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5B97C979">
      <w:pPr>
        <w:pStyle w:val="12"/>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00987C6A">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2B68FCA5">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66F6953C">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755B7B44">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2E664B17">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12D780F5">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72ED8D82">
      <w:pPr>
        <w:pStyle w:val="12"/>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730FA17B">
      <w:pPr>
        <w:pStyle w:val="12"/>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89" w:name="_Toc28287_WPSOffice_Level2"/>
    </w:p>
    <w:p w14:paraId="1EAD5CD0">
      <w:pPr>
        <w:tabs>
          <w:tab w:val="left" w:pos="1069"/>
          <w:tab w:val="left" w:pos="2352"/>
        </w:tabs>
        <w:rPr>
          <w:color w:val="auto"/>
          <w:highlight w:val="none"/>
        </w:rPr>
      </w:pPr>
    </w:p>
    <w:p w14:paraId="4FE67327">
      <w:pPr>
        <w:pStyle w:val="12"/>
        <w:numPr>
          <w:ilvl w:val="0"/>
          <w:numId w:val="8"/>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89"/>
      <w:bookmarkStart w:id="90" w:name="_Toc20707_WPSOffice_Level3"/>
    </w:p>
    <w:bookmarkEnd w:id="90"/>
    <w:p w14:paraId="042744BE">
      <w:pPr>
        <w:pStyle w:val="33"/>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w:t>
      </w:r>
      <w:r>
        <w:rPr>
          <w:rFonts w:hint="eastAsia" w:ascii="Calibri" w:hAnsi="Calibri"/>
          <w:b/>
          <w:bCs/>
          <w:color w:val="auto"/>
          <w:sz w:val="22"/>
          <w:szCs w:val="22"/>
          <w:highlight w:val="none"/>
        </w:rPr>
        <w:t>0分）</w:t>
      </w:r>
    </w:p>
    <w:p w14:paraId="6B60B476">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14:paraId="7AFEC297">
      <w:pPr>
        <w:pStyle w:val="12"/>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w:t>
      </w:r>
      <w:r>
        <w:rPr>
          <w:rFonts w:hint="eastAsia" w:hAnsi="宋体" w:cs="宋体"/>
          <w:b/>
          <w:bCs/>
          <w:color w:val="auto"/>
          <w:sz w:val="22"/>
          <w:highlight w:val="none"/>
          <w:lang w:val="en-US" w:eastAsia="zh-CN"/>
        </w:rPr>
        <w:t>2</w:t>
      </w:r>
      <w:r>
        <w:rPr>
          <w:rFonts w:hint="eastAsia" w:hAnsi="宋体" w:cs="宋体"/>
          <w:b/>
          <w:bCs/>
          <w:color w:val="auto"/>
          <w:sz w:val="22"/>
          <w:highlight w:val="none"/>
        </w:rPr>
        <w:t>0%×100</w:t>
      </w:r>
    </w:p>
    <w:p w14:paraId="57F01206">
      <w:pPr>
        <w:pStyle w:val="12"/>
        <w:tabs>
          <w:tab w:val="left" w:pos="1069"/>
          <w:tab w:val="left" w:pos="2352"/>
        </w:tabs>
        <w:adjustRightInd w:val="0"/>
        <w:snapToGrid w:val="0"/>
        <w:spacing w:line="380" w:lineRule="exact"/>
        <w:ind w:firstLine="450"/>
        <w:rPr>
          <w:rFonts w:hint="eastAsia" w:hAnsi="宋体" w:cs="宋体"/>
          <w:color w:val="auto"/>
          <w:sz w:val="22"/>
          <w:highlight w:val="none"/>
        </w:rPr>
      </w:pPr>
      <w:r>
        <w:rPr>
          <w:rFonts w:hint="eastAsia" w:hAnsi="宋体" w:cs="宋体"/>
          <w:color w:val="auto"/>
          <w:sz w:val="22"/>
          <w:highlight w:val="none"/>
        </w:rPr>
        <w:t>2、</w:t>
      </w:r>
      <w:r>
        <w:rPr>
          <w:rFonts w:hint="eastAsia"/>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446CE487">
      <w:pPr>
        <w:pStyle w:val="12"/>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w:t>
      </w:r>
      <w:r>
        <w:rPr>
          <w:rFonts w:hint="eastAsia" w:hAnsi="宋体" w:cs="宋体"/>
          <w:b/>
          <w:color w:val="auto"/>
          <w:sz w:val="22"/>
          <w:highlight w:val="none"/>
          <w:lang w:val="en-US" w:eastAsia="zh-CN"/>
        </w:rPr>
        <w:t>8</w:t>
      </w:r>
      <w:r>
        <w:rPr>
          <w:rFonts w:hint="eastAsia" w:hAnsi="宋体" w:cs="宋体"/>
          <w:b/>
          <w:color w:val="auto"/>
          <w:sz w:val="22"/>
          <w:highlight w:val="none"/>
        </w:rPr>
        <w:t>0分</w:t>
      </w:r>
      <w:r>
        <w:rPr>
          <w:rFonts w:hint="eastAsia" w:hAnsi="宋体" w:cs="宋体"/>
          <w:bCs/>
          <w:color w:val="auto"/>
          <w:sz w:val="22"/>
          <w:highlight w:val="none"/>
        </w:rPr>
        <w:t>）</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108"/>
        <w:gridCol w:w="937"/>
        <w:gridCol w:w="6884"/>
      </w:tblGrid>
      <w:tr w14:paraId="1B96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8" w:type="pct"/>
            <w:noWrap w:val="0"/>
            <w:vAlign w:val="center"/>
          </w:tcPr>
          <w:p w14:paraId="7666D4AB">
            <w:pPr>
              <w:contextualSpacing/>
              <w:jc w:val="center"/>
              <w:rPr>
                <w:rFonts w:hint="eastAsia" w:ascii="宋体" w:hAnsi="宋体" w:eastAsia="宋体" w:cs="宋体"/>
                <w:b/>
                <w:bCs/>
                <w:snapToGrid w:val="0"/>
                <w:sz w:val="22"/>
                <w:szCs w:val="22"/>
                <w:highlight w:val="none"/>
              </w:rPr>
            </w:pPr>
            <w:bookmarkStart w:id="91" w:name="_Toc18541_WPSOffice_Level2"/>
            <w:r>
              <w:rPr>
                <w:rFonts w:hint="eastAsia" w:ascii="宋体" w:hAnsi="宋体" w:eastAsia="宋体" w:cs="宋体"/>
                <w:b/>
                <w:bCs/>
                <w:snapToGrid w:val="0"/>
                <w:sz w:val="22"/>
                <w:szCs w:val="22"/>
                <w:highlight w:val="none"/>
              </w:rPr>
              <w:t>序号</w:t>
            </w:r>
          </w:p>
        </w:tc>
        <w:tc>
          <w:tcPr>
            <w:tcW w:w="576" w:type="pct"/>
            <w:noWrap w:val="0"/>
            <w:vAlign w:val="center"/>
          </w:tcPr>
          <w:p w14:paraId="01C23E49">
            <w:pPr>
              <w:contextualSpacing/>
              <w:jc w:val="center"/>
              <w:rPr>
                <w:rFonts w:hint="eastAsia" w:ascii="宋体" w:hAnsi="宋体" w:eastAsia="宋体" w:cs="宋体"/>
                <w:b/>
                <w:bCs/>
                <w:snapToGrid w:val="0"/>
                <w:sz w:val="22"/>
                <w:szCs w:val="22"/>
                <w:highlight w:val="none"/>
              </w:rPr>
            </w:pPr>
            <w:r>
              <w:rPr>
                <w:rFonts w:hint="eastAsia" w:ascii="宋体" w:hAnsi="宋体" w:eastAsia="宋体" w:cs="宋体"/>
                <w:b/>
                <w:bCs/>
                <w:snapToGrid w:val="0"/>
                <w:sz w:val="22"/>
                <w:szCs w:val="22"/>
                <w:highlight w:val="none"/>
              </w:rPr>
              <w:t>评分</w:t>
            </w:r>
          </w:p>
          <w:p w14:paraId="68589C63">
            <w:pPr>
              <w:contextualSpacing/>
              <w:jc w:val="center"/>
              <w:rPr>
                <w:rFonts w:hint="eastAsia" w:ascii="宋体" w:hAnsi="宋体" w:eastAsia="宋体" w:cs="宋体"/>
                <w:b/>
                <w:bCs/>
                <w:sz w:val="22"/>
                <w:szCs w:val="22"/>
                <w:highlight w:val="none"/>
              </w:rPr>
            </w:pPr>
            <w:r>
              <w:rPr>
                <w:rFonts w:hint="eastAsia" w:ascii="宋体" w:hAnsi="宋体" w:eastAsia="宋体" w:cs="宋体"/>
                <w:b/>
                <w:bCs/>
                <w:snapToGrid w:val="0"/>
                <w:sz w:val="22"/>
                <w:szCs w:val="22"/>
                <w:highlight w:val="none"/>
              </w:rPr>
              <w:t>项目</w:t>
            </w:r>
          </w:p>
        </w:tc>
        <w:tc>
          <w:tcPr>
            <w:tcW w:w="487" w:type="pct"/>
            <w:noWrap w:val="0"/>
            <w:vAlign w:val="center"/>
          </w:tcPr>
          <w:p w14:paraId="41203FE3">
            <w:pPr>
              <w:contextualSpacing/>
              <w:jc w:val="center"/>
              <w:rPr>
                <w:rFonts w:hint="eastAsia" w:ascii="宋体" w:hAnsi="宋体" w:eastAsia="宋体" w:cs="宋体"/>
                <w:b/>
                <w:bCs/>
                <w:sz w:val="22"/>
                <w:szCs w:val="22"/>
                <w:highlight w:val="none"/>
              </w:rPr>
            </w:pPr>
            <w:r>
              <w:rPr>
                <w:rFonts w:hint="eastAsia" w:ascii="宋体" w:hAnsi="宋体" w:eastAsia="宋体" w:cs="宋体"/>
                <w:b/>
                <w:bCs/>
                <w:snapToGrid w:val="0"/>
                <w:sz w:val="22"/>
                <w:szCs w:val="22"/>
                <w:highlight w:val="none"/>
              </w:rPr>
              <w:t>分值</w:t>
            </w:r>
          </w:p>
        </w:tc>
        <w:tc>
          <w:tcPr>
            <w:tcW w:w="3577" w:type="pct"/>
            <w:noWrap w:val="0"/>
            <w:vAlign w:val="center"/>
          </w:tcPr>
          <w:p w14:paraId="5B40BFB5">
            <w:pPr>
              <w:contextualSpacing/>
              <w:jc w:val="center"/>
              <w:rPr>
                <w:rFonts w:hint="eastAsia" w:ascii="宋体" w:hAnsi="宋体" w:eastAsia="宋体" w:cs="宋体"/>
                <w:b/>
                <w:bCs/>
                <w:sz w:val="22"/>
                <w:szCs w:val="22"/>
                <w:highlight w:val="none"/>
              </w:rPr>
            </w:pPr>
            <w:r>
              <w:rPr>
                <w:rFonts w:hint="eastAsia" w:ascii="宋体" w:hAnsi="宋体" w:eastAsia="宋体" w:cs="宋体"/>
                <w:b/>
                <w:bCs/>
                <w:snapToGrid w:val="0"/>
                <w:sz w:val="22"/>
                <w:szCs w:val="22"/>
                <w:highlight w:val="none"/>
              </w:rPr>
              <w:t>评分标准</w:t>
            </w:r>
          </w:p>
        </w:tc>
      </w:tr>
      <w:tr w14:paraId="61EF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58" w:type="pct"/>
            <w:noWrap w:val="0"/>
            <w:vAlign w:val="center"/>
          </w:tcPr>
          <w:p w14:paraId="3213E3E8">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1</w:t>
            </w:r>
          </w:p>
        </w:tc>
        <w:tc>
          <w:tcPr>
            <w:tcW w:w="576" w:type="pct"/>
            <w:noWrap w:val="0"/>
            <w:vAlign w:val="center"/>
          </w:tcPr>
          <w:p w14:paraId="1FBB9B65">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体系</w:t>
            </w:r>
          </w:p>
          <w:p w14:paraId="18F8E9DD">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认证</w:t>
            </w:r>
          </w:p>
          <w:p w14:paraId="6F6D1C52">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(5分)</w:t>
            </w:r>
          </w:p>
        </w:tc>
        <w:tc>
          <w:tcPr>
            <w:tcW w:w="487" w:type="pct"/>
            <w:noWrap w:val="0"/>
            <w:vAlign w:val="center"/>
          </w:tcPr>
          <w:p w14:paraId="5579EAD5">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0-5分</w:t>
            </w:r>
          </w:p>
        </w:tc>
        <w:tc>
          <w:tcPr>
            <w:tcW w:w="3577" w:type="pct"/>
            <w:noWrap w:val="0"/>
            <w:vAlign w:val="center"/>
          </w:tcPr>
          <w:p w14:paraId="4D52E898">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投标供应商具有有效期内质量管理体系认证证书、职业健康安全管理体系认证证书、环境管理体系认证证书、信息技术服务管理体系认证证书、质量信誉体系评价证书，且认证范围包含地质灾害防治或勘查设计，每提供一个得1分，最高得5分。</w:t>
            </w:r>
          </w:p>
          <w:p w14:paraId="4017A759">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注：投标文件中附入体系认证证书复印件及全国认证认可信息公共服务平台查询页面截图（http://cx.cnca.cn/），认证状态须为有效，加盖投标供应商公章，否则不得分。</w:t>
            </w:r>
          </w:p>
        </w:tc>
      </w:tr>
      <w:tr w14:paraId="1F69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 w:type="pct"/>
            <w:noWrap w:val="0"/>
            <w:vAlign w:val="center"/>
          </w:tcPr>
          <w:p w14:paraId="108CB4FA">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2</w:t>
            </w:r>
          </w:p>
        </w:tc>
        <w:tc>
          <w:tcPr>
            <w:tcW w:w="576" w:type="pct"/>
            <w:noWrap w:val="0"/>
            <w:vAlign w:val="center"/>
          </w:tcPr>
          <w:p w14:paraId="31095761">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项目</w:t>
            </w:r>
          </w:p>
          <w:p w14:paraId="15FFA685">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业绩</w:t>
            </w:r>
          </w:p>
          <w:p w14:paraId="7AC67C06">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w:t>
            </w:r>
            <w:r>
              <w:rPr>
                <w:rFonts w:hint="eastAsia" w:ascii="宋体" w:hAnsi="宋体" w:eastAsia="宋体" w:cs="宋体"/>
                <w:kern w:val="2"/>
                <w:sz w:val="22"/>
                <w:szCs w:val="22"/>
                <w:highlight w:val="none"/>
                <w:lang w:val="en-US" w:eastAsia="zh-CN"/>
              </w:rPr>
              <w:t>2</w:t>
            </w:r>
            <w:r>
              <w:rPr>
                <w:rFonts w:hint="eastAsia" w:ascii="宋体" w:hAnsi="宋体" w:eastAsia="宋体" w:cs="宋体"/>
                <w:kern w:val="2"/>
                <w:sz w:val="22"/>
                <w:szCs w:val="22"/>
                <w:highlight w:val="none"/>
              </w:rPr>
              <w:t>分)</w:t>
            </w:r>
          </w:p>
        </w:tc>
        <w:tc>
          <w:tcPr>
            <w:tcW w:w="487" w:type="pct"/>
            <w:noWrap w:val="0"/>
            <w:vAlign w:val="center"/>
          </w:tcPr>
          <w:p w14:paraId="2942E63D">
            <w:pPr>
              <w:spacing w:line="360" w:lineRule="exact"/>
              <w:contextualSpacing/>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0-</w:t>
            </w:r>
            <w:r>
              <w:rPr>
                <w:rFonts w:hint="eastAsia" w:ascii="宋体" w:hAnsi="宋体" w:eastAsia="宋体" w:cs="宋体"/>
                <w:kern w:val="2"/>
                <w:sz w:val="22"/>
                <w:szCs w:val="22"/>
                <w:highlight w:val="none"/>
                <w:lang w:val="en-US" w:eastAsia="zh-CN"/>
              </w:rPr>
              <w:t>2</w:t>
            </w:r>
            <w:r>
              <w:rPr>
                <w:rFonts w:hint="eastAsia" w:ascii="宋体" w:hAnsi="宋体" w:eastAsia="宋体" w:cs="宋体"/>
                <w:kern w:val="2"/>
                <w:sz w:val="22"/>
                <w:szCs w:val="22"/>
                <w:highlight w:val="none"/>
              </w:rPr>
              <w:t>分</w:t>
            </w:r>
          </w:p>
        </w:tc>
        <w:tc>
          <w:tcPr>
            <w:tcW w:w="3577" w:type="pct"/>
            <w:noWrap w:val="0"/>
            <w:vAlign w:val="center"/>
          </w:tcPr>
          <w:p w14:paraId="2E7823E1">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投标供应商承担过地质灾害风险“一坡一卡”调查评价业绩，每提供1个得1分，最高2分。</w:t>
            </w:r>
          </w:p>
          <w:p w14:paraId="55A179C6">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注：投标文件中须提供中标通知书及合同扫描件并加盖投标供应商公章，否则不得分。</w:t>
            </w:r>
            <w:r>
              <w:rPr>
                <w:rFonts w:hint="eastAsia" w:ascii="宋体" w:hAnsi="宋体" w:cs="宋体"/>
                <w:b w:val="0"/>
                <w:bCs/>
                <w:spacing w:val="0"/>
                <w:kern w:val="2"/>
                <w:sz w:val="22"/>
                <w:szCs w:val="22"/>
                <w:highlight w:val="none"/>
                <w:lang w:val="en-US" w:eastAsia="zh-CN"/>
              </w:rPr>
              <w:t>（提供同个单位业绩不重复提分）</w:t>
            </w:r>
          </w:p>
        </w:tc>
      </w:tr>
      <w:tr w14:paraId="35E3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58" w:type="pct"/>
            <w:noWrap w:val="0"/>
            <w:vAlign w:val="center"/>
          </w:tcPr>
          <w:p w14:paraId="2BE8126E">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3</w:t>
            </w:r>
          </w:p>
        </w:tc>
        <w:tc>
          <w:tcPr>
            <w:tcW w:w="576" w:type="pct"/>
            <w:noWrap w:val="0"/>
            <w:vAlign w:val="center"/>
          </w:tcPr>
          <w:p w14:paraId="0AE82106">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项目组</w:t>
            </w:r>
          </w:p>
          <w:p w14:paraId="1B718EE3">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成员</w:t>
            </w:r>
          </w:p>
          <w:p w14:paraId="55186EB4">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(13分)</w:t>
            </w:r>
          </w:p>
        </w:tc>
        <w:tc>
          <w:tcPr>
            <w:tcW w:w="487" w:type="pct"/>
            <w:noWrap w:val="0"/>
            <w:vAlign w:val="center"/>
          </w:tcPr>
          <w:p w14:paraId="5EADF892">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0-13分</w:t>
            </w:r>
          </w:p>
        </w:tc>
        <w:tc>
          <w:tcPr>
            <w:tcW w:w="3577" w:type="pct"/>
            <w:noWrap w:val="0"/>
            <w:vAlign w:val="center"/>
          </w:tcPr>
          <w:p w14:paraId="407EDF5D">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1、项目负责人：</w:t>
            </w:r>
          </w:p>
          <w:p w14:paraId="4D35A60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1.1具有水工环地质专业正高级工程师职称的，得3分；具有水工环地质专业高级工程师职称的，得2分；</w:t>
            </w:r>
          </w:p>
          <w:p w14:paraId="212C409D">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1.2拟派本项目项目负责人因地质灾害防治工作表现出色获得过省级及以上人民政府表彰的得2分；获得地市级人民政府表彰的得1分；本小项最高得2分。</w:t>
            </w:r>
          </w:p>
          <w:p w14:paraId="6389D1AC">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2、项目技术负责人（不得与项目负责人为同一人）：</w:t>
            </w:r>
          </w:p>
          <w:p w14:paraId="588C26E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2.1具有水工环地质专业高级工程师及以上职称的，得2分；具有水工环地质专业中级工程师职称的，得1分；</w:t>
            </w:r>
          </w:p>
          <w:p w14:paraId="465DF4FA">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2.2拟派本项目技术负责人因地质灾害防治工作表现出色获得过省级及以上人民政府表彰的得2分；获得地市级人民政府表彰的得1分；本小项最高得2分。</w:t>
            </w:r>
          </w:p>
          <w:p w14:paraId="619A8634">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3、项目组成员（项目负责人及项目技术负责人除外）：</w:t>
            </w:r>
          </w:p>
          <w:p w14:paraId="58DD488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配备地质类、水工环地质类、测绘类、物化探类等四类专业高级及以上职称的，每</w:t>
            </w:r>
            <w:r>
              <w:rPr>
                <w:rFonts w:hint="eastAsia" w:ascii="宋体" w:hAnsi="宋体" w:cs="宋体"/>
                <w:b w:val="0"/>
                <w:bCs/>
                <w:spacing w:val="0"/>
                <w:kern w:val="2"/>
                <w:sz w:val="22"/>
                <w:szCs w:val="22"/>
                <w:highlight w:val="none"/>
                <w:lang w:val="en-US" w:eastAsia="zh-CN"/>
              </w:rPr>
              <w:t>提供一个证书</w:t>
            </w:r>
            <w:r>
              <w:rPr>
                <w:rFonts w:hint="eastAsia" w:ascii="宋体" w:hAnsi="宋体" w:eastAsia="宋体" w:cs="宋体"/>
                <w:b w:val="0"/>
                <w:bCs/>
                <w:spacing w:val="0"/>
                <w:kern w:val="2"/>
                <w:sz w:val="22"/>
                <w:szCs w:val="22"/>
                <w:highlight w:val="none"/>
                <w:lang w:val="en-US" w:eastAsia="zh-CN"/>
              </w:rPr>
              <w:t>得1分，本项最高得4分（该项同一个人同时具备多本证书的只能得1分。</w:t>
            </w:r>
          </w:p>
          <w:p w14:paraId="49AA2F3A">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bookmarkStart w:id="92" w:name="_Toc16717"/>
            <w:bookmarkStart w:id="93" w:name="_Toc24337"/>
            <w:r>
              <w:rPr>
                <w:rFonts w:hint="eastAsia" w:ascii="宋体" w:hAnsi="宋体" w:eastAsia="宋体" w:cs="宋体"/>
                <w:b w:val="0"/>
                <w:bCs/>
                <w:spacing w:val="0"/>
                <w:kern w:val="2"/>
                <w:sz w:val="22"/>
                <w:szCs w:val="22"/>
                <w:highlight w:val="none"/>
                <w:lang w:val="en-US" w:eastAsia="zh-CN"/>
              </w:rPr>
              <w:t>注：以上人员须提供相关证书和提交投标文件截止时间前由社会保障部门出具的近3个月的本单位社保在保证明扫描件加盖投标供应商公章，否则不得分</w:t>
            </w:r>
            <w:bookmarkEnd w:id="92"/>
            <w:bookmarkEnd w:id="93"/>
            <w:r>
              <w:rPr>
                <w:rFonts w:hint="eastAsia" w:ascii="宋体" w:hAnsi="宋体" w:eastAsia="宋体" w:cs="宋体"/>
                <w:b w:val="0"/>
                <w:bCs/>
                <w:spacing w:val="0"/>
                <w:kern w:val="2"/>
                <w:sz w:val="22"/>
                <w:szCs w:val="22"/>
                <w:highlight w:val="none"/>
                <w:lang w:val="en-US" w:eastAsia="zh-CN"/>
              </w:rPr>
              <w:t>。</w:t>
            </w:r>
          </w:p>
        </w:tc>
      </w:tr>
      <w:tr w14:paraId="7A7A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58" w:type="pct"/>
            <w:vMerge w:val="restart"/>
            <w:noWrap w:val="0"/>
            <w:vAlign w:val="center"/>
          </w:tcPr>
          <w:p w14:paraId="4E4716EC">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4</w:t>
            </w:r>
          </w:p>
        </w:tc>
        <w:tc>
          <w:tcPr>
            <w:tcW w:w="576" w:type="pct"/>
            <w:vMerge w:val="restart"/>
            <w:noWrap w:val="0"/>
            <w:vAlign w:val="center"/>
          </w:tcPr>
          <w:p w14:paraId="5238010E">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项目实施方案</w:t>
            </w:r>
          </w:p>
          <w:p w14:paraId="42AA5ADE">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(28分)</w:t>
            </w:r>
          </w:p>
        </w:tc>
        <w:tc>
          <w:tcPr>
            <w:tcW w:w="487" w:type="pct"/>
            <w:noWrap w:val="0"/>
            <w:vAlign w:val="center"/>
          </w:tcPr>
          <w:p w14:paraId="0C3771B3">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72FAFBD8">
            <w:pPr>
              <w:pStyle w:val="23"/>
              <w:snapToGrid w:val="0"/>
              <w:spacing w:before="0" w:after="0" w:line="276" w:lineRule="auto"/>
              <w:jc w:val="left"/>
              <w:rPr>
                <w:rFonts w:hint="default"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分析阐述地质灾害风险调查评价的内容，根据投标供应商理解程度，由评标委员会进行打分，0~5分。</w:t>
            </w:r>
            <w:r>
              <w:rPr>
                <w:rFonts w:hint="eastAsia" w:ascii="宋体" w:hAnsi="宋体" w:cs="宋体"/>
                <w:b w:val="0"/>
                <w:bCs/>
                <w:spacing w:val="0"/>
                <w:kern w:val="2"/>
                <w:sz w:val="22"/>
                <w:szCs w:val="22"/>
                <w:highlight w:val="none"/>
                <w:lang w:val="en-US" w:eastAsia="zh-CN"/>
              </w:rPr>
              <w:t>评分范围（5,4,3,2,1,0）</w:t>
            </w:r>
          </w:p>
        </w:tc>
      </w:tr>
      <w:tr w14:paraId="7D84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58" w:type="pct"/>
            <w:vMerge w:val="continue"/>
            <w:noWrap w:val="0"/>
            <w:vAlign w:val="center"/>
          </w:tcPr>
          <w:p w14:paraId="41A45AD4">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1AC63A85">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1FD14E48">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21A310A1">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根据投标供应商阐述项目服务区地质环境背景条件，分析认识程度，由评标委员会进行打分，0~5分。</w:t>
            </w:r>
            <w:r>
              <w:rPr>
                <w:rFonts w:hint="eastAsia" w:ascii="宋体" w:hAnsi="宋体" w:cs="宋体"/>
                <w:b w:val="0"/>
                <w:bCs/>
                <w:spacing w:val="0"/>
                <w:kern w:val="2"/>
                <w:sz w:val="22"/>
                <w:szCs w:val="22"/>
                <w:highlight w:val="none"/>
                <w:lang w:val="en-US" w:eastAsia="zh-CN"/>
              </w:rPr>
              <w:t>评分范围（5,4,3,2,1,0）</w:t>
            </w:r>
          </w:p>
        </w:tc>
      </w:tr>
      <w:tr w14:paraId="224C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58" w:type="pct"/>
            <w:vMerge w:val="continue"/>
            <w:noWrap w:val="0"/>
            <w:vAlign w:val="center"/>
          </w:tcPr>
          <w:p w14:paraId="6BE36F0A">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480CC67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78BE052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1B5388F9">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阐述项目服务区近年来地质灾害基本情况，分析其相关规律及经验，根据投标供应商对项目服务区地质灾害资料的认识程度，由评标委员会进行打分，0~5分。</w:t>
            </w:r>
            <w:r>
              <w:rPr>
                <w:rFonts w:hint="eastAsia" w:ascii="宋体" w:hAnsi="宋体" w:cs="宋体"/>
                <w:b w:val="0"/>
                <w:bCs/>
                <w:spacing w:val="0"/>
                <w:kern w:val="2"/>
                <w:sz w:val="22"/>
                <w:szCs w:val="22"/>
                <w:highlight w:val="none"/>
                <w:lang w:val="en-US" w:eastAsia="zh-CN"/>
              </w:rPr>
              <w:t>评分范围（5,4,3,2,1,0）</w:t>
            </w:r>
          </w:p>
        </w:tc>
      </w:tr>
      <w:tr w14:paraId="0375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58" w:type="pct"/>
            <w:vMerge w:val="continue"/>
            <w:noWrap w:val="0"/>
            <w:vAlign w:val="center"/>
          </w:tcPr>
          <w:p w14:paraId="718A8771">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7E3332A7">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7DFE2B19">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313A665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根据投标供应商工作量安排投入是否充分，工作部署得当，计划科学合理可行，措施具体、有效等，由评标委员会进行打分，0~5分。</w:t>
            </w:r>
            <w:r>
              <w:rPr>
                <w:rFonts w:hint="eastAsia" w:ascii="宋体" w:hAnsi="宋体" w:cs="宋体"/>
                <w:b w:val="0"/>
                <w:bCs/>
                <w:spacing w:val="0"/>
                <w:kern w:val="2"/>
                <w:sz w:val="22"/>
                <w:szCs w:val="22"/>
                <w:highlight w:val="none"/>
                <w:lang w:val="en-US" w:eastAsia="zh-CN"/>
              </w:rPr>
              <w:t>评分范围（5,4,3,2,1,0）</w:t>
            </w:r>
          </w:p>
        </w:tc>
      </w:tr>
      <w:tr w14:paraId="556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58" w:type="pct"/>
            <w:vMerge w:val="continue"/>
            <w:noWrap w:val="0"/>
            <w:vAlign w:val="center"/>
          </w:tcPr>
          <w:p w14:paraId="50AD6FEC">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2977FFE5">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2EA69AD2">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0-4分</w:t>
            </w:r>
          </w:p>
        </w:tc>
        <w:tc>
          <w:tcPr>
            <w:tcW w:w="3577" w:type="pct"/>
            <w:noWrap w:val="0"/>
            <w:vAlign w:val="center"/>
          </w:tcPr>
          <w:p w14:paraId="3D2DB78C">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根据投标供应商对乡镇实际使用需求，针对项目的合理化建议，由评标委员会进行打分，0~4分。</w:t>
            </w:r>
            <w:r>
              <w:rPr>
                <w:rFonts w:hint="eastAsia" w:ascii="宋体" w:hAnsi="宋体" w:cs="宋体"/>
                <w:b w:val="0"/>
                <w:bCs/>
                <w:spacing w:val="0"/>
                <w:kern w:val="2"/>
                <w:sz w:val="22"/>
                <w:szCs w:val="22"/>
                <w:highlight w:val="none"/>
                <w:lang w:val="en-US" w:eastAsia="zh-CN"/>
              </w:rPr>
              <w:t>评分范围（4,3,2,1,0）</w:t>
            </w:r>
          </w:p>
        </w:tc>
      </w:tr>
      <w:tr w14:paraId="5149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58" w:type="pct"/>
            <w:vMerge w:val="continue"/>
            <w:noWrap w:val="0"/>
            <w:vAlign w:val="center"/>
          </w:tcPr>
          <w:p w14:paraId="6D1D2964">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4A7BCEAF">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2531B573">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0-4分</w:t>
            </w:r>
          </w:p>
        </w:tc>
        <w:tc>
          <w:tcPr>
            <w:tcW w:w="3577" w:type="pct"/>
            <w:noWrap w:val="0"/>
            <w:vAlign w:val="center"/>
          </w:tcPr>
          <w:p w14:paraId="61E17937">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根据投标供应商对磋商采购文件的需求，对最终提交的成果报告进行描述，根据成果报告的详尽程度，由评标委员会进行打分，0~4分。</w:t>
            </w:r>
            <w:r>
              <w:rPr>
                <w:rFonts w:hint="eastAsia" w:ascii="宋体" w:hAnsi="宋体" w:cs="宋体"/>
                <w:b w:val="0"/>
                <w:bCs/>
                <w:spacing w:val="0"/>
                <w:kern w:val="2"/>
                <w:sz w:val="22"/>
                <w:szCs w:val="22"/>
                <w:highlight w:val="none"/>
                <w:lang w:val="en-US" w:eastAsia="zh-CN"/>
              </w:rPr>
              <w:t>评分范围（4,3,2,1,0）</w:t>
            </w:r>
          </w:p>
        </w:tc>
      </w:tr>
      <w:tr w14:paraId="5013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58" w:type="pct"/>
            <w:vMerge w:val="restart"/>
            <w:noWrap w:val="0"/>
            <w:vAlign w:val="center"/>
          </w:tcPr>
          <w:p w14:paraId="7CDB92EA">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5</w:t>
            </w:r>
          </w:p>
        </w:tc>
        <w:tc>
          <w:tcPr>
            <w:tcW w:w="576" w:type="pct"/>
            <w:vMerge w:val="restart"/>
            <w:noWrap w:val="0"/>
            <w:vAlign w:val="center"/>
          </w:tcPr>
          <w:p w14:paraId="595C5BB7">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对重点、难点特点的技术分析与方案</w:t>
            </w:r>
          </w:p>
          <w:p w14:paraId="6BF2B678">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对策</w:t>
            </w:r>
          </w:p>
          <w:p w14:paraId="0C243804">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(10分)</w:t>
            </w:r>
          </w:p>
        </w:tc>
        <w:tc>
          <w:tcPr>
            <w:tcW w:w="487" w:type="pct"/>
            <w:noWrap w:val="0"/>
            <w:vAlign w:val="center"/>
          </w:tcPr>
          <w:p w14:paraId="24268F48">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48220644">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根据投标供应商对项目实施的重点、难点详细表述及分析等情况由评标委员会进行打分，0~5分。</w:t>
            </w:r>
            <w:r>
              <w:rPr>
                <w:rFonts w:hint="eastAsia" w:ascii="宋体" w:hAnsi="宋体" w:cs="宋体"/>
                <w:b w:val="0"/>
                <w:bCs/>
                <w:spacing w:val="0"/>
                <w:kern w:val="2"/>
                <w:sz w:val="22"/>
                <w:szCs w:val="22"/>
                <w:highlight w:val="none"/>
                <w:lang w:val="en-US" w:eastAsia="zh-CN"/>
              </w:rPr>
              <w:t>评分范围（5,4,3,2,1,0）</w:t>
            </w:r>
          </w:p>
        </w:tc>
      </w:tr>
      <w:tr w14:paraId="015A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58" w:type="pct"/>
            <w:vMerge w:val="continue"/>
            <w:noWrap w:val="0"/>
            <w:vAlign w:val="center"/>
          </w:tcPr>
          <w:p w14:paraId="1EE1C194">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788435C5">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3F7B0C93">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55DE49B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根据投标供应商针对本项目实施存在的问题，提出的切实可行、思维缜密、针对性强的解决方案，由评标委员会进行打分，0~5分。</w:t>
            </w:r>
            <w:r>
              <w:rPr>
                <w:rFonts w:hint="eastAsia" w:ascii="宋体" w:hAnsi="宋体" w:cs="宋体"/>
                <w:b w:val="0"/>
                <w:bCs/>
                <w:spacing w:val="0"/>
                <w:kern w:val="2"/>
                <w:sz w:val="22"/>
                <w:szCs w:val="22"/>
                <w:highlight w:val="none"/>
                <w:lang w:val="en-US" w:eastAsia="zh-CN"/>
              </w:rPr>
              <w:t>评分范围（5,4,3,2,1,0）</w:t>
            </w:r>
          </w:p>
        </w:tc>
      </w:tr>
      <w:tr w14:paraId="344B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8" w:type="pct"/>
            <w:vMerge w:val="restart"/>
            <w:noWrap w:val="0"/>
            <w:vAlign w:val="center"/>
          </w:tcPr>
          <w:p w14:paraId="25FB97DF">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6</w:t>
            </w:r>
          </w:p>
        </w:tc>
        <w:tc>
          <w:tcPr>
            <w:tcW w:w="576" w:type="pct"/>
            <w:vMerge w:val="restart"/>
            <w:noWrap w:val="0"/>
            <w:vAlign w:val="center"/>
          </w:tcPr>
          <w:p w14:paraId="73DD2B6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质量保障措施</w:t>
            </w:r>
          </w:p>
          <w:p w14:paraId="6A16778D">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(10分)</w:t>
            </w:r>
          </w:p>
        </w:tc>
        <w:tc>
          <w:tcPr>
            <w:tcW w:w="487" w:type="pct"/>
            <w:noWrap w:val="0"/>
            <w:vAlign w:val="center"/>
          </w:tcPr>
          <w:p w14:paraId="7FEF5FB9">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7FFF6F6F">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根据投标供应商确保本项目项目质量、工期和安全生产质量等方面保障措施内容的完整性、可行性，由评标委员会进行打分，0~5分。</w:t>
            </w:r>
            <w:r>
              <w:rPr>
                <w:rFonts w:hint="eastAsia" w:ascii="宋体" w:hAnsi="宋体" w:cs="宋体"/>
                <w:b w:val="0"/>
                <w:bCs/>
                <w:spacing w:val="0"/>
                <w:kern w:val="2"/>
                <w:sz w:val="22"/>
                <w:szCs w:val="22"/>
                <w:highlight w:val="none"/>
                <w:lang w:val="en-US" w:eastAsia="zh-CN"/>
              </w:rPr>
              <w:t>评分范围（5,4,3,2,1,0）</w:t>
            </w:r>
          </w:p>
        </w:tc>
      </w:tr>
      <w:tr w14:paraId="57FB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58" w:type="pct"/>
            <w:vMerge w:val="continue"/>
            <w:noWrap w:val="0"/>
            <w:vAlign w:val="center"/>
          </w:tcPr>
          <w:p w14:paraId="3C2D5AA3">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tc>
        <w:tc>
          <w:tcPr>
            <w:tcW w:w="576" w:type="pct"/>
            <w:vMerge w:val="continue"/>
            <w:noWrap w:val="0"/>
            <w:vAlign w:val="center"/>
          </w:tcPr>
          <w:p w14:paraId="4526877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p>
        </w:tc>
        <w:tc>
          <w:tcPr>
            <w:tcW w:w="487" w:type="pct"/>
            <w:noWrap w:val="0"/>
            <w:vAlign w:val="center"/>
          </w:tcPr>
          <w:p w14:paraId="47422F3A">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0-5分</w:t>
            </w:r>
          </w:p>
        </w:tc>
        <w:tc>
          <w:tcPr>
            <w:tcW w:w="3577" w:type="pct"/>
            <w:noWrap w:val="0"/>
            <w:vAlign w:val="center"/>
          </w:tcPr>
          <w:p w14:paraId="23B0A022">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根据投标供应商层级管理以及组织架构打分，是否设有管理、质量控制等专业部门，并有相应的具体的岗位描述，由评标委员会进行打分，0~5分。</w:t>
            </w:r>
            <w:r>
              <w:rPr>
                <w:rFonts w:hint="eastAsia" w:ascii="宋体" w:hAnsi="宋体" w:cs="宋体"/>
                <w:b w:val="0"/>
                <w:bCs/>
                <w:spacing w:val="0"/>
                <w:kern w:val="2"/>
                <w:sz w:val="22"/>
                <w:szCs w:val="22"/>
                <w:highlight w:val="none"/>
                <w:lang w:val="en-US" w:eastAsia="zh-CN"/>
              </w:rPr>
              <w:t>评分范围（5,4,3,2,1,0）</w:t>
            </w:r>
          </w:p>
        </w:tc>
      </w:tr>
      <w:tr w14:paraId="3620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8" w:type="pct"/>
            <w:noWrap w:val="0"/>
            <w:vAlign w:val="center"/>
          </w:tcPr>
          <w:p w14:paraId="38E0C14E">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7</w:t>
            </w:r>
          </w:p>
        </w:tc>
        <w:tc>
          <w:tcPr>
            <w:tcW w:w="576" w:type="pct"/>
            <w:noWrap w:val="0"/>
            <w:vAlign w:val="center"/>
          </w:tcPr>
          <w:p w14:paraId="7AB9D352">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投入设备配置情况</w:t>
            </w:r>
          </w:p>
          <w:p w14:paraId="2C48EE34">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(4分)</w:t>
            </w:r>
          </w:p>
        </w:tc>
        <w:tc>
          <w:tcPr>
            <w:tcW w:w="487" w:type="pct"/>
            <w:noWrap w:val="0"/>
            <w:vAlign w:val="center"/>
          </w:tcPr>
          <w:p w14:paraId="3B4D6F7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0-4分</w:t>
            </w:r>
          </w:p>
        </w:tc>
        <w:tc>
          <w:tcPr>
            <w:tcW w:w="3577" w:type="pct"/>
            <w:noWrap w:val="0"/>
            <w:vAlign w:val="center"/>
          </w:tcPr>
          <w:p w14:paraId="53703E5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根据投标供应商对项目要求配备必要的野外专业服装、设备工具，如车辆、专业仪器（含软件）安排是否合理和充足情况，由评标委员会进行打分，0~4分。</w:t>
            </w:r>
            <w:r>
              <w:rPr>
                <w:rFonts w:hint="eastAsia" w:ascii="宋体" w:hAnsi="宋体" w:cs="宋体"/>
                <w:b w:val="0"/>
                <w:bCs/>
                <w:spacing w:val="0"/>
                <w:kern w:val="2"/>
                <w:sz w:val="22"/>
                <w:szCs w:val="22"/>
                <w:highlight w:val="none"/>
                <w:lang w:val="en-US" w:eastAsia="zh-CN"/>
              </w:rPr>
              <w:t>评分范围（4,3,2,1,0）</w:t>
            </w:r>
          </w:p>
        </w:tc>
      </w:tr>
      <w:tr w14:paraId="0E01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58" w:type="pct"/>
            <w:noWrap w:val="0"/>
            <w:vAlign w:val="center"/>
          </w:tcPr>
          <w:p w14:paraId="1BF87E4A">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8</w:t>
            </w:r>
          </w:p>
        </w:tc>
        <w:tc>
          <w:tcPr>
            <w:tcW w:w="576" w:type="pct"/>
            <w:noWrap w:val="0"/>
            <w:vAlign w:val="center"/>
          </w:tcPr>
          <w:p w14:paraId="1E7B748B">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安全保证措施</w:t>
            </w:r>
          </w:p>
          <w:p w14:paraId="12953772">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(4分)</w:t>
            </w:r>
          </w:p>
        </w:tc>
        <w:tc>
          <w:tcPr>
            <w:tcW w:w="487" w:type="pct"/>
            <w:noWrap w:val="0"/>
            <w:vAlign w:val="center"/>
          </w:tcPr>
          <w:p w14:paraId="4CB73F7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0-4分</w:t>
            </w:r>
          </w:p>
        </w:tc>
        <w:tc>
          <w:tcPr>
            <w:tcW w:w="3577" w:type="pct"/>
            <w:noWrap w:val="0"/>
            <w:vAlign w:val="center"/>
          </w:tcPr>
          <w:p w14:paraId="714FDF59">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根据投标供应商对本项目的安全保证措施、项目数据保密措施，由评标委员会进行打分，0~4分。</w:t>
            </w:r>
            <w:r>
              <w:rPr>
                <w:rFonts w:hint="eastAsia" w:ascii="宋体" w:hAnsi="宋体" w:cs="宋体"/>
                <w:b w:val="0"/>
                <w:bCs/>
                <w:spacing w:val="0"/>
                <w:kern w:val="2"/>
                <w:sz w:val="22"/>
                <w:szCs w:val="22"/>
                <w:highlight w:val="none"/>
                <w:lang w:val="en-US" w:eastAsia="zh-CN"/>
              </w:rPr>
              <w:t>评分范围（4,3,2,1,0）</w:t>
            </w:r>
          </w:p>
        </w:tc>
      </w:tr>
      <w:tr w14:paraId="184E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58" w:type="pct"/>
            <w:noWrap w:val="0"/>
            <w:vAlign w:val="center"/>
          </w:tcPr>
          <w:p w14:paraId="2A45C4DE">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9</w:t>
            </w:r>
          </w:p>
        </w:tc>
        <w:tc>
          <w:tcPr>
            <w:tcW w:w="576" w:type="pct"/>
            <w:noWrap w:val="0"/>
            <w:vAlign w:val="center"/>
          </w:tcPr>
          <w:p w14:paraId="76A6AF5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项目售后服务</w:t>
            </w:r>
          </w:p>
          <w:p w14:paraId="1A6F5DED">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(4分)</w:t>
            </w:r>
          </w:p>
        </w:tc>
        <w:tc>
          <w:tcPr>
            <w:tcW w:w="487" w:type="pct"/>
            <w:noWrap w:val="0"/>
            <w:vAlign w:val="center"/>
          </w:tcPr>
          <w:p w14:paraId="5ACF377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0-4分</w:t>
            </w:r>
          </w:p>
        </w:tc>
        <w:tc>
          <w:tcPr>
            <w:tcW w:w="3577" w:type="pct"/>
            <w:noWrap w:val="0"/>
            <w:vAlign w:val="center"/>
          </w:tcPr>
          <w:p w14:paraId="50C2C830">
            <w:pPr>
              <w:pStyle w:val="23"/>
              <w:snapToGrid w:val="0"/>
              <w:spacing w:before="0" w:after="0" w:line="276" w:lineRule="auto"/>
              <w:jc w:val="left"/>
              <w:rPr>
                <w:rFonts w:hint="eastAsia" w:ascii="宋体" w:hAnsi="宋体" w:eastAsia="宋体" w:cs="宋体"/>
                <w:b w:val="0"/>
                <w:bCs/>
                <w:spacing w:val="0"/>
                <w:kern w:val="2"/>
                <w:sz w:val="22"/>
                <w:szCs w:val="22"/>
                <w:highlight w:val="none"/>
                <w:lang w:val="en-US" w:eastAsia="zh-CN"/>
              </w:rPr>
            </w:pPr>
            <w:r>
              <w:rPr>
                <w:rFonts w:hint="eastAsia" w:ascii="宋体" w:hAnsi="宋体" w:eastAsia="宋体" w:cs="宋体"/>
                <w:b w:val="0"/>
                <w:bCs/>
                <w:spacing w:val="0"/>
                <w:kern w:val="2"/>
                <w:sz w:val="22"/>
                <w:szCs w:val="22"/>
                <w:highlight w:val="none"/>
                <w:lang w:val="en-US" w:eastAsia="zh-CN"/>
              </w:rPr>
              <w:t>根据投标供应商对本项目提供的服务承诺（包括但不限于服务驻地、响应时间、成果维护期限承诺、售后服务及其它与本项目相关的服务承诺等）是否合理等，由评标委员会进行打分，0~4分。</w:t>
            </w:r>
            <w:r>
              <w:rPr>
                <w:rFonts w:hint="eastAsia" w:ascii="宋体" w:hAnsi="宋体" w:cs="宋体"/>
                <w:b w:val="0"/>
                <w:bCs/>
                <w:spacing w:val="0"/>
                <w:kern w:val="2"/>
                <w:sz w:val="22"/>
                <w:szCs w:val="22"/>
                <w:highlight w:val="none"/>
                <w:lang w:val="en-US" w:eastAsia="zh-CN"/>
              </w:rPr>
              <w:t>评分范围（4,3,2,1,0）</w:t>
            </w:r>
          </w:p>
        </w:tc>
      </w:tr>
    </w:tbl>
    <w:p w14:paraId="0D1DE9F5">
      <w:pPr>
        <w:pStyle w:val="23"/>
        <w:snapToGrid w:val="0"/>
        <w:spacing w:before="0" w:after="0" w:line="276" w:lineRule="auto"/>
        <w:jc w:val="center"/>
        <w:rPr>
          <w:rFonts w:hint="eastAsia" w:ascii="宋体" w:hAnsi="宋体" w:eastAsia="宋体" w:cs="宋体"/>
          <w:b w:val="0"/>
          <w:bCs/>
          <w:spacing w:val="0"/>
          <w:kern w:val="2"/>
          <w:sz w:val="22"/>
          <w:szCs w:val="22"/>
          <w:highlight w:val="none"/>
          <w:lang w:val="en-US" w:eastAsia="zh-CN"/>
        </w:rPr>
      </w:pPr>
    </w:p>
    <w:p w14:paraId="35E8A7BF">
      <w:pPr>
        <w:pStyle w:val="23"/>
        <w:snapToGrid w:val="0"/>
        <w:spacing w:before="0" w:after="0" w:line="276" w:lineRule="auto"/>
        <w:jc w:val="center"/>
        <w:rPr>
          <w:rFonts w:hint="eastAsia" w:ascii="宋体" w:hAnsi="宋体" w:eastAsia="宋体" w:cs="宋体"/>
          <w:b/>
          <w:bCs w:val="0"/>
          <w:spacing w:val="0"/>
          <w:kern w:val="2"/>
          <w:sz w:val="22"/>
          <w:szCs w:val="22"/>
          <w:highlight w:val="none"/>
          <w:lang w:val="en-US" w:eastAsia="zh-CN"/>
        </w:rPr>
      </w:pPr>
    </w:p>
    <w:p w14:paraId="2C35BD98">
      <w:pPr>
        <w:pStyle w:val="23"/>
        <w:snapToGrid w:val="0"/>
        <w:spacing w:before="0" w:after="0" w:line="276" w:lineRule="auto"/>
        <w:jc w:val="center"/>
        <w:rPr>
          <w:rFonts w:hAnsi="宋体" w:cs="宋体"/>
          <w:b/>
          <w:bCs w:val="0"/>
          <w:color w:val="auto"/>
          <w:sz w:val="22"/>
          <w:szCs w:val="22"/>
          <w:highlight w:val="none"/>
        </w:rPr>
      </w:pPr>
      <w:r>
        <w:rPr>
          <w:rFonts w:hint="eastAsia" w:ascii="宋体" w:hAnsi="宋体" w:eastAsia="宋体" w:cs="宋体"/>
          <w:b/>
          <w:bCs w:val="0"/>
          <w:spacing w:val="0"/>
          <w:kern w:val="2"/>
          <w:sz w:val="22"/>
          <w:szCs w:val="22"/>
          <w:highlight w:val="none"/>
          <w:lang w:val="en-US" w:eastAsia="zh-CN"/>
        </w:rPr>
        <w:t>五、说明</w:t>
      </w:r>
      <w:bookmarkEnd w:id="91"/>
    </w:p>
    <w:p w14:paraId="71657575">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1</w:t>
      </w:r>
      <w:r>
        <w:rPr>
          <w:rFonts w:hint="eastAsia" w:hAnsi="宋体" w:cs="宋体"/>
          <w:color w:val="auto"/>
          <w:sz w:val="22"/>
          <w:highlight w:val="none"/>
          <w:lang w:eastAsia="zh-CN"/>
        </w:rPr>
        <w:t>.</w:t>
      </w:r>
      <w:r>
        <w:rPr>
          <w:rFonts w:hint="eastAsia" w:hAnsi="宋体" w:cs="宋体"/>
          <w:color w:val="auto"/>
          <w:sz w:val="22"/>
          <w:highlight w:val="none"/>
        </w:rPr>
        <w:t>每个供应商最终得分=商务技术分值（所有评审小组成员打分的算术平均值）＋报价分值。</w:t>
      </w:r>
    </w:p>
    <w:p w14:paraId="5C296800">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2</w:t>
      </w:r>
      <w:r>
        <w:rPr>
          <w:rFonts w:hint="eastAsia" w:hAnsi="宋体" w:cs="宋体"/>
          <w:color w:val="auto"/>
          <w:sz w:val="22"/>
          <w:highlight w:val="none"/>
          <w:lang w:eastAsia="zh-CN"/>
        </w:rPr>
        <w:t>.</w:t>
      </w:r>
      <w:r>
        <w:rPr>
          <w:rFonts w:hint="eastAsia" w:hAnsi="宋体" w:cs="宋体"/>
          <w:color w:val="auto"/>
          <w:sz w:val="22"/>
          <w:highlight w:val="none"/>
        </w:rPr>
        <w:t>评审小组推荐综合得分第一名的供应商为中标（成交）供应商，如果得分相同的，按投标报价由低到高顺序排列，得分且报价均相同的，按商务技术得分由高到低排列。</w:t>
      </w:r>
    </w:p>
    <w:p w14:paraId="011B736B">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3</w:t>
      </w:r>
      <w:r>
        <w:rPr>
          <w:rFonts w:hint="eastAsia" w:hAnsi="宋体" w:cs="宋体"/>
          <w:color w:val="auto"/>
          <w:sz w:val="22"/>
          <w:highlight w:val="none"/>
          <w:lang w:eastAsia="zh-CN"/>
        </w:rPr>
        <w:t>.</w:t>
      </w:r>
      <w:r>
        <w:rPr>
          <w:rFonts w:hint="eastAsia" w:hAnsi="宋体" w:cs="宋体"/>
          <w:color w:val="auto"/>
          <w:sz w:val="22"/>
          <w:highlight w:val="none"/>
        </w:rPr>
        <w:t>所有分值计算保留小数点后二位，小数点后三位四舍五入。</w:t>
      </w:r>
    </w:p>
    <w:p w14:paraId="296D0B63">
      <w:pPr>
        <w:pStyle w:val="12"/>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14:paraId="7F871B86">
      <w:pPr>
        <w:tabs>
          <w:tab w:val="left" w:pos="2352"/>
        </w:tabs>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Arial (W1)">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C4E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67B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FF161D">
                          <w:pPr>
                            <w:pStyle w:val="1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4FF161D">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2912">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EF737">
                          <w:pPr>
                            <w:pStyle w:val="14"/>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F5BsMBAACQ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q&#10;ts4KDQEaTHwImJrGN37EvVn8gM5MfFTR5i9SIhhHfc9XfeWYiMiP1vV6XWFIYGy5ID57fB4ipLfS&#10;W5KNlkYcYNGVn95DmlKXlFzN+XttTBmicX85EDN7WO596jFbadyPM6G9787IZ8DZt9ThqlNi3jmU&#10;Nq/JYsTF2M9GrgHh9TFh4dJPRp2g5mI4qMJoXqq8CX/eS9bjj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cXkGwwEAAJADAAAOAAAAAAAAAAEAIAAAAB4BAABkcnMvZTJvRG9jLnhtbFBL&#10;BQYAAAAABgAGAFkBAABTBQAAAAA=&#10;">
              <v:fill on="f" focussize="0,0"/>
              <v:stroke on="f"/>
              <v:imagedata o:title=""/>
              <o:lock v:ext="edit" aspectratio="f"/>
              <v:textbox inset="0mm,0mm,0mm,0mm" style="mso-fit-shape-to-text:t;">
                <w:txbxContent>
                  <w:p w14:paraId="2E8EF737">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A426">
    <w:pPr>
      <w:pStyle w:val="14"/>
      <w:tabs>
        <w:tab w:val="left" w:pos="4620"/>
        <w:tab w:val="clear" w:pos="4153"/>
      </w:tabs>
      <w:jc w:val="center"/>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86F0F">
                          <w:pPr>
                            <w:pStyle w:val="14"/>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14:paraId="4BE86F0F">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6211">
    <w:pPr>
      <w:pStyle w:val="16"/>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sz w:val="16"/>
        <w:szCs w:val="16"/>
        <w:u w:val="single"/>
      </w:rPr>
      <w:t xml:space="preserve"> </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54C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6446">
    <w:pPr>
      <w:pStyle w:val="16"/>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38BA">
    <w:pPr>
      <w:pStyle w:val="16"/>
      <w:rPr>
        <w:u w:val="single"/>
      </w:rPr>
    </w:pPr>
    <w:r>
      <w:rPr>
        <w:sz w:val="18"/>
        <w:szCs w:val="18"/>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8"/>
        <w:szCs w:val="18"/>
        <w:u w:val="single"/>
      </w:rPr>
      <w:t>杭州华旗招标代理有限公司</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2CD7">
    <w:pPr>
      <w:pStyle w:val="16"/>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0DA20"/>
    <w:multiLevelType w:val="singleLevel"/>
    <w:tmpl w:val="9730DA20"/>
    <w:lvl w:ilvl="0" w:tentative="0">
      <w:start w:val="8"/>
      <w:numFmt w:val="chineseCounting"/>
      <w:suff w:val="nothing"/>
      <w:lvlText w:val="%1、"/>
      <w:lvlJc w:val="left"/>
      <w:rPr>
        <w:rFonts w:hint="eastAsia"/>
      </w:r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EA174426"/>
    <w:multiLevelType w:val="singleLevel"/>
    <w:tmpl w:val="EA174426"/>
    <w:lvl w:ilvl="0" w:tentative="0">
      <w:start w:val="1"/>
      <w:numFmt w:val="decimal"/>
      <w:suff w:val="nothing"/>
      <w:lvlText w:val="（%1）"/>
      <w:lvlJc w:val="left"/>
    </w:lvl>
  </w:abstractNum>
  <w:abstractNum w:abstractNumId="3">
    <w:nsid w:val="FBB0A722"/>
    <w:multiLevelType w:val="singleLevel"/>
    <w:tmpl w:val="FBB0A722"/>
    <w:lvl w:ilvl="0" w:tentative="0">
      <w:start w:val="4"/>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space"/>
      <w:lvlText w:val="%1."/>
      <w:lvlJc w:val="left"/>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1" w:cryptProviderType="rsaFull" w:cryptAlgorithmClass="hash" w:cryptAlgorithmType="typeAny" w:cryptAlgorithmSid="4" w:cryptSpinCount="0" w:hash="1WU8SO5KeSAQphgWeOUMiAzq/qM=" w:salt="LUga4JWM5uGBZQ0QOzC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mY3NWEzMmY4ODM2ZmNlZDdjOTY1YjdmNzljYjUifQ=="/>
    <w:docVar w:name="KSO_WPS_MARK_KEY" w:val="07e88ac6-8db8-4a65-8d94-f4c00e658b2e"/>
  </w:docVars>
  <w:rsids>
    <w:rsidRoot w:val="004F60FC"/>
    <w:rsid w:val="00023435"/>
    <w:rsid w:val="00091417"/>
    <w:rsid w:val="000B1F15"/>
    <w:rsid w:val="000C043C"/>
    <w:rsid w:val="00106D69"/>
    <w:rsid w:val="00160D18"/>
    <w:rsid w:val="001A50EC"/>
    <w:rsid w:val="001D49DD"/>
    <w:rsid w:val="002173E9"/>
    <w:rsid w:val="00297DC5"/>
    <w:rsid w:val="002D48AB"/>
    <w:rsid w:val="00372055"/>
    <w:rsid w:val="00391E34"/>
    <w:rsid w:val="004253EB"/>
    <w:rsid w:val="0045081A"/>
    <w:rsid w:val="004619BD"/>
    <w:rsid w:val="004674B6"/>
    <w:rsid w:val="004726D8"/>
    <w:rsid w:val="00497A01"/>
    <w:rsid w:val="004F60FC"/>
    <w:rsid w:val="0052214B"/>
    <w:rsid w:val="00570F07"/>
    <w:rsid w:val="005E4E2E"/>
    <w:rsid w:val="00607FC1"/>
    <w:rsid w:val="006609EF"/>
    <w:rsid w:val="0066330D"/>
    <w:rsid w:val="006A7B87"/>
    <w:rsid w:val="006F7683"/>
    <w:rsid w:val="0076486D"/>
    <w:rsid w:val="00780FC2"/>
    <w:rsid w:val="008E57EA"/>
    <w:rsid w:val="009513F3"/>
    <w:rsid w:val="00A54CAA"/>
    <w:rsid w:val="00A56D88"/>
    <w:rsid w:val="00B22860"/>
    <w:rsid w:val="00B249B7"/>
    <w:rsid w:val="00B459C4"/>
    <w:rsid w:val="00B932F4"/>
    <w:rsid w:val="00BA57B7"/>
    <w:rsid w:val="00BF2E34"/>
    <w:rsid w:val="00C053D9"/>
    <w:rsid w:val="00C13B4A"/>
    <w:rsid w:val="00C217FC"/>
    <w:rsid w:val="00C5319B"/>
    <w:rsid w:val="00D408FA"/>
    <w:rsid w:val="00D7119F"/>
    <w:rsid w:val="00E2309A"/>
    <w:rsid w:val="00F20EA6"/>
    <w:rsid w:val="00F61B81"/>
    <w:rsid w:val="00FA6280"/>
    <w:rsid w:val="01495626"/>
    <w:rsid w:val="01603061"/>
    <w:rsid w:val="02304097"/>
    <w:rsid w:val="02583949"/>
    <w:rsid w:val="03147BC1"/>
    <w:rsid w:val="0348636E"/>
    <w:rsid w:val="04E46D57"/>
    <w:rsid w:val="051C746F"/>
    <w:rsid w:val="05EC6F3E"/>
    <w:rsid w:val="0612468B"/>
    <w:rsid w:val="07264835"/>
    <w:rsid w:val="07A23F20"/>
    <w:rsid w:val="07DB2D71"/>
    <w:rsid w:val="083921C0"/>
    <w:rsid w:val="097C674F"/>
    <w:rsid w:val="09BC2D71"/>
    <w:rsid w:val="09C5110F"/>
    <w:rsid w:val="09E35CE4"/>
    <w:rsid w:val="0AC6281A"/>
    <w:rsid w:val="0B8C09BB"/>
    <w:rsid w:val="0C1267C6"/>
    <w:rsid w:val="0D500D26"/>
    <w:rsid w:val="0D615415"/>
    <w:rsid w:val="0E1D0289"/>
    <w:rsid w:val="0E234421"/>
    <w:rsid w:val="0E336A63"/>
    <w:rsid w:val="0E3A5799"/>
    <w:rsid w:val="0EF4695B"/>
    <w:rsid w:val="0F1F58A5"/>
    <w:rsid w:val="0FBE7A18"/>
    <w:rsid w:val="111A3546"/>
    <w:rsid w:val="11567578"/>
    <w:rsid w:val="1286080A"/>
    <w:rsid w:val="12DB3C9D"/>
    <w:rsid w:val="136A29F0"/>
    <w:rsid w:val="142360B8"/>
    <w:rsid w:val="14FC0FA6"/>
    <w:rsid w:val="156C2EC6"/>
    <w:rsid w:val="15851759"/>
    <w:rsid w:val="165E3157"/>
    <w:rsid w:val="177978A3"/>
    <w:rsid w:val="17B472A4"/>
    <w:rsid w:val="17C10B62"/>
    <w:rsid w:val="17E56F60"/>
    <w:rsid w:val="17F124E3"/>
    <w:rsid w:val="18B22FF0"/>
    <w:rsid w:val="194F1722"/>
    <w:rsid w:val="1B3306B6"/>
    <w:rsid w:val="1B8847D2"/>
    <w:rsid w:val="1BA35750"/>
    <w:rsid w:val="1C33621A"/>
    <w:rsid w:val="1C36331D"/>
    <w:rsid w:val="1D707EA3"/>
    <w:rsid w:val="1EF57228"/>
    <w:rsid w:val="203B617F"/>
    <w:rsid w:val="206967F2"/>
    <w:rsid w:val="20FB29C9"/>
    <w:rsid w:val="2107515C"/>
    <w:rsid w:val="21252A91"/>
    <w:rsid w:val="21315848"/>
    <w:rsid w:val="21B707B2"/>
    <w:rsid w:val="227B5C0F"/>
    <w:rsid w:val="22C36646"/>
    <w:rsid w:val="23B6546E"/>
    <w:rsid w:val="244D0E6E"/>
    <w:rsid w:val="25064ADB"/>
    <w:rsid w:val="251E5786"/>
    <w:rsid w:val="25277F29"/>
    <w:rsid w:val="261A5207"/>
    <w:rsid w:val="26492DAF"/>
    <w:rsid w:val="26CD1C32"/>
    <w:rsid w:val="27D35027"/>
    <w:rsid w:val="28137B19"/>
    <w:rsid w:val="2A2D2A30"/>
    <w:rsid w:val="2B102DA4"/>
    <w:rsid w:val="2C1F6E62"/>
    <w:rsid w:val="2D03015C"/>
    <w:rsid w:val="2D7C4BE2"/>
    <w:rsid w:val="2DDB0276"/>
    <w:rsid w:val="2E5859D9"/>
    <w:rsid w:val="2E9C6C6E"/>
    <w:rsid w:val="2F051B36"/>
    <w:rsid w:val="2FE340B7"/>
    <w:rsid w:val="30913CD1"/>
    <w:rsid w:val="311E58BA"/>
    <w:rsid w:val="313E73BD"/>
    <w:rsid w:val="339A4224"/>
    <w:rsid w:val="340F2862"/>
    <w:rsid w:val="349027AE"/>
    <w:rsid w:val="34CF157B"/>
    <w:rsid w:val="353E6CD0"/>
    <w:rsid w:val="371D7C1F"/>
    <w:rsid w:val="379F6F0D"/>
    <w:rsid w:val="37D14649"/>
    <w:rsid w:val="37F54B45"/>
    <w:rsid w:val="38B646B9"/>
    <w:rsid w:val="38CD349A"/>
    <w:rsid w:val="39111E53"/>
    <w:rsid w:val="39382F3B"/>
    <w:rsid w:val="3976376D"/>
    <w:rsid w:val="397B7E11"/>
    <w:rsid w:val="399D36E6"/>
    <w:rsid w:val="39B747A8"/>
    <w:rsid w:val="39DB63D0"/>
    <w:rsid w:val="3A3633B4"/>
    <w:rsid w:val="3A4B7A64"/>
    <w:rsid w:val="3AE34E80"/>
    <w:rsid w:val="3B0C350F"/>
    <w:rsid w:val="3BC24658"/>
    <w:rsid w:val="3D813F9B"/>
    <w:rsid w:val="3E2D7CCF"/>
    <w:rsid w:val="3E3102AB"/>
    <w:rsid w:val="3E70504F"/>
    <w:rsid w:val="3EA24ACB"/>
    <w:rsid w:val="3FA22F1E"/>
    <w:rsid w:val="412A7199"/>
    <w:rsid w:val="41677CC5"/>
    <w:rsid w:val="41765DD5"/>
    <w:rsid w:val="41A51573"/>
    <w:rsid w:val="44904AEE"/>
    <w:rsid w:val="44F01788"/>
    <w:rsid w:val="456606D9"/>
    <w:rsid w:val="45860F7B"/>
    <w:rsid w:val="45F5336E"/>
    <w:rsid w:val="46014823"/>
    <w:rsid w:val="46152F39"/>
    <w:rsid w:val="47BC2F72"/>
    <w:rsid w:val="488A4131"/>
    <w:rsid w:val="493A685C"/>
    <w:rsid w:val="499C16AC"/>
    <w:rsid w:val="49D373CD"/>
    <w:rsid w:val="49F106F9"/>
    <w:rsid w:val="4AF313B8"/>
    <w:rsid w:val="4B9C55AC"/>
    <w:rsid w:val="4C967B61"/>
    <w:rsid w:val="4CC23448"/>
    <w:rsid w:val="4D065F7A"/>
    <w:rsid w:val="4D666E75"/>
    <w:rsid w:val="4E0C7542"/>
    <w:rsid w:val="4EA2615B"/>
    <w:rsid w:val="4EBB56AA"/>
    <w:rsid w:val="4ED03E2A"/>
    <w:rsid w:val="4F4C553B"/>
    <w:rsid w:val="4F5675D7"/>
    <w:rsid w:val="4FB503C8"/>
    <w:rsid w:val="4FC81639"/>
    <w:rsid w:val="4FEA67E9"/>
    <w:rsid w:val="50777615"/>
    <w:rsid w:val="50865111"/>
    <w:rsid w:val="512238DA"/>
    <w:rsid w:val="527305F3"/>
    <w:rsid w:val="53CC142B"/>
    <w:rsid w:val="53E867BD"/>
    <w:rsid w:val="541E5346"/>
    <w:rsid w:val="548F0C01"/>
    <w:rsid w:val="549E2C25"/>
    <w:rsid w:val="54E87AB4"/>
    <w:rsid w:val="559D6AB9"/>
    <w:rsid w:val="567970CB"/>
    <w:rsid w:val="56AC1CAB"/>
    <w:rsid w:val="57415546"/>
    <w:rsid w:val="5747701F"/>
    <w:rsid w:val="58543536"/>
    <w:rsid w:val="58B2640F"/>
    <w:rsid w:val="591D33F7"/>
    <w:rsid w:val="59CF47E5"/>
    <w:rsid w:val="5A186745"/>
    <w:rsid w:val="5A774440"/>
    <w:rsid w:val="5B110FC0"/>
    <w:rsid w:val="5B3351F8"/>
    <w:rsid w:val="5C0A1FAF"/>
    <w:rsid w:val="5C415E64"/>
    <w:rsid w:val="5CC52615"/>
    <w:rsid w:val="5CE442B2"/>
    <w:rsid w:val="5CF87471"/>
    <w:rsid w:val="5D04165A"/>
    <w:rsid w:val="5D692859"/>
    <w:rsid w:val="5DF2511F"/>
    <w:rsid w:val="5DF55C78"/>
    <w:rsid w:val="5EAF7DBE"/>
    <w:rsid w:val="5EDB55D1"/>
    <w:rsid w:val="5F3D3E70"/>
    <w:rsid w:val="5F5801E1"/>
    <w:rsid w:val="6092669C"/>
    <w:rsid w:val="61044DE8"/>
    <w:rsid w:val="61056E3D"/>
    <w:rsid w:val="612E1D3E"/>
    <w:rsid w:val="6131287E"/>
    <w:rsid w:val="61AF49EB"/>
    <w:rsid w:val="621F4BCC"/>
    <w:rsid w:val="627666FF"/>
    <w:rsid w:val="629E17B2"/>
    <w:rsid w:val="62D71524"/>
    <w:rsid w:val="632E1990"/>
    <w:rsid w:val="643402DA"/>
    <w:rsid w:val="6450297C"/>
    <w:rsid w:val="64F0086B"/>
    <w:rsid w:val="65100493"/>
    <w:rsid w:val="652245ED"/>
    <w:rsid w:val="654D54C5"/>
    <w:rsid w:val="655E3E6F"/>
    <w:rsid w:val="6646256E"/>
    <w:rsid w:val="67444F86"/>
    <w:rsid w:val="67E83F23"/>
    <w:rsid w:val="68955405"/>
    <w:rsid w:val="68A5585B"/>
    <w:rsid w:val="68C10F6E"/>
    <w:rsid w:val="68DF2431"/>
    <w:rsid w:val="69D1173C"/>
    <w:rsid w:val="69EC27BC"/>
    <w:rsid w:val="69F91590"/>
    <w:rsid w:val="6A271F9E"/>
    <w:rsid w:val="6A8103F8"/>
    <w:rsid w:val="6ADC5ECD"/>
    <w:rsid w:val="6AFC08EF"/>
    <w:rsid w:val="6B260059"/>
    <w:rsid w:val="6BAC3D4E"/>
    <w:rsid w:val="6BC6195A"/>
    <w:rsid w:val="6C9F6913"/>
    <w:rsid w:val="6D16778C"/>
    <w:rsid w:val="6D82064E"/>
    <w:rsid w:val="6FDD5148"/>
    <w:rsid w:val="7099607D"/>
    <w:rsid w:val="70FB2DB2"/>
    <w:rsid w:val="71D5715F"/>
    <w:rsid w:val="72F00D1F"/>
    <w:rsid w:val="73157D3E"/>
    <w:rsid w:val="74702755"/>
    <w:rsid w:val="74D66D31"/>
    <w:rsid w:val="752547F0"/>
    <w:rsid w:val="75B25E4D"/>
    <w:rsid w:val="76B561A2"/>
    <w:rsid w:val="773E113D"/>
    <w:rsid w:val="776B3508"/>
    <w:rsid w:val="78B100F5"/>
    <w:rsid w:val="78F11143"/>
    <w:rsid w:val="7971754C"/>
    <w:rsid w:val="79E37743"/>
    <w:rsid w:val="79F74C03"/>
    <w:rsid w:val="79FF1F31"/>
    <w:rsid w:val="7A07271E"/>
    <w:rsid w:val="7ACA1666"/>
    <w:rsid w:val="7AD80D2C"/>
    <w:rsid w:val="7B90211C"/>
    <w:rsid w:val="7BD26F5F"/>
    <w:rsid w:val="7BD674B0"/>
    <w:rsid w:val="7C815F74"/>
    <w:rsid w:val="7C914409"/>
    <w:rsid w:val="7CBF66A9"/>
    <w:rsid w:val="7D897AFB"/>
    <w:rsid w:val="7E0635C9"/>
    <w:rsid w:val="7E5526A6"/>
    <w:rsid w:val="7E912EDE"/>
    <w:rsid w:val="7EC5143E"/>
    <w:rsid w:val="7ED7658F"/>
    <w:rsid w:val="7F5F24EA"/>
    <w:rsid w:val="7F6A60A9"/>
    <w:rsid w:val="7F904EA3"/>
    <w:rsid w:val="7FAA04AF"/>
    <w:rsid w:val="7FCD619B"/>
    <w:rsid w:val="7FFD43C8"/>
    <w:rsid w:val="D73EDE53"/>
    <w:rsid w:val="EFC5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56" w:beforeLines="50" w:after="156" w:afterLines="50" w:line="360" w:lineRule="auto"/>
      <w:outlineLvl w:val="0"/>
    </w:pPr>
    <w:rPr>
      <w:rFonts w:ascii="仿宋_GB2312" w:eastAsia="仿宋_GB2312"/>
      <w:b/>
      <w:bCs/>
      <w:sz w:val="32"/>
      <w:szCs w:val="32"/>
    </w:rPr>
  </w:style>
  <w:style w:type="paragraph" w:styleId="4">
    <w:name w:val="heading 2"/>
    <w:basedOn w:val="5"/>
    <w:next w:val="1"/>
    <w:qFormat/>
    <w:uiPriority w:val="0"/>
    <w:pPr>
      <w:widowControl/>
      <w:spacing w:before="100" w:beforeAutospacing="1" w:after="100" w:afterAutospacing="1"/>
      <w:jc w:val="left"/>
      <w:outlineLvl w:val="1"/>
    </w:pPr>
    <w:rPr>
      <w:rFonts w:eastAsia="等线"/>
      <w:kern w:val="0"/>
      <w:sz w:val="36"/>
      <w:szCs w:val="36"/>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120" w:rightChars="-120"/>
      <w:jc w:val="left"/>
    </w:pPr>
    <w:rPr>
      <w:rFonts w:ascii="宋体" w:hAnsi="宋体"/>
      <w:sz w:val="28"/>
    </w:rPr>
  </w:style>
  <w:style w:type="paragraph" w:styleId="6">
    <w:name w:val="Normal Indent"/>
    <w:basedOn w:val="1"/>
    <w:qFormat/>
    <w:uiPriority w:val="99"/>
    <w:pPr>
      <w:ind w:firstLine="420"/>
    </w:pPr>
    <w:rPr>
      <w:szCs w:val="20"/>
    </w:rPr>
  </w:style>
  <w:style w:type="paragraph" w:styleId="7">
    <w:name w:val="annotation text"/>
    <w:basedOn w:val="1"/>
    <w:link w:val="44"/>
    <w:qFormat/>
    <w:uiPriority w:val="0"/>
    <w:pPr>
      <w:jc w:val="left"/>
    </w:pPr>
  </w:style>
  <w:style w:type="paragraph" w:styleId="8">
    <w:name w:val="Body Text"/>
    <w:basedOn w:val="1"/>
    <w:next w:val="9"/>
    <w:qFormat/>
    <w:uiPriority w:val="99"/>
    <w:rPr>
      <w:kern w:val="0"/>
      <w:sz w:val="20"/>
      <w:szCs w:val="20"/>
    </w:rPr>
  </w:style>
  <w:style w:type="paragraph" w:styleId="9">
    <w:name w:val="Body Text First Indent"/>
    <w:basedOn w:val="8"/>
    <w:next w:val="10"/>
    <w:qFormat/>
    <w:uiPriority w:val="0"/>
    <w:pPr>
      <w:spacing w:line="312" w:lineRule="auto"/>
      <w:ind w:firstLine="420"/>
    </w:pPr>
    <w:rPr>
      <w:szCs w:val="24"/>
    </w:rPr>
  </w:style>
  <w:style w:type="paragraph" w:styleId="10">
    <w:name w:val="toc 6"/>
    <w:basedOn w:val="1"/>
    <w:next w:val="1"/>
    <w:qFormat/>
    <w:uiPriority w:val="0"/>
    <w:pPr>
      <w:ind w:left="1050"/>
      <w:jc w:val="left"/>
    </w:pPr>
    <w:rPr>
      <w:rFonts w:ascii="Century Gothic" w:hAnsi="Century Gothic"/>
      <w:sz w:val="18"/>
      <w:szCs w:val="18"/>
    </w:rPr>
  </w:style>
  <w:style w:type="paragraph" w:styleId="11">
    <w:name w:val="Body Text Indent"/>
    <w:basedOn w:val="1"/>
    <w:qFormat/>
    <w:uiPriority w:val="0"/>
    <w:pPr>
      <w:ind w:left="480" w:hanging="480" w:hangingChars="200"/>
    </w:pPr>
    <w:rPr>
      <w:sz w:val="24"/>
    </w:rPr>
  </w:style>
  <w:style w:type="paragraph" w:styleId="12">
    <w:name w:val="Plain Text"/>
    <w:basedOn w:val="1"/>
    <w:next w:val="1"/>
    <w:qFormat/>
    <w:uiPriority w:val="0"/>
    <w:rPr>
      <w:rFonts w:ascii="宋体" w:hAnsi="Courier New"/>
      <w:kern w:val="0"/>
      <w:szCs w:val="21"/>
    </w:rPr>
  </w:style>
  <w:style w:type="paragraph" w:styleId="13">
    <w:name w:val="Balloon Text"/>
    <w:basedOn w:val="1"/>
    <w:link w:val="43"/>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envelope return"/>
    <w:basedOn w:val="1"/>
    <w:qFormat/>
    <w:uiPriority w:val="99"/>
    <w:pPr>
      <w:snapToGrid w:val="0"/>
    </w:pPr>
    <w:rPr>
      <w:rFonts w:ascii="Arial" w:hAnsi="Arial"/>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1"/>
    <w:basedOn w:val="1"/>
    <w:next w:val="1"/>
    <w:semiHidden/>
    <w:unhideWhenUsed/>
    <w:qFormat/>
    <w:uiPriority w:val="39"/>
  </w:style>
  <w:style w:type="paragraph" w:styleId="18">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19">
    <w:name w:val="table of figures"/>
    <w:basedOn w:val="1"/>
    <w:next w:val="1"/>
    <w:unhideWhenUsed/>
    <w:qFormat/>
    <w:uiPriority w:val="99"/>
    <w:pPr>
      <w:ind w:left="200" w:leftChars="200" w:hanging="200" w:hangingChars="200"/>
    </w:pPr>
  </w:style>
  <w:style w:type="paragraph" w:styleId="20">
    <w:name w:val="toc 2"/>
    <w:basedOn w:val="1"/>
    <w:next w:val="1"/>
    <w:qFormat/>
    <w:uiPriority w:val="0"/>
    <w:pPr>
      <w:ind w:left="420" w:leftChars="200"/>
    </w:pPr>
    <w:rPr>
      <w:szCs w:val="24"/>
    </w:rPr>
  </w:style>
  <w:style w:type="paragraph" w:styleId="21">
    <w:name w:val="Body Text 2"/>
    <w:basedOn w:val="1"/>
    <w:qFormat/>
    <w:uiPriority w:val="0"/>
    <w:pPr>
      <w:ind w:right="-512" w:rightChars="-244"/>
    </w:pPr>
    <w:rPr>
      <w:rFonts w:ascii="宋体"/>
      <w:sz w:val="24"/>
    </w:rPr>
  </w:style>
  <w:style w:type="paragraph" w:styleId="22">
    <w:name w:val="Normal (Web)"/>
    <w:basedOn w:val="1"/>
    <w:qFormat/>
    <w:uiPriority w:val="0"/>
    <w:pPr>
      <w:widowControl/>
      <w:spacing w:afterLines="50"/>
      <w:jc w:val="left"/>
    </w:pPr>
    <w:rPr>
      <w:rFonts w:ascii="长城仿宋" w:hAnsi="长城仿宋" w:eastAsia="Arial Unicode MS"/>
      <w:sz w:val="24"/>
    </w:rPr>
  </w:style>
  <w:style w:type="paragraph" w:styleId="23">
    <w:name w:val="Title"/>
    <w:basedOn w:val="1"/>
    <w:next w:val="1"/>
    <w:qFormat/>
    <w:uiPriority w:val="0"/>
    <w:pPr>
      <w:spacing w:before="240" w:after="60"/>
      <w:jc w:val="center"/>
      <w:outlineLvl w:val="0"/>
    </w:pPr>
    <w:rPr>
      <w:rFonts w:ascii="Arial" w:hAnsi="Arial"/>
      <w:sz w:val="32"/>
      <w:szCs w:val="32"/>
    </w:rPr>
  </w:style>
  <w:style w:type="paragraph" w:styleId="24">
    <w:name w:val="annotation subject"/>
    <w:basedOn w:val="7"/>
    <w:next w:val="7"/>
    <w:link w:val="45"/>
    <w:qFormat/>
    <w:uiPriority w:val="0"/>
    <w:rPr>
      <w:b/>
      <w:bCs/>
    </w:rPr>
  </w:style>
  <w:style w:type="paragraph" w:styleId="25">
    <w:name w:val="Body Text First Indent 2"/>
    <w:basedOn w:val="11"/>
    <w:next w:val="1"/>
    <w:qFormat/>
    <w:uiPriority w:val="0"/>
    <w:pPr>
      <w:spacing w:after="120"/>
      <w:ind w:left="420" w:leftChars="200" w:firstLine="420"/>
    </w:pPr>
    <w:rPr>
      <w:rFonts w:cs="宋体"/>
      <w:sz w:val="21"/>
      <w:szCs w:val="21"/>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annotation reference"/>
    <w:basedOn w:val="28"/>
    <w:qFormat/>
    <w:uiPriority w:val="0"/>
    <w:rPr>
      <w:sz w:val="21"/>
      <w:szCs w:val="21"/>
    </w:rPr>
  </w:style>
  <w:style w:type="paragraph" w:customStyle="1" w:styleId="31">
    <w:name w:val="表格文字"/>
    <w:basedOn w:val="12"/>
    <w:next w:val="8"/>
    <w:qFormat/>
    <w:uiPriority w:val="99"/>
    <w:pPr>
      <w:adjustRightInd w:val="0"/>
      <w:spacing w:line="420" w:lineRule="atLeast"/>
      <w:jc w:val="left"/>
      <w:textAlignment w:val="baseline"/>
    </w:pPr>
    <w:rPr>
      <w:rFonts w:ascii="Times New Roman" w:hAnsi="Times New Roman"/>
      <w:szCs w:val="24"/>
    </w:rPr>
  </w:style>
  <w:style w:type="paragraph" w:customStyle="1" w:styleId="32">
    <w:name w:val="Normal Indent1"/>
    <w:basedOn w:val="1"/>
    <w:qFormat/>
    <w:uiPriority w:val="0"/>
    <w:pPr>
      <w:ind w:firstLine="420" w:firstLineChars="200"/>
    </w:pPr>
  </w:style>
  <w:style w:type="paragraph" w:customStyle="1" w:styleId="33">
    <w:name w:val="Plain Text1"/>
    <w:basedOn w:val="1"/>
    <w:qFormat/>
    <w:uiPriority w:val="0"/>
    <w:rPr>
      <w:rFonts w:ascii="宋体" w:hAnsi="Courier New"/>
      <w:szCs w:val="20"/>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2"/>
    <w:basedOn w:val="1"/>
    <w:next w:val="17"/>
    <w:qFormat/>
    <w:uiPriority w:val="0"/>
    <w:pPr>
      <w:spacing w:before="156" w:line="360" w:lineRule="auto"/>
      <w:ind w:firstLine="510" w:firstLineChars="200"/>
    </w:pPr>
    <w:rPr>
      <w:sz w:val="24"/>
      <w:szCs w:val="20"/>
    </w:rPr>
  </w:style>
  <w:style w:type="paragraph" w:customStyle="1" w:styleId="36">
    <w:name w:val="列出段落1"/>
    <w:basedOn w:val="1"/>
    <w:qFormat/>
    <w:uiPriority w:val="34"/>
    <w:pPr>
      <w:ind w:firstLine="420" w:firstLineChars="200"/>
    </w:pPr>
  </w:style>
  <w:style w:type="paragraph" w:customStyle="1" w:styleId="3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8">
    <w:name w:val="纯文本1"/>
    <w:basedOn w:val="39"/>
    <w:qFormat/>
    <w:uiPriority w:val="0"/>
    <w:pPr>
      <w:widowControl/>
      <w:jc w:val="left"/>
    </w:pPr>
    <w:rPr>
      <w:rFonts w:hint="default" w:ascii="宋体" w:hAnsi="Courier New"/>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章正文"/>
    <w:basedOn w:val="1"/>
    <w:qFormat/>
    <w:locked/>
    <w:uiPriority w:val="99"/>
    <w:pPr>
      <w:spacing w:beforeLines="50" w:after="120" w:line="300" w:lineRule="auto"/>
      <w:ind w:firstLine="480"/>
    </w:pPr>
    <w:rPr>
      <w:rFonts w:ascii="Helvetica" w:hAnsi="Helvetica"/>
      <w:kern w:val="0"/>
    </w:rPr>
  </w:style>
  <w:style w:type="character" w:customStyle="1" w:styleId="41">
    <w:name w:val="font21"/>
    <w:basedOn w:val="28"/>
    <w:qFormat/>
    <w:uiPriority w:val="0"/>
    <w:rPr>
      <w:rFonts w:hint="eastAsia" w:ascii="宋体" w:hAnsi="宋体" w:eastAsia="宋体" w:cs="宋体"/>
      <w:color w:val="000000"/>
      <w:sz w:val="21"/>
      <w:szCs w:val="21"/>
      <w:u w:val="none"/>
    </w:rPr>
  </w:style>
  <w:style w:type="character" w:customStyle="1" w:styleId="42">
    <w:name w:val="font31"/>
    <w:basedOn w:val="28"/>
    <w:qFormat/>
    <w:uiPriority w:val="0"/>
    <w:rPr>
      <w:rFonts w:hint="eastAsia" w:ascii="宋体" w:hAnsi="宋体" w:eastAsia="宋体" w:cs="宋体"/>
      <w:color w:val="000000"/>
      <w:sz w:val="24"/>
      <w:szCs w:val="24"/>
      <w:u w:val="none"/>
    </w:rPr>
  </w:style>
  <w:style w:type="character" w:customStyle="1" w:styleId="43">
    <w:name w:val="批注框文本 字符"/>
    <w:basedOn w:val="28"/>
    <w:link w:val="13"/>
    <w:qFormat/>
    <w:uiPriority w:val="0"/>
    <w:rPr>
      <w:rFonts w:ascii="Times New Roman" w:hAnsi="Times New Roman" w:eastAsia="宋体" w:cs="Times New Roman"/>
      <w:kern w:val="2"/>
      <w:sz w:val="18"/>
      <w:szCs w:val="18"/>
    </w:rPr>
  </w:style>
  <w:style w:type="character" w:customStyle="1" w:styleId="44">
    <w:name w:val="批注文字 字符"/>
    <w:basedOn w:val="28"/>
    <w:link w:val="7"/>
    <w:qFormat/>
    <w:uiPriority w:val="0"/>
    <w:rPr>
      <w:rFonts w:ascii="Times New Roman" w:hAnsi="Times New Roman" w:eastAsia="宋体" w:cs="Times New Roman"/>
      <w:kern w:val="2"/>
      <w:sz w:val="21"/>
      <w:szCs w:val="22"/>
    </w:rPr>
  </w:style>
  <w:style w:type="character" w:customStyle="1" w:styleId="45">
    <w:name w:val="批注主题 字符"/>
    <w:basedOn w:val="44"/>
    <w:link w:val="24"/>
    <w:qFormat/>
    <w:uiPriority w:val="0"/>
    <w:rPr>
      <w:rFonts w:ascii="Times New Roman" w:hAnsi="Times New Roman" w:eastAsia="宋体" w:cs="Times New Roman"/>
      <w:b/>
      <w:bCs/>
      <w:kern w:val="2"/>
      <w:sz w:val="21"/>
      <w:szCs w:val="22"/>
    </w:rPr>
  </w:style>
  <w:style w:type="paragraph" w:styleId="46">
    <w:name w:val="List Paragraph"/>
    <w:basedOn w:val="1"/>
    <w:qFormat/>
    <w:uiPriority w:val="34"/>
    <w:pPr>
      <w:ind w:firstLine="420" w:firstLineChars="200"/>
    </w:pPr>
  </w:style>
  <w:style w:type="paragraph" w:customStyle="1" w:styleId="47">
    <w:name w:val="正文C"/>
    <w:basedOn w:val="1"/>
    <w:qFormat/>
    <w:uiPriority w:val="0"/>
    <w:pPr>
      <w:spacing w:line="360" w:lineRule="auto"/>
      <w:ind w:firstLine="480" w:firstLineChars="200"/>
    </w:pPr>
    <w:rPr>
      <w:sz w:val="24"/>
      <w:szCs w:val="24"/>
    </w:rPr>
  </w:style>
  <w:style w:type="paragraph" w:customStyle="1" w:styleId="48">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356</Words>
  <Characters>648</Characters>
  <Lines>249</Lines>
  <Paragraphs>70</Paragraphs>
  <TotalTime>48</TotalTime>
  <ScaleCrop>false</ScaleCrop>
  <LinksUpToDate>false</LinksUpToDate>
  <CharactersWithSpaces>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2022-06-09T19:54:00Z</dcterms:created>
  <dc:creator>huawei</dc:creator>
  <cp:lastModifiedBy>I don't care</cp:lastModifiedBy>
  <cp:lastPrinted>2024-10-17T02:07:00Z</cp:lastPrinted>
  <dcterms:modified xsi:type="dcterms:W3CDTF">2025-06-30T03:09:54Z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BCCCEF8DC3DE4D1C936838205110CB54_13</vt:lpwstr>
  </property>
  <property fmtid="{D5CDD505-2E9C-101B-9397-08002B2CF9AE}" pid="4" name="KSOTemplateDocerSaveRecord">
    <vt:lpwstr>eyJoZGlkIjoiMGIyZmY3NWEzMmY4ODM2ZmNlZDdjOTY1YjdmNzljYjUiLCJ1c2VySWQiOiIyODA1OTIyMjIifQ==</vt:lpwstr>
  </property>
</Properties>
</file>