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rPr>
      </w:pPr>
    </w:p>
    <w:p>
      <w:pPr>
        <w:adjustRightInd/>
        <w:spacing w:line="360" w:lineRule="auto"/>
        <w:jc w:val="center"/>
        <w:rPr>
          <w:sz w:val="44"/>
          <w:szCs w:val="44"/>
        </w:rPr>
      </w:pPr>
      <w:r>
        <w:rPr>
          <w:rFonts w:hint="eastAsia" w:ascii="宋体" w:hAnsi="宋体" w:cs="宋体"/>
          <w:sz w:val="44"/>
          <w:szCs w:val="44"/>
        </w:rPr>
        <w:t>径山镇长乐中心小学运动场篮球场改造项目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pStyle w:val="4"/>
      </w:pP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pStyle w:val="4"/>
      </w:pP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r>
        <w:rPr>
          <w:rFonts w:hint="eastAsia" w:ascii="宋体" w:hAnsi="宋体" w:cs="宋体"/>
          <w:bCs/>
          <w:sz w:val="32"/>
          <w:szCs w:val="32"/>
        </w:rPr>
        <w:t>HZHC-2023-08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pStyle w:val="2"/>
        <w:rPr>
          <w:lang w:val="en-US"/>
        </w:rPr>
      </w:pPr>
    </w:p>
    <w:p>
      <w:pPr>
        <w:pStyle w:val="2"/>
        <w:rPr>
          <w:lang w:val="en-US"/>
        </w:rPr>
      </w:pPr>
    </w:p>
    <w:p>
      <w:pPr>
        <w:pStyle w:val="2"/>
        <w:rPr>
          <w:lang w:val="en-US"/>
        </w:rPr>
      </w:pPr>
    </w:p>
    <w:p>
      <w:pPr>
        <w:pStyle w:val="2"/>
        <w:rPr>
          <w:lang w:val="en-US"/>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720" w:lineRule="auto"/>
        <w:jc w:val="center"/>
        <w:rPr>
          <w:rFonts w:ascii="宋体" w:hAnsi="宋体" w:cs="宋体"/>
          <w:b/>
          <w:bCs/>
          <w:sz w:val="28"/>
          <w:szCs w:val="28"/>
        </w:rPr>
      </w:pPr>
      <w:r>
        <w:rPr>
          <w:rFonts w:hint="eastAsia" w:ascii="宋体" w:hAnsi="宋体" w:cs="宋体"/>
          <w:b/>
          <w:bCs/>
          <w:sz w:val="28"/>
          <w:szCs w:val="28"/>
        </w:rPr>
        <w:t>采购人：杭州市余杭区径山镇人民政府</w:t>
      </w:r>
    </w:p>
    <w:p>
      <w:pPr>
        <w:spacing w:line="720" w:lineRule="auto"/>
        <w:jc w:val="center"/>
        <w:rPr>
          <w:rFonts w:ascii="宋体" w:hAnsi="宋体" w:cs="宋体"/>
          <w:bCs/>
          <w:color w:val="FF0000"/>
          <w:sz w:val="32"/>
          <w:szCs w:val="32"/>
        </w:rPr>
      </w:pPr>
      <w:r>
        <w:rPr>
          <w:rFonts w:hint="eastAsia" w:ascii="宋体" w:hAnsi="宋体" w:cs="宋体"/>
          <w:b/>
          <w:bCs/>
          <w:sz w:val="28"/>
          <w:szCs w:val="28"/>
        </w:rPr>
        <w:t>采购代理机构：杭州恒诚工程项目管理有限公司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 xml:space="preserve">二〇二三年五月 </w:t>
      </w:r>
    </w:p>
    <w:p>
      <w:pPr>
        <w:pStyle w:val="25"/>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径山镇长乐中心小学运动场篮球场改造项目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2023</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rPr>
        <w:t>6月6日14点00分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color w:val="FF0000"/>
          <w:sz w:val="24"/>
        </w:rPr>
      </w:pPr>
      <w:r>
        <w:rPr>
          <w:rFonts w:hint="eastAsia" w:ascii="宋体" w:hAnsi="宋体" w:cs="宋体"/>
          <w:b/>
          <w:sz w:val="24"/>
        </w:rPr>
        <w:t>项目编号：</w:t>
      </w:r>
      <w:r>
        <w:rPr>
          <w:rFonts w:hint="eastAsia" w:ascii="宋体" w:hAnsi="宋体" w:cs="宋体"/>
          <w:sz w:val="24"/>
        </w:rPr>
        <w:t>HZHC-2023-08</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sz w:val="24"/>
        </w:rPr>
        <w:t>径山镇长乐中心小学运动场篮球场改造项目</w:t>
      </w:r>
    </w:p>
    <w:p>
      <w:pPr>
        <w:spacing w:line="360" w:lineRule="auto"/>
        <w:rPr>
          <w:rFonts w:ascii="宋体" w:hAnsi="宋体" w:cs="宋体"/>
          <w:sz w:val="24"/>
        </w:rPr>
      </w:pPr>
      <w:r>
        <w:rPr>
          <w:rFonts w:hint="eastAsia" w:ascii="宋体" w:hAnsi="宋体" w:cs="宋体"/>
          <w:b/>
          <w:sz w:val="24"/>
        </w:rPr>
        <w:t xml:space="preserve"> 预算金额（元）：</w:t>
      </w:r>
      <w:r>
        <w:rPr>
          <w:rFonts w:hint="eastAsia" w:ascii="宋体" w:hAnsi="宋体" w:cs="宋体"/>
          <w:sz w:val="24"/>
        </w:rPr>
        <w:t>1650000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1650000</w:t>
      </w:r>
    </w:p>
    <w:p>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径山镇长乐中心小学运动场篮球场改造项目。</w:t>
      </w:r>
      <w:r>
        <w:rPr>
          <w:rFonts w:hint="eastAsia" w:hAnsi="宋体" w:cs="宋体"/>
          <w:bCs/>
          <w:snapToGrid/>
          <w:color w:val="auto"/>
          <w:kern w:val="2"/>
          <w:sz w:val="24"/>
          <w:szCs w:val="24"/>
        </w:rPr>
        <w:t>主要内容：</w:t>
      </w:r>
      <w:r>
        <w:rPr>
          <w:rFonts w:hint="eastAsia" w:hAnsi="宋体" w:cs="宋体"/>
          <w:color w:val="auto"/>
          <w:sz w:val="24"/>
        </w:rPr>
        <w:t>长乐中心小学运动场篮球场改造项目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color w:val="0000FF"/>
        </w:rPr>
        <w:t xml:space="preserve"> </w:t>
      </w:r>
      <w:r>
        <w:rPr>
          <w:rFonts w:hint="eastAsia" w:ascii="宋体" w:hAnsi="宋体" w:cs="宋体"/>
          <w:b/>
        </w:rPr>
        <w:t>自采购人提供施工场地后40日历天完工</w:t>
      </w:r>
    </w:p>
    <w:p>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1985607795"/>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2023年6月6日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2023年6月6日14点00分00秒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2023年6月6日14点00分00秒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宋体" w:hAnsi="宋体" w:cs="宋体"/>
          <w:sz w:val="24"/>
        </w:rPr>
      </w:pPr>
      <w:r>
        <w:rPr>
          <w:rFonts w:hint="eastAsia" w:ascii="宋体" w:hAnsi="宋体" w:cs="宋体"/>
          <w:sz w:val="24"/>
        </w:rPr>
        <w:t>名    称：杭州市余杭区径山镇人民政府</w:t>
      </w:r>
    </w:p>
    <w:p>
      <w:pPr>
        <w:spacing w:line="360" w:lineRule="auto"/>
        <w:rPr>
          <w:rFonts w:ascii="宋体" w:hAnsi="宋体" w:cs="宋体"/>
          <w:sz w:val="24"/>
        </w:rPr>
      </w:pPr>
      <w:r>
        <w:rPr>
          <w:rFonts w:hint="eastAsia" w:ascii="宋体" w:hAnsi="宋体" w:cs="宋体"/>
          <w:sz w:val="24"/>
        </w:rPr>
        <w:t xml:space="preserve">    地    址：杭州市余杭区径山镇龙皇路12号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项目联系人（询问）：曹宇</w:t>
      </w:r>
    </w:p>
    <w:p>
      <w:pPr>
        <w:spacing w:line="360" w:lineRule="auto"/>
        <w:ind w:firstLine="480"/>
        <w:rPr>
          <w:rFonts w:ascii="宋体" w:hAnsi="宋体" w:cs="宋体"/>
          <w:sz w:val="24"/>
        </w:rPr>
      </w:pPr>
      <w:r>
        <w:rPr>
          <w:rFonts w:hint="eastAsia" w:ascii="宋体" w:hAnsi="宋体" w:cs="宋体"/>
          <w:sz w:val="24"/>
        </w:rPr>
        <w:t xml:space="preserve">项目联系方式（询问）： </w:t>
      </w:r>
      <w:r>
        <w:rPr>
          <w:rFonts w:ascii="宋体" w:hAnsi="宋体" w:cs="宋体"/>
          <w:sz w:val="24"/>
        </w:rPr>
        <w:t>13634140630</w:t>
      </w:r>
    </w:p>
    <w:p>
      <w:pPr>
        <w:spacing w:line="360" w:lineRule="auto"/>
        <w:ind w:firstLine="480"/>
        <w:rPr>
          <w:rFonts w:ascii="宋体" w:hAnsi="宋体" w:cs="宋体"/>
          <w:sz w:val="24"/>
        </w:rPr>
      </w:pPr>
      <w:r>
        <w:rPr>
          <w:rFonts w:hint="eastAsia" w:ascii="宋体" w:hAnsi="宋体" w:cs="宋体"/>
          <w:sz w:val="24"/>
        </w:rPr>
        <w:t>质疑联系人：陈海峰</w:t>
      </w:r>
    </w:p>
    <w:p>
      <w:pPr>
        <w:spacing w:line="360" w:lineRule="auto"/>
        <w:rPr>
          <w:rFonts w:ascii="宋体" w:hAnsi="宋体" w:cs="宋体"/>
          <w:sz w:val="24"/>
        </w:rPr>
      </w:pPr>
      <w:r>
        <w:rPr>
          <w:rFonts w:hint="eastAsia" w:ascii="宋体" w:hAnsi="宋体" w:cs="宋体"/>
          <w:sz w:val="24"/>
        </w:rPr>
        <w:t xml:space="preserve">    质疑联系方式：0571-88582902</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称：杭州恒诚工程项目管理有限公司</w:t>
      </w:r>
    </w:p>
    <w:p>
      <w:pPr>
        <w:spacing w:line="360" w:lineRule="auto"/>
        <w:ind w:firstLine="480"/>
        <w:rPr>
          <w:rFonts w:ascii="宋体" w:hAnsi="宋体" w:cs="宋体"/>
          <w:sz w:val="24"/>
        </w:rPr>
      </w:pPr>
      <w:r>
        <w:rPr>
          <w:rFonts w:hint="eastAsia" w:ascii="宋体" w:hAnsi="宋体" w:cs="宋体"/>
          <w:sz w:val="24"/>
        </w:rPr>
        <w:t>地    址：杭州市临平区望梅路386号杭州双城建筑科技产业园716室</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 林鸿</w:t>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 xml:space="preserve">    项目联系方式（询问）：18969016867</w:t>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 xml:space="preserve">    质疑联系人： 范继华</w:t>
      </w:r>
    </w:p>
    <w:p>
      <w:pPr>
        <w:spacing w:line="360" w:lineRule="auto"/>
        <w:rPr>
          <w:rFonts w:ascii="宋体" w:hAnsi="宋体" w:cs="宋体"/>
          <w:sz w:val="24"/>
        </w:rPr>
      </w:pPr>
      <w:r>
        <w:rPr>
          <w:rFonts w:hint="eastAsia" w:ascii="宋体" w:hAnsi="宋体" w:cs="宋体"/>
          <w:sz w:val="24"/>
        </w:rPr>
        <w:t xml:space="preserve">    质疑联系方式：13588393916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名称： 杭州市余杭区财政局 </w:t>
      </w:r>
    </w:p>
    <w:p>
      <w:pPr>
        <w:spacing w:line="360" w:lineRule="auto"/>
        <w:ind w:firstLine="480"/>
        <w:rPr>
          <w:rFonts w:ascii="宋体" w:hAnsi="宋体" w:cs="宋体"/>
          <w:sz w:val="24"/>
        </w:rPr>
      </w:pPr>
      <w:r>
        <w:rPr>
          <w:rFonts w:hint="eastAsia" w:ascii="宋体" w:hAnsi="宋体" w:cs="宋体"/>
          <w:sz w:val="24"/>
        </w:rPr>
        <w:t>联系人 ： 杜国强 </w:t>
      </w:r>
    </w:p>
    <w:p>
      <w:pPr>
        <w:spacing w:line="360" w:lineRule="auto"/>
        <w:ind w:firstLine="480"/>
        <w:rPr>
          <w:rFonts w:ascii="宋体" w:hAnsi="宋体" w:cs="宋体"/>
          <w:sz w:val="24"/>
        </w:rPr>
      </w:pPr>
      <w:r>
        <w:rPr>
          <w:rFonts w:hint="eastAsia" w:ascii="宋体" w:hAnsi="宋体" w:cs="宋体"/>
          <w:sz w:val="24"/>
        </w:rPr>
        <w:t>监督投诉电话：0571-88728858 </w:t>
      </w:r>
    </w:p>
    <w:p>
      <w:pPr>
        <w:spacing w:line="360" w:lineRule="auto"/>
        <w:ind w:firstLine="480"/>
        <w:rPr>
          <w:rFonts w:ascii="宋体" w:hAnsi="宋体" w:cs="宋体"/>
          <w:sz w:val="24"/>
        </w:rPr>
      </w:pPr>
      <w:r>
        <w:rPr>
          <w:rFonts w:hint="eastAsia" w:ascii="宋体" w:hAnsi="宋体" w:cs="宋体"/>
          <w:sz w:val="24"/>
        </w:rPr>
        <w:t>地址：杭州市余杭区文一西路1500号8号楼1201室</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黑体" w:hAnsi="黑体" w:eastAsia="黑体" w:cs="黑体"/>
          <w:sz w:val="24"/>
        </w:rPr>
      </w:pPr>
      <w:r>
        <w:rPr>
          <w:rFonts w:hint="eastAsia" w:ascii="宋体" w:hAnsi="宋体" w:cs="宋体"/>
          <w:sz w:val="24"/>
        </w:rPr>
        <w:t>CA问题联系电话（人工）：汇信CA 400-888-4636；天谷CA 400-087-8198。</w:t>
      </w:r>
    </w:p>
    <w:p>
      <w:pPr>
        <w:spacing w:line="360" w:lineRule="auto"/>
        <w:ind w:firstLine="480" w:firstLineChars="200"/>
        <w:rPr>
          <w:rFonts w:ascii="宋体" w:hAnsi="宋体" w:cs="宋体"/>
          <w:sz w:val="24"/>
        </w:rPr>
      </w:pPr>
    </w:p>
    <w:p>
      <w:pPr>
        <w:pStyle w:val="34"/>
        <w:spacing w:line="360" w:lineRule="auto"/>
        <w:rPr>
          <w:rFonts w:hAnsi="宋体" w:cs="宋体"/>
          <w:b/>
          <w:sz w:val="36"/>
          <w:szCs w:val="20"/>
        </w:rPr>
      </w:pP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r>
              <w:rPr>
                <w:rFonts w:hint="eastAsia" w:ascii="宋体" w:hAnsi="宋体" w:cs="宋体"/>
                <w:sz w:val="24"/>
              </w:rPr>
              <w:t>货物类</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sz w:val="24"/>
                <w:u w:val="single"/>
              </w:rPr>
              <w:t>塑胶采购项目</w:t>
            </w:r>
            <w:r>
              <w:rPr>
                <w:rFonts w:hint="eastAsia" w:ascii="宋体" w:hAnsi="宋体" w:cs="宋体"/>
                <w:kern w:val="0"/>
                <w:sz w:val="24"/>
              </w:rPr>
              <w:t>，属于</w:t>
            </w:r>
            <w:r>
              <w:rPr>
                <w:rFonts w:hint="eastAsia"/>
                <w:sz w:val="24"/>
                <w:u w:val="single"/>
              </w:rPr>
              <w:t>工业</w:t>
            </w:r>
            <w:r>
              <w:rPr>
                <w:rFonts w:hint="eastAsia" w:ascii="宋体" w:hAnsi="宋体" w:cs="宋体"/>
                <w:kern w:val="0"/>
                <w:sz w:val="24"/>
              </w:rPr>
              <w:t>行业；</w:t>
            </w:r>
          </w:p>
          <w:p>
            <w:pPr>
              <w:pStyle w:val="4"/>
              <w:rPr>
                <w:rFonts w:ascii="宋体" w:hAnsi="宋体" w:eastAsia="宋体" w:cs="宋体"/>
                <w:lang w:val="en-US"/>
              </w:rPr>
            </w:pPr>
            <w:r>
              <w:rPr>
                <w:rFonts w:hint="eastAsia" w:ascii="仿宋" w:eastAsia="仿宋" w:cs="宋体"/>
                <w:kern w:val="0"/>
                <w:sz w:val="24"/>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B要求提供，</w:t>
            </w:r>
          </w:p>
          <w:p>
            <w:pPr>
              <w:jc w:val="left"/>
              <w:rPr>
                <w:color w:val="000000"/>
                <w:sz w:val="24"/>
                <w:highlight w:val="yellow"/>
                <w:u w:val="single"/>
              </w:rPr>
            </w:pPr>
            <w:r>
              <w:rPr>
                <w:rFonts w:hint="eastAsia" w:ascii="宋体" w:hAnsi="宋体" w:cs="宋体"/>
                <w:kern w:val="0"/>
                <w:sz w:val="24"/>
              </w:rPr>
              <w:t>（1）</w:t>
            </w:r>
            <w:r>
              <w:rPr>
                <w:rFonts w:hint="eastAsia" w:ascii="宋体" w:hAnsi="宋体" w:cs="宋体"/>
                <w:snapToGrid w:val="0"/>
                <w:kern w:val="28"/>
                <w:sz w:val="24"/>
              </w:rPr>
              <w:t>样品：</w:t>
            </w:r>
            <w:r>
              <w:rPr>
                <w:rFonts w:hint="eastAsia"/>
                <w:color w:val="000000"/>
                <w:sz w:val="24"/>
                <w:highlight w:val="yellow"/>
                <w:u w:val="single"/>
              </w:rPr>
              <w:t>①30</w:t>
            </w:r>
            <w:r>
              <w:rPr>
                <w:rFonts w:hint="eastAsia" w:ascii="宋体" w:hAnsi="宋体" w:cs="宋体"/>
                <w:color w:val="000000"/>
                <w:sz w:val="24"/>
                <w:highlight w:val="yellow"/>
                <w:u w:val="single"/>
              </w:rPr>
              <w:t>cm×40cm的14mm厚透气型塑胶面层样品</w:t>
            </w:r>
            <w:r>
              <w:rPr>
                <w:rFonts w:hint="eastAsia"/>
                <w:color w:val="000000"/>
                <w:sz w:val="24"/>
                <w:highlight w:val="yellow"/>
                <w:u w:val="single"/>
              </w:rPr>
              <w:t>；</w:t>
            </w:r>
          </w:p>
          <w:p>
            <w:pPr>
              <w:spacing w:line="360" w:lineRule="auto"/>
              <w:ind w:firstLine="1200" w:firstLineChars="500"/>
              <w:rPr>
                <w:rFonts w:ascii="宋体" w:hAnsi="宋体" w:cs="宋体"/>
                <w:kern w:val="0"/>
                <w:sz w:val="24"/>
                <w:highlight w:val="yellow"/>
              </w:rPr>
            </w:pPr>
            <w:r>
              <w:rPr>
                <w:rFonts w:hint="eastAsia"/>
                <w:color w:val="000000"/>
                <w:sz w:val="24"/>
                <w:highlight w:val="yellow"/>
                <w:u w:val="single"/>
              </w:rPr>
              <w:t>②30</w:t>
            </w:r>
            <w:r>
              <w:rPr>
                <w:rFonts w:hint="eastAsia" w:ascii="宋体" w:hAnsi="宋体" w:cs="宋体"/>
                <w:color w:val="000000"/>
                <w:sz w:val="24"/>
                <w:highlight w:val="yellow"/>
                <w:u w:val="single"/>
              </w:rPr>
              <w:t>cm×40cmm的8mm厚硅PU塑胶面层样品</w:t>
            </w:r>
            <w:r>
              <w:rPr>
                <w:rFonts w:hint="eastAsia"/>
                <w:color w:val="0000FF"/>
                <w:sz w:val="24"/>
                <w:highlight w:val="yellow"/>
                <w:u w:val="single"/>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详见第三部分 采购需求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2023年6月5日13时30分至17时00分期间内 </w:t>
            </w:r>
            <w:r>
              <w:rPr>
                <w:rFonts w:hint="eastAsia" w:ascii="宋体" w:hAnsi="宋体" w:cs="宋体"/>
                <w:kern w:val="0"/>
                <w:sz w:val="24"/>
              </w:rPr>
              <w:t>；地点：</w:t>
            </w:r>
            <w:r>
              <w:rPr>
                <w:rFonts w:hint="eastAsia" w:hAnsi="宋体" w:cs="宋体"/>
                <w:kern w:val="28"/>
                <w:sz w:val="24"/>
                <w:u w:val="single"/>
              </w:rPr>
              <w:t>杭州市临平区望梅路386号杭州双城建筑科技产业园716室</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林鸿</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18969016867</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9"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bookmarkStart w:id="559" w:name="_GoBack"/>
            <w:bookmarkEnd w:id="559"/>
            <w:r>
              <w:rPr>
                <w:rFonts w:hint="eastAsia" w:ascii="宋体" w:hAnsi="宋体" w:cs="宋体"/>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杭州市临平区望梅路386号杭州双城建筑科技产业园716室</w:t>
            </w:r>
            <w:r>
              <w:rPr>
                <w:rFonts w:hint="eastAsia" w:hAnsi="宋体" w:cs="宋体"/>
                <w:kern w:val="28"/>
                <w:sz w:val="24"/>
                <w:szCs w:val="24"/>
              </w:rPr>
              <w:t>；备份投标文件签收人员联系电话：</w:t>
            </w:r>
            <w:r>
              <w:rPr>
                <w:rFonts w:hint="eastAsia" w:hAnsi="宋体" w:cs="宋体"/>
                <w:kern w:val="28"/>
                <w:sz w:val="24"/>
                <w:szCs w:val="24"/>
                <w:u w:val="single"/>
              </w:rPr>
              <w:t>林鸿  18969016867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sz w:val="24"/>
              </w:rPr>
            </w:pPr>
            <w:r>
              <w:rPr>
                <w:rFonts w:hint="eastAsia" w:ascii="宋体" w:hAnsi="宋体" w:cs="宋体"/>
                <w:b/>
                <w:color w:val="000000"/>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采购代理服务费：本项目的采购代理费由中标人支付。</w:t>
            </w:r>
          </w:p>
          <w:p>
            <w:pPr>
              <w:spacing w:line="360" w:lineRule="auto"/>
              <w:rPr>
                <w:rFonts w:ascii="宋体" w:hAnsi="宋体" w:cs="宋体"/>
                <w:snapToGrid w:val="0"/>
                <w:kern w:val="28"/>
                <w:sz w:val="24"/>
              </w:rPr>
            </w:pPr>
            <w:r>
              <w:rPr>
                <w:rFonts w:hint="eastAsia" w:ascii="宋体" w:hAnsi="宋体" w:cs="宋体"/>
                <w:snapToGrid w:val="0"/>
                <w:kern w:val="28"/>
                <w:sz w:val="24"/>
              </w:rPr>
              <w:t>中标人在领取中标通知书前需向招标代理机构支付招标代理服务费，代理费25150元。费用包含在总报价中，不单独列项报价。</w:t>
            </w:r>
          </w:p>
          <w:p>
            <w:pPr>
              <w:spacing w:line="360" w:lineRule="auto"/>
              <w:ind w:firstLine="480" w:firstLineChars="200"/>
              <w:jc w:val="center"/>
              <w:rPr>
                <w:rFonts w:ascii="宋体" w:hAnsi="宋体" w:cs="宋体"/>
                <w:snapToGrid w:val="0"/>
                <w:color w:val="000000"/>
                <w:kern w:val="28"/>
                <w:sz w:val="24"/>
              </w:rPr>
            </w:pPr>
            <w:r>
              <w:rPr>
                <w:rFonts w:hint="eastAsia" w:ascii="宋体" w:hAnsi="宋体" w:cs="宋体"/>
                <w:snapToGrid w:val="0"/>
                <w:kern w:val="28"/>
                <w:sz w:val="24"/>
              </w:rPr>
              <w:t>招标代理服务费的交纳方式：以转帐或支票的形式支付，户名：</w:t>
            </w:r>
            <w:r>
              <w:rPr>
                <w:rFonts w:hint="eastAsia" w:ascii="宋体" w:hAnsi="宋体" w:cs="宋体"/>
                <w:kern w:val="0"/>
                <w:sz w:val="24"/>
              </w:rPr>
              <w:t>杭州恒诚工程项目管理有限公司临平分公司</w:t>
            </w:r>
            <w:r>
              <w:rPr>
                <w:rFonts w:hint="eastAsia" w:ascii="宋体" w:hAnsi="宋体" w:cs="宋体"/>
                <w:snapToGrid w:val="0"/>
                <w:kern w:val="28"/>
                <w:sz w:val="24"/>
              </w:rPr>
              <w:t>，开户行名称：建行星桥支行；帐号：</w:t>
            </w:r>
            <w:r>
              <w:rPr>
                <w:rFonts w:hint="eastAsia" w:ascii="宋体" w:hAnsi="宋体" w:cs="宋体"/>
                <w:bCs/>
                <w:kern w:val="0"/>
                <w:sz w:val="24"/>
              </w:rPr>
              <w:t>33050161748800000880</w:t>
            </w:r>
            <w:r>
              <w:rPr>
                <w:rFonts w:hint="eastAsia" w:ascii="宋体" w:hAnsi="宋体" w:cs="宋体"/>
                <w:snapToGrid w:val="0"/>
                <w:kern w:val="28"/>
                <w:sz w:val="24"/>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ascii="宋体" w:hAnsi="宋体" w:cs="宋体"/>
          <w:sz w:val="24"/>
        </w:rPr>
        <w:t>本次采购为专门面向中小企业预留采购份额的采购项目，提供投标人中小企业声明函。</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4730295"/>
      <w:bookmarkEnd w:id="20"/>
      <w:bookmarkStart w:id="21" w:name="_Hlt74707468"/>
      <w:bookmarkEnd w:id="21"/>
      <w:bookmarkStart w:id="22" w:name="_Hlt74729768"/>
      <w:bookmarkEnd w:id="22"/>
      <w:bookmarkStart w:id="23" w:name="_Hlt75236290"/>
      <w:bookmarkEnd w:id="23"/>
      <w:bookmarkStart w:id="24" w:name="_Hlt68057669"/>
      <w:bookmarkEnd w:id="24"/>
      <w:bookmarkStart w:id="25" w:name="_Hlt74714665"/>
      <w:bookmarkEnd w:id="25"/>
      <w:bookmarkStart w:id="26" w:name="_Hlt68072990"/>
      <w:bookmarkEnd w:id="26"/>
      <w:bookmarkStart w:id="27" w:name="_Hlt75236101"/>
      <w:bookmarkEnd w:id="27"/>
      <w:bookmarkStart w:id="28" w:name="_Hlt75236011"/>
      <w:bookmarkEnd w:id="28"/>
      <w:bookmarkStart w:id="29" w:name="_Hlt68073093"/>
      <w:bookmarkEnd w:id="29"/>
      <w:bookmarkStart w:id="30" w:name="_Hlt68403820"/>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pacing w:line="600" w:lineRule="exact"/>
        <w:rPr>
          <w:rFonts w:ascii="宋体" w:hAnsi="宋体" w:cs="宋体"/>
          <w:b/>
          <w:bCs/>
          <w:sz w:val="24"/>
        </w:rPr>
      </w:pPr>
      <w:r>
        <w:rPr>
          <w:rFonts w:hint="eastAsia" w:ascii="宋体" w:hAnsi="宋体" w:cs="宋体"/>
          <w:b/>
          <w:bCs/>
          <w:sz w:val="24"/>
        </w:rPr>
        <w:t>一、项目概述：</w:t>
      </w:r>
    </w:p>
    <w:p>
      <w:pPr>
        <w:pStyle w:val="5"/>
        <w:tabs>
          <w:tab w:val="left" w:pos="1260"/>
          <w:tab w:val="clear" w:pos="900"/>
        </w:tabs>
        <w:spacing w:before="0" w:after="0" w:line="600" w:lineRule="atLeast"/>
        <w:ind w:left="0" w:firstLine="0"/>
        <w:jc w:val="left"/>
        <w:rPr>
          <w:rFonts w:ascii="宋体" w:hAnsi="宋体" w:cs="宋体"/>
          <w:b w:val="0"/>
          <w:bCs w:val="0"/>
          <w:kern w:val="0"/>
          <w:sz w:val="24"/>
          <w:szCs w:val="24"/>
        </w:rPr>
      </w:pPr>
      <w:r>
        <w:rPr>
          <w:rFonts w:hint="eastAsia" w:ascii="宋体" w:hAnsi="宋体" w:cs="宋体"/>
          <w:b w:val="0"/>
          <w:bCs w:val="0"/>
          <w:kern w:val="0"/>
          <w:sz w:val="24"/>
          <w:szCs w:val="24"/>
        </w:rPr>
        <w:t>本项目为“交钥匙”项目，采购内容为径山镇长乐中心小学运动场篮球场改造项目。投标报价包括施工费、安全文明施工措施费用、规费、民工工伤保险费、企业管理费、设备费、安装调试费用、所有的检测费用、垃圾清运费及成品保护费用、验收费、税金、运输及运输保险费、质保期内维修保养费、特殊工具费、售后服务费、招标代理费、培训费、有关部门的验收费、政策性文件规定及合同包含的所有风险、责任及其他因本项目而产生的一切费用。</w:t>
      </w:r>
    </w:p>
    <w:p>
      <w:pPr>
        <w:pStyle w:val="5"/>
        <w:tabs>
          <w:tab w:val="left" w:pos="1260"/>
          <w:tab w:val="clear" w:pos="900"/>
        </w:tabs>
        <w:spacing w:before="0" w:after="0" w:line="600" w:lineRule="atLeast"/>
        <w:ind w:left="0" w:firstLine="0"/>
        <w:jc w:val="left"/>
        <w:rPr>
          <w:rFonts w:ascii="宋体" w:hAnsi="宋体" w:cs="宋体"/>
          <w:kern w:val="0"/>
          <w:sz w:val="24"/>
          <w:szCs w:val="24"/>
        </w:rPr>
      </w:pPr>
      <w:r>
        <w:rPr>
          <w:rFonts w:hint="eastAsia" w:ascii="宋体" w:hAnsi="宋体" w:cs="宋体"/>
          <w:kern w:val="0"/>
          <w:sz w:val="24"/>
          <w:szCs w:val="24"/>
        </w:rPr>
        <w:t xml:space="preserve">    ●国家、省、市在施工、检测和验收方面若有新规范、新要求的，必须按照新的规定要求检测和验收，所有费用均包含在本次投标费用内。</w:t>
      </w:r>
    </w:p>
    <w:p>
      <w:pPr>
        <w:spacing w:line="360" w:lineRule="auto"/>
        <w:ind w:firstLine="181" w:firstLineChars="50"/>
        <w:rPr>
          <w:rFonts w:ascii="宋体" w:hAnsi="宋体" w:cs="宋体"/>
          <w:b/>
          <w:sz w:val="36"/>
          <w:szCs w:val="36"/>
        </w:rPr>
      </w:pPr>
      <w:r>
        <w:rPr>
          <w:rFonts w:hint="eastAsia" w:ascii="宋体" w:hAnsi="宋体" w:cs="宋体"/>
          <w:b/>
          <w:sz w:val="36"/>
          <w:szCs w:val="36"/>
        </w:rPr>
        <w:t>二：采购清单：</w:t>
      </w:r>
    </w:p>
    <w:tbl>
      <w:tblPr>
        <w:tblStyle w:val="63"/>
        <w:tblW w:w="9541" w:type="dxa"/>
        <w:tblInd w:w="93" w:type="dxa"/>
        <w:tblLayout w:type="fixed"/>
        <w:tblCellMar>
          <w:top w:w="0" w:type="dxa"/>
          <w:left w:w="108" w:type="dxa"/>
          <w:bottom w:w="0" w:type="dxa"/>
          <w:right w:w="108" w:type="dxa"/>
        </w:tblCellMar>
      </w:tblPr>
      <w:tblGrid>
        <w:gridCol w:w="602"/>
        <w:gridCol w:w="1479"/>
        <w:gridCol w:w="5633"/>
        <w:gridCol w:w="818"/>
        <w:gridCol w:w="1009"/>
      </w:tblGrid>
      <w:tr>
        <w:tblPrEx>
          <w:tblCellMar>
            <w:top w:w="0" w:type="dxa"/>
            <w:left w:w="108" w:type="dxa"/>
            <w:bottom w:w="0" w:type="dxa"/>
            <w:right w:w="108" w:type="dxa"/>
          </w:tblCellMar>
        </w:tblPrEx>
        <w:trPr>
          <w:trHeight w:val="360" w:hRule="atLeast"/>
        </w:trPr>
        <w:tc>
          <w:tcPr>
            <w:tcW w:w="602" w:type="dxa"/>
            <w:vMerge w:val="restart"/>
            <w:tcBorders>
              <w:top w:val="single" w:color="000000" w:sz="8" w:space="0"/>
              <w:left w:val="single" w:color="000000" w:sz="8"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5633" w:type="dxa"/>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项目特征</w:t>
            </w:r>
          </w:p>
        </w:tc>
        <w:tc>
          <w:tcPr>
            <w:tcW w:w="818" w:type="dxa"/>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计量单位</w:t>
            </w:r>
          </w:p>
        </w:tc>
        <w:tc>
          <w:tcPr>
            <w:tcW w:w="1009" w:type="dxa"/>
            <w:vMerge w:val="restart"/>
            <w:tcBorders>
              <w:top w:val="single" w:color="000000" w:sz="8"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工程量</w:t>
            </w:r>
          </w:p>
        </w:tc>
      </w:tr>
      <w:tr>
        <w:tblPrEx>
          <w:tblCellMar>
            <w:top w:w="0" w:type="dxa"/>
            <w:left w:w="108" w:type="dxa"/>
            <w:bottom w:w="0" w:type="dxa"/>
            <w:right w:w="108" w:type="dxa"/>
          </w:tblCellMar>
        </w:tblPrEx>
        <w:trPr>
          <w:trHeight w:val="360" w:hRule="atLeast"/>
        </w:trPr>
        <w:tc>
          <w:tcPr>
            <w:tcW w:w="602" w:type="dxa"/>
            <w:vMerge w:val="continue"/>
            <w:tcBorders>
              <w:top w:val="single" w:color="000000" w:sz="8" w:space="0"/>
              <w:left w:val="single" w:color="000000" w:sz="8"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563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81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100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60" w:hRule="atLeast"/>
        </w:trPr>
        <w:tc>
          <w:tcPr>
            <w:tcW w:w="602" w:type="dxa"/>
            <w:vMerge w:val="continue"/>
            <w:tcBorders>
              <w:top w:val="single" w:color="000000" w:sz="8" w:space="0"/>
              <w:left w:val="single" w:color="000000" w:sz="8"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563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81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c>
          <w:tcPr>
            <w:tcW w:w="100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0"/>
                <w:szCs w:val="20"/>
              </w:rPr>
            </w:pPr>
          </w:p>
        </w:tc>
      </w:tr>
      <w:tr>
        <w:trPr>
          <w:trHeight w:val="42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拆除路面</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铲除原跑道塑胶面层，外运运距及堆场由投标人自行考虑</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1738</w:t>
            </w:r>
          </w:p>
        </w:tc>
      </w:tr>
      <w:tr>
        <w:tblPrEx>
          <w:tblCellMar>
            <w:top w:w="0" w:type="dxa"/>
            <w:left w:w="108" w:type="dxa"/>
            <w:bottom w:w="0" w:type="dxa"/>
            <w:right w:w="108" w:type="dxa"/>
          </w:tblCellMar>
        </w:tblPrEx>
        <w:trPr>
          <w:trHeight w:val="56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拆除路面</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铲除原篮球场硅PU面层，原沥青基础铣刨30mm，外运运距及堆场由投标人自行考虑</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1478</w:t>
            </w:r>
          </w:p>
        </w:tc>
      </w:tr>
      <w:tr>
        <w:tblPrEx>
          <w:tblCellMar>
            <w:top w:w="0" w:type="dxa"/>
            <w:left w:w="108" w:type="dxa"/>
            <w:bottom w:w="0" w:type="dxa"/>
            <w:right w:w="108" w:type="dxa"/>
          </w:tblCellMar>
        </w:tblPrEx>
        <w:trPr>
          <w:trHeight w:val="206"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粘层</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一道乳化沥青层</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1478</w:t>
            </w:r>
          </w:p>
        </w:tc>
      </w:tr>
      <w:tr>
        <w:tblPrEx>
          <w:tblCellMar>
            <w:top w:w="0" w:type="dxa"/>
            <w:left w:w="108" w:type="dxa"/>
            <w:bottom w:w="0" w:type="dxa"/>
            <w:right w:w="108" w:type="dxa"/>
          </w:tblCellMar>
        </w:tblPrEx>
        <w:trPr>
          <w:trHeight w:val="307"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沥青层</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铺设30mm厚AC-13细沥青</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1478</w:t>
            </w:r>
          </w:p>
        </w:tc>
      </w:tr>
      <w:tr>
        <w:tblPrEx>
          <w:tblCellMar>
            <w:top w:w="0" w:type="dxa"/>
            <w:left w:w="108" w:type="dxa"/>
            <w:bottom w:w="0" w:type="dxa"/>
            <w:right w:w="108" w:type="dxa"/>
          </w:tblCellMar>
        </w:tblPrEx>
        <w:trPr>
          <w:trHeight w:val="68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弹性面层</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14mm厚透气型塑胶面层，1、底层涂接触剂一道,2、合成胶粒拌聚氨酯胶水机械摊铺弹性层，配比不大于6:1，厚度10-11mm；胶粒高聚物含量≥15%；3、合成胶粒拌聚氨酯胶水喷涂摩擦层2-3遍，配比不大于1.2:1，总厚度3-4mm，防滑胶粒高聚物含量≥20%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1738</w:t>
            </w:r>
          </w:p>
        </w:tc>
      </w:tr>
      <w:tr>
        <w:tblPrEx>
          <w:tblCellMar>
            <w:top w:w="0" w:type="dxa"/>
            <w:left w:w="108" w:type="dxa"/>
            <w:bottom w:w="0" w:type="dxa"/>
            <w:right w:w="108" w:type="dxa"/>
          </w:tblCellMar>
        </w:tblPrEx>
        <w:trPr>
          <w:trHeight w:val="36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篮球场硅PU</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8mm厚硅 PU 塑胶面层施工要求：</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1、底层涂接触剂一道；2、 施工弹性层 3 道，厚约 6mm；3、加强层 1 道，厚约 1mm； 4、面漆 2 道(厚约 1mm)及画线；</w:t>
            </w:r>
          </w:p>
          <w:p>
            <w:pPr>
              <w:widowControl/>
              <w:jc w:val="left"/>
              <w:textAlignment w:val="center"/>
              <w:rPr>
                <w:rFonts w:ascii="宋体" w:hAnsi="宋体" w:cs="宋体"/>
                <w:color w:val="000000"/>
                <w:kern w:val="0"/>
                <w:sz w:val="20"/>
                <w:szCs w:val="20"/>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1478</w:t>
            </w:r>
          </w:p>
        </w:tc>
      </w:tr>
      <w:tr>
        <w:trPr>
          <w:trHeight w:val="38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篮球场（停车场旁）</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铲除原篮球场塑胶面层，外运运距及堆场由投标人自行考虑；</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437</w:t>
            </w:r>
          </w:p>
        </w:tc>
      </w:tr>
      <w:tr>
        <w:tblPrEx>
          <w:tblCellMar>
            <w:top w:w="0" w:type="dxa"/>
            <w:left w:w="108" w:type="dxa"/>
            <w:bottom w:w="0" w:type="dxa"/>
            <w:right w:w="108" w:type="dxa"/>
          </w:tblCellMar>
        </w:tblPrEx>
        <w:trPr>
          <w:trHeight w:val="315"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粘层（停车场旁）</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一道乳化沥青层</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437</w:t>
            </w:r>
          </w:p>
        </w:tc>
      </w:tr>
      <w:tr>
        <w:tblPrEx>
          <w:tblCellMar>
            <w:top w:w="0" w:type="dxa"/>
            <w:left w:w="108" w:type="dxa"/>
            <w:bottom w:w="0" w:type="dxa"/>
            <w:right w:w="108" w:type="dxa"/>
          </w:tblCellMar>
        </w:tblPrEx>
        <w:trPr>
          <w:trHeight w:val="315"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篮球场沥青层</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铺设30mm厚AC-13细沥青找平</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437</w:t>
            </w:r>
          </w:p>
        </w:tc>
      </w:tr>
      <w:tr>
        <w:tblPrEx>
          <w:tblCellMar>
            <w:top w:w="0" w:type="dxa"/>
            <w:left w:w="108" w:type="dxa"/>
            <w:bottom w:w="0" w:type="dxa"/>
            <w:right w:w="108" w:type="dxa"/>
          </w:tblCellMar>
        </w:tblPrEx>
        <w:trPr>
          <w:trHeight w:val="42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篮球场硅PU（停车场旁）</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8mm厚硅 PU 塑胶面层施工要求：</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1、底层涂接触剂一道；2、 施工弹性层 3 道，厚约 6mm；3、加强层 1 道，厚约 1mm； 4、面漆 2 道(厚约 1mm)及画线；</w:t>
            </w:r>
          </w:p>
          <w:p>
            <w:pPr>
              <w:widowControl/>
              <w:jc w:val="left"/>
              <w:textAlignment w:val="center"/>
              <w:rPr>
                <w:rFonts w:ascii="宋体" w:hAnsi="宋体" w:cs="宋体"/>
                <w:color w:val="000000"/>
                <w:kern w:val="0"/>
                <w:sz w:val="20"/>
                <w:szCs w:val="20"/>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437</w:t>
            </w:r>
          </w:p>
        </w:tc>
      </w:tr>
      <w:tr>
        <w:tblPrEx>
          <w:tblCellMar>
            <w:top w:w="0" w:type="dxa"/>
            <w:left w:w="108" w:type="dxa"/>
            <w:bottom w:w="0" w:type="dxa"/>
            <w:right w:w="108" w:type="dxa"/>
          </w:tblCellMar>
        </w:tblPrEx>
        <w:trPr>
          <w:trHeight w:val="36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停车场路面</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原路面铣刨40mm沥青层，外运运距及堆场由投标人自行考虑</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602</w:t>
            </w:r>
          </w:p>
        </w:tc>
      </w:tr>
      <w:tr>
        <w:tblPrEx>
          <w:tblCellMar>
            <w:top w:w="0" w:type="dxa"/>
            <w:left w:w="108" w:type="dxa"/>
            <w:bottom w:w="0" w:type="dxa"/>
            <w:right w:w="108" w:type="dxa"/>
          </w:tblCellMar>
        </w:tblPrEx>
        <w:trPr>
          <w:trHeight w:val="36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粘层</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一道乳化沥青层</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602</w:t>
            </w:r>
          </w:p>
        </w:tc>
      </w:tr>
      <w:tr>
        <w:tblPrEx>
          <w:tblCellMar>
            <w:top w:w="0" w:type="dxa"/>
            <w:left w:w="108" w:type="dxa"/>
            <w:bottom w:w="0" w:type="dxa"/>
            <w:right w:w="108" w:type="dxa"/>
          </w:tblCellMar>
        </w:tblPrEx>
        <w:trPr>
          <w:trHeight w:val="315"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停车场路面</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铺设40mm厚AC-13细沥青</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602</w:t>
            </w:r>
          </w:p>
        </w:tc>
      </w:tr>
      <w:tr>
        <w:tblPrEx>
          <w:tblCellMar>
            <w:top w:w="0" w:type="dxa"/>
            <w:left w:w="108" w:type="dxa"/>
            <w:bottom w:w="0" w:type="dxa"/>
            <w:right w:w="108" w:type="dxa"/>
          </w:tblCellMar>
        </w:tblPrEx>
        <w:trPr>
          <w:trHeight w:val="315"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看台（环氧地坪漆）</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bottom"/>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1.破损、空鼓处清理铲除找平；2.打磨；</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3.底漆一道；</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4.面漆两道；</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191</w:t>
            </w:r>
          </w:p>
        </w:tc>
      </w:tr>
      <w:tr>
        <w:tblPrEx>
          <w:tblCellMar>
            <w:top w:w="0" w:type="dxa"/>
            <w:left w:w="108" w:type="dxa"/>
            <w:bottom w:w="0" w:type="dxa"/>
            <w:right w:w="108" w:type="dxa"/>
          </w:tblCellMar>
        </w:tblPrEx>
        <w:trPr>
          <w:trHeight w:val="36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排水沟</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原跑道排水沟清理，整修；盖板更换</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38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教学楼水磨石</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打磨地面一道；固化剂一道；打磨地面两道；冲洗地面；上蜡抛光；</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4800</w:t>
            </w:r>
          </w:p>
        </w:tc>
      </w:tr>
      <w:tr>
        <w:tblPrEx>
          <w:tblCellMar>
            <w:top w:w="0" w:type="dxa"/>
            <w:left w:w="108" w:type="dxa"/>
            <w:bottom w:w="0" w:type="dxa"/>
            <w:right w:w="108" w:type="dxa"/>
          </w:tblCellMar>
        </w:tblPrEx>
        <w:trPr>
          <w:trHeight w:val="300" w:hRule="atLeast"/>
        </w:trPr>
        <w:tc>
          <w:tcPr>
            <w:tcW w:w="602" w:type="dxa"/>
            <w:tcBorders>
              <w:top w:val="single" w:color="000000" w:sz="4" w:space="0"/>
              <w:left w:val="single" w:color="000000" w:sz="8"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塑胶专项检测费</w:t>
            </w:r>
          </w:p>
        </w:tc>
        <w:tc>
          <w:tcPr>
            <w:tcW w:w="56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第三方合成材料面层专项检测费等</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r>
    </w:tbl>
    <w:p>
      <w:pPr>
        <w:spacing w:line="360" w:lineRule="auto"/>
        <w:rPr>
          <w:rFonts w:ascii="宋体" w:hAnsi="宋体" w:cs="宋体"/>
          <w:sz w:val="24"/>
        </w:rPr>
      </w:pPr>
    </w:p>
    <w:p>
      <w:pPr>
        <w:spacing w:line="600" w:lineRule="exact"/>
        <w:rPr>
          <w:rFonts w:ascii="宋体" w:hAnsi="宋体" w:cs="宋体"/>
          <w:b/>
          <w:bCs/>
          <w:kern w:val="0"/>
          <w:sz w:val="24"/>
        </w:rPr>
      </w:pPr>
      <w:r>
        <w:rPr>
          <w:rFonts w:hint="eastAsia" w:ascii="宋体" w:hAnsi="宋体" w:cs="宋体"/>
          <w:b/>
          <w:bCs/>
          <w:kern w:val="0"/>
          <w:sz w:val="24"/>
        </w:rPr>
        <w:t>三、本项目采用的主要技术标准和规范：</w:t>
      </w:r>
    </w:p>
    <w:p>
      <w:pPr>
        <w:spacing w:line="600" w:lineRule="exact"/>
        <w:ind w:firstLine="480" w:firstLineChars="200"/>
        <w:rPr>
          <w:rFonts w:ascii="宋体" w:hAnsi="宋体" w:cs="宋体"/>
          <w:kern w:val="0"/>
          <w:sz w:val="24"/>
        </w:rPr>
      </w:pPr>
      <w:r>
        <w:rPr>
          <w:rFonts w:hint="eastAsia" w:ascii="宋体" w:hAnsi="宋体" w:cs="宋体"/>
          <w:kern w:val="0"/>
          <w:sz w:val="24"/>
        </w:rPr>
        <w:t>1、GB36246-2018《中小学合成材料面层运动场地》标准；</w:t>
      </w:r>
    </w:p>
    <w:p>
      <w:pPr>
        <w:spacing w:line="600" w:lineRule="exact"/>
        <w:ind w:firstLine="480" w:firstLineChars="200"/>
        <w:rPr>
          <w:rFonts w:ascii="宋体" w:hAnsi="宋体" w:cs="宋体"/>
          <w:kern w:val="0"/>
          <w:sz w:val="24"/>
        </w:rPr>
      </w:pPr>
      <w:r>
        <w:rPr>
          <w:rFonts w:hint="eastAsia" w:ascii="宋体" w:hAnsi="宋体" w:cs="宋体"/>
          <w:kern w:val="0"/>
          <w:sz w:val="24"/>
        </w:rPr>
        <w:t>2、《混凝土结构工程施工质量验收规范》；</w:t>
      </w:r>
    </w:p>
    <w:p>
      <w:pPr>
        <w:spacing w:line="600" w:lineRule="exact"/>
        <w:ind w:firstLine="480" w:firstLineChars="200"/>
        <w:rPr>
          <w:rFonts w:ascii="宋体" w:hAnsi="宋体" w:cs="宋体"/>
          <w:kern w:val="0"/>
          <w:sz w:val="24"/>
        </w:rPr>
      </w:pPr>
      <w:r>
        <w:rPr>
          <w:rFonts w:hint="eastAsia" w:ascii="宋体" w:hAnsi="宋体" w:cs="宋体"/>
          <w:kern w:val="0"/>
          <w:sz w:val="24"/>
        </w:rPr>
        <w:t>3、液体材料环保性能指标（GB36246-2018）：</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序号</w:t>
            </w:r>
          </w:p>
        </w:tc>
        <w:tc>
          <w:tcPr>
            <w:tcW w:w="7125" w:type="dxa"/>
            <w:noWrap/>
            <w:vAlign w:val="center"/>
          </w:tcPr>
          <w:p>
            <w:pPr>
              <w:jc w:val="center"/>
              <w:rPr>
                <w:rFonts w:ascii="宋体" w:hAnsi="宋体" w:cs="宋体"/>
                <w:szCs w:val="21"/>
              </w:rPr>
            </w:pPr>
            <w:r>
              <w:rPr>
                <w:rFonts w:hint="eastAsia" w:ascii="宋体" w:hAnsi="宋体" w:cs="宋体"/>
                <w:szCs w:val="21"/>
              </w:rPr>
              <w:t>检验项目</w:t>
            </w:r>
          </w:p>
        </w:tc>
        <w:tc>
          <w:tcPr>
            <w:tcW w:w="1485" w:type="dxa"/>
            <w:noWrap/>
            <w:vAlign w:val="center"/>
          </w:tcPr>
          <w:p>
            <w:pPr>
              <w:jc w:val="center"/>
              <w:rPr>
                <w:rFonts w:ascii="宋体" w:hAnsi="宋体" w:cs="宋体"/>
                <w:szCs w:val="21"/>
              </w:rPr>
            </w:pPr>
            <w:r>
              <w:rPr>
                <w:rFonts w:hint="eastAsia" w:ascii="宋体" w:hAnsi="宋体" w:cs="宋体"/>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w:t>
            </w:r>
          </w:p>
        </w:tc>
        <w:tc>
          <w:tcPr>
            <w:tcW w:w="7125" w:type="dxa"/>
            <w:noWrap/>
            <w:vAlign w:val="center"/>
          </w:tcPr>
          <w:p>
            <w:pPr>
              <w:jc w:val="center"/>
              <w:rPr>
                <w:rFonts w:ascii="宋体" w:hAnsi="宋体" w:cs="宋体"/>
                <w:szCs w:val="21"/>
              </w:rPr>
            </w:pPr>
            <w:r>
              <w:rPr>
                <w:rFonts w:hint="eastAsia" w:ascii="宋体" w:hAnsi="宋体" w:cs="宋体"/>
                <w:szCs w:val="21"/>
              </w:rPr>
              <w:t>3种领苯二甲酸酯类化合物（DBP、BBP、DEHP）总和/（g/kg）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2</w:t>
            </w:r>
          </w:p>
        </w:tc>
        <w:tc>
          <w:tcPr>
            <w:tcW w:w="7125" w:type="dxa"/>
            <w:noWrap/>
            <w:vAlign w:val="center"/>
          </w:tcPr>
          <w:p>
            <w:pPr>
              <w:jc w:val="center"/>
              <w:rPr>
                <w:rFonts w:ascii="宋体" w:hAnsi="宋体" w:cs="宋体"/>
                <w:szCs w:val="21"/>
              </w:rPr>
            </w:pPr>
            <w:r>
              <w:rPr>
                <w:rFonts w:hint="eastAsia" w:ascii="宋体" w:hAnsi="宋体" w:cs="宋体"/>
                <w:szCs w:val="21"/>
              </w:rPr>
              <w:t>3种领苯二甲酸酯类化合物（DNOP、DINP、DIDP）总和/（g/kg）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3</w:t>
            </w:r>
          </w:p>
        </w:tc>
        <w:tc>
          <w:tcPr>
            <w:tcW w:w="7125" w:type="dxa"/>
            <w:noWrap/>
            <w:vAlign w:val="center"/>
          </w:tcPr>
          <w:p>
            <w:pPr>
              <w:jc w:val="center"/>
              <w:rPr>
                <w:rFonts w:ascii="宋体" w:hAnsi="宋体" w:cs="宋体"/>
                <w:szCs w:val="21"/>
              </w:rPr>
            </w:pPr>
            <w:r>
              <w:rPr>
                <w:rFonts w:hint="eastAsia" w:ascii="宋体" w:hAnsi="宋体" w:cs="宋体"/>
                <w:szCs w:val="21"/>
              </w:rPr>
              <w:t>短链氯化石蜡（C10-C13）/（g/kg）</w:t>
            </w:r>
          </w:p>
        </w:tc>
        <w:tc>
          <w:tcPr>
            <w:tcW w:w="1485" w:type="dxa"/>
            <w:noWrap/>
            <w:vAlign w:val="center"/>
          </w:tcPr>
          <w:p>
            <w:pPr>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4</w:t>
            </w:r>
          </w:p>
        </w:tc>
        <w:tc>
          <w:tcPr>
            <w:tcW w:w="7125" w:type="dxa"/>
            <w:noWrap/>
            <w:vAlign w:val="center"/>
          </w:tcPr>
          <w:p>
            <w:pPr>
              <w:jc w:val="center"/>
              <w:rPr>
                <w:rFonts w:ascii="宋体" w:hAnsi="宋体" w:cs="宋体"/>
                <w:szCs w:val="21"/>
              </w:rPr>
            </w:pPr>
            <w:r>
              <w:rPr>
                <w:rFonts w:hint="eastAsia" w:ascii="宋体" w:hAnsi="宋体" w:cs="宋体"/>
                <w:szCs w:val="21"/>
              </w:rPr>
              <w:t>游离甲苯二异氰酸酯（TDI）和游离六亚甲基二异氰酸酯（HDI）总和/（g/kg）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5</w:t>
            </w:r>
          </w:p>
        </w:tc>
        <w:tc>
          <w:tcPr>
            <w:tcW w:w="7125" w:type="dxa"/>
            <w:noWrap/>
            <w:vAlign w:val="center"/>
          </w:tcPr>
          <w:p>
            <w:pPr>
              <w:jc w:val="center"/>
              <w:rPr>
                <w:rFonts w:ascii="宋体" w:hAnsi="宋体" w:cs="宋体"/>
                <w:szCs w:val="21"/>
              </w:rPr>
            </w:pPr>
            <w:r>
              <w:rPr>
                <w:rFonts w:hint="eastAsia" w:ascii="宋体" w:hAnsi="宋体" w:cs="宋体"/>
                <w:szCs w:val="21"/>
              </w:rPr>
              <w:t>挥发性有机化合物/（g/L）</w:t>
            </w:r>
          </w:p>
        </w:tc>
        <w:tc>
          <w:tcPr>
            <w:tcW w:w="1485" w:type="dxa"/>
            <w:noWrap/>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6</w:t>
            </w:r>
          </w:p>
        </w:tc>
        <w:tc>
          <w:tcPr>
            <w:tcW w:w="7125" w:type="dxa"/>
            <w:noWrap/>
            <w:vAlign w:val="center"/>
          </w:tcPr>
          <w:p>
            <w:pPr>
              <w:jc w:val="center"/>
              <w:rPr>
                <w:rFonts w:ascii="宋体" w:hAnsi="宋体" w:cs="宋体"/>
                <w:szCs w:val="21"/>
              </w:rPr>
            </w:pPr>
            <w:r>
              <w:rPr>
                <w:rFonts w:hint="eastAsia" w:ascii="宋体" w:hAnsi="宋体" w:cs="宋体"/>
                <w:szCs w:val="21"/>
              </w:rPr>
              <w:t>游离甲醛/（g/kg）</w:t>
            </w:r>
          </w:p>
        </w:tc>
        <w:tc>
          <w:tcPr>
            <w:tcW w:w="1485" w:type="dxa"/>
            <w:noWrap/>
            <w:vAlign w:val="center"/>
          </w:tcPr>
          <w:p>
            <w:pPr>
              <w:jc w:val="center"/>
              <w:rPr>
                <w:rFonts w:ascii="宋体" w:hAnsi="宋体" w:cs="宋体"/>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7</w:t>
            </w:r>
          </w:p>
        </w:tc>
        <w:tc>
          <w:tcPr>
            <w:tcW w:w="7125" w:type="dxa"/>
            <w:noWrap/>
            <w:vAlign w:val="center"/>
          </w:tcPr>
          <w:p>
            <w:pPr>
              <w:jc w:val="center"/>
              <w:rPr>
                <w:rFonts w:ascii="宋体" w:hAnsi="宋体" w:cs="宋体"/>
                <w:szCs w:val="21"/>
              </w:rPr>
            </w:pPr>
            <w:r>
              <w:rPr>
                <w:rFonts w:hint="eastAsia" w:ascii="宋体" w:hAnsi="宋体" w:cs="宋体"/>
                <w:szCs w:val="21"/>
              </w:rPr>
              <w:t>苯/（g/kg）</w:t>
            </w:r>
          </w:p>
        </w:tc>
        <w:tc>
          <w:tcPr>
            <w:tcW w:w="1485" w:type="dxa"/>
            <w:noWrap/>
            <w:vAlign w:val="center"/>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8</w:t>
            </w:r>
          </w:p>
        </w:tc>
        <w:tc>
          <w:tcPr>
            <w:tcW w:w="7125" w:type="dxa"/>
            <w:noWrap/>
            <w:vAlign w:val="center"/>
          </w:tcPr>
          <w:p>
            <w:pPr>
              <w:jc w:val="center"/>
              <w:rPr>
                <w:rFonts w:ascii="宋体" w:hAnsi="宋体" w:cs="宋体"/>
                <w:szCs w:val="21"/>
              </w:rPr>
            </w:pPr>
            <w:r>
              <w:rPr>
                <w:rFonts w:hint="eastAsia" w:ascii="宋体" w:hAnsi="宋体" w:cs="宋体"/>
                <w:szCs w:val="21"/>
              </w:rPr>
              <w:t>甲苯、二甲苯和乙苯总和/（g/kg）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9</w:t>
            </w:r>
          </w:p>
        </w:tc>
        <w:tc>
          <w:tcPr>
            <w:tcW w:w="7125" w:type="dxa"/>
            <w:noWrap/>
            <w:vAlign w:val="center"/>
          </w:tcPr>
          <w:p>
            <w:pPr>
              <w:jc w:val="center"/>
              <w:rPr>
                <w:rFonts w:ascii="宋体" w:hAnsi="宋体" w:cs="宋体"/>
                <w:szCs w:val="21"/>
              </w:rPr>
            </w:pPr>
            <w:r>
              <w:rPr>
                <w:rFonts w:hint="eastAsia" w:ascii="宋体" w:hAnsi="宋体" w:cs="宋体"/>
                <w:szCs w:val="21"/>
              </w:rPr>
              <w:t>可溶性铅/（mg/kg）</w:t>
            </w:r>
          </w:p>
        </w:tc>
        <w:tc>
          <w:tcPr>
            <w:tcW w:w="1485" w:type="dxa"/>
            <w:noWrap/>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10</w:t>
            </w:r>
          </w:p>
        </w:tc>
        <w:tc>
          <w:tcPr>
            <w:tcW w:w="7125" w:type="dxa"/>
            <w:noWrap/>
            <w:vAlign w:val="center"/>
          </w:tcPr>
          <w:p>
            <w:pPr>
              <w:jc w:val="center"/>
              <w:rPr>
                <w:rFonts w:ascii="宋体" w:hAnsi="宋体" w:cs="宋体"/>
                <w:szCs w:val="21"/>
              </w:rPr>
            </w:pPr>
            <w:r>
              <w:rPr>
                <w:rFonts w:hint="eastAsia" w:ascii="宋体" w:hAnsi="宋体" w:cs="宋体"/>
                <w:szCs w:val="21"/>
              </w:rPr>
              <w:t>可溶性镉/（mg/kg）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11</w:t>
            </w:r>
          </w:p>
        </w:tc>
        <w:tc>
          <w:tcPr>
            <w:tcW w:w="7125" w:type="dxa"/>
            <w:noWrap/>
            <w:vAlign w:val="center"/>
          </w:tcPr>
          <w:p>
            <w:pPr>
              <w:jc w:val="center"/>
              <w:rPr>
                <w:rFonts w:ascii="宋体" w:hAnsi="宋体" w:cs="宋体"/>
                <w:szCs w:val="21"/>
              </w:rPr>
            </w:pPr>
            <w:r>
              <w:rPr>
                <w:rFonts w:hint="eastAsia" w:ascii="宋体" w:hAnsi="宋体" w:cs="宋体"/>
                <w:szCs w:val="21"/>
              </w:rPr>
              <w:t>可溶性铬/（mg/kg）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12</w:t>
            </w:r>
          </w:p>
        </w:tc>
        <w:tc>
          <w:tcPr>
            <w:tcW w:w="7125" w:type="dxa"/>
            <w:noWrap/>
            <w:vAlign w:val="center"/>
          </w:tcPr>
          <w:p>
            <w:pPr>
              <w:jc w:val="center"/>
              <w:rPr>
                <w:rFonts w:ascii="宋体" w:hAnsi="宋体" w:cs="宋体"/>
                <w:szCs w:val="21"/>
              </w:rPr>
            </w:pPr>
            <w:r>
              <w:rPr>
                <w:rFonts w:hint="eastAsia" w:ascii="宋体" w:hAnsi="宋体" w:cs="宋体"/>
                <w:szCs w:val="21"/>
              </w:rPr>
              <w:t>可溶性汞/（mg/kg）</w:t>
            </w:r>
          </w:p>
        </w:tc>
        <w:tc>
          <w:tcPr>
            <w:tcW w:w="1485" w:type="dxa"/>
            <w:noWrap/>
            <w:vAlign w:val="center"/>
          </w:tcPr>
          <w:p>
            <w:pPr>
              <w:jc w:val="center"/>
              <w:rPr>
                <w:rFonts w:ascii="宋体" w:hAnsi="宋体" w:cs="宋体"/>
                <w:szCs w:val="21"/>
              </w:rPr>
            </w:pPr>
            <w:r>
              <w:rPr>
                <w:rFonts w:hint="eastAsia" w:ascii="宋体" w:hAnsi="宋体" w:cs="宋体"/>
                <w:szCs w:val="21"/>
              </w:rPr>
              <w:t>≤2</w:t>
            </w:r>
          </w:p>
        </w:tc>
      </w:tr>
    </w:tbl>
    <w:p>
      <w:pPr>
        <w:spacing w:line="600" w:lineRule="exact"/>
        <w:ind w:firstLine="480" w:firstLineChars="200"/>
        <w:rPr>
          <w:rFonts w:ascii="宋体" w:hAnsi="宋体" w:cs="宋体"/>
          <w:kern w:val="0"/>
          <w:sz w:val="24"/>
        </w:rPr>
      </w:pPr>
      <w:r>
        <w:rPr>
          <w:rFonts w:hint="eastAsia" w:ascii="宋体" w:hAnsi="宋体" w:cs="宋体"/>
          <w:kern w:val="0"/>
          <w:sz w:val="24"/>
        </w:rPr>
        <w:t>4、EPDM颗粒材料环保性能指标（GB36246-2018）：</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序号</w:t>
            </w:r>
          </w:p>
        </w:tc>
        <w:tc>
          <w:tcPr>
            <w:tcW w:w="7125" w:type="dxa"/>
            <w:noWrap/>
            <w:vAlign w:val="center"/>
          </w:tcPr>
          <w:p>
            <w:pPr>
              <w:jc w:val="center"/>
              <w:rPr>
                <w:rFonts w:ascii="宋体" w:hAnsi="宋体" w:cs="宋体"/>
                <w:szCs w:val="21"/>
              </w:rPr>
            </w:pPr>
            <w:r>
              <w:rPr>
                <w:rFonts w:hint="eastAsia" w:ascii="宋体" w:hAnsi="宋体" w:cs="宋体"/>
                <w:szCs w:val="21"/>
              </w:rPr>
              <w:t>检验项目</w:t>
            </w:r>
          </w:p>
        </w:tc>
        <w:tc>
          <w:tcPr>
            <w:tcW w:w="1485" w:type="dxa"/>
            <w:noWrap/>
            <w:vAlign w:val="center"/>
          </w:tcPr>
          <w:p>
            <w:pPr>
              <w:jc w:val="center"/>
              <w:rPr>
                <w:rFonts w:ascii="宋体" w:hAnsi="宋体" w:cs="宋体"/>
                <w:szCs w:val="21"/>
              </w:rPr>
            </w:pPr>
            <w:r>
              <w:rPr>
                <w:rFonts w:hint="eastAsia" w:ascii="宋体" w:hAnsi="宋体" w:cs="宋体"/>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w:t>
            </w:r>
          </w:p>
        </w:tc>
        <w:tc>
          <w:tcPr>
            <w:tcW w:w="7125" w:type="dxa"/>
            <w:noWrap/>
            <w:vAlign w:val="center"/>
          </w:tcPr>
          <w:p>
            <w:pPr>
              <w:jc w:val="center"/>
              <w:rPr>
                <w:rFonts w:ascii="宋体" w:hAnsi="宋体" w:cs="宋体"/>
                <w:szCs w:val="21"/>
              </w:rPr>
            </w:pPr>
            <w:r>
              <w:rPr>
                <w:rFonts w:hint="eastAsia" w:ascii="宋体" w:hAnsi="宋体" w:cs="宋体"/>
                <w:szCs w:val="21"/>
              </w:rPr>
              <w:t>18种多环芳烃总和/（mg/kg）</w:t>
            </w:r>
          </w:p>
        </w:tc>
        <w:tc>
          <w:tcPr>
            <w:tcW w:w="1485" w:type="dxa"/>
            <w:noWrap/>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2</w:t>
            </w:r>
          </w:p>
        </w:tc>
        <w:tc>
          <w:tcPr>
            <w:tcW w:w="7125" w:type="dxa"/>
            <w:noWrap/>
            <w:vAlign w:val="center"/>
          </w:tcPr>
          <w:p>
            <w:pPr>
              <w:jc w:val="center"/>
              <w:rPr>
                <w:rFonts w:ascii="宋体" w:hAnsi="宋体" w:cs="宋体"/>
                <w:szCs w:val="21"/>
              </w:rPr>
            </w:pPr>
            <w:r>
              <w:rPr>
                <w:rFonts w:hint="eastAsia" w:ascii="宋体" w:hAnsi="宋体" w:cs="宋体"/>
                <w:szCs w:val="21"/>
              </w:rPr>
              <w:t>苯并【a】芘/（mg/kg）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3</w:t>
            </w:r>
          </w:p>
        </w:tc>
        <w:tc>
          <w:tcPr>
            <w:tcW w:w="7125" w:type="dxa"/>
            <w:noWrap/>
            <w:vAlign w:val="center"/>
          </w:tcPr>
          <w:p>
            <w:pPr>
              <w:jc w:val="center"/>
              <w:rPr>
                <w:rFonts w:ascii="宋体" w:hAnsi="宋体" w:cs="宋体"/>
                <w:szCs w:val="21"/>
              </w:rPr>
            </w:pPr>
            <w:r>
              <w:rPr>
                <w:rFonts w:hint="eastAsia" w:ascii="宋体" w:hAnsi="宋体" w:cs="宋体"/>
                <w:szCs w:val="21"/>
              </w:rPr>
              <w:t>可溶性铅/（mg/kg）</w:t>
            </w:r>
          </w:p>
        </w:tc>
        <w:tc>
          <w:tcPr>
            <w:tcW w:w="1485" w:type="dxa"/>
            <w:noWrap/>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4</w:t>
            </w:r>
          </w:p>
        </w:tc>
        <w:tc>
          <w:tcPr>
            <w:tcW w:w="7125" w:type="dxa"/>
            <w:noWrap/>
            <w:vAlign w:val="center"/>
          </w:tcPr>
          <w:p>
            <w:pPr>
              <w:jc w:val="center"/>
              <w:rPr>
                <w:rFonts w:ascii="宋体" w:hAnsi="宋体" w:cs="宋体"/>
                <w:szCs w:val="21"/>
              </w:rPr>
            </w:pPr>
            <w:r>
              <w:rPr>
                <w:rFonts w:hint="eastAsia" w:ascii="宋体" w:hAnsi="宋体" w:cs="宋体"/>
                <w:szCs w:val="21"/>
              </w:rPr>
              <w:t>可溶性镉/（mg/kg）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5</w:t>
            </w:r>
          </w:p>
        </w:tc>
        <w:tc>
          <w:tcPr>
            <w:tcW w:w="7125" w:type="dxa"/>
            <w:noWrap/>
            <w:vAlign w:val="center"/>
          </w:tcPr>
          <w:p>
            <w:pPr>
              <w:jc w:val="center"/>
              <w:rPr>
                <w:rFonts w:ascii="宋体" w:hAnsi="宋体" w:cs="宋体"/>
                <w:szCs w:val="21"/>
              </w:rPr>
            </w:pPr>
            <w:r>
              <w:rPr>
                <w:rFonts w:hint="eastAsia" w:ascii="宋体" w:hAnsi="宋体" w:cs="宋体"/>
                <w:szCs w:val="21"/>
              </w:rPr>
              <w:t>可溶性铬/（mg/kg）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6</w:t>
            </w:r>
          </w:p>
        </w:tc>
        <w:tc>
          <w:tcPr>
            <w:tcW w:w="7125" w:type="dxa"/>
            <w:noWrap/>
            <w:vAlign w:val="center"/>
          </w:tcPr>
          <w:p>
            <w:pPr>
              <w:jc w:val="center"/>
              <w:rPr>
                <w:rFonts w:ascii="宋体" w:hAnsi="宋体" w:cs="宋体"/>
                <w:szCs w:val="21"/>
              </w:rPr>
            </w:pPr>
            <w:r>
              <w:rPr>
                <w:rFonts w:hint="eastAsia" w:ascii="宋体" w:hAnsi="宋体" w:cs="宋体"/>
                <w:szCs w:val="21"/>
              </w:rPr>
              <w:t>可溶性汞/（mg/kg）</w:t>
            </w:r>
          </w:p>
        </w:tc>
        <w:tc>
          <w:tcPr>
            <w:tcW w:w="1485" w:type="dxa"/>
            <w:noWrap/>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7</w:t>
            </w:r>
          </w:p>
        </w:tc>
        <w:tc>
          <w:tcPr>
            <w:tcW w:w="7125" w:type="dxa"/>
            <w:noWrap/>
            <w:vAlign w:val="center"/>
          </w:tcPr>
          <w:p>
            <w:pPr>
              <w:jc w:val="center"/>
              <w:rPr>
                <w:rFonts w:ascii="宋体" w:hAnsi="宋体" w:cs="宋体"/>
                <w:szCs w:val="21"/>
              </w:rPr>
            </w:pPr>
            <w:r>
              <w:rPr>
                <w:rFonts w:hint="eastAsia" w:ascii="宋体" w:hAnsi="宋体" w:cs="宋体"/>
                <w:szCs w:val="21"/>
              </w:rPr>
              <w:t>气味等级/级</w:t>
            </w:r>
          </w:p>
        </w:tc>
        <w:tc>
          <w:tcPr>
            <w:tcW w:w="1485" w:type="dxa"/>
            <w:noWrap/>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8</w:t>
            </w:r>
          </w:p>
        </w:tc>
        <w:tc>
          <w:tcPr>
            <w:tcW w:w="7125" w:type="dxa"/>
            <w:noWrap/>
            <w:vAlign w:val="center"/>
          </w:tcPr>
          <w:p>
            <w:pPr>
              <w:jc w:val="center"/>
              <w:rPr>
                <w:rFonts w:ascii="宋体" w:hAnsi="宋体" w:cs="宋体"/>
                <w:szCs w:val="21"/>
              </w:rPr>
            </w:pPr>
            <w:r>
              <w:rPr>
                <w:rFonts w:hint="eastAsia" w:ascii="宋体" w:hAnsi="宋体" w:cs="宋体"/>
                <w:szCs w:val="21"/>
              </w:rPr>
              <w:t>高聚物总量/（%）</w:t>
            </w:r>
          </w:p>
        </w:tc>
        <w:tc>
          <w:tcPr>
            <w:tcW w:w="1485" w:type="dxa"/>
            <w:noWrap/>
            <w:vAlign w:val="center"/>
          </w:tcPr>
          <w:p>
            <w:pPr>
              <w:jc w:val="center"/>
              <w:rPr>
                <w:rFonts w:ascii="宋体" w:hAnsi="宋体" w:cs="宋体"/>
                <w:szCs w:val="21"/>
              </w:rPr>
            </w:pPr>
            <w:r>
              <w:rPr>
                <w:rFonts w:hint="eastAsia" w:ascii="宋体" w:hAnsi="宋体" w:cs="宋体"/>
                <w:szCs w:val="21"/>
              </w:rPr>
              <w:t>≥20</w:t>
            </w:r>
          </w:p>
        </w:tc>
      </w:tr>
    </w:tbl>
    <w:p>
      <w:pPr>
        <w:spacing w:line="600" w:lineRule="exact"/>
        <w:ind w:firstLine="480" w:firstLineChars="200"/>
        <w:rPr>
          <w:rFonts w:ascii="宋体" w:hAnsi="宋体" w:cs="宋体"/>
          <w:bCs/>
          <w:sz w:val="24"/>
        </w:rPr>
      </w:pPr>
      <w:r>
        <w:rPr>
          <w:rFonts w:hint="eastAsia" w:ascii="宋体" w:hAnsi="宋体" w:cs="宋体"/>
          <w:sz w:val="24"/>
        </w:rPr>
        <w:t>5、</w:t>
      </w:r>
      <w:r>
        <w:rPr>
          <w:rFonts w:hint="eastAsia" w:ascii="宋体" w:hAnsi="宋体" w:cs="宋体"/>
          <w:bCs/>
          <w:kern w:val="0"/>
          <w:sz w:val="24"/>
        </w:rPr>
        <w:t>样块性能指标（GB36246-2018）：</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序号</w:t>
            </w:r>
          </w:p>
        </w:tc>
        <w:tc>
          <w:tcPr>
            <w:tcW w:w="7125" w:type="dxa"/>
            <w:gridSpan w:val="2"/>
            <w:noWrap/>
            <w:vAlign w:val="center"/>
          </w:tcPr>
          <w:p>
            <w:pPr>
              <w:jc w:val="center"/>
              <w:rPr>
                <w:rFonts w:ascii="宋体" w:hAnsi="宋体" w:cs="宋体"/>
                <w:szCs w:val="21"/>
              </w:rPr>
            </w:pPr>
            <w:r>
              <w:rPr>
                <w:rFonts w:hint="eastAsia" w:ascii="宋体" w:hAnsi="宋体" w:cs="宋体"/>
                <w:szCs w:val="21"/>
              </w:rPr>
              <w:t>检验项目</w:t>
            </w:r>
          </w:p>
        </w:tc>
        <w:tc>
          <w:tcPr>
            <w:tcW w:w="1485" w:type="dxa"/>
            <w:noWrap/>
            <w:vAlign w:val="center"/>
          </w:tcPr>
          <w:p>
            <w:pPr>
              <w:jc w:val="center"/>
              <w:rPr>
                <w:rFonts w:ascii="宋体" w:hAnsi="宋体" w:cs="宋体"/>
                <w:szCs w:val="21"/>
              </w:rPr>
            </w:pPr>
            <w:r>
              <w:rPr>
                <w:rFonts w:hint="eastAsia" w:ascii="宋体" w:hAnsi="宋体" w:cs="宋体"/>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1</w:t>
            </w:r>
          </w:p>
        </w:tc>
        <w:tc>
          <w:tcPr>
            <w:tcW w:w="3697" w:type="dxa"/>
            <w:vMerge w:val="restart"/>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冲击吸收/%（田径场地）</w:t>
            </w:r>
          </w:p>
        </w:tc>
        <w:tc>
          <w:tcPr>
            <w:tcW w:w="3428" w:type="dxa"/>
            <w:noWrap/>
            <w:vAlign w:val="center"/>
          </w:tcPr>
          <w:p>
            <w:pPr>
              <w:jc w:val="center"/>
              <w:rPr>
                <w:rFonts w:ascii="宋体" w:hAnsi="宋体" w:cs="宋体"/>
                <w:szCs w:val="21"/>
              </w:rPr>
            </w:pPr>
            <w:r>
              <w:rPr>
                <w:rFonts w:hint="eastAsia" w:ascii="宋体" w:hAnsi="宋体" w:cs="宋体"/>
                <w:szCs w:val="21"/>
              </w:rPr>
              <w:t>0℃±2℃</w:t>
            </w:r>
          </w:p>
        </w:tc>
        <w:tc>
          <w:tcPr>
            <w:tcW w:w="1485" w:type="dxa"/>
            <w:vMerge w:val="restart"/>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23℃±2℃</w:t>
            </w:r>
          </w:p>
        </w:tc>
        <w:tc>
          <w:tcPr>
            <w:tcW w:w="1485" w:type="dxa"/>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50℃±2℃</w:t>
            </w:r>
          </w:p>
        </w:tc>
        <w:tc>
          <w:tcPr>
            <w:tcW w:w="1485" w:type="dxa"/>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2</w:t>
            </w:r>
          </w:p>
        </w:tc>
        <w:tc>
          <w:tcPr>
            <w:tcW w:w="7125" w:type="dxa"/>
            <w:gridSpan w:val="2"/>
            <w:noWrap/>
            <w:vAlign w:val="center"/>
          </w:tcPr>
          <w:p>
            <w:pPr>
              <w:jc w:val="center"/>
              <w:rPr>
                <w:rFonts w:ascii="宋体" w:hAnsi="宋体" w:cs="宋体"/>
                <w:szCs w:val="21"/>
              </w:rPr>
            </w:pPr>
            <w:r>
              <w:rPr>
                <w:rFonts w:hint="eastAsia" w:ascii="宋体" w:hAnsi="宋体" w:cs="宋体"/>
                <w:szCs w:val="21"/>
              </w:rPr>
              <w:t>垂直变形/mm</w:t>
            </w:r>
          </w:p>
        </w:tc>
        <w:tc>
          <w:tcPr>
            <w:tcW w:w="1485" w:type="dxa"/>
            <w:noWrap/>
            <w:vAlign w:val="center"/>
          </w:tcPr>
          <w:p>
            <w:pPr>
              <w:jc w:val="center"/>
              <w:rPr>
                <w:rFonts w:ascii="宋体" w:hAnsi="宋体" w:cs="宋体"/>
                <w:szCs w:val="21"/>
              </w:rPr>
            </w:pPr>
            <w:r>
              <w:rPr>
                <w:rFonts w:hint="eastAsia" w:ascii="宋体" w:hAnsi="宋体" w:cs="宋体"/>
                <w:szCs w:val="21"/>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3</w:t>
            </w:r>
          </w:p>
        </w:tc>
        <w:tc>
          <w:tcPr>
            <w:tcW w:w="7125" w:type="dxa"/>
            <w:gridSpan w:val="2"/>
            <w:noWrap/>
            <w:vAlign w:val="center"/>
          </w:tcPr>
          <w:p>
            <w:pPr>
              <w:jc w:val="center"/>
              <w:rPr>
                <w:rFonts w:ascii="宋体" w:hAnsi="宋体" w:cs="宋体"/>
                <w:szCs w:val="21"/>
              </w:rPr>
            </w:pPr>
            <w:r>
              <w:rPr>
                <w:rFonts w:hint="eastAsia" w:ascii="宋体" w:hAnsi="宋体" w:cs="宋体"/>
                <w:szCs w:val="21"/>
              </w:rPr>
              <w:t>抗滑值（20℃）/BPN（田径场地）</w:t>
            </w:r>
          </w:p>
        </w:tc>
        <w:tc>
          <w:tcPr>
            <w:tcW w:w="1485" w:type="dxa"/>
            <w:noWrap/>
            <w:vAlign w:val="center"/>
          </w:tcPr>
          <w:p>
            <w:pPr>
              <w:jc w:val="center"/>
              <w:rPr>
                <w:rFonts w:ascii="宋体" w:hAnsi="宋体" w:cs="宋体"/>
                <w:szCs w:val="21"/>
              </w:rPr>
            </w:pPr>
            <w:r>
              <w:rPr>
                <w:rFonts w:hint="eastAsia" w:ascii="宋体" w:hAnsi="宋体" w:cs="宋体"/>
                <w:szCs w:val="21"/>
              </w:rPr>
              <w:t>≥47（湿测）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4</w:t>
            </w:r>
          </w:p>
        </w:tc>
        <w:tc>
          <w:tcPr>
            <w:tcW w:w="7125" w:type="dxa"/>
            <w:gridSpan w:val="2"/>
            <w:noWrap/>
            <w:vAlign w:val="center"/>
          </w:tcPr>
          <w:p>
            <w:pPr>
              <w:jc w:val="center"/>
              <w:rPr>
                <w:rFonts w:ascii="宋体" w:hAnsi="宋体" w:cs="宋体"/>
                <w:szCs w:val="21"/>
              </w:rPr>
            </w:pPr>
            <w:r>
              <w:rPr>
                <w:rFonts w:hint="eastAsia" w:ascii="宋体" w:hAnsi="宋体" w:cs="宋体"/>
                <w:szCs w:val="21"/>
              </w:rPr>
              <w:t>拉伸强度/MPa（渗水型面层）</w:t>
            </w:r>
          </w:p>
        </w:tc>
        <w:tc>
          <w:tcPr>
            <w:tcW w:w="1485" w:type="dxa"/>
            <w:noWrap/>
            <w:vAlign w:val="center"/>
          </w:tcPr>
          <w:p>
            <w:pPr>
              <w:jc w:val="center"/>
              <w:rPr>
                <w:rFonts w:ascii="宋体" w:hAnsi="宋体" w:cs="宋体"/>
                <w:szCs w:val="21"/>
              </w:rPr>
            </w:pPr>
            <w:r>
              <w:rPr>
                <w:rFonts w:hint="eastAsia" w:ascii="宋体" w:hAnsi="宋体" w:cs="宋体"/>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5</w:t>
            </w:r>
          </w:p>
        </w:tc>
        <w:tc>
          <w:tcPr>
            <w:tcW w:w="7125" w:type="dxa"/>
            <w:gridSpan w:val="2"/>
            <w:noWrap/>
            <w:vAlign w:val="center"/>
          </w:tcPr>
          <w:p>
            <w:pPr>
              <w:jc w:val="center"/>
              <w:rPr>
                <w:rFonts w:ascii="宋体" w:hAnsi="宋体" w:cs="宋体"/>
                <w:szCs w:val="21"/>
              </w:rPr>
            </w:pPr>
            <w:r>
              <w:rPr>
                <w:rFonts w:hint="eastAsia" w:ascii="宋体" w:hAnsi="宋体" w:cs="宋体"/>
                <w:szCs w:val="21"/>
              </w:rPr>
              <w:t>拉断伸长率/%</w:t>
            </w:r>
          </w:p>
        </w:tc>
        <w:tc>
          <w:tcPr>
            <w:tcW w:w="1485" w:type="dxa"/>
            <w:noWrap/>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6</w:t>
            </w:r>
          </w:p>
        </w:tc>
        <w:tc>
          <w:tcPr>
            <w:tcW w:w="7125" w:type="dxa"/>
            <w:gridSpan w:val="2"/>
            <w:noWrap/>
            <w:vAlign w:val="center"/>
          </w:tcPr>
          <w:p>
            <w:pPr>
              <w:jc w:val="center"/>
              <w:rPr>
                <w:rFonts w:ascii="宋体" w:hAnsi="宋体" w:cs="宋体"/>
                <w:szCs w:val="21"/>
              </w:rPr>
            </w:pPr>
            <w:r>
              <w:rPr>
                <w:rFonts w:hint="eastAsia" w:ascii="宋体" w:hAnsi="宋体" w:cs="宋体"/>
                <w:szCs w:val="21"/>
              </w:rPr>
              <w:t>阻燃性能/级</w:t>
            </w:r>
          </w:p>
        </w:tc>
        <w:tc>
          <w:tcPr>
            <w:tcW w:w="1485" w:type="dxa"/>
            <w:noWrap/>
            <w:vAlign w:val="center"/>
          </w:tcPr>
          <w:p>
            <w:pPr>
              <w:jc w:val="center"/>
              <w:rPr>
                <w:rFonts w:ascii="宋体" w:hAnsi="宋体" w:cs="宋体"/>
                <w:szCs w:val="21"/>
              </w:rPr>
            </w:pPr>
            <w:r>
              <w:rPr>
                <w:rFonts w:hint="eastAsia" w:ascii="宋体" w:hAnsi="宋体" w:cs="宋体"/>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7</w:t>
            </w:r>
          </w:p>
        </w:tc>
        <w:tc>
          <w:tcPr>
            <w:tcW w:w="3697" w:type="dxa"/>
            <w:vMerge w:val="restart"/>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耐人工气候老化性能（500h）</w:t>
            </w:r>
          </w:p>
        </w:tc>
        <w:tc>
          <w:tcPr>
            <w:tcW w:w="3428" w:type="dxa"/>
            <w:noWrap/>
            <w:vAlign w:val="center"/>
          </w:tcPr>
          <w:p>
            <w:pPr>
              <w:jc w:val="center"/>
              <w:rPr>
                <w:rFonts w:ascii="宋体" w:hAnsi="宋体" w:cs="宋体"/>
                <w:szCs w:val="21"/>
              </w:rPr>
            </w:pPr>
            <w:r>
              <w:rPr>
                <w:rFonts w:hint="eastAsia" w:ascii="宋体" w:hAnsi="宋体" w:cs="宋体"/>
                <w:szCs w:val="21"/>
              </w:rPr>
              <w:t>拉伸强度/MPa（渗水型面层）</w:t>
            </w:r>
          </w:p>
        </w:tc>
        <w:tc>
          <w:tcPr>
            <w:tcW w:w="1485" w:type="dxa"/>
            <w:noWrap/>
            <w:vAlign w:val="center"/>
          </w:tcPr>
          <w:p>
            <w:pPr>
              <w:jc w:val="center"/>
              <w:rPr>
                <w:rFonts w:ascii="宋体" w:hAnsi="宋体" w:cs="宋体"/>
                <w:szCs w:val="21"/>
              </w:rPr>
            </w:pPr>
            <w:r>
              <w:rPr>
                <w:rFonts w:hint="eastAsia" w:ascii="宋体" w:hAnsi="宋体" w:cs="宋体"/>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8</w:t>
            </w: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拉断伸长率/%</w:t>
            </w:r>
          </w:p>
        </w:tc>
        <w:tc>
          <w:tcPr>
            <w:tcW w:w="1485" w:type="dxa"/>
            <w:noWrap/>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9</w:t>
            </w:r>
          </w:p>
        </w:tc>
        <w:tc>
          <w:tcPr>
            <w:tcW w:w="7125" w:type="dxa"/>
            <w:gridSpan w:val="2"/>
            <w:noWrap/>
            <w:vAlign w:val="center"/>
          </w:tcPr>
          <w:p>
            <w:pPr>
              <w:jc w:val="center"/>
              <w:rPr>
                <w:rFonts w:ascii="宋体" w:hAnsi="宋体" w:cs="宋体"/>
                <w:szCs w:val="21"/>
              </w:rPr>
            </w:pPr>
            <w:r>
              <w:rPr>
                <w:rFonts w:hint="eastAsia" w:ascii="宋体" w:hAnsi="宋体" w:cs="宋体"/>
                <w:szCs w:val="21"/>
              </w:rPr>
              <w:t>3种邻苯二甲酸酯类化合物（DBP、BBP、DEHP）总和/（g/kg）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10</w:t>
            </w:r>
          </w:p>
        </w:tc>
        <w:tc>
          <w:tcPr>
            <w:tcW w:w="7125" w:type="dxa"/>
            <w:gridSpan w:val="2"/>
            <w:noWrap/>
            <w:vAlign w:val="center"/>
          </w:tcPr>
          <w:p>
            <w:pPr>
              <w:jc w:val="center"/>
              <w:rPr>
                <w:rFonts w:ascii="宋体" w:hAnsi="宋体" w:cs="宋体"/>
                <w:szCs w:val="21"/>
              </w:rPr>
            </w:pPr>
            <w:r>
              <w:rPr>
                <w:rFonts w:hint="eastAsia" w:ascii="宋体" w:hAnsi="宋体" w:cs="宋体"/>
                <w:szCs w:val="21"/>
              </w:rPr>
              <w:t>3种邻苯二甲酸酯类化合物（DNOP、DINP、DIDP）总和/（g/kg）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11</w:t>
            </w:r>
          </w:p>
          <w:p>
            <w:pPr>
              <w:jc w:val="center"/>
              <w:rPr>
                <w:rFonts w:ascii="宋体" w:hAnsi="宋体" w:cs="宋体"/>
                <w:szCs w:val="21"/>
              </w:rPr>
            </w:pPr>
          </w:p>
        </w:tc>
        <w:tc>
          <w:tcPr>
            <w:tcW w:w="7125" w:type="dxa"/>
            <w:gridSpan w:val="2"/>
            <w:vMerge w:val="restart"/>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18种多环芳烃总和/（mg/kg）</w:t>
            </w:r>
          </w:p>
        </w:tc>
        <w:tc>
          <w:tcPr>
            <w:tcW w:w="1485" w:type="dxa"/>
            <w:noWrap/>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7125" w:type="dxa"/>
            <w:gridSpan w:val="2"/>
            <w:vMerge w:val="continue"/>
            <w:noWrap/>
            <w:vAlign w:val="center"/>
          </w:tcPr>
          <w:p>
            <w:pPr>
              <w:jc w:val="center"/>
              <w:rPr>
                <w:rFonts w:ascii="宋体" w:hAnsi="宋体" w:cs="宋体"/>
                <w:szCs w:val="21"/>
              </w:rPr>
            </w:pPr>
          </w:p>
        </w:tc>
        <w:tc>
          <w:tcPr>
            <w:tcW w:w="1485" w:type="dxa"/>
            <w:noWrap/>
            <w:vAlign w:val="center"/>
          </w:tcPr>
          <w:p>
            <w:pPr>
              <w:jc w:val="center"/>
              <w:rPr>
                <w:rFonts w:ascii="宋体" w:hAnsi="宋体" w:cs="宋体"/>
                <w:szCs w:val="21"/>
              </w:rPr>
            </w:pPr>
            <w:r>
              <w:rPr>
                <w:rFonts w:hint="eastAsia" w:ascii="宋体" w:hAnsi="宋体" w:cs="宋体"/>
                <w:szCs w:val="21"/>
              </w:rPr>
              <w:t>≤20a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12</w:t>
            </w:r>
          </w:p>
        </w:tc>
        <w:tc>
          <w:tcPr>
            <w:tcW w:w="7125" w:type="dxa"/>
            <w:gridSpan w:val="2"/>
            <w:noWrap/>
            <w:vAlign w:val="center"/>
          </w:tcPr>
          <w:p>
            <w:pPr>
              <w:jc w:val="center"/>
              <w:rPr>
                <w:rFonts w:ascii="宋体" w:hAnsi="宋体" w:cs="宋体"/>
                <w:szCs w:val="21"/>
              </w:rPr>
            </w:pPr>
            <w:r>
              <w:rPr>
                <w:rFonts w:hint="eastAsia" w:ascii="宋体" w:hAnsi="宋体" w:cs="宋体"/>
                <w:szCs w:val="21"/>
              </w:rPr>
              <w:t>苯并【a】芘/（mg/kg）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13</w:t>
            </w:r>
          </w:p>
        </w:tc>
        <w:tc>
          <w:tcPr>
            <w:tcW w:w="7125" w:type="dxa"/>
            <w:gridSpan w:val="2"/>
            <w:noWrap/>
            <w:vAlign w:val="center"/>
          </w:tcPr>
          <w:p>
            <w:pPr>
              <w:jc w:val="center"/>
              <w:rPr>
                <w:rFonts w:ascii="宋体" w:hAnsi="宋体" w:cs="宋体"/>
                <w:szCs w:val="21"/>
              </w:rPr>
            </w:pPr>
            <w:r>
              <w:rPr>
                <w:rFonts w:hint="eastAsia" w:ascii="宋体" w:hAnsi="宋体" w:cs="宋体"/>
                <w:szCs w:val="21"/>
              </w:rPr>
              <w:t>短链氯化石蜡</w:t>
            </w:r>
            <w:r>
              <w:rPr>
                <w:rFonts w:hint="eastAsia" w:ascii="宋体" w:hAnsi="宋体"/>
                <w:szCs w:val="21"/>
              </w:rPr>
              <w:t>（C</w:t>
            </w:r>
            <w:r>
              <w:rPr>
                <w:rFonts w:hint="eastAsia" w:ascii="宋体" w:hAnsi="宋体"/>
                <w:szCs w:val="21"/>
                <w:vertAlign w:val="subscript"/>
              </w:rPr>
              <w:t>10</w:t>
            </w:r>
            <w:r>
              <w:rPr>
                <w:rFonts w:hint="eastAsia" w:ascii="宋体" w:hAnsi="宋体"/>
                <w:szCs w:val="21"/>
              </w:rPr>
              <w:t>-C</w:t>
            </w:r>
            <w:r>
              <w:rPr>
                <w:rFonts w:hint="eastAsia" w:ascii="宋体" w:hAnsi="宋体"/>
                <w:szCs w:val="21"/>
                <w:vertAlign w:val="subscript"/>
              </w:rPr>
              <w:t>13</w:t>
            </w:r>
            <w:r>
              <w:rPr>
                <w:rFonts w:hint="eastAsia" w:ascii="宋体" w:hAnsi="宋体"/>
                <w:szCs w:val="21"/>
              </w:rPr>
              <w:t>）</w:t>
            </w:r>
            <w:r>
              <w:rPr>
                <w:rFonts w:hint="eastAsia" w:ascii="宋体" w:hAnsi="宋体" w:cs="宋体"/>
                <w:szCs w:val="21"/>
              </w:rPr>
              <w:t>/（g/kg）</w:t>
            </w:r>
          </w:p>
        </w:tc>
        <w:tc>
          <w:tcPr>
            <w:tcW w:w="1485" w:type="dxa"/>
            <w:noWrap/>
            <w:vAlign w:val="center"/>
          </w:tcPr>
          <w:p>
            <w:pPr>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14</w:t>
            </w:r>
          </w:p>
        </w:tc>
        <w:tc>
          <w:tcPr>
            <w:tcW w:w="7125" w:type="dxa"/>
            <w:gridSpan w:val="2"/>
            <w:noWrap/>
            <w:vAlign w:val="center"/>
          </w:tcPr>
          <w:p>
            <w:pPr>
              <w:jc w:val="center"/>
              <w:rPr>
                <w:rFonts w:ascii="宋体" w:hAnsi="宋体" w:cs="宋体"/>
                <w:szCs w:val="21"/>
              </w:rPr>
            </w:pPr>
            <w:r>
              <w:rPr>
                <w:rFonts w:hint="eastAsia" w:ascii="宋体" w:hAnsi="宋体" w:cs="宋体"/>
                <w:szCs w:val="21"/>
              </w:rPr>
              <w:t>4，4'-二氨基-3，3'-二氯二苯甲烷（MOCA）/（g/kg）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15</w:t>
            </w:r>
          </w:p>
        </w:tc>
        <w:tc>
          <w:tcPr>
            <w:tcW w:w="7125" w:type="dxa"/>
            <w:gridSpan w:val="2"/>
            <w:noWrap/>
            <w:vAlign w:val="center"/>
          </w:tcPr>
          <w:p>
            <w:pPr>
              <w:jc w:val="center"/>
              <w:rPr>
                <w:rFonts w:ascii="宋体" w:hAnsi="宋体" w:cs="宋体"/>
                <w:szCs w:val="21"/>
              </w:rPr>
            </w:pPr>
            <w:r>
              <w:rPr>
                <w:rFonts w:hint="eastAsia" w:ascii="宋体" w:hAnsi="宋体" w:cs="宋体"/>
                <w:szCs w:val="21"/>
              </w:rPr>
              <w:t>游离甲苯二异氰酸酯（TDI）和游离六亚甲基二异氰酸酯（HDI）总和/（g/kg）</w:t>
            </w:r>
          </w:p>
        </w:tc>
        <w:tc>
          <w:tcPr>
            <w:tcW w:w="1485" w:type="dxa"/>
            <w:noWrap/>
            <w:vAlign w:val="center"/>
          </w:tcPr>
          <w:p>
            <w:pPr>
              <w:jc w:val="center"/>
              <w:rPr>
                <w:rFonts w:ascii="宋体" w:hAnsi="宋体" w:cs="宋体"/>
                <w:szCs w:val="21"/>
              </w:rPr>
            </w:pPr>
            <w:r>
              <w:rPr>
                <w:rFonts w:hint="eastAsia" w:ascii="宋体" w:hAnsi="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16</w:t>
            </w:r>
          </w:p>
        </w:tc>
        <w:tc>
          <w:tcPr>
            <w:tcW w:w="7125" w:type="dxa"/>
            <w:gridSpan w:val="2"/>
            <w:noWrap/>
            <w:vAlign w:val="center"/>
          </w:tcPr>
          <w:p>
            <w:pPr>
              <w:jc w:val="center"/>
              <w:rPr>
                <w:rFonts w:ascii="宋体" w:hAnsi="宋体" w:cs="宋体"/>
                <w:szCs w:val="21"/>
              </w:rPr>
            </w:pPr>
            <w:r>
              <w:rPr>
                <w:rFonts w:hint="eastAsia" w:ascii="宋体" w:hAnsi="宋体" w:cs="宋体"/>
                <w:szCs w:val="21"/>
              </w:rPr>
              <w:t>游离二苯基甲烷二异氰酸酯（MDI）/（g/kg）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ign w:val="center"/>
          </w:tcPr>
          <w:p>
            <w:pPr>
              <w:jc w:val="center"/>
              <w:rPr>
                <w:rFonts w:ascii="宋体" w:hAnsi="宋体" w:cs="宋体"/>
                <w:szCs w:val="21"/>
              </w:rPr>
            </w:pPr>
            <w:r>
              <w:rPr>
                <w:rFonts w:hint="eastAsia" w:ascii="宋体" w:hAnsi="宋体" w:cs="宋体"/>
                <w:szCs w:val="21"/>
              </w:rPr>
              <w:t>17</w:t>
            </w:r>
          </w:p>
        </w:tc>
        <w:tc>
          <w:tcPr>
            <w:tcW w:w="3697" w:type="dxa"/>
            <w:vMerge w:val="restart"/>
            <w:noWrap/>
            <w:vAlign w:val="center"/>
          </w:tcPr>
          <w:p>
            <w:pPr>
              <w:jc w:val="center"/>
              <w:rPr>
                <w:rFonts w:ascii="宋体" w:hAnsi="宋体" w:cs="宋体"/>
                <w:szCs w:val="21"/>
              </w:rPr>
            </w:pPr>
            <w:r>
              <w:rPr>
                <w:rFonts w:hint="eastAsia" w:ascii="宋体" w:hAnsi="宋体" w:cs="宋体"/>
                <w:szCs w:val="21"/>
              </w:rPr>
              <w:t>有害物质释放量</w:t>
            </w:r>
          </w:p>
        </w:tc>
        <w:tc>
          <w:tcPr>
            <w:tcW w:w="3428" w:type="dxa"/>
            <w:noWrap/>
            <w:vAlign w:val="center"/>
          </w:tcPr>
          <w:p>
            <w:pPr>
              <w:jc w:val="center"/>
              <w:rPr>
                <w:rFonts w:ascii="宋体" w:hAnsi="宋体" w:cs="宋体"/>
                <w:szCs w:val="21"/>
              </w:rPr>
            </w:pPr>
            <w:r>
              <w:rPr>
                <w:rFonts w:hint="eastAsia" w:ascii="宋体" w:hAnsi="宋体" w:cs="宋体"/>
                <w:szCs w:val="21"/>
              </w:rPr>
              <w:t>挥发性有机化合物（TVOC）/【mg/（㎡.h）】</w:t>
            </w:r>
          </w:p>
        </w:tc>
        <w:tc>
          <w:tcPr>
            <w:tcW w:w="1485" w:type="dxa"/>
            <w:noWrap/>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苯/【mg/（㎡.h）】</w:t>
            </w:r>
          </w:p>
        </w:tc>
        <w:tc>
          <w:tcPr>
            <w:tcW w:w="1485" w:type="dxa"/>
            <w:noWrap/>
            <w:vAlign w:val="center"/>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甲苯、二甲苯和乙苯总和/【mg/（㎡.h）】</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甲醛/【mg/（㎡.h）】</w:t>
            </w:r>
          </w:p>
        </w:tc>
        <w:tc>
          <w:tcPr>
            <w:tcW w:w="1485" w:type="dxa"/>
            <w:noWrap/>
            <w:vAlign w:val="center"/>
          </w:tcPr>
          <w:p>
            <w:pPr>
              <w:jc w:val="center"/>
              <w:rPr>
                <w:rFonts w:ascii="宋体" w:hAnsi="宋体" w:cs="宋体"/>
                <w:szCs w:val="21"/>
              </w:rPr>
            </w:pPr>
            <w:r>
              <w:rPr>
                <w:rFonts w:hint="eastAsia" w:ascii="宋体" w:hAnsi="宋体" w:cs="宋体"/>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二硫化碳/【mg/（㎡.h）】</w:t>
            </w:r>
          </w:p>
        </w:tc>
        <w:tc>
          <w:tcPr>
            <w:tcW w:w="1485" w:type="dxa"/>
            <w:noWrap/>
            <w:vAlign w:val="center"/>
          </w:tcPr>
          <w:p>
            <w:pPr>
              <w:jc w:val="center"/>
              <w:rPr>
                <w:rFonts w:ascii="宋体" w:hAnsi="宋体" w:cs="宋体"/>
                <w:szCs w:val="21"/>
              </w:rPr>
            </w:pPr>
            <w:r>
              <w:rPr>
                <w:rFonts w:hint="eastAsia" w:ascii="宋体" w:hAnsi="宋体" w:cs="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ign w:val="center"/>
          </w:tcPr>
          <w:p>
            <w:pPr>
              <w:jc w:val="center"/>
              <w:rPr>
                <w:rFonts w:ascii="宋体" w:hAnsi="宋体" w:cs="宋体"/>
                <w:szCs w:val="21"/>
              </w:rPr>
            </w:pPr>
            <w:r>
              <w:rPr>
                <w:rFonts w:hint="eastAsia" w:ascii="宋体" w:hAnsi="宋体" w:cs="宋体"/>
                <w:szCs w:val="21"/>
              </w:rPr>
              <w:t>18</w:t>
            </w:r>
          </w:p>
        </w:tc>
        <w:tc>
          <w:tcPr>
            <w:tcW w:w="3697" w:type="dxa"/>
            <w:vMerge w:val="restart"/>
            <w:noWrap/>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有害物质含量</w:t>
            </w:r>
          </w:p>
        </w:tc>
        <w:tc>
          <w:tcPr>
            <w:tcW w:w="3428" w:type="dxa"/>
            <w:noWrap/>
            <w:vAlign w:val="center"/>
          </w:tcPr>
          <w:p>
            <w:pPr>
              <w:jc w:val="center"/>
              <w:rPr>
                <w:rFonts w:ascii="宋体" w:hAnsi="宋体" w:cs="宋体"/>
                <w:szCs w:val="21"/>
              </w:rPr>
            </w:pPr>
            <w:r>
              <w:rPr>
                <w:rFonts w:hint="eastAsia" w:ascii="宋体" w:hAnsi="宋体" w:cs="宋体"/>
                <w:szCs w:val="21"/>
              </w:rPr>
              <w:t>可溶性铅/（mg/kg）</w:t>
            </w:r>
          </w:p>
        </w:tc>
        <w:tc>
          <w:tcPr>
            <w:tcW w:w="1485" w:type="dxa"/>
            <w:noWrap/>
            <w:vAlign w:val="center"/>
          </w:tcPr>
          <w:p>
            <w:pPr>
              <w:jc w:val="cente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可溶性镉/（mg/kg）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可溶性铬/（mg/kg）</w:t>
            </w:r>
          </w:p>
        </w:tc>
        <w:tc>
          <w:tcPr>
            <w:tcW w:w="1485" w:type="dxa"/>
            <w:noWrap/>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ign w:val="center"/>
          </w:tcPr>
          <w:p>
            <w:pPr>
              <w:jc w:val="center"/>
              <w:rPr>
                <w:rFonts w:ascii="宋体" w:hAnsi="宋体" w:cs="宋体"/>
                <w:szCs w:val="21"/>
              </w:rPr>
            </w:pPr>
          </w:p>
        </w:tc>
        <w:tc>
          <w:tcPr>
            <w:tcW w:w="3697" w:type="dxa"/>
            <w:vMerge w:val="continue"/>
            <w:noWrap/>
            <w:vAlign w:val="center"/>
          </w:tcPr>
          <w:p>
            <w:pPr>
              <w:jc w:val="center"/>
              <w:rPr>
                <w:rFonts w:ascii="宋体" w:hAnsi="宋体" w:cs="宋体"/>
                <w:szCs w:val="21"/>
              </w:rPr>
            </w:pPr>
          </w:p>
        </w:tc>
        <w:tc>
          <w:tcPr>
            <w:tcW w:w="3428" w:type="dxa"/>
            <w:noWrap/>
            <w:vAlign w:val="center"/>
          </w:tcPr>
          <w:p>
            <w:pPr>
              <w:jc w:val="center"/>
              <w:rPr>
                <w:rFonts w:ascii="宋体" w:hAnsi="宋体" w:cs="宋体"/>
                <w:szCs w:val="21"/>
              </w:rPr>
            </w:pPr>
            <w:r>
              <w:rPr>
                <w:rFonts w:hint="eastAsia" w:ascii="宋体" w:hAnsi="宋体" w:cs="宋体"/>
                <w:szCs w:val="21"/>
              </w:rPr>
              <w:t>可溶性汞/（mg/kg）</w:t>
            </w:r>
          </w:p>
        </w:tc>
        <w:tc>
          <w:tcPr>
            <w:tcW w:w="1485" w:type="dxa"/>
            <w:noWrap/>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ign w:val="center"/>
          </w:tcPr>
          <w:p>
            <w:pPr>
              <w:jc w:val="center"/>
              <w:rPr>
                <w:rFonts w:ascii="宋体" w:hAnsi="宋体" w:cs="宋体"/>
                <w:szCs w:val="21"/>
              </w:rPr>
            </w:pPr>
            <w:r>
              <w:rPr>
                <w:rFonts w:hint="eastAsia" w:ascii="宋体" w:hAnsi="宋体" w:cs="宋体"/>
                <w:szCs w:val="21"/>
              </w:rPr>
              <w:t>19</w:t>
            </w:r>
          </w:p>
        </w:tc>
        <w:tc>
          <w:tcPr>
            <w:tcW w:w="3697" w:type="dxa"/>
            <w:noWrap/>
            <w:vAlign w:val="center"/>
          </w:tcPr>
          <w:p>
            <w:pPr>
              <w:jc w:val="center"/>
              <w:rPr>
                <w:rFonts w:ascii="宋体" w:hAnsi="宋体" w:cs="宋体"/>
                <w:szCs w:val="21"/>
              </w:rPr>
            </w:pPr>
            <w:r>
              <w:rPr>
                <w:rFonts w:hint="eastAsia" w:ascii="宋体" w:hAnsi="宋体" w:cs="宋体"/>
                <w:szCs w:val="21"/>
              </w:rPr>
              <w:t>气味</w:t>
            </w:r>
          </w:p>
        </w:tc>
        <w:tc>
          <w:tcPr>
            <w:tcW w:w="3428" w:type="dxa"/>
            <w:noWrap/>
            <w:vAlign w:val="center"/>
          </w:tcPr>
          <w:p>
            <w:pPr>
              <w:jc w:val="center"/>
              <w:rPr>
                <w:rFonts w:ascii="宋体" w:hAnsi="宋体" w:cs="宋体"/>
                <w:szCs w:val="21"/>
              </w:rPr>
            </w:pPr>
            <w:r>
              <w:rPr>
                <w:rFonts w:hint="eastAsia" w:ascii="宋体" w:hAnsi="宋体" w:cs="宋体"/>
                <w:szCs w:val="21"/>
              </w:rPr>
              <w:t>气味等级/级</w:t>
            </w:r>
          </w:p>
        </w:tc>
        <w:tc>
          <w:tcPr>
            <w:tcW w:w="1485" w:type="dxa"/>
            <w:noWrap/>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ign w:val="center"/>
          </w:tcPr>
          <w:p>
            <w:pPr>
              <w:jc w:val="center"/>
              <w:rPr>
                <w:rFonts w:ascii="宋体" w:hAnsi="宋体" w:cs="宋体"/>
                <w:szCs w:val="21"/>
              </w:rPr>
            </w:pPr>
            <w:r>
              <w:rPr>
                <w:rFonts w:hint="eastAsia" w:ascii="宋体" w:hAnsi="宋体" w:cs="宋体"/>
                <w:szCs w:val="21"/>
              </w:rPr>
              <w:t>20</w:t>
            </w:r>
          </w:p>
        </w:tc>
        <w:tc>
          <w:tcPr>
            <w:tcW w:w="7125" w:type="dxa"/>
            <w:gridSpan w:val="2"/>
            <w:noWrap/>
            <w:vAlign w:val="center"/>
          </w:tcPr>
          <w:p>
            <w:pPr>
              <w:jc w:val="center"/>
              <w:rPr>
                <w:rFonts w:ascii="宋体" w:hAnsi="宋体" w:cs="宋体"/>
                <w:szCs w:val="21"/>
              </w:rPr>
            </w:pPr>
            <w:r>
              <w:rPr>
                <w:rFonts w:hint="eastAsia" w:ascii="宋体" w:hAnsi="宋体" w:cs="宋体"/>
                <w:szCs w:val="21"/>
              </w:rPr>
              <w:t>无机填料含量/%</w:t>
            </w:r>
          </w:p>
        </w:tc>
        <w:tc>
          <w:tcPr>
            <w:tcW w:w="1485" w:type="dxa"/>
            <w:noWrap/>
            <w:vAlign w:val="center"/>
          </w:tcPr>
          <w:p>
            <w:pPr>
              <w:jc w:val="center"/>
              <w:rPr>
                <w:rFonts w:ascii="宋体" w:hAnsi="宋体" w:cs="宋体"/>
                <w:szCs w:val="21"/>
              </w:rPr>
            </w:pPr>
            <w:r>
              <w:rPr>
                <w:rFonts w:hint="eastAsia" w:ascii="宋体" w:hAnsi="宋体" w:cs="宋体"/>
                <w:szCs w:val="21"/>
              </w:rPr>
              <w:t>≤65</w:t>
            </w:r>
          </w:p>
        </w:tc>
      </w:tr>
    </w:tbl>
    <w:p>
      <w:pPr>
        <w:spacing w:line="600" w:lineRule="exact"/>
        <w:rPr>
          <w:rFonts w:ascii="宋体" w:hAnsi="宋体" w:cs="宋体"/>
          <w:b/>
          <w:sz w:val="24"/>
        </w:rPr>
      </w:pPr>
      <w:r>
        <w:rPr>
          <w:rFonts w:hint="eastAsia" w:ascii="宋体" w:hAnsi="宋体" w:cs="宋体"/>
          <w:b/>
          <w:sz w:val="24"/>
        </w:rPr>
        <w:t>四、技术要求：</w:t>
      </w:r>
    </w:p>
    <w:p>
      <w:pPr>
        <w:spacing w:line="600" w:lineRule="exact"/>
        <w:ind w:firstLine="480" w:firstLineChars="200"/>
        <w:rPr>
          <w:rFonts w:ascii="宋体" w:hAnsi="宋体" w:cs="宋体"/>
          <w:bCs/>
          <w:sz w:val="24"/>
        </w:rPr>
      </w:pPr>
      <w:r>
        <w:rPr>
          <w:rFonts w:hint="eastAsia" w:ascii="宋体" w:hAnsi="宋体" w:cs="宋体"/>
          <w:bCs/>
          <w:sz w:val="24"/>
        </w:rPr>
        <w:t xml:space="preserve">1、中标单位使用的原厂生产的胶水、EPDM，人造草等所有主要原料成分必须为正规厂家生产的符合国家标准和环保要求的合格产品。 </w:t>
      </w:r>
    </w:p>
    <w:p>
      <w:pPr>
        <w:spacing w:line="600" w:lineRule="exact"/>
        <w:ind w:firstLine="480" w:firstLineChars="200"/>
        <w:rPr>
          <w:rFonts w:ascii="宋体" w:hAnsi="宋体" w:cs="宋体"/>
          <w:bCs/>
          <w:sz w:val="24"/>
        </w:rPr>
      </w:pPr>
      <w:r>
        <w:rPr>
          <w:rFonts w:hint="eastAsia" w:ascii="宋体" w:hAnsi="宋体" w:cs="宋体"/>
          <w:bCs/>
          <w:sz w:val="24"/>
        </w:rPr>
        <w:t>2、面层材料的环保与物理性能需达到国家的现行新国标GB36246-2018《中小学合成材料面层运动场地》标准；</w:t>
      </w:r>
    </w:p>
    <w:p>
      <w:pPr>
        <w:spacing w:line="600" w:lineRule="exact"/>
        <w:ind w:firstLine="480" w:firstLineChars="200"/>
        <w:rPr>
          <w:rFonts w:ascii="宋体" w:hAnsi="宋体" w:cs="宋体"/>
          <w:bCs/>
          <w:sz w:val="24"/>
        </w:rPr>
      </w:pPr>
      <w:r>
        <w:rPr>
          <w:rFonts w:hint="eastAsia" w:ascii="宋体" w:hAnsi="宋体" w:cs="宋体"/>
          <w:bCs/>
          <w:sz w:val="24"/>
        </w:rPr>
        <w:t>3、中标单位严禁使用废轮胎等胶粒，颗粒均为EPDM胶粒；</w:t>
      </w:r>
    </w:p>
    <w:p>
      <w:pPr>
        <w:spacing w:line="600" w:lineRule="exact"/>
        <w:ind w:firstLine="480" w:firstLineChars="200"/>
        <w:rPr>
          <w:rFonts w:ascii="宋体" w:hAnsi="宋体" w:cs="宋体"/>
          <w:bCs/>
          <w:sz w:val="24"/>
        </w:rPr>
      </w:pPr>
      <w:r>
        <w:rPr>
          <w:rFonts w:hint="eastAsia" w:ascii="宋体" w:hAnsi="宋体" w:cs="宋体"/>
          <w:bCs/>
          <w:sz w:val="24"/>
        </w:rPr>
        <w:t>4、中标单位在施工过程中严禁添加不环保材料(溶剂、催化剂等)。</w:t>
      </w:r>
    </w:p>
    <w:p>
      <w:pPr>
        <w:spacing w:line="600" w:lineRule="exact"/>
        <w:ind w:firstLine="480" w:firstLineChars="200"/>
        <w:rPr>
          <w:rFonts w:ascii="宋体" w:hAnsi="宋体" w:cs="宋体"/>
          <w:bCs/>
          <w:sz w:val="24"/>
        </w:rPr>
      </w:pPr>
      <w:r>
        <w:rPr>
          <w:rFonts w:hint="eastAsia" w:ascii="宋体" w:hAnsi="宋体" w:cs="宋体"/>
          <w:bCs/>
          <w:sz w:val="24"/>
        </w:rPr>
        <w:t>5、中标单位施工时，所有材料必须一次性进场，统一封存。对进场材料由建设方、监理方、承建方一起取样并封样样品，三方签字盖章后送经权威机构认可的第三方检测机构检验，出具检测报告一旦为不合格，中标单位必须无条件返工，返工相关费用由中标单位自行负责。材料出场必须经建设方同意并签证；</w:t>
      </w:r>
    </w:p>
    <w:p>
      <w:pPr>
        <w:spacing w:line="600" w:lineRule="exact"/>
        <w:ind w:firstLine="480" w:firstLineChars="200"/>
        <w:rPr>
          <w:rFonts w:ascii="宋体" w:hAnsi="宋体" w:cs="宋体"/>
          <w:bCs/>
          <w:sz w:val="24"/>
        </w:rPr>
      </w:pPr>
      <w:r>
        <w:rPr>
          <w:rFonts w:hint="eastAsia" w:ascii="宋体" w:hAnsi="宋体" w:cs="宋体"/>
          <w:bCs/>
          <w:sz w:val="24"/>
        </w:rPr>
        <w:t>6、标志线的划分：</w:t>
      </w:r>
    </w:p>
    <w:p>
      <w:pPr>
        <w:spacing w:line="600" w:lineRule="exact"/>
        <w:ind w:firstLine="480" w:firstLineChars="200"/>
        <w:rPr>
          <w:rFonts w:ascii="宋体" w:hAnsi="宋体" w:cs="宋体"/>
          <w:bCs/>
          <w:sz w:val="24"/>
        </w:rPr>
      </w:pPr>
      <w:r>
        <w:rPr>
          <w:rFonts w:hint="eastAsia" w:ascii="宋体" w:hAnsi="宋体" w:cs="宋体"/>
          <w:bCs/>
          <w:sz w:val="24"/>
        </w:rPr>
        <w:t>（1）根据《田径场地设施标准手册》按体育工艺要求打底线；</w:t>
      </w:r>
    </w:p>
    <w:p>
      <w:pPr>
        <w:spacing w:line="600" w:lineRule="exact"/>
        <w:ind w:firstLine="480" w:firstLineChars="200"/>
        <w:rPr>
          <w:rFonts w:ascii="宋体" w:hAnsi="宋体" w:cs="宋体"/>
          <w:bCs/>
          <w:sz w:val="24"/>
        </w:rPr>
      </w:pPr>
      <w:r>
        <w:rPr>
          <w:rFonts w:hint="eastAsia" w:ascii="宋体" w:hAnsi="宋体" w:cs="宋体"/>
          <w:bCs/>
          <w:sz w:val="24"/>
        </w:rPr>
        <w:t>（2）根据体育工艺要求用白、蓝、黄三色作分道线、栏位线及各类气跑线的标示，要求所划线段顺直、无卷边、虚边，线段间交接柔和。</w:t>
      </w:r>
    </w:p>
    <w:p>
      <w:pPr>
        <w:spacing w:line="600" w:lineRule="exact"/>
        <w:ind w:firstLine="480" w:firstLineChars="200"/>
        <w:rPr>
          <w:rFonts w:ascii="宋体" w:hAnsi="宋体" w:cs="宋体"/>
          <w:bCs/>
          <w:sz w:val="24"/>
        </w:rPr>
      </w:pPr>
      <w:r>
        <w:rPr>
          <w:rFonts w:hint="eastAsia" w:ascii="宋体" w:hAnsi="宋体" w:cs="宋体"/>
          <w:bCs/>
          <w:sz w:val="24"/>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pPr>
        <w:spacing w:line="600" w:lineRule="exact"/>
        <w:ind w:firstLine="480" w:firstLineChars="200"/>
        <w:rPr>
          <w:rFonts w:ascii="宋体" w:hAnsi="宋体" w:cs="宋体"/>
          <w:bCs/>
          <w:sz w:val="24"/>
        </w:rPr>
      </w:pPr>
      <w:r>
        <w:rPr>
          <w:rFonts w:hint="eastAsia" w:ascii="宋体" w:hAnsi="宋体" w:cs="宋体"/>
          <w:bCs/>
          <w:sz w:val="24"/>
        </w:rPr>
        <w:t>（4）标志线间的误差严禁出现负误差、正误差不超过万分之一。</w:t>
      </w:r>
    </w:p>
    <w:p>
      <w:pPr>
        <w:spacing w:line="600" w:lineRule="exact"/>
        <w:rPr>
          <w:rFonts w:ascii="宋体" w:hAnsi="宋体" w:cs="宋体"/>
          <w:b/>
          <w:sz w:val="24"/>
        </w:rPr>
      </w:pPr>
      <w:r>
        <w:rPr>
          <w:rFonts w:hint="eastAsia" w:ascii="宋体" w:hAnsi="宋体" w:cs="宋体"/>
          <w:b/>
          <w:sz w:val="24"/>
        </w:rPr>
        <w:t>五、透气型塑胶面层施工工艺：</w:t>
      </w:r>
    </w:p>
    <w:p>
      <w:pPr>
        <w:spacing w:line="600" w:lineRule="exact"/>
        <w:ind w:firstLine="480" w:firstLineChars="200"/>
        <w:rPr>
          <w:rFonts w:ascii="宋体" w:hAnsi="宋体" w:cs="宋体"/>
          <w:bCs/>
          <w:sz w:val="24"/>
        </w:rPr>
      </w:pPr>
      <w:r>
        <w:rPr>
          <w:rFonts w:hint="eastAsia" w:ascii="宋体" w:hAnsi="宋体" w:cs="宋体"/>
          <w:bCs/>
          <w:sz w:val="24"/>
        </w:rPr>
        <w:t>（一）准备工作：</w:t>
      </w:r>
    </w:p>
    <w:p>
      <w:pPr>
        <w:spacing w:line="600" w:lineRule="exact"/>
        <w:ind w:firstLine="480" w:firstLineChars="200"/>
        <w:rPr>
          <w:rFonts w:ascii="宋体" w:hAnsi="宋体" w:cs="宋体"/>
          <w:bCs/>
          <w:sz w:val="24"/>
        </w:rPr>
      </w:pPr>
      <w:r>
        <w:rPr>
          <w:rFonts w:hint="eastAsia" w:ascii="宋体" w:hAnsi="宋体" w:cs="宋体"/>
          <w:bCs/>
          <w:sz w:val="24"/>
        </w:rPr>
        <w:t>1、检查设备：对设备检查运行情况，对原料的包装等进行检查。</w:t>
      </w:r>
    </w:p>
    <w:p>
      <w:pPr>
        <w:spacing w:line="600" w:lineRule="exact"/>
        <w:ind w:firstLine="480" w:firstLineChars="200"/>
        <w:rPr>
          <w:rFonts w:ascii="宋体" w:hAnsi="宋体" w:cs="宋体"/>
          <w:bCs/>
          <w:sz w:val="24"/>
        </w:rPr>
      </w:pPr>
      <w:r>
        <w:rPr>
          <w:rFonts w:hint="eastAsia" w:ascii="宋体" w:hAnsi="宋体" w:cs="宋体"/>
          <w:bCs/>
          <w:sz w:val="24"/>
        </w:rPr>
        <w:t>2、按原料批号作小试验。</w:t>
      </w:r>
    </w:p>
    <w:p>
      <w:pPr>
        <w:spacing w:line="600" w:lineRule="exact"/>
        <w:ind w:firstLine="480" w:firstLineChars="200"/>
        <w:rPr>
          <w:rFonts w:ascii="宋体" w:hAnsi="宋体" w:cs="宋体"/>
          <w:bCs/>
          <w:sz w:val="24"/>
        </w:rPr>
      </w:pPr>
      <w:r>
        <w:rPr>
          <w:rFonts w:hint="eastAsia" w:ascii="宋体" w:hAnsi="宋体" w:cs="宋体"/>
          <w:bCs/>
          <w:sz w:val="24"/>
        </w:rPr>
        <w:t>（二）铺设：</w:t>
      </w:r>
    </w:p>
    <w:p>
      <w:pPr>
        <w:spacing w:line="600" w:lineRule="exact"/>
        <w:ind w:firstLine="480" w:firstLineChars="200"/>
        <w:rPr>
          <w:rFonts w:ascii="宋体" w:hAnsi="宋体" w:cs="宋体"/>
          <w:bCs/>
          <w:sz w:val="24"/>
        </w:rPr>
      </w:pPr>
      <w:r>
        <w:rPr>
          <w:rFonts w:hint="eastAsia" w:ascii="宋体" w:hAnsi="宋体" w:cs="宋体"/>
          <w:bCs/>
          <w:sz w:val="24"/>
        </w:rPr>
        <w:t>1、将各组份定量送到施工现场。</w:t>
      </w:r>
    </w:p>
    <w:p>
      <w:pPr>
        <w:spacing w:line="600" w:lineRule="exact"/>
        <w:ind w:firstLine="480" w:firstLineChars="200"/>
        <w:rPr>
          <w:rFonts w:ascii="宋体" w:hAnsi="宋体" w:cs="宋体"/>
          <w:bCs/>
          <w:sz w:val="24"/>
        </w:rPr>
      </w:pPr>
      <w:r>
        <w:rPr>
          <w:rFonts w:hint="eastAsia" w:ascii="宋体" w:hAnsi="宋体" w:cs="宋体"/>
          <w:bCs/>
          <w:sz w:val="24"/>
        </w:rPr>
        <w:t>2、底胶：用滚筒或喷涂机按每平方0.2-0.3KG(具体用量视底涂胶水粘度、基础类型而定)进行底涂处理，塑胶铺设面范围要求全部滚涂或喷涂到位，不得有遗漏区域。</w:t>
      </w:r>
    </w:p>
    <w:p>
      <w:pPr>
        <w:spacing w:line="600" w:lineRule="exact"/>
        <w:ind w:firstLine="480" w:firstLineChars="200"/>
        <w:rPr>
          <w:rFonts w:ascii="宋体" w:hAnsi="宋体" w:cs="宋体"/>
          <w:bCs/>
          <w:sz w:val="24"/>
        </w:rPr>
      </w:pPr>
      <w:r>
        <w:rPr>
          <w:rFonts w:hint="eastAsia" w:ascii="宋体" w:hAnsi="宋体" w:cs="宋体"/>
          <w:bCs/>
          <w:sz w:val="24"/>
        </w:rPr>
        <w:t>3、搅拌：弹性颗粒与聚氨酯底层环保胶粘剂的配比为1：6-7（重量比）将材料加入专用机械中充分搅拌均匀后倒入铺设区域内。</w:t>
      </w:r>
    </w:p>
    <w:p>
      <w:pPr>
        <w:spacing w:line="600" w:lineRule="exact"/>
        <w:ind w:firstLine="480" w:firstLineChars="200"/>
        <w:rPr>
          <w:rFonts w:ascii="宋体" w:hAnsi="宋体" w:cs="宋体"/>
          <w:bCs/>
          <w:sz w:val="24"/>
        </w:rPr>
      </w:pPr>
      <w:r>
        <w:rPr>
          <w:rFonts w:hint="eastAsia" w:ascii="宋体" w:hAnsi="宋体" w:cs="宋体"/>
          <w:bCs/>
          <w:sz w:val="24"/>
        </w:rPr>
        <w:t xml:space="preserve">4、铺设基层：基层施工时技术人员先把底料按设计厚度10mm均匀地耙平，然后采用调整好不锈钢调温压板的铺装机进行机械铺装。  </w:t>
      </w:r>
    </w:p>
    <w:p>
      <w:pPr>
        <w:spacing w:line="600" w:lineRule="exact"/>
        <w:ind w:firstLine="480" w:firstLineChars="200"/>
        <w:rPr>
          <w:rFonts w:ascii="宋体" w:hAnsi="宋体" w:cs="宋体"/>
          <w:bCs/>
          <w:sz w:val="24"/>
        </w:rPr>
      </w:pPr>
      <w:r>
        <w:rPr>
          <w:rFonts w:hint="eastAsia" w:ascii="宋体" w:hAnsi="宋体" w:cs="宋体"/>
          <w:bCs/>
          <w:sz w:val="24"/>
        </w:rPr>
        <w:t>5、喷涂面层：面层施工时技术人员先把胶水和EPDM颗粒等（0.5-2mm）按比例混合均匀，采用喷涂机喷涂2-3次。</w:t>
      </w:r>
    </w:p>
    <w:p>
      <w:pPr>
        <w:spacing w:line="600" w:lineRule="exact"/>
        <w:ind w:firstLine="480" w:firstLineChars="200"/>
        <w:rPr>
          <w:rFonts w:ascii="宋体" w:hAnsi="宋体" w:cs="宋体"/>
          <w:bCs/>
          <w:sz w:val="24"/>
        </w:rPr>
      </w:pPr>
      <w:r>
        <w:rPr>
          <w:rFonts w:hint="eastAsia" w:ascii="宋体" w:hAnsi="宋体" w:cs="宋体"/>
          <w:bCs/>
          <w:sz w:val="24"/>
        </w:rPr>
        <w:t>（三）划线：</w:t>
      </w:r>
    </w:p>
    <w:p>
      <w:pPr>
        <w:spacing w:line="600" w:lineRule="exact"/>
        <w:ind w:firstLine="480" w:firstLineChars="200"/>
        <w:rPr>
          <w:rFonts w:ascii="宋体" w:hAnsi="宋体" w:cs="宋体"/>
          <w:bCs/>
          <w:sz w:val="24"/>
        </w:rPr>
      </w:pPr>
      <w:r>
        <w:rPr>
          <w:rFonts w:hint="eastAsia" w:ascii="宋体" w:hAnsi="宋体" w:cs="宋体"/>
          <w:bCs/>
          <w:sz w:val="24"/>
        </w:rPr>
        <w:t>1、根据《田径场地设施标准手册》》按体育工艺要求打底线，划线前应对每一个定点标志确认正确。</w:t>
      </w:r>
    </w:p>
    <w:p>
      <w:pPr>
        <w:spacing w:line="600" w:lineRule="exact"/>
        <w:ind w:firstLine="480" w:firstLineChars="200"/>
        <w:rPr>
          <w:rFonts w:ascii="宋体" w:hAnsi="宋体" w:cs="宋体"/>
          <w:bCs/>
          <w:sz w:val="24"/>
        </w:rPr>
      </w:pPr>
      <w:r>
        <w:rPr>
          <w:rFonts w:hint="eastAsia" w:ascii="宋体" w:hAnsi="宋体" w:cs="宋体"/>
          <w:bCs/>
          <w:sz w:val="24"/>
        </w:rPr>
        <w:t>2、测量无误后采用进口划线漆划线</w:t>
      </w:r>
    </w:p>
    <w:p>
      <w:pPr>
        <w:spacing w:line="600" w:lineRule="exact"/>
        <w:rPr>
          <w:rFonts w:ascii="宋体" w:hAnsi="宋体" w:cs="宋体"/>
          <w:b/>
          <w:sz w:val="24"/>
        </w:rPr>
      </w:pPr>
      <w:r>
        <w:rPr>
          <w:rFonts w:hint="eastAsia" w:ascii="宋体" w:hAnsi="宋体" w:cs="宋体"/>
          <w:b/>
          <w:sz w:val="24"/>
        </w:rPr>
        <w:t>六、工程质量的确保措施：</w:t>
      </w:r>
    </w:p>
    <w:p>
      <w:pPr>
        <w:spacing w:line="600" w:lineRule="exact"/>
        <w:ind w:firstLine="480" w:firstLineChars="200"/>
        <w:rPr>
          <w:rFonts w:ascii="宋体" w:hAnsi="宋体" w:cs="宋体"/>
          <w:bCs/>
          <w:sz w:val="24"/>
        </w:rPr>
      </w:pPr>
      <w:r>
        <w:rPr>
          <w:rFonts w:hint="eastAsia" w:ascii="宋体" w:hAnsi="宋体" w:cs="宋体"/>
          <w:bCs/>
          <w:sz w:val="24"/>
        </w:rPr>
        <w:t>1、建立以项目经理为首，项目副经理和技术负责人具体负责的项目质量管理机构。</w:t>
      </w:r>
    </w:p>
    <w:p>
      <w:pPr>
        <w:spacing w:line="600" w:lineRule="exact"/>
        <w:ind w:firstLine="480" w:firstLineChars="200"/>
        <w:rPr>
          <w:rFonts w:ascii="宋体" w:hAnsi="宋体" w:cs="宋体"/>
          <w:bCs/>
          <w:sz w:val="24"/>
        </w:rPr>
      </w:pPr>
      <w:r>
        <w:rPr>
          <w:rFonts w:hint="eastAsia" w:ascii="宋体" w:hAnsi="宋体" w:cs="宋体"/>
          <w:bCs/>
          <w:sz w:val="24"/>
        </w:rPr>
        <w:t>2、坚持“预防为主”，做好工程质量预控工作。</w:t>
      </w:r>
    </w:p>
    <w:p>
      <w:pPr>
        <w:spacing w:line="600" w:lineRule="exact"/>
        <w:ind w:firstLine="480" w:firstLineChars="200"/>
        <w:rPr>
          <w:rFonts w:ascii="宋体" w:hAnsi="宋体" w:cs="宋体"/>
          <w:bCs/>
          <w:sz w:val="24"/>
        </w:rPr>
      </w:pPr>
      <w:r>
        <w:rPr>
          <w:rFonts w:hint="eastAsia" w:ascii="宋体" w:hAnsi="宋体" w:cs="宋体"/>
          <w:bCs/>
          <w:sz w:val="24"/>
        </w:rPr>
        <w:t>3、专人负责档案管理的工作，保证施工规范、标准及有效性。</w:t>
      </w:r>
    </w:p>
    <w:p>
      <w:pPr>
        <w:spacing w:line="600" w:lineRule="exact"/>
        <w:ind w:firstLine="480" w:firstLineChars="200"/>
        <w:rPr>
          <w:rFonts w:ascii="宋体" w:hAnsi="宋体" w:cs="宋体"/>
          <w:bCs/>
          <w:sz w:val="24"/>
        </w:rPr>
      </w:pPr>
      <w:r>
        <w:rPr>
          <w:rFonts w:hint="eastAsia" w:ascii="宋体" w:hAnsi="宋体" w:cs="宋体"/>
          <w:bCs/>
          <w:sz w:val="24"/>
        </w:rPr>
        <w:t>4、选择专业水平高好、管理能力强的工程技术人员和管理人员负责本工程的施工管理工作，重要岗位安排稳定的人员专人持证上岗。</w:t>
      </w:r>
    </w:p>
    <w:p>
      <w:pPr>
        <w:spacing w:line="600" w:lineRule="exact"/>
        <w:ind w:firstLine="480" w:firstLineChars="200"/>
        <w:rPr>
          <w:rFonts w:ascii="宋体" w:hAnsi="宋体" w:cs="宋体"/>
          <w:bCs/>
          <w:sz w:val="24"/>
        </w:rPr>
      </w:pPr>
      <w:r>
        <w:rPr>
          <w:rFonts w:hint="eastAsia" w:ascii="宋体" w:hAnsi="宋体" w:cs="宋体"/>
          <w:bCs/>
          <w:sz w:val="24"/>
        </w:rPr>
        <w:t>5、材料合理摆放，外面用帆布覆盖，防止紫外线、雨水等材料造成影响。</w:t>
      </w:r>
    </w:p>
    <w:p>
      <w:pPr>
        <w:spacing w:line="600" w:lineRule="exact"/>
        <w:ind w:firstLine="480" w:firstLineChars="200"/>
        <w:rPr>
          <w:rFonts w:ascii="宋体" w:hAnsi="宋体" w:cs="宋体"/>
          <w:bCs/>
          <w:sz w:val="24"/>
        </w:rPr>
      </w:pPr>
      <w:r>
        <w:rPr>
          <w:rFonts w:hint="eastAsia" w:ascii="宋体" w:hAnsi="宋体" w:cs="宋体"/>
          <w:bCs/>
          <w:sz w:val="24"/>
        </w:rPr>
        <w:t>6、施工过程中遇雨天，应加强施工管理力量，无法施工时，应立即停止配料，并取得现场监理许可。</w:t>
      </w:r>
    </w:p>
    <w:p>
      <w:pPr>
        <w:spacing w:line="600" w:lineRule="exact"/>
        <w:ind w:firstLine="480" w:firstLineChars="200"/>
        <w:rPr>
          <w:rFonts w:ascii="宋体" w:hAnsi="宋体" w:cs="宋体"/>
          <w:bCs/>
          <w:sz w:val="24"/>
        </w:rPr>
      </w:pPr>
      <w:r>
        <w:rPr>
          <w:rFonts w:hint="eastAsia" w:ascii="宋体" w:hAnsi="宋体" w:cs="宋体"/>
          <w:bCs/>
          <w:sz w:val="24"/>
        </w:rPr>
        <w:t>7、施工过程中遇强风情况，应随时清除杂物，保持施工环境的清洁，无法施工时，应立即停止配料，并取得现场监理许可。</w:t>
      </w:r>
    </w:p>
    <w:p>
      <w:pPr>
        <w:spacing w:line="600" w:lineRule="exact"/>
        <w:ind w:firstLine="480" w:firstLineChars="200"/>
        <w:rPr>
          <w:rFonts w:ascii="宋体" w:hAnsi="宋体" w:cs="宋体"/>
          <w:bCs/>
          <w:sz w:val="24"/>
        </w:rPr>
      </w:pPr>
      <w:r>
        <w:rPr>
          <w:rFonts w:hint="eastAsia" w:ascii="宋体" w:hAnsi="宋体" w:cs="宋体"/>
          <w:bCs/>
          <w:sz w:val="24"/>
        </w:rPr>
        <w:t>8、施工过程中遇停电情况，应立即停止配料，清理所有机械设备，以保证机械设备的再使用。</w:t>
      </w:r>
    </w:p>
    <w:p>
      <w:pPr>
        <w:spacing w:line="600" w:lineRule="exact"/>
        <w:ind w:firstLine="480" w:firstLineChars="200"/>
        <w:rPr>
          <w:rFonts w:ascii="宋体" w:hAnsi="宋体" w:cs="宋体"/>
          <w:bCs/>
          <w:sz w:val="24"/>
        </w:rPr>
      </w:pPr>
      <w:r>
        <w:rPr>
          <w:rFonts w:hint="eastAsia" w:ascii="宋体" w:hAnsi="宋体" w:cs="宋体"/>
          <w:bCs/>
          <w:sz w:val="24"/>
        </w:rPr>
        <w:t>9、严格执行合同规定条款的各项保修义务，及时服务与维修。</w:t>
      </w:r>
    </w:p>
    <w:p>
      <w:pPr>
        <w:spacing w:line="600" w:lineRule="exact"/>
        <w:rPr>
          <w:rFonts w:ascii="宋体" w:hAnsi="宋体" w:cs="宋体"/>
          <w:b/>
          <w:sz w:val="24"/>
        </w:rPr>
      </w:pPr>
      <w:r>
        <w:rPr>
          <w:rFonts w:hint="eastAsia" w:ascii="宋体" w:hAnsi="宋体" w:cs="宋体"/>
          <w:b/>
          <w:sz w:val="24"/>
        </w:rPr>
        <w:t>七、安全生产的确保措施：</w:t>
      </w:r>
    </w:p>
    <w:p>
      <w:pPr>
        <w:spacing w:line="600" w:lineRule="exact"/>
        <w:ind w:firstLine="480" w:firstLineChars="200"/>
        <w:rPr>
          <w:rFonts w:ascii="宋体" w:hAnsi="宋体" w:cs="宋体"/>
          <w:bCs/>
          <w:sz w:val="24"/>
        </w:rPr>
      </w:pPr>
      <w:r>
        <w:rPr>
          <w:rFonts w:hint="eastAsia" w:ascii="宋体" w:hAnsi="宋体" w:cs="宋体"/>
          <w:bCs/>
          <w:sz w:val="24"/>
        </w:rPr>
        <w:t>1、责任人到位。从思想上把安全管理工作摆到首位，负责制定安全管理计划、目标工作，主持安全生产，参加安全生产大检查，支持安全人员执法检查、监督工作。</w:t>
      </w:r>
    </w:p>
    <w:p>
      <w:pPr>
        <w:spacing w:line="600" w:lineRule="exact"/>
        <w:ind w:firstLine="480" w:firstLineChars="200"/>
        <w:rPr>
          <w:rFonts w:ascii="宋体" w:hAnsi="宋体" w:cs="宋体"/>
          <w:bCs/>
          <w:sz w:val="24"/>
        </w:rPr>
      </w:pPr>
      <w:r>
        <w:rPr>
          <w:rFonts w:hint="eastAsia" w:ascii="宋体" w:hAnsi="宋体" w:cs="宋体"/>
          <w:bCs/>
          <w:sz w:val="24"/>
        </w:rPr>
        <w:t>2、编制各级安全管理岗位责任制，认真具体编制各级安全岗位责任以及安全生产规章制度。</w:t>
      </w:r>
    </w:p>
    <w:p>
      <w:pPr>
        <w:spacing w:line="600" w:lineRule="exact"/>
        <w:ind w:firstLine="480" w:firstLineChars="200"/>
        <w:rPr>
          <w:rFonts w:ascii="宋体" w:hAnsi="宋体" w:cs="宋体"/>
          <w:bCs/>
          <w:sz w:val="24"/>
        </w:rPr>
      </w:pPr>
      <w:r>
        <w:rPr>
          <w:rFonts w:hint="eastAsia" w:ascii="宋体" w:hAnsi="宋体" w:cs="宋体"/>
          <w:bCs/>
          <w:sz w:val="24"/>
        </w:rPr>
        <w:t>3、建立、健全安全生产档案管理制度。</w:t>
      </w:r>
    </w:p>
    <w:p>
      <w:pPr>
        <w:spacing w:line="600" w:lineRule="exact"/>
        <w:ind w:firstLine="480" w:firstLineChars="200"/>
        <w:rPr>
          <w:rFonts w:ascii="宋体" w:hAnsi="宋体" w:cs="宋体"/>
          <w:bCs/>
          <w:sz w:val="24"/>
        </w:rPr>
      </w:pPr>
      <w:r>
        <w:rPr>
          <w:rFonts w:hint="eastAsia" w:ascii="宋体" w:hAnsi="宋体" w:cs="宋体"/>
          <w:bCs/>
          <w:sz w:val="24"/>
        </w:rPr>
        <w:t>4、建立、健全“三级”安全教育制度。对进场的员工进行三级安全教育。</w:t>
      </w:r>
    </w:p>
    <w:p>
      <w:pPr>
        <w:spacing w:line="600" w:lineRule="exact"/>
        <w:ind w:firstLine="480" w:firstLineChars="200"/>
        <w:rPr>
          <w:rFonts w:ascii="宋体" w:hAnsi="宋体" w:cs="宋体"/>
          <w:bCs/>
          <w:sz w:val="24"/>
        </w:rPr>
      </w:pPr>
      <w:r>
        <w:rPr>
          <w:rFonts w:hint="eastAsia" w:ascii="宋体" w:hAnsi="宋体" w:cs="宋体"/>
          <w:bCs/>
          <w:sz w:val="24"/>
        </w:rPr>
        <w:t>5、建立、健全安全技术措施方案编制、审批、交底制度。</w:t>
      </w:r>
    </w:p>
    <w:p>
      <w:pPr>
        <w:spacing w:line="600" w:lineRule="exact"/>
        <w:ind w:firstLine="480" w:firstLineChars="200"/>
        <w:rPr>
          <w:rFonts w:ascii="宋体" w:hAnsi="宋体" w:cs="宋体"/>
          <w:bCs/>
          <w:sz w:val="24"/>
        </w:rPr>
      </w:pPr>
      <w:r>
        <w:rPr>
          <w:rFonts w:hint="eastAsia" w:ascii="宋体" w:hAnsi="宋体" w:cs="宋体"/>
          <w:bCs/>
          <w:sz w:val="24"/>
        </w:rPr>
        <w:t>6、建立、健全施工机械检查、验收手续制度。机械投用前必须有主管部门负责组织履行检查、验收手续。</w:t>
      </w:r>
    </w:p>
    <w:p>
      <w:pPr>
        <w:spacing w:line="600" w:lineRule="exact"/>
        <w:ind w:firstLine="480" w:firstLineChars="200"/>
        <w:rPr>
          <w:rFonts w:ascii="宋体" w:hAnsi="宋体" w:cs="宋体"/>
          <w:bCs/>
          <w:sz w:val="24"/>
        </w:rPr>
      </w:pPr>
      <w:r>
        <w:rPr>
          <w:rFonts w:hint="eastAsia" w:ascii="宋体" w:hAnsi="宋体" w:cs="宋体"/>
          <w:bCs/>
          <w:sz w:val="24"/>
        </w:rPr>
        <w:t>7、机械、设备、保养、检修制度。现场使用的各种机械设备日常应加强包、检修、优质机械、设备的良好状态。</w:t>
      </w:r>
    </w:p>
    <w:p>
      <w:pPr>
        <w:spacing w:line="600" w:lineRule="exact"/>
        <w:ind w:firstLine="480" w:firstLineChars="200"/>
        <w:rPr>
          <w:rFonts w:ascii="宋体" w:hAnsi="宋体" w:cs="宋体"/>
          <w:bCs/>
          <w:sz w:val="24"/>
        </w:rPr>
      </w:pPr>
      <w:r>
        <w:rPr>
          <w:rFonts w:hint="eastAsia" w:ascii="宋体" w:hAnsi="宋体" w:cs="宋体"/>
          <w:bCs/>
          <w:sz w:val="24"/>
        </w:rPr>
        <w:t>8、现场作业人员做到遵守劳动纪律，遵守安全生产作业技术操作规程。</w:t>
      </w:r>
    </w:p>
    <w:p>
      <w:pPr>
        <w:spacing w:line="600" w:lineRule="exact"/>
        <w:ind w:firstLine="480" w:firstLineChars="200"/>
        <w:rPr>
          <w:rFonts w:ascii="宋体" w:hAnsi="宋体" w:cs="宋体"/>
          <w:bCs/>
          <w:sz w:val="24"/>
        </w:rPr>
      </w:pPr>
      <w:r>
        <w:rPr>
          <w:rFonts w:hint="eastAsia" w:ascii="宋体" w:hAnsi="宋体" w:cs="宋体"/>
          <w:bCs/>
          <w:sz w:val="24"/>
        </w:rPr>
        <w:t>9、创造符合安全生产要求的作业环境。现场作业场所使用的原材料必须分门别类堆放好。</w:t>
      </w:r>
    </w:p>
    <w:p>
      <w:pPr>
        <w:spacing w:line="600" w:lineRule="exact"/>
        <w:ind w:firstLine="480" w:firstLineChars="200"/>
        <w:rPr>
          <w:rFonts w:ascii="宋体" w:hAnsi="宋体" w:cs="宋体"/>
          <w:bCs/>
          <w:sz w:val="24"/>
        </w:rPr>
      </w:pPr>
      <w:r>
        <w:rPr>
          <w:rFonts w:hint="eastAsia" w:ascii="宋体" w:hAnsi="宋体" w:cs="宋体"/>
          <w:bCs/>
          <w:sz w:val="24"/>
        </w:rPr>
        <w:t>10、成立工地保卫领导小组，项目部经理任组长，安全负责人为副组长。</w:t>
      </w:r>
    </w:p>
    <w:p>
      <w:pPr>
        <w:spacing w:line="600" w:lineRule="exact"/>
        <w:ind w:firstLine="480" w:firstLineChars="200"/>
        <w:rPr>
          <w:rFonts w:ascii="宋体" w:hAnsi="宋体" w:cs="宋体"/>
          <w:bCs/>
          <w:sz w:val="24"/>
        </w:rPr>
      </w:pPr>
      <w:r>
        <w:rPr>
          <w:rFonts w:hint="eastAsia" w:ascii="宋体" w:hAnsi="宋体" w:cs="宋体"/>
          <w:bCs/>
          <w:sz w:val="24"/>
        </w:rPr>
        <w:t>11、建立、健全施工用电、防火、防爆安全管理制度。</w:t>
      </w:r>
    </w:p>
    <w:p>
      <w:pPr>
        <w:spacing w:line="600" w:lineRule="exact"/>
        <w:ind w:firstLine="480" w:firstLineChars="200"/>
        <w:rPr>
          <w:rFonts w:ascii="宋体" w:hAnsi="宋体" w:cs="宋体"/>
          <w:bCs/>
          <w:sz w:val="24"/>
        </w:rPr>
      </w:pPr>
      <w:r>
        <w:rPr>
          <w:rFonts w:hint="eastAsia" w:ascii="宋体" w:hAnsi="宋体" w:cs="宋体"/>
          <w:bCs/>
          <w:sz w:val="24"/>
        </w:rPr>
        <w:t>12、用电设备和电源线应符合公用电管理要求，严禁用电乱拉乱接。</w:t>
      </w:r>
    </w:p>
    <w:p>
      <w:pPr>
        <w:spacing w:line="600" w:lineRule="exact"/>
        <w:ind w:firstLine="480" w:firstLineChars="200"/>
        <w:rPr>
          <w:rFonts w:ascii="宋体" w:hAnsi="宋体" w:cs="宋体"/>
          <w:bCs/>
          <w:sz w:val="24"/>
        </w:rPr>
      </w:pPr>
      <w:r>
        <w:rPr>
          <w:rFonts w:hint="eastAsia" w:ascii="宋体" w:hAnsi="宋体" w:cs="宋体"/>
          <w:bCs/>
          <w:sz w:val="24"/>
        </w:rPr>
        <w:t>13、进入施工现场，不准穿高跟鞋及拖鞋。</w:t>
      </w:r>
    </w:p>
    <w:p>
      <w:pPr>
        <w:spacing w:line="600" w:lineRule="exact"/>
        <w:ind w:firstLine="480" w:firstLineChars="200"/>
        <w:rPr>
          <w:rFonts w:ascii="宋体" w:hAnsi="宋体" w:cs="宋体"/>
          <w:bCs/>
          <w:sz w:val="24"/>
        </w:rPr>
      </w:pPr>
      <w:r>
        <w:rPr>
          <w:rFonts w:hint="eastAsia" w:ascii="宋体" w:hAnsi="宋体" w:cs="宋体"/>
          <w:bCs/>
          <w:sz w:val="24"/>
        </w:rPr>
        <w:t>14、施工现场和工作时间，不允许开玩笑和打闹。</w:t>
      </w:r>
    </w:p>
    <w:p>
      <w:pPr>
        <w:spacing w:line="600" w:lineRule="exact"/>
        <w:ind w:firstLine="480" w:firstLineChars="200"/>
        <w:rPr>
          <w:rFonts w:ascii="宋体" w:hAnsi="宋体" w:cs="宋体"/>
          <w:bCs/>
          <w:sz w:val="24"/>
        </w:rPr>
      </w:pPr>
      <w:r>
        <w:rPr>
          <w:rFonts w:hint="eastAsia" w:ascii="宋体" w:hAnsi="宋体" w:cs="宋体"/>
          <w:bCs/>
          <w:sz w:val="24"/>
        </w:rPr>
        <w:t>15、施工现场设围栏警告标志。</w:t>
      </w:r>
    </w:p>
    <w:p>
      <w:pPr>
        <w:spacing w:line="600" w:lineRule="exact"/>
        <w:ind w:firstLine="480" w:firstLineChars="200"/>
        <w:rPr>
          <w:rFonts w:ascii="宋体" w:hAnsi="宋体" w:cs="宋体"/>
          <w:bCs/>
          <w:sz w:val="24"/>
        </w:rPr>
      </w:pPr>
      <w:r>
        <w:rPr>
          <w:rFonts w:hint="eastAsia" w:ascii="宋体" w:hAnsi="宋体" w:cs="宋体"/>
          <w:bCs/>
          <w:sz w:val="24"/>
        </w:rPr>
        <w:t>16、非操作人员不得操作施工机械，非驾驶员不得驾驶机动车辆。</w:t>
      </w:r>
    </w:p>
    <w:p>
      <w:pPr>
        <w:spacing w:line="600" w:lineRule="exact"/>
        <w:rPr>
          <w:rFonts w:ascii="宋体" w:hAnsi="宋体" w:cs="宋体"/>
          <w:b/>
          <w:sz w:val="24"/>
        </w:rPr>
      </w:pPr>
      <w:r>
        <w:rPr>
          <w:rFonts w:hint="eastAsia" w:ascii="宋体" w:hAnsi="宋体" w:cs="宋体"/>
          <w:b/>
          <w:sz w:val="24"/>
        </w:rPr>
        <w:t>八、项目实施要求：</w:t>
      </w:r>
    </w:p>
    <w:p>
      <w:pPr>
        <w:spacing w:line="600" w:lineRule="exact"/>
        <w:ind w:firstLine="480" w:firstLineChars="200"/>
        <w:rPr>
          <w:rFonts w:ascii="宋体" w:hAnsi="宋体" w:cs="宋体"/>
          <w:bCs/>
          <w:sz w:val="24"/>
        </w:rPr>
      </w:pPr>
      <w:r>
        <w:rPr>
          <w:rFonts w:hint="eastAsia" w:ascii="宋体" w:hAnsi="宋体" w:cs="宋体"/>
          <w:bCs/>
          <w:sz w:val="24"/>
        </w:rPr>
        <w:t>签订合同后，供应商按照其与采购人的事先约定完成采购需求中约定的工作并将所供货物免费上门送货至采购人指定地点后拆箱，负责免费安装调试，正常运行后交用户单位验收。</w:t>
      </w:r>
    </w:p>
    <w:p>
      <w:pPr>
        <w:spacing w:line="600" w:lineRule="exact"/>
        <w:rPr>
          <w:rFonts w:ascii="宋体" w:hAnsi="宋体" w:cs="宋体"/>
          <w:b/>
          <w:sz w:val="24"/>
        </w:rPr>
      </w:pPr>
      <w:r>
        <w:rPr>
          <w:rFonts w:hint="eastAsia" w:ascii="宋体" w:hAnsi="宋体" w:cs="宋体"/>
          <w:b/>
          <w:sz w:val="24"/>
        </w:rPr>
        <w:t>九、项目竣工验收要求：</w:t>
      </w:r>
    </w:p>
    <w:p>
      <w:pPr>
        <w:spacing w:line="600" w:lineRule="exact"/>
        <w:ind w:firstLine="480" w:firstLineChars="200"/>
        <w:rPr>
          <w:rFonts w:ascii="宋体" w:hAnsi="宋体" w:cs="宋体"/>
          <w:bCs/>
          <w:sz w:val="24"/>
        </w:rPr>
      </w:pPr>
      <w:r>
        <w:rPr>
          <w:rFonts w:hint="eastAsia" w:ascii="宋体" w:hAnsi="宋体" w:cs="宋体"/>
          <w:bCs/>
          <w:sz w:val="24"/>
        </w:rPr>
        <w:t>1、按图施工完毕，做好圆心定位工作，验收时尺寸必须满足采购人要求；</w:t>
      </w:r>
    </w:p>
    <w:p>
      <w:pPr>
        <w:spacing w:line="600" w:lineRule="exact"/>
        <w:ind w:firstLine="480" w:firstLineChars="200"/>
        <w:rPr>
          <w:rFonts w:ascii="宋体" w:hAnsi="宋体" w:cs="宋体"/>
          <w:bCs/>
          <w:sz w:val="24"/>
        </w:rPr>
      </w:pPr>
      <w:r>
        <w:rPr>
          <w:rFonts w:hint="eastAsia" w:ascii="宋体" w:hAnsi="宋体" w:cs="宋体"/>
          <w:bCs/>
          <w:sz w:val="24"/>
        </w:rPr>
        <w:t>2、各部位面层厚度必须达到图纸要求；</w:t>
      </w:r>
    </w:p>
    <w:p>
      <w:pPr>
        <w:spacing w:line="600" w:lineRule="exact"/>
        <w:ind w:firstLine="480" w:firstLineChars="200"/>
        <w:rPr>
          <w:rFonts w:ascii="宋体" w:hAnsi="宋体" w:cs="宋体"/>
          <w:bCs/>
          <w:sz w:val="24"/>
        </w:rPr>
      </w:pPr>
      <w:r>
        <w:rPr>
          <w:rFonts w:hint="eastAsia" w:ascii="宋体" w:hAnsi="宋体" w:cs="宋体"/>
          <w:bCs/>
          <w:sz w:val="24"/>
        </w:rPr>
        <w:t>3、任何部位、任何方向均应符合：4M直尺下不应有＞6MM的间隙或1M直尺下不应有3MM的间隙，冲击吸收为30-50%，垂直变形为0.6-2.5MM，抗滑值（BPN20℃）≥47，拉伸强度（MPA）≥0.5，拉断伸长率≥40%，阻燃性为I级；</w:t>
      </w:r>
    </w:p>
    <w:p>
      <w:pPr>
        <w:spacing w:line="600" w:lineRule="exact"/>
        <w:ind w:firstLine="480" w:firstLineChars="200"/>
        <w:rPr>
          <w:rFonts w:ascii="宋体" w:hAnsi="宋体" w:cs="宋体"/>
          <w:bCs/>
          <w:sz w:val="24"/>
        </w:rPr>
      </w:pPr>
      <w:r>
        <w:rPr>
          <w:rFonts w:hint="eastAsia" w:ascii="宋体" w:hAnsi="宋体" w:cs="宋体"/>
          <w:bCs/>
          <w:sz w:val="24"/>
        </w:rPr>
        <w:t>4、外观任何部位的塑胶面层应无气泡、无裂缝或塑胶现象，接缝需平直，无明显痕迹；</w:t>
      </w:r>
    </w:p>
    <w:p>
      <w:pPr>
        <w:spacing w:line="600" w:lineRule="exact"/>
        <w:ind w:firstLine="480" w:firstLineChars="200"/>
        <w:rPr>
          <w:rFonts w:ascii="宋体" w:hAnsi="宋体" w:cs="宋体"/>
          <w:bCs/>
          <w:sz w:val="24"/>
        </w:rPr>
      </w:pPr>
      <w:r>
        <w:rPr>
          <w:rFonts w:hint="eastAsia" w:ascii="宋体" w:hAnsi="宋体" w:cs="宋体"/>
          <w:bCs/>
          <w:sz w:val="24"/>
        </w:rPr>
        <w:t>5、在项目竣工验收前，由采购人邀请相关人员对合成材料面层成品随机取样，委托权威机构认可的第三方检测机构（国家体育用品质量监督检验中心、北京华安联合认证检测中心、华东理工学院合成材料检测中心、江苏省产品质量监督检验研究院、浙江省体育用品质量检验中心等省级以上检测单位）对其中的有毒有害物质和挥发性气体含量进行检测，检测结果与中标单位投标时提供的样品的检测报告进行比较，有重大偏差或者检测结果不合格，项目不进行竣工验收。</w:t>
      </w:r>
    </w:p>
    <w:p>
      <w:pPr>
        <w:spacing w:line="600" w:lineRule="exact"/>
        <w:rPr>
          <w:rFonts w:ascii="宋体" w:hAnsi="宋体" w:cs="宋体"/>
          <w:b/>
          <w:sz w:val="24"/>
        </w:rPr>
      </w:pPr>
      <w:r>
        <w:rPr>
          <w:rFonts w:hint="eastAsia" w:ascii="宋体" w:hAnsi="宋体" w:cs="宋体"/>
          <w:b/>
          <w:sz w:val="24"/>
        </w:rPr>
        <w:t>十、售后服务要求：</w:t>
      </w:r>
    </w:p>
    <w:p>
      <w:pPr>
        <w:spacing w:line="600" w:lineRule="exact"/>
        <w:ind w:firstLine="482" w:firstLineChars="200"/>
        <w:rPr>
          <w:rFonts w:ascii="宋体" w:hAnsi="宋体" w:cs="宋体"/>
          <w:bCs/>
          <w:sz w:val="24"/>
        </w:rPr>
      </w:pPr>
      <w:r>
        <w:rPr>
          <w:rFonts w:hint="eastAsia" w:ascii="宋体" w:hAnsi="宋体" w:cs="宋体"/>
          <w:b/>
          <w:sz w:val="24"/>
        </w:rPr>
        <w:t>●</w:t>
      </w:r>
      <w:r>
        <w:rPr>
          <w:rFonts w:hint="eastAsia" w:ascii="宋体" w:hAnsi="宋体" w:cs="宋体"/>
          <w:bCs/>
          <w:sz w:val="24"/>
        </w:rPr>
        <w:t>1、质保期：从验收合格之日起贰年；</w:t>
      </w:r>
    </w:p>
    <w:p>
      <w:pPr>
        <w:spacing w:line="600" w:lineRule="exact"/>
        <w:ind w:firstLine="480" w:firstLineChars="200"/>
        <w:rPr>
          <w:rFonts w:ascii="宋体" w:hAnsi="宋体" w:cs="宋体"/>
          <w:bCs/>
          <w:sz w:val="24"/>
        </w:rPr>
      </w:pPr>
      <w:r>
        <w:rPr>
          <w:rFonts w:hint="eastAsia" w:ascii="宋体" w:hAnsi="宋体" w:cs="宋体"/>
          <w:bCs/>
          <w:sz w:val="24"/>
        </w:rPr>
        <w:t>2、质保期内的维修费用（包括配件）全部由供货方负责，质保修期后的维修酌情以成本价收费；</w:t>
      </w:r>
    </w:p>
    <w:p>
      <w:pPr>
        <w:spacing w:line="600" w:lineRule="exact"/>
        <w:ind w:firstLine="480" w:firstLineChars="200"/>
        <w:rPr>
          <w:rFonts w:ascii="宋体" w:hAnsi="宋体" w:cs="宋体"/>
          <w:bCs/>
          <w:sz w:val="24"/>
        </w:rPr>
      </w:pPr>
      <w:r>
        <w:rPr>
          <w:rFonts w:hint="eastAsia" w:ascii="宋体" w:hAnsi="宋体" w:cs="宋体"/>
          <w:bCs/>
          <w:sz w:val="24"/>
        </w:rPr>
        <w:t>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pPr>
        <w:spacing w:line="600" w:lineRule="exact"/>
        <w:ind w:firstLine="480" w:firstLineChars="200"/>
        <w:rPr>
          <w:rFonts w:ascii="宋体" w:hAnsi="宋体" w:cs="宋体"/>
          <w:bCs/>
          <w:sz w:val="24"/>
        </w:rPr>
      </w:pPr>
      <w:r>
        <w:rPr>
          <w:rFonts w:hint="eastAsia" w:ascii="宋体" w:hAnsi="宋体" w:cs="宋体"/>
          <w:bCs/>
          <w:sz w:val="24"/>
        </w:rPr>
        <w:t>4、在保修期内供方必须不得以任何理由影响用户的正常使用。投标方必须对所供产品实行终身维修。</w:t>
      </w:r>
    </w:p>
    <w:p>
      <w:pPr>
        <w:spacing w:line="600" w:lineRule="exact"/>
        <w:rPr>
          <w:rFonts w:ascii="宋体" w:hAnsi="宋体" w:cs="宋体"/>
          <w:b/>
          <w:sz w:val="24"/>
        </w:rPr>
      </w:pPr>
      <w:r>
        <w:rPr>
          <w:rFonts w:hint="eastAsia" w:ascii="宋体" w:hAnsi="宋体" w:cs="宋体"/>
          <w:b/>
          <w:sz w:val="24"/>
        </w:rPr>
        <w:t>●十一、工期要求：</w:t>
      </w:r>
    </w:p>
    <w:p>
      <w:pPr>
        <w:spacing w:line="600" w:lineRule="exact"/>
        <w:ind w:firstLine="480" w:firstLineChars="200"/>
        <w:rPr>
          <w:rFonts w:ascii="宋体" w:hAnsi="宋体" w:cs="宋体"/>
          <w:bCs/>
          <w:sz w:val="24"/>
        </w:rPr>
      </w:pPr>
      <w:r>
        <w:rPr>
          <w:rFonts w:hint="eastAsia" w:ascii="宋体" w:hAnsi="宋体" w:cs="宋体"/>
          <w:bCs/>
          <w:sz w:val="24"/>
        </w:rPr>
        <w:t>自采购人提供施工场地后40日历天完工。</w:t>
      </w:r>
    </w:p>
    <w:p>
      <w:pPr>
        <w:spacing w:line="600" w:lineRule="exact"/>
        <w:rPr>
          <w:rFonts w:ascii="宋体" w:hAnsi="宋体" w:cs="宋体"/>
          <w:b/>
          <w:sz w:val="24"/>
        </w:rPr>
      </w:pPr>
      <w:r>
        <w:rPr>
          <w:rFonts w:hint="eastAsia" w:ascii="宋体" w:hAnsi="宋体" w:cs="宋体"/>
          <w:b/>
          <w:sz w:val="24"/>
        </w:rPr>
        <w:t>●十二、货款结算方式：</w:t>
      </w:r>
    </w:p>
    <w:p>
      <w:pPr>
        <w:spacing w:line="600" w:lineRule="exact"/>
        <w:ind w:firstLine="480" w:firstLineChars="200"/>
        <w:rPr>
          <w:rFonts w:ascii="宋体" w:hAnsi="宋体" w:cs="宋体"/>
          <w:bCs/>
          <w:sz w:val="24"/>
        </w:rPr>
      </w:pPr>
      <w:r>
        <w:rPr>
          <w:rFonts w:hint="eastAsia" w:ascii="宋体" w:hAnsi="宋体" w:cs="宋体"/>
          <w:bCs/>
          <w:sz w:val="24"/>
        </w:rPr>
        <w:t>1、付款方式：预付款：支付至合同价款的50%（具体参照浙财采监[2022]3号文件实施）；在供应商根据合同规定将货物交付、验收合格后，供应商提供发票，采购人凭发票、确认单以及合同上报区财政，区财政审批下拨款到位后，采购人立即支付剩余货款。</w:t>
      </w:r>
    </w:p>
    <w:p>
      <w:pPr>
        <w:spacing w:line="600" w:lineRule="exact"/>
        <w:ind w:firstLine="480" w:firstLineChars="200"/>
        <w:rPr>
          <w:rFonts w:ascii="宋体" w:hAnsi="宋体" w:cs="宋体"/>
          <w:bCs/>
          <w:sz w:val="24"/>
        </w:rPr>
      </w:pPr>
      <w:r>
        <w:rPr>
          <w:rFonts w:hint="eastAsia" w:ascii="宋体" w:hAnsi="宋体" w:cs="宋体"/>
          <w:bCs/>
          <w:sz w:val="24"/>
        </w:rPr>
        <w:t>2、当采购数量与实际使用数量不一致时，乙方应根据实际使用量供货，合同的最终结算金额按实际使用量乘以成交单价进行计算(最终价格不得超过中标价)。</w:t>
      </w:r>
    </w:p>
    <w:p>
      <w:pPr>
        <w:spacing w:line="600" w:lineRule="exact"/>
        <w:rPr>
          <w:rFonts w:ascii="宋体" w:hAnsi="宋体" w:cs="宋体"/>
          <w:b/>
          <w:sz w:val="24"/>
        </w:rPr>
      </w:pPr>
      <w:r>
        <w:rPr>
          <w:rFonts w:hint="eastAsia" w:ascii="宋体" w:hAnsi="宋体" w:cs="宋体"/>
          <w:b/>
          <w:sz w:val="24"/>
        </w:rPr>
        <w:t>十三、工程质量要求的其他约定：</w:t>
      </w:r>
    </w:p>
    <w:p>
      <w:pPr>
        <w:spacing w:line="600" w:lineRule="exact"/>
        <w:ind w:firstLine="480" w:firstLineChars="200"/>
        <w:rPr>
          <w:rFonts w:ascii="宋体" w:hAnsi="宋体" w:cs="宋体"/>
          <w:bCs/>
          <w:sz w:val="24"/>
        </w:rPr>
      </w:pPr>
      <w:r>
        <w:rPr>
          <w:rFonts w:hint="eastAsia" w:ascii="宋体" w:hAnsi="宋体" w:cs="宋体"/>
          <w:bCs/>
          <w:sz w:val="24"/>
        </w:rPr>
        <w:t>1、承包人必须严格按合同条款、施工图纸及设计说明文件、施工验收规范、国家和省市的有关质量验收标准，精心组织施工，确保工程质量达到国家施工验收规范合格标准；</w:t>
      </w:r>
    </w:p>
    <w:p>
      <w:pPr>
        <w:spacing w:line="600" w:lineRule="exact"/>
        <w:ind w:firstLine="480" w:firstLineChars="200"/>
        <w:rPr>
          <w:rFonts w:ascii="宋体" w:hAnsi="宋体" w:cs="宋体"/>
          <w:bCs/>
          <w:sz w:val="24"/>
        </w:rPr>
      </w:pPr>
      <w:r>
        <w:rPr>
          <w:rFonts w:hint="eastAsia" w:ascii="宋体" w:hAnsi="宋体" w:cs="宋体"/>
          <w:bCs/>
          <w:sz w:val="24"/>
        </w:rPr>
        <w:t>2、承包人应详细踏勘、了解现场实际情况，在投标中应充分考虑现场情况对施工的影响，该部分内容包干，中标后不予调整；</w:t>
      </w:r>
    </w:p>
    <w:p>
      <w:pPr>
        <w:spacing w:line="600" w:lineRule="exact"/>
        <w:ind w:firstLine="480" w:firstLineChars="200"/>
        <w:rPr>
          <w:rFonts w:ascii="宋体" w:hAnsi="宋体" w:cs="宋体"/>
          <w:bCs/>
          <w:sz w:val="24"/>
        </w:rPr>
      </w:pPr>
      <w:r>
        <w:rPr>
          <w:rFonts w:hint="eastAsia" w:ascii="宋体" w:hAnsi="宋体" w:cs="宋体"/>
          <w:bCs/>
          <w:sz w:val="24"/>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p>
    <w:p>
      <w:pPr>
        <w:widowControl/>
        <w:ind w:firstLine="720" w:firstLineChars="300"/>
        <w:jc w:val="left"/>
        <w:rPr>
          <w:rFonts w:ascii="宋体" w:hAnsi="宋体" w:cs="宋体"/>
          <w:bCs/>
          <w:sz w:val="24"/>
        </w:rPr>
      </w:pPr>
      <w:r>
        <w:rPr>
          <w:rFonts w:hint="eastAsia" w:ascii="宋体" w:hAnsi="宋体" w:cs="宋体"/>
          <w:bCs/>
          <w:sz w:val="24"/>
        </w:rPr>
        <w:t>4、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08098"/>
      <w:bookmarkEnd w:id="32"/>
      <w:bookmarkStart w:id="33" w:name="_Toc184314471"/>
      <w:bookmarkEnd w:id="33"/>
      <w:bookmarkStart w:id="34" w:name="_Toc184312069"/>
      <w:bookmarkEnd w:id="34"/>
      <w:bookmarkStart w:id="35" w:name="_Toc184312128"/>
      <w:bookmarkEnd w:id="35"/>
      <w:bookmarkStart w:id="36" w:name="_Toc184310277"/>
      <w:bookmarkEnd w:id="36"/>
      <w:bookmarkStart w:id="37" w:name="_Toc184314460"/>
      <w:bookmarkEnd w:id="37"/>
      <w:bookmarkStart w:id="38" w:name="_Toc184313265"/>
      <w:bookmarkEnd w:id="38"/>
      <w:bookmarkStart w:id="39" w:name="_Toc184314467"/>
      <w:bookmarkEnd w:id="39"/>
      <w:bookmarkStart w:id="40" w:name="_Toc184314441"/>
      <w:bookmarkEnd w:id="40"/>
      <w:bookmarkStart w:id="41" w:name="_Toc184308095"/>
      <w:bookmarkEnd w:id="41"/>
      <w:bookmarkStart w:id="42" w:name="_Toc184310320"/>
      <w:bookmarkEnd w:id="42"/>
      <w:bookmarkStart w:id="43" w:name="_Toc184313286"/>
      <w:bookmarkEnd w:id="43"/>
      <w:bookmarkStart w:id="44" w:name="_Toc184313285"/>
      <w:bookmarkEnd w:id="44"/>
      <w:bookmarkStart w:id="45" w:name="_Toc184313289"/>
      <w:bookmarkEnd w:id="45"/>
      <w:bookmarkStart w:id="46" w:name="_Toc184313249"/>
      <w:bookmarkEnd w:id="46"/>
      <w:bookmarkStart w:id="47" w:name="_Toc184314451"/>
      <w:bookmarkEnd w:id="47"/>
      <w:bookmarkStart w:id="48" w:name="_Toc184313279"/>
      <w:bookmarkEnd w:id="48"/>
      <w:bookmarkStart w:id="49" w:name="_Toc184312110"/>
      <w:bookmarkEnd w:id="49"/>
      <w:bookmarkStart w:id="50" w:name="_Toc184308060"/>
      <w:bookmarkEnd w:id="50"/>
      <w:bookmarkStart w:id="51" w:name="_Toc184310282"/>
      <w:bookmarkEnd w:id="51"/>
      <w:bookmarkStart w:id="52" w:name="_Toc184310343"/>
      <w:bookmarkEnd w:id="52"/>
      <w:bookmarkStart w:id="53" w:name="_Toc184312118"/>
      <w:bookmarkEnd w:id="53"/>
      <w:bookmarkStart w:id="54" w:name="_Toc184310310"/>
      <w:bookmarkEnd w:id="54"/>
      <w:bookmarkStart w:id="55" w:name="_Toc184310313"/>
      <w:bookmarkEnd w:id="55"/>
      <w:bookmarkStart w:id="56" w:name="_Toc184313250"/>
      <w:bookmarkEnd w:id="56"/>
      <w:bookmarkStart w:id="57" w:name="_Toc184313276"/>
      <w:bookmarkEnd w:id="57"/>
      <w:bookmarkStart w:id="58" w:name="_Toc184310304"/>
      <w:bookmarkEnd w:id="58"/>
      <w:bookmarkStart w:id="59" w:name="_Toc184310329"/>
      <w:bookmarkEnd w:id="59"/>
      <w:bookmarkStart w:id="60" w:name="_Toc184308072"/>
      <w:bookmarkEnd w:id="60"/>
      <w:bookmarkStart w:id="61" w:name="_Toc184313263"/>
      <w:bookmarkEnd w:id="61"/>
      <w:bookmarkStart w:id="62" w:name="_Toc184308080"/>
      <w:bookmarkEnd w:id="62"/>
      <w:bookmarkStart w:id="63" w:name="_Toc184314410"/>
      <w:bookmarkEnd w:id="63"/>
      <w:bookmarkStart w:id="64" w:name="_Toc184314478"/>
      <w:bookmarkEnd w:id="64"/>
      <w:bookmarkStart w:id="65" w:name="_Toc184313296"/>
      <w:bookmarkEnd w:id="65"/>
      <w:bookmarkStart w:id="66" w:name="_Toc184308052"/>
      <w:bookmarkEnd w:id="66"/>
      <w:bookmarkStart w:id="67" w:name="_Toc184313252"/>
      <w:bookmarkEnd w:id="67"/>
      <w:bookmarkStart w:id="68" w:name="_Toc184313271"/>
      <w:bookmarkEnd w:id="68"/>
      <w:bookmarkStart w:id="69" w:name="_Toc184314448"/>
      <w:bookmarkEnd w:id="69"/>
      <w:bookmarkStart w:id="70" w:name="_Toc184313260"/>
      <w:bookmarkEnd w:id="70"/>
      <w:bookmarkStart w:id="71" w:name="_Toc184313268"/>
      <w:bookmarkEnd w:id="71"/>
      <w:bookmarkStart w:id="72" w:name="_Toc184312101"/>
      <w:bookmarkEnd w:id="72"/>
      <w:bookmarkStart w:id="73" w:name="_Toc184308050"/>
      <w:bookmarkEnd w:id="73"/>
      <w:bookmarkStart w:id="74" w:name="_Toc184314415"/>
      <w:bookmarkEnd w:id="74"/>
      <w:bookmarkStart w:id="75" w:name="_Toc184310297"/>
      <w:bookmarkEnd w:id="75"/>
      <w:bookmarkStart w:id="76" w:name="_Toc184310307"/>
      <w:bookmarkEnd w:id="76"/>
      <w:bookmarkStart w:id="77" w:name="_Toc184313292"/>
      <w:bookmarkEnd w:id="77"/>
      <w:bookmarkStart w:id="78" w:name="_Toc184314437"/>
      <w:bookmarkEnd w:id="78"/>
      <w:bookmarkStart w:id="79" w:name="_Toc184308063"/>
      <w:bookmarkEnd w:id="79"/>
      <w:bookmarkStart w:id="80" w:name="_Toc184312093"/>
      <w:bookmarkEnd w:id="80"/>
      <w:bookmarkStart w:id="81" w:name="_Toc184314426"/>
      <w:bookmarkEnd w:id="81"/>
      <w:bookmarkStart w:id="82" w:name="_Toc184308097"/>
      <w:bookmarkEnd w:id="82"/>
      <w:bookmarkStart w:id="83" w:name="_Toc184308076"/>
      <w:bookmarkEnd w:id="83"/>
      <w:bookmarkStart w:id="84" w:name="_Toc184310315"/>
      <w:bookmarkEnd w:id="84"/>
      <w:bookmarkStart w:id="85" w:name="_Toc184314477"/>
      <w:bookmarkEnd w:id="85"/>
      <w:bookmarkStart w:id="86" w:name="_Toc184313291"/>
      <w:bookmarkEnd w:id="86"/>
      <w:bookmarkStart w:id="87" w:name="_Toc184308053"/>
      <w:bookmarkEnd w:id="87"/>
      <w:bookmarkStart w:id="88" w:name="_Toc184308082"/>
      <w:bookmarkEnd w:id="88"/>
      <w:bookmarkStart w:id="89" w:name="_Toc184310295"/>
      <w:bookmarkEnd w:id="89"/>
      <w:bookmarkStart w:id="90" w:name="_Toc184314456"/>
      <w:bookmarkEnd w:id="90"/>
      <w:bookmarkStart w:id="91" w:name="_Toc184310316"/>
      <w:bookmarkEnd w:id="91"/>
      <w:bookmarkStart w:id="92" w:name="_Toc184312126"/>
      <w:bookmarkEnd w:id="92"/>
      <w:bookmarkStart w:id="93" w:name="_Toc184312095"/>
      <w:bookmarkEnd w:id="93"/>
      <w:bookmarkStart w:id="94" w:name="_Toc184308041"/>
      <w:bookmarkEnd w:id="94"/>
      <w:bookmarkStart w:id="95" w:name="_Toc184314430"/>
      <w:bookmarkEnd w:id="95"/>
      <w:bookmarkStart w:id="96" w:name="_Toc184313256"/>
      <w:bookmarkEnd w:id="96"/>
      <w:bookmarkStart w:id="97" w:name="_Toc184314462"/>
      <w:bookmarkEnd w:id="97"/>
      <w:bookmarkStart w:id="98" w:name="_Toc184313239"/>
      <w:bookmarkEnd w:id="98"/>
      <w:bookmarkStart w:id="99" w:name="_Toc184313307"/>
      <w:bookmarkEnd w:id="99"/>
      <w:bookmarkStart w:id="100" w:name="_Toc184312103"/>
      <w:bookmarkEnd w:id="100"/>
      <w:bookmarkStart w:id="101" w:name="_Toc184310339"/>
      <w:bookmarkEnd w:id="101"/>
      <w:bookmarkStart w:id="102" w:name="_Toc184312104"/>
      <w:bookmarkEnd w:id="102"/>
      <w:bookmarkStart w:id="103" w:name="_Toc184312105"/>
      <w:bookmarkEnd w:id="103"/>
      <w:bookmarkStart w:id="104" w:name="_Toc184313309"/>
      <w:bookmarkEnd w:id="104"/>
      <w:bookmarkStart w:id="105" w:name="_Toc184312070"/>
      <w:bookmarkEnd w:id="105"/>
      <w:bookmarkStart w:id="106" w:name="_Toc184308059"/>
      <w:bookmarkEnd w:id="106"/>
      <w:bookmarkStart w:id="107" w:name="_Toc184313302"/>
      <w:bookmarkEnd w:id="107"/>
      <w:bookmarkStart w:id="108" w:name="_Toc184313284"/>
      <w:bookmarkEnd w:id="108"/>
      <w:bookmarkStart w:id="109" w:name="_Toc184312111"/>
      <w:bookmarkEnd w:id="109"/>
      <w:bookmarkStart w:id="110" w:name="_Toc184312074"/>
      <w:bookmarkEnd w:id="110"/>
      <w:bookmarkStart w:id="111" w:name="_Toc184313264"/>
      <w:bookmarkEnd w:id="111"/>
      <w:bookmarkStart w:id="112" w:name="_Toc184310293"/>
      <w:bookmarkEnd w:id="112"/>
      <w:bookmarkStart w:id="113" w:name="_Toc184310328"/>
      <w:bookmarkEnd w:id="113"/>
      <w:bookmarkStart w:id="114" w:name="_Toc184313283"/>
      <w:bookmarkEnd w:id="114"/>
      <w:bookmarkStart w:id="115" w:name="_Toc184312078"/>
      <w:bookmarkEnd w:id="115"/>
      <w:bookmarkStart w:id="116" w:name="_Toc184313261"/>
      <w:bookmarkEnd w:id="116"/>
      <w:bookmarkStart w:id="117" w:name="_Toc184314416"/>
      <w:bookmarkEnd w:id="117"/>
      <w:bookmarkStart w:id="118" w:name="_Toc184313280"/>
      <w:bookmarkEnd w:id="118"/>
      <w:bookmarkStart w:id="119" w:name="_Toc184314429"/>
      <w:bookmarkEnd w:id="119"/>
      <w:bookmarkStart w:id="120" w:name="_Toc184310300"/>
      <w:bookmarkEnd w:id="120"/>
      <w:bookmarkStart w:id="121" w:name="_Toc184308079"/>
      <w:bookmarkEnd w:id="121"/>
      <w:bookmarkStart w:id="122" w:name="_Toc184313305"/>
      <w:bookmarkEnd w:id="122"/>
      <w:bookmarkStart w:id="123" w:name="_Toc184313294"/>
      <w:bookmarkEnd w:id="123"/>
      <w:bookmarkStart w:id="124" w:name="_Toc184313275"/>
      <w:bookmarkEnd w:id="124"/>
      <w:bookmarkStart w:id="125" w:name="_Toc184310281"/>
      <w:bookmarkEnd w:id="125"/>
      <w:bookmarkStart w:id="126" w:name="_Toc184313266"/>
      <w:bookmarkEnd w:id="126"/>
      <w:bookmarkStart w:id="127" w:name="_Toc184314431"/>
      <w:bookmarkEnd w:id="127"/>
      <w:bookmarkStart w:id="128" w:name="_Toc184310324"/>
      <w:bookmarkEnd w:id="128"/>
      <w:bookmarkStart w:id="129" w:name="_Toc184314474"/>
      <w:bookmarkEnd w:id="129"/>
      <w:bookmarkStart w:id="130" w:name="_Toc184313274"/>
      <w:bookmarkEnd w:id="130"/>
      <w:bookmarkStart w:id="131" w:name="_Toc184312067"/>
      <w:bookmarkEnd w:id="131"/>
      <w:bookmarkStart w:id="132" w:name="_Toc184310341"/>
      <w:bookmarkEnd w:id="132"/>
      <w:bookmarkStart w:id="133" w:name="_Toc184314442"/>
      <w:bookmarkEnd w:id="133"/>
      <w:bookmarkStart w:id="134" w:name="_Toc184310319"/>
      <w:bookmarkEnd w:id="134"/>
      <w:bookmarkStart w:id="135" w:name="_Toc184308089"/>
      <w:bookmarkEnd w:id="135"/>
      <w:bookmarkStart w:id="136" w:name="_Toc184314450"/>
      <w:bookmarkEnd w:id="136"/>
      <w:bookmarkStart w:id="137" w:name="_Toc184314432"/>
      <w:bookmarkEnd w:id="137"/>
      <w:bookmarkStart w:id="138" w:name="_Toc184312099"/>
      <w:bookmarkEnd w:id="138"/>
      <w:bookmarkStart w:id="139" w:name="_Toc184308062"/>
      <w:bookmarkEnd w:id="139"/>
      <w:bookmarkStart w:id="140" w:name="_Toc184308094"/>
      <w:bookmarkEnd w:id="140"/>
      <w:bookmarkStart w:id="141" w:name="_Toc184313243"/>
      <w:bookmarkEnd w:id="141"/>
      <w:bookmarkStart w:id="142" w:name="_Toc184308087"/>
      <w:bookmarkEnd w:id="142"/>
      <w:bookmarkStart w:id="143" w:name="_Toc184314445"/>
      <w:bookmarkEnd w:id="143"/>
      <w:bookmarkStart w:id="144" w:name="_Toc184313259"/>
      <w:bookmarkEnd w:id="144"/>
      <w:bookmarkStart w:id="145" w:name="_Toc184312089"/>
      <w:bookmarkEnd w:id="145"/>
      <w:bookmarkStart w:id="146" w:name="_Toc184313238"/>
      <w:bookmarkEnd w:id="146"/>
      <w:bookmarkStart w:id="147" w:name="_Toc184314457"/>
      <w:bookmarkEnd w:id="147"/>
      <w:bookmarkStart w:id="148" w:name="_Toc184308096"/>
      <w:bookmarkEnd w:id="148"/>
      <w:bookmarkStart w:id="149" w:name="_Toc184312073"/>
      <w:bookmarkEnd w:id="149"/>
      <w:bookmarkStart w:id="150" w:name="_Toc184310306"/>
      <w:bookmarkEnd w:id="150"/>
      <w:bookmarkStart w:id="151" w:name="_Toc184312079"/>
      <w:bookmarkEnd w:id="151"/>
      <w:bookmarkStart w:id="152" w:name="_Toc184310303"/>
      <w:bookmarkEnd w:id="152"/>
      <w:bookmarkStart w:id="153" w:name="_Toc184310301"/>
      <w:bookmarkEnd w:id="153"/>
      <w:bookmarkStart w:id="154" w:name="_Toc184314420"/>
      <w:bookmarkEnd w:id="154"/>
      <w:bookmarkStart w:id="155" w:name="_Toc184314472"/>
      <w:bookmarkEnd w:id="155"/>
      <w:bookmarkStart w:id="156" w:name="_Toc184310312"/>
      <w:bookmarkEnd w:id="156"/>
      <w:bookmarkStart w:id="157" w:name="_Toc184310284"/>
      <w:bookmarkEnd w:id="157"/>
      <w:bookmarkStart w:id="158" w:name="_Toc184314473"/>
      <w:bookmarkEnd w:id="158"/>
      <w:bookmarkStart w:id="159" w:name="_Toc184310333"/>
      <w:bookmarkEnd w:id="159"/>
      <w:bookmarkStart w:id="160" w:name="_Toc184314461"/>
      <w:bookmarkEnd w:id="160"/>
      <w:bookmarkStart w:id="161" w:name="_Toc184313301"/>
      <w:bookmarkEnd w:id="161"/>
      <w:bookmarkStart w:id="162" w:name="_Toc184308100"/>
      <w:bookmarkEnd w:id="162"/>
      <w:bookmarkStart w:id="163" w:name="_Toc184308106"/>
      <w:bookmarkEnd w:id="163"/>
      <w:bookmarkStart w:id="164" w:name="_Toc184310296"/>
      <w:bookmarkEnd w:id="164"/>
      <w:bookmarkStart w:id="165" w:name="_Toc184314447"/>
      <w:bookmarkEnd w:id="165"/>
      <w:bookmarkStart w:id="166" w:name="_Toc184313272"/>
      <w:bookmarkEnd w:id="166"/>
      <w:bookmarkStart w:id="167" w:name="_Toc184312085"/>
      <w:bookmarkEnd w:id="167"/>
      <w:bookmarkStart w:id="168" w:name="_Toc184312127"/>
      <w:bookmarkEnd w:id="168"/>
      <w:bookmarkStart w:id="169" w:name="_Toc184312081"/>
      <w:bookmarkEnd w:id="169"/>
      <w:bookmarkStart w:id="170" w:name="_Toc184312129"/>
      <w:bookmarkEnd w:id="170"/>
      <w:bookmarkStart w:id="171" w:name="_Toc184310283"/>
      <w:bookmarkEnd w:id="171"/>
      <w:bookmarkStart w:id="172" w:name="_Toc184312086"/>
      <w:bookmarkEnd w:id="172"/>
      <w:bookmarkStart w:id="173" w:name="_Toc184308086"/>
      <w:bookmarkEnd w:id="173"/>
      <w:bookmarkStart w:id="174" w:name="_Toc184314482"/>
      <w:bookmarkEnd w:id="174"/>
      <w:bookmarkStart w:id="175" w:name="_Toc184310279"/>
      <w:bookmarkEnd w:id="175"/>
      <w:bookmarkStart w:id="176" w:name="_Toc184312075"/>
      <w:bookmarkEnd w:id="176"/>
      <w:bookmarkStart w:id="177" w:name="_Toc184313306"/>
      <w:bookmarkEnd w:id="177"/>
      <w:bookmarkStart w:id="178" w:name="_Toc184314449"/>
      <w:bookmarkEnd w:id="178"/>
      <w:bookmarkStart w:id="179" w:name="_Toc184310311"/>
      <w:bookmarkEnd w:id="179"/>
      <w:bookmarkStart w:id="180" w:name="_Toc184312139"/>
      <w:bookmarkEnd w:id="180"/>
      <w:bookmarkStart w:id="181" w:name="_Toc184313254"/>
      <w:bookmarkEnd w:id="181"/>
      <w:bookmarkStart w:id="182" w:name="_Toc184314428"/>
      <w:bookmarkEnd w:id="182"/>
      <w:bookmarkStart w:id="183" w:name="_Toc184310323"/>
      <w:bookmarkEnd w:id="183"/>
      <w:bookmarkStart w:id="184" w:name="_Toc184312100"/>
      <w:bookmarkEnd w:id="184"/>
      <w:bookmarkStart w:id="185" w:name="_Toc184308066"/>
      <w:bookmarkEnd w:id="185"/>
      <w:bookmarkStart w:id="186" w:name="_Toc184314440"/>
      <w:bookmarkEnd w:id="186"/>
      <w:bookmarkStart w:id="187" w:name="_Toc184314418"/>
      <w:bookmarkEnd w:id="187"/>
      <w:bookmarkStart w:id="188" w:name="_Toc184310287"/>
      <w:bookmarkEnd w:id="188"/>
      <w:bookmarkStart w:id="189" w:name="_Toc184313277"/>
      <w:bookmarkEnd w:id="189"/>
      <w:bookmarkStart w:id="190" w:name="_Toc184314411"/>
      <w:bookmarkEnd w:id="190"/>
      <w:bookmarkStart w:id="191" w:name="_Toc184308044"/>
      <w:bookmarkEnd w:id="191"/>
      <w:bookmarkStart w:id="192" w:name="_Toc184310285"/>
      <w:bookmarkEnd w:id="192"/>
      <w:bookmarkStart w:id="193" w:name="_Toc184314414"/>
      <w:bookmarkEnd w:id="193"/>
      <w:bookmarkStart w:id="194" w:name="_Toc184312092"/>
      <w:bookmarkEnd w:id="194"/>
      <w:bookmarkStart w:id="195" w:name="_Toc184310289"/>
      <w:bookmarkEnd w:id="195"/>
      <w:bookmarkStart w:id="196" w:name="_Toc184310272"/>
      <w:bookmarkEnd w:id="196"/>
      <w:bookmarkStart w:id="197" w:name="_Toc184308039"/>
      <w:bookmarkEnd w:id="197"/>
      <w:bookmarkStart w:id="198" w:name="_Toc184308042"/>
      <w:bookmarkEnd w:id="198"/>
      <w:bookmarkStart w:id="199" w:name="_Toc184314433"/>
      <w:bookmarkEnd w:id="199"/>
      <w:bookmarkStart w:id="200" w:name="_Toc184312080"/>
      <w:bookmarkEnd w:id="200"/>
      <w:bookmarkStart w:id="201" w:name="_Toc184313282"/>
      <w:bookmarkEnd w:id="201"/>
      <w:bookmarkStart w:id="202" w:name="_Toc184313262"/>
      <w:bookmarkEnd w:id="202"/>
      <w:bookmarkStart w:id="203" w:name="_Toc184308071"/>
      <w:bookmarkEnd w:id="203"/>
      <w:bookmarkStart w:id="204" w:name="_Toc184310299"/>
      <w:bookmarkEnd w:id="204"/>
      <w:bookmarkStart w:id="205" w:name="_Toc184312071"/>
      <w:bookmarkEnd w:id="205"/>
      <w:bookmarkStart w:id="206" w:name="_Toc184314444"/>
      <w:bookmarkEnd w:id="206"/>
      <w:bookmarkStart w:id="207" w:name="_Toc184308045"/>
      <w:bookmarkEnd w:id="207"/>
      <w:bookmarkStart w:id="208" w:name="_Toc184310314"/>
      <w:bookmarkEnd w:id="208"/>
      <w:bookmarkStart w:id="209" w:name="_Toc184312102"/>
      <w:bookmarkEnd w:id="209"/>
      <w:bookmarkStart w:id="210" w:name="_Toc184308108"/>
      <w:bookmarkEnd w:id="210"/>
      <w:bookmarkStart w:id="211" w:name="_Toc184310344"/>
      <w:bookmarkEnd w:id="211"/>
      <w:bookmarkStart w:id="212" w:name="_Toc184314421"/>
      <w:bookmarkEnd w:id="212"/>
      <w:bookmarkStart w:id="213" w:name="_Toc184313295"/>
      <w:bookmarkEnd w:id="213"/>
      <w:bookmarkStart w:id="214" w:name="_Toc184313244"/>
      <w:bookmarkEnd w:id="214"/>
      <w:bookmarkStart w:id="215" w:name="_Toc184312115"/>
      <w:bookmarkEnd w:id="215"/>
      <w:bookmarkStart w:id="216" w:name="_Toc184308105"/>
      <w:bookmarkEnd w:id="216"/>
      <w:bookmarkStart w:id="217" w:name="_Toc184314466"/>
      <w:bookmarkEnd w:id="217"/>
      <w:bookmarkStart w:id="218" w:name="_Toc184313281"/>
      <w:bookmarkEnd w:id="218"/>
      <w:bookmarkStart w:id="219" w:name="_Toc184308040"/>
      <w:bookmarkEnd w:id="219"/>
      <w:bookmarkStart w:id="220" w:name="_Toc184314480"/>
      <w:bookmarkEnd w:id="220"/>
      <w:bookmarkStart w:id="221" w:name="_Toc184308061"/>
      <w:bookmarkEnd w:id="221"/>
      <w:bookmarkStart w:id="222" w:name="_Toc184313304"/>
      <w:bookmarkEnd w:id="222"/>
      <w:bookmarkStart w:id="223" w:name="_Toc184308091"/>
      <w:bookmarkEnd w:id="223"/>
      <w:bookmarkStart w:id="224" w:name="_Toc184312091"/>
      <w:bookmarkEnd w:id="224"/>
      <w:bookmarkStart w:id="225" w:name="_Toc184308038"/>
      <w:bookmarkEnd w:id="225"/>
      <w:bookmarkStart w:id="226" w:name="_Toc184308081"/>
      <w:bookmarkEnd w:id="226"/>
      <w:bookmarkStart w:id="227" w:name="_Toc184313308"/>
      <w:bookmarkEnd w:id="227"/>
      <w:bookmarkStart w:id="228" w:name="_Toc184308067"/>
      <w:bookmarkEnd w:id="228"/>
      <w:bookmarkStart w:id="229" w:name="_Toc184310278"/>
      <w:bookmarkEnd w:id="229"/>
      <w:bookmarkStart w:id="230" w:name="_Toc184313246"/>
      <w:bookmarkEnd w:id="230"/>
      <w:bookmarkStart w:id="231" w:name="_Toc184308057"/>
      <w:bookmarkEnd w:id="231"/>
      <w:bookmarkStart w:id="232" w:name="_Toc184312138"/>
      <w:bookmarkEnd w:id="232"/>
      <w:bookmarkStart w:id="233" w:name="_Toc184314458"/>
      <w:bookmarkEnd w:id="233"/>
      <w:bookmarkStart w:id="234" w:name="_Toc184314438"/>
      <w:bookmarkEnd w:id="234"/>
      <w:bookmarkStart w:id="235" w:name="_Toc184310342"/>
      <w:bookmarkEnd w:id="235"/>
      <w:bookmarkStart w:id="236" w:name="_Toc184314481"/>
      <w:bookmarkEnd w:id="236"/>
      <w:bookmarkStart w:id="237" w:name="_Toc184312108"/>
      <w:bookmarkEnd w:id="237"/>
      <w:bookmarkStart w:id="238" w:name="_Toc184313273"/>
      <w:bookmarkEnd w:id="238"/>
      <w:bookmarkStart w:id="239" w:name="_Toc184308064"/>
      <w:bookmarkEnd w:id="239"/>
      <w:bookmarkStart w:id="240" w:name="_Toc184312082"/>
      <w:bookmarkEnd w:id="240"/>
      <w:bookmarkStart w:id="241" w:name="_Toc184308085"/>
      <w:bookmarkEnd w:id="241"/>
      <w:bookmarkStart w:id="242" w:name="_Toc184312123"/>
      <w:bookmarkEnd w:id="242"/>
      <w:bookmarkStart w:id="243" w:name="_Toc184313267"/>
      <w:bookmarkEnd w:id="243"/>
      <w:bookmarkStart w:id="244" w:name="_Toc184308103"/>
      <w:bookmarkEnd w:id="244"/>
      <w:bookmarkStart w:id="245" w:name="_Toc184313245"/>
      <w:bookmarkEnd w:id="245"/>
      <w:bookmarkStart w:id="246" w:name="_Toc184313300"/>
      <w:bookmarkEnd w:id="246"/>
      <w:bookmarkStart w:id="247" w:name="_Toc184308065"/>
      <w:bookmarkEnd w:id="247"/>
      <w:bookmarkStart w:id="248" w:name="_Toc184310326"/>
      <w:bookmarkEnd w:id="248"/>
      <w:bookmarkStart w:id="249" w:name="_Toc184310290"/>
      <w:bookmarkEnd w:id="249"/>
      <w:bookmarkStart w:id="250" w:name="_Toc184312120"/>
      <w:bookmarkEnd w:id="250"/>
      <w:bookmarkStart w:id="251" w:name="_Toc184308083"/>
      <w:bookmarkEnd w:id="251"/>
      <w:bookmarkStart w:id="252" w:name="_Toc184310291"/>
      <w:bookmarkEnd w:id="252"/>
      <w:bookmarkStart w:id="253" w:name="_Toc184314469"/>
      <w:bookmarkEnd w:id="253"/>
      <w:bookmarkStart w:id="254" w:name="_Toc184312084"/>
      <w:bookmarkEnd w:id="254"/>
      <w:bookmarkStart w:id="255" w:name="_Toc184314412"/>
      <w:bookmarkEnd w:id="255"/>
      <w:bookmarkStart w:id="256" w:name="_Toc184314425"/>
      <w:bookmarkEnd w:id="256"/>
      <w:bookmarkStart w:id="257" w:name="_Toc184308043"/>
      <w:bookmarkEnd w:id="257"/>
      <w:bookmarkStart w:id="258" w:name="_Toc184314454"/>
      <w:bookmarkEnd w:id="258"/>
      <w:bookmarkStart w:id="259" w:name="_Toc184308075"/>
      <w:bookmarkEnd w:id="259"/>
      <w:bookmarkStart w:id="260" w:name="_Toc184308046"/>
      <w:bookmarkEnd w:id="260"/>
      <w:bookmarkStart w:id="261" w:name="_Toc184310337"/>
      <w:bookmarkEnd w:id="261"/>
      <w:bookmarkStart w:id="262" w:name="_Toc184314434"/>
      <w:bookmarkEnd w:id="262"/>
      <w:bookmarkStart w:id="263" w:name="_Toc184314470"/>
      <w:bookmarkEnd w:id="263"/>
      <w:bookmarkStart w:id="264" w:name="_Toc184314453"/>
      <w:bookmarkEnd w:id="264"/>
      <w:bookmarkStart w:id="265" w:name="_Toc184312106"/>
      <w:bookmarkEnd w:id="265"/>
      <w:bookmarkStart w:id="266" w:name="_Toc184312072"/>
      <w:bookmarkEnd w:id="266"/>
      <w:bookmarkStart w:id="267" w:name="_Toc184312109"/>
      <w:bookmarkEnd w:id="267"/>
      <w:bookmarkStart w:id="268" w:name="_Toc184314463"/>
      <w:bookmarkEnd w:id="268"/>
      <w:bookmarkStart w:id="269" w:name="_Toc184310273"/>
      <w:bookmarkEnd w:id="269"/>
      <w:bookmarkStart w:id="270" w:name="_Toc184312094"/>
      <w:bookmarkEnd w:id="270"/>
      <w:bookmarkStart w:id="271" w:name="_Toc184312117"/>
      <w:bookmarkEnd w:id="271"/>
      <w:bookmarkStart w:id="272" w:name="_Toc184308102"/>
      <w:bookmarkEnd w:id="272"/>
      <w:bookmarkStart w:id="273" w:name="_Toc184314468"/>
      <w:bookmarkEnd w:id="273"/>
      <w:bookmarkStart w:id="274" w:name="_Toc184310335"/>
      <w:bookmarkEnd w:id="274"/>
      <w:bookmarkStart w:id="275" w:name="_Toc184312076"/>
      <w:bookmarkEnd w:id="275"/>
      <w:bookmarkStart w:id="276" w:name="_Toc184313270"/>
      <w:bookmarkEnd w:id="276"/>
      <w:bookmarkStart w:id="277" w:name="_Toc184308058"/>
      <w:bookmarkEnd w:id="277"/>
      <w:bookmarkStart w:id="278" w:name="_Toc184314417"/>
      <w:bookmarkEnd w:id="278"/>
      <w:bookmarkStart w:id="279" w:name="_Toc184312077"/>
      <w:bookmarkEnd w:id="279"/>
      <w:bookmarkStart w:id="280" w:name="_Toc184308088"/>
      <w:bookmarkEnd w:id="280"/>
      <w:bookmarkStart w:id="281" w:name="_Toc184314476"/>
      <w:bookmarkEnd w:id="281"/>
      <w:bookmarkStart w:id="282" w:name="_Toc184310286"/>
      <w:bookmarkEnd w:id="282"/>
      <w:bookmarkStart w:id="283" w:name="_Toc184308090"/>
      <w:bookmarkEnd w:id="283"/>
      <w:bookmarkStart w:id="284" w:name="_Toc184310317"/>
      <w:bookmarkEnd w:id="284"/>
      <w:bookmarkStart w:id="285" w:name="_Toc184312083"/>
      <w:bookmarkEnd w:id="285"/>
      <w:bookmarkStart w:id="286" w:name="_Toc184308055"/>
      <w:bookmarkEnd w:id="286"/>
      <w:bookmarkStart w:id="287" w:name="_Toc184310302"/>
      <w:bookmarkEnd w:id="287"/>
      <w:bookmarkStart w:id="288" w:name="_Toc184308084"/>
      <w:bookmarkEnd w:id="288"/>
      <w:bookmarkStart w:id="289" w:name="_Toc184310331"/>
      <w:bookmarkEnd w:id="289"/>
      <w:bookmarkStart w:id="290" w:name="_Toc184312137"/>
      <w:bookmarkEnd w:id="290"/>
      <w:bookmarkStart w:id="291" w:name="_Toc184314419"/>
      <w:bookmarkEnd w:id="291"/>
      <w:bookmarkStart w:id="292" w:name="_Toc184312121"/>
      <w:bookmarkEnd w:id="292"/>
      <w:bookmarkStart w:id="293" w:name="_Toc184310274"/>
      <w:bookmarkEnd w:id="293"/>
      <w:bookmarkStart w:id="294" w:name="_Toc184313257"/>
      <w:bookmarkEnd w:id="294"/>
      <w:bookmarkStart w:id="295" w:name="_Toc184310294"/>
      <w:bookmarkEnd w:id="295"/>
      <w:bookmarkStart w:id="296" w:name="_Toc184314439"/>
      <w:bookmarkEnd w:id="296"/>
      <w:bookmarkStart w:id="297" w:name="_Toc184310322"/>
      <w:bookmarkEnd w:id="297"/>
      <w:bookmarkStart w:id="298" w:name="_Toc184308048"/>
      <w:bookmarkEnd w:id="298"/>
      <w:bookmarkStart w:id="299" w:name="_Toc184312132"/>
      <w:bookmarkEnd w:id="299"/>
      <w:bookmarkStart w:id="300" w:name="_Toc184314459"/>
      <w:bookmarkEnd w:id="300"/>
      <w:bookmarkStart w:id="301" w:name="_Toc184310305"/>
      <w:bookmarkEnd w:id="301"/>
      <w:bookmarkStart w:id="302" w:name="_Toc184310288"/>
      <w:bookmarkEnd w:id="302"/>
      <w:bookmarkStart w:id="303" w:name="_Toc184312134"/>
      <w:bookmarkEnd w:id="303"/>
      <w:bookmarkStart w:id="304" w:name="_Toc184313303"/>
      <w:bookmarkEnd w:id="304"/>
      <w:bookmarkStart w:id="305" w:name="_Toc184312088"/>
      <w:bookmarkEnd w:id="305"/>
      <w:bookmarkStart w:id="306" w:name="_Toc184312068"/>
      <w:bookmarkEnd w:id="306"/>
      <w:bookmarkStart w:id="307" w:name="_Toc184310308"/>
      <w:bookmarkEnd w:id="307"/>
      <w:bookmarkStart w:id="308" w:name="_Toc184312090"/>
      <w:bookmarkEnd w:id="308"/>
      <w:bookmarkStart w:id="309" w:name="_Toc184308107"/>
      <w:bookmarkEnd w:id="309"/>
      <w:bookmarkStart w:id="310" w:name="_Toc184314413"/>
      <w:bookmarkEnd w:id="310"/>
      <w:bookmarkStart w:id="311" w:name="_Toc184313310"/>
      <w:bookmarkEnd w:id="311"/>
      <w:bookmarkStart w:id="312" w:name="_Toc184314475"/>
      <w:bookmarkEnd w:id="312"/>
      <w:bookmarkStart w:id="313" w:name="_Toc184310298"/>
      <w:bookmarkEnd w:id="313"/>
      <w:bookmarkStart w:id="314" w:name="_Toc184314479"/>
      <w:bookmarkEnd w:id="314"/>
      <w:bookmarkStart w:id="315" w:name="_Toc184314435"/>
      <w:bookmarkEnd w:id="315"/>
      <w:bookmarkStart w:id="316" w:name="_Toc184314436"/>
      <w:bookmarkEnd w:id="316"/>
      <w:bookmarkStart w:id="317" w:name="_Toc184312114"/>
      <w:bookmarkEnd w:id="317"/>
      <w:bookmarkStart w:id="318" w:name="_Toc184310332"/>
      <w:bookmarkEnd w:id="318"/>
      <w:bookmarkStart w:id="319" w:name="_Toc184312097"/>
      <w:bookmarkEnd w:id="319"/>
      <w:bookmarkStart w:id="320" w:name="_Toc184308054"/>
      <w:bookmarkEnd w:id="320"/>
      <w:bookmarkStart w:id="321" w:name="_Toc184312124"/>
      <w:bookmarkEnd w:id="321"/>
      <w:bookmarkStart w:id="322" w:name="_Toc184312135"/>
      <w:bookmarkEnd w:id="322"/>
      <w:bookmarkStart w:id="323" w:name="_Toc184310336"/>
      <w:bookmarkEnd w:id="323"/>
      <w:bookmarkStart w:id="324" w:name="_Toc184312119"/>
      <w:bookmarkEnd w:id="324"/>
      <w:bookmarkStart w:id="325" w:name="_Toc184312087"/>
      <w:bookmarkEnd w:id="325"/>
      <w:bookmarkStart w:id="326" w:name="_Toc184312112"/>
      <w:bookmarkEnd w:id="326"/>
      <w:bookmarkStart w:id="327" w:name="_Toc184308056"/>
      <w:bookmarkEnd w:id="327"/>
      <w:bookmarkStart w:id="328" w:name="_Toc184310325"/>
      <w:bookmarkEnd w:id="328"/>
      <w:bookmarkStart w:id="329" w:name="_Toc184314424"/>
      <w:bookmarkEnd w:id="329"/>
      <w:bookmarkStart w:id="330" w:name="_Toc184312096"/>
      <w:bookmarkEnd w:id="330"/>
      <w:bookmarkStart w:id="331" w:name="_Toc184313248"/>
      <w:bookmarkEnd w:id="331"/>
      <w:bookmarkStart w:id="332" w:name="_Toc184312136"/>
      <w:bookmarkEnd w:id="332"/>
      <w:bookmarkStart w:id="333" w:name="_Toc184314452"/>
      <w:bookmarkEnd w:id="333"/>
      <w:bookmarkStart w:id="334" w:name="_Toc184313288"/>
      <w:bookmarkEnd w:id="334"/>
      <w:bookmarkStart w:id="335" w:name="_Toc184313298"/>
      <w:bookmarkEnd w:id="335"/>
      <w:bookmarkStart w:id="336" w:name="_Toc184308037"/>
      <w:bookmarkEnd w:id="336"/>
      <w:bookmarkStart w:id="337" w:name="_Toc184314464"/>
      <w:bookmarkEnd w:id="337"/>
      <w:bookmarkStart w:id="338" w:name="_Toc184313251"/>
      <w:bookmarkEnd w:id="338"/>
      <w:bookmarkStart w:id="339" w:name="_Toc184313287"/>
      <w:bookmarkEnd w:id="339"/>
      <w:bookmarkStart w:id="340" w:name="_Toc184308051"/>
      <w:bookmarkEnd w:id="340"/>
      <w:bookmarkStart w:id="341" w:name="_Toc184313241"/>
      <w:bookmarkEnd w:id="341"/>
      <w:bookmarkStart w:id="342" w:name="_Toc184313293"/>
      <w:bookmarkEnd w:id="342"/>
      <w:bookmarkStart w:id="343" w:name="_Toc184313290"/>
      <w:bookmarkEnd w:id="343"/>
      <w:bookmarkStart w:id="344" w:name="_Toc184312125"/>
      <w:bookmarkEnd w:id="344"/>
      <w:bookmarkStart w:id="345" w:name="_Toc184308069"/>
      <w:bookmarkEnd w:id="345"/>
      <w:bookmarkStart w:id="346" w:name="_Toc184313299"/>
      <w:bookmarkEnd w:id="346"/>
      <w:bookmarkStart w:id="347" w:name="_Toc184308104"/>
      <w:bookmarkEnd w:id="347"/>
      <w:bookmarkStart w:id="348" w:name="_Toc184314446"/>
      <w:bookmarkEnd w:id="348"/>
      <w:bookmarkStart w:id="349" w:name="_Toc184312130"/>
      <w:bookmarkEnd w:id="349"/>
      <w:bookmarkStart w:id="350" w:name="_Toc184313255"/>
      <w:bookmarkEnd w:id="350"/>
      <w:bookmarkStart w:id="351" w:name="_Toc184308099"/>
      <w:bookmarkEnd w:id="351"/>
      <w:bookmarkStart w:id="352" w:name="_Toc184313240"/>
      <w:bookmarkEnd w:id="352"/>
      <w:bookmarkStart w:id="353" w:name="_Toc184314443"/>
      <w:bookmarkEnd w:id="353"/>
      <w:bookmarkStart w:id="354" w:name="_Toc184310334"/>
      <w:bookmarkEnd w:id="354"/>
      <w:bookmarkStart w:id="355" w:name="_Toc184314455"/>
      <w:bookmarkEnd w:id="355"/>
      <w:bookmarkStart w:id="356" w:name="_Toc184308077"/>
      <w:bookmarkEnd w:id="356"/>
      <w:bookmarkStart w:id="357" w:name="_Toc184308073"/>
      <w:bookmarkEnd w:id="357"/>
      <w:bookmarkStart w:id="358" w:name="_Toc184308049"/>
      <w:bookmarkEnd w:id="358"/>
      <w:bookmarkStart w:id="359" w:name="_Toc184313253"/>
      <w:bookmarkEnd w:id="359"/>
      <w:bookmarkStart w:id="360" w:name="_Toc184313297"/>
      <w:bookmarkEnd w:id="360"/>
      <w:bookmarkStart w:id="361" w:name="_Toc184312116"/>
      <w:bookmarkEnd w:id="361"/>
      <w:bookmarkStart w:id="362" w:name="_Toc184308078"/>
      <w:bookmarkEnd w:id="362"/>
      <w:bookmarkStart w:id="363" w:name="_Toc184308070"/>
      <w:bookmarkEnd w:id="363"/>
      <w:bookmarkStart w:id="364" w:name="_Toc184312133"/>
      <w:bookmarkEnd w:id="364"/>
      <w:bookmarkStart w:id="365" w:name="_Toc184314427"/>
      <w:bookmarkEnd w:id="365"/>
      <w:bookmarkStart w:id="366" w:name="_Toc184310280"/>
      <w:bookmarkEnd w:id="366"/>
      <w:bookmarkStart w:id="367" w:name="_Toc184313247"/>
      <w:bookmarkEnd w:id="367"/>
      <w:bookmarkStart w:id="368" w:name="_Toc184310292"/>
      <w:bookmarkEnd w:id="368"/>
      <w:bookmarkStart w:id="369" w:name="_Toc184308047"/>
      <w:bookmarkEnd w:id="369"/>
      <w:bookmarkStart w:id="370" w:name="_Toc184314465"/>
      <w:bookmarkEnd w:id="370"/>
      <w:bookmarkStart w:id="371" w:name="_Toc184310330"/>
      <w:bookmarkEnd w:id="371"/>
      <w:bookmarkStart w:id="372" w:name="_Toc184310276"/>
      <w:bookmarkEnd w:id="372"/>
      <w:bookmarkStart w:id="373" w:name="_Toc184308068"/>
      <w:bookmarkEnd w:id="373"/>
      <w:bookmarkStart w:id="374" w:name="_Toc184308093"/>
      <w:bookmarkEnd w:id="374"/>
      <w:bookmarkStart w:id="375" w:name="_Toc184312113"/>
      <w:bookmarkEnd w:id="375"/>
      <w:bookmarkStart w:id="376" w:name="_Toc184308074"/>
      <w:bookmarkEnd w:id="376"/>
      <w:bookmarkStart w:id="377" w:name="_Toc184310340"/>
      <w:bookmarkEnd w:id="377"/>
      <w:bookmarkStart w:id="378" w:name="_Toc184308092"/>
      <w:bookmarkEnd w:id="378"/>
      <w:bookmarkStart w:id="379" w:name="_Toc184310327"/>
      <w:bookmarkEnd w:id="379"/>
      <w:bookmarkStart w:id="380" w:name="_Toc184312131"/>
      <w:bookmarkEnd w:id="380"/>
      <w:bookmarkStart w:id="381" w:name="_Toc184313269"/>
      <w:bookmarkEnd w:id="381"/>
      <w:bookmarkStart w:id="382" w:name="_Toc184308036"/>
      <w:bookmarkEnd w:id="382"/>
      <w:bookmarkStart w:id="383" w:name="_Toc184314422"/>
      <w:bookmarkEnd w:id="383"/>
      <w:bookmarkStart w:id="384" w:name="_Toc184310318"/>
      <w:bookmarkEnd w:id="384"/>
      <w:bookmarkStart w:id="385" w:name="_Toc184310321"/>
      <w:bookmarkEnd w:id="385"/>
      <w:bookmarkStart w:id="386" w:name="_Toc184313278"/>
      <w:bookmarkEnd w:id="386"/>
      <w:bookmarkStart w:id="387" w:name="_Toc184310275"/>
      <w:bookmarkEnd w:id="387"/>
      <w:bookmarkStart w:id="388" w:name="_Toc184310338"/>
      <w:bookmarkEnd w:id="388"/>
      <w:bookmarkStart w:id="389" w:name="_Toc184314423"/>
      <w:bookmarkEnd w:id="389"/>
      <w:bookmarkStart w:id="390" w:name="_Toc184312107"/>
      <w:bookmarkEnd w:id="390"/>
      <w:bookmarkStart w:id="391" w:name="_Toc184313242"/>
      <w:bookmarkEnd w:id="391"/>
      <w:bookmarkStart w:id="392" w:name="_Toc184308101"/>
      <w:bookmarkEnd w:id="392"/>
      <w:bookmarkStart w:id="393" w:name="_Toc184312122"/>
      <w:bookmarkEnd w:id="393"/>
      <w:bookmarkStart w:id="394" w:name="_Toc184310309"/>
      <w:bookmarkEnd w:id="394"/>
      <w:bookmarkStart w:id="395" w:name="_Toc184312098"/>
      <w:bookmarkEnd w:id="395"/>
      <w:bookmarkStart w:id="396" w:name="_Toc184313258"/>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68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noWrap/>
            <w:vAlign w:val="center"/>
          </w:tcPr>
          <w:p>
            <w:pPr>
              <w:jc w:val="center"/>
              <w:rPr>
                <w:sz w:val="24"/>
              </w:rPr>
            </w:pPr>
            <w:r>
              <w:rPr>
                <w:rFonts w:hint="eastAsia"/>
                <w:sz w:val="24"/>
              </w:rPr>
              <w:t>序号</w:t>
            </w:r>
          </w:p>
        </w:tc>
        <w:tc>
          <w:tcPr>
            <w:tcW w:w="7684" w:type="dxa"/>
            <w:noWrap/>
            <w:vAlign w:val="center"/>
          </w:tcPr>
          <w:p>
            <w:pPr>
              <w:jc w:val="center"/>
              <w:rPr>
                <w:sz w:val="24"/>
              </w:rPr>
            </w:pPr>
            <w:r>
              <w:rPr>
                <w:rFonts w:hint="eastAsia"/>
                <w:sz w:val="24"/>
              </w:rPr>
              <w:t>评标标准</w:t>
            </w:r>
          </w:p>
        </w:tc>
        <w:tc>
          <w:tcPr>
            <w:tcW w:w="854" w:type="dxa"/>
            <w:noWrap/>
            <w:vAlign w:val="center"/>
          </w:tcPr>
          <w:p>
            <w:pPr>
              <w:jc w:val="center"/>
              <w:rPr>
                <w:sz w:val="24"/>
              </w:rPr>
            </w:pPr>
            <w:r>
              <w:rPr>
                <w:rFonts w:hint="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p>
          <w:p>
            <w:pPr>
              <w:jc w:val="center"/>
              <w:rPr>
                <w:sz w:val="24"/>
              </w:rPr>
            </w:pPr>
          </w:p>
          <w:p>
            <w:pPr>
              <w:jc w:val="center"/>
              <w:rPr>
                <w:sz w:val="24"/>
              </w:rPr>
            </w:pPr>
          </w:p>
          <w:p>
            <w:pPr>
              <w:jc w:val="center"/>
              <w:rPr>
                <w:sz w:val="24"/>
              </w:rPr>
            </w:pPr>
            <w:r>
              <w:rPr>
                <w:rFonts w:hint="eastAsia"/>
                <w:sz w:val="24"/>
              </w:rPr>
              <w:t>1</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样品评分标准：</w:t>
            </w:r>
          </w:p>
          <w:p>
            <w:pPr>
              <w:spacing w:line="600" w:lineRule="exact"/>
              <w:jc w:val="left"/>
              <w:rPr>
                <w:rFonts w:ascii="宋体" w:hAnsi="宋体" w:cs="宋体"/>
                <w:sz w:val="24"/>
              </w:rPr>
            </w:pPr>
            <w:r>
              <w:rPr>
                <w:rFonts w:hint="eastAsia" w:ascii="宋体" w:hAnsi="宋体" w:cs="宋体"/>
                <w:sz w:val="24"/>
              </w:rPr>
              <w:t>1）样品的外观式样（0—2分）；</w:t>
            </w:r>
          </w:p>
          <w:p>
            <w:pPr>
              <w:spacing w:line="600" w:lineRule="exact"/>
              <w:jc w:val="left"/>
              <w:rPr>
                <w:rFonts w:ascii="宋体" w:hAnsi="宋体" w:cs="宋体"/>
                <w:sz w:val="24"/>
              </w:rPr>
            </w:pPr>
            <w:r>
              <w:rPr>
                <w:rFonts w:hint="eastAsia" w:ascii="宋体" w:hAnsi="宋体" w:cs="宋体"/>
                <w:sz w:val="24"/>
              </w:rPr>
              <w:t>2）制作质量（0—2分）；</w:t>
            </w:r>
          </w:p>
          <w:p>
            <w:pPr>
              <w:spacing w:line="600" w:lineRule="exact"/>
              <w:jc w:val="left"/>
              <w:rPr>
                <w:rFonts w:ascii="宋体" w:hAnsi="宋体" w:cs="宋体"/>
                <w:sz w:val="24"/>
              </w:rPr>
            </w:pPr>
            <w:r>
              <w:rPr>
                <w:rFonts w:hint="eastAsia" w:ascii="宋体" w:hAnsi="宋体" w:cs="宋体"/>
                <w:sz w:val="24"/>
              </w:rPr>
              <w:t>3）制作水平（0—2分）；</w:t>
            </w:r>
          </w:p>
          <w:p>
            <w:pPr>
              <w:spacing w:line="600" w:lineRule="exact"/>
              <w:jc w:val="left"/>
              <w:rPr>
                <w:rFonts w:ascii="宋体" w:hAnsi="宋体" w:cs="宋体"/>
                <w:sz w:val="24"/>
              </w:rPr>
            </w:pPr>
            <w:r>
              <w:rPr>
                <w:rFonts w:hint="eastAsia" w:ascii="宋体" w:hAnsi="宋体" w:cs="宋体"/>
                <w:sz w:val="24"/>
              </w:rPr>
              <w:t>4）气味（0—2分）；</w:t>
            </w:r>
          </w:p>
          <w:p>
            <w:pPr>
              <w:spacing w:line="600" w:lineRule="exact"/>
              <w:jc w:val="left"/>
              <w:rPr>
                <w:sz w:val="24"/>
              </w:rPr>
            </w:pPr>
            <w:r>
              <w:rPr>
                <w:rFonts w:hint="eastAsia" w:ascii="宋体" w:hAnsi="宋体" w:cs="宋体"/>
                <w:b/>
                <w:bCs/>
                <w:sz w:val="24"/>
              </w:rPr>
              <w:t>投标人样品不提供则视其投标无效，样品提供不全或样品中出现投标单位名称则此项样品分为0分；</w:t>
            </w:r>
          </w:p>
        </w:tc>
        <w:tc>
          <w:tcPr>
            <w:tcW w:w="854" w:type="dxa"/>
            <w:noWrap/>
            <w:vAlign w:val="center"/>
          </w:tcPr>
          <w:p>
            <w:pPr>
              <w:jc w:val="center"/>
              <w:rPr>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noWrap/>
            <w:vAlign w:val="center"/>
          </w:tcPr>
          <w:p>
            <w:pPr>
              <w:rPr>
                <w:sz w:val="24"/>
              </w:rPr>
            </w:pPr>
            <w:r>
              <w:rPr>
                <w:rFonts w:hint="eastAsia"/>
                <w:sz w:val="24"/>
              </w:rPr>
              <w:t xml:space="preserve">  2</w:t>
            </w:r>
          </w:p>
        </w:tc>
        <w:tc>
          <w:tcPr>
            <w:tcW w:w="7684" w:type="dxa"/>
            <w:noWrap/>
            <w:vAlign w:val="center"/>
          </w:tcPr>
          <w:p>
            <w:pPr>
              <w:spacing w:line="600" w:lineRule="exact"/>
              <w:jc w:val="left"/>
              <w:rPr>
                <w:rFonts w:ascii="宋体" w:hAnsi="宋体" w:cs="宋体"/>
                <w:color w:val="000000"/>
                <w:sz w:val="24"/>
              </w:rPr>
            </w:pPr>
            <w:r>
              <w:rPr>
                <w:rFonts w:hint="eastAsia" w:ascii="宋体" w:hAnsi="宋体" w:cs="宋体"/>
                <w:color w:val="000000"/>
                <w:sz w:val="24"/>
              </w:rPr>
              <w:t>塑胶材料检测报告：提供由投标单位送检的塑胶材料经第三方检测机构（具备CMA国家计量认证）出具的检测报告，其检测内容须根据GB36246-2018《中小学合成材料面层运动场地》标准中指标（详见项目技术规范和服务要求）进行检测；</w:t>
            </w:r>
          </w:p>
          <w:p>
            <w:pPr>
              <w:spacing w:line="600" w:lineRule="exact"/>
              <w:jc w:val="left"/>
              <w:rPr>
                <w:rFonts w:ascii="宋体" w:hAnsi="宋体" w:cs="宋体"/>
                <w:color w:val="000000"/>
                <w:sz w:val="24"/>
              </w:rPr>
            </w:pPr>
            <w:r>
              <w:rPr>
                <w:rFonts w:hint="eastAsia" w:ascii="宋体" w:hAnsi="宋体" w:cs="宋体"/>
                <w:color w:val="000000"/>
                <w:sz w:val="24"/>
              </w:rPr>
              <w:t>检测结果判定结论必须为合格,且检测报告须在“全国认证认可信息公共服务平台”官网可查；</w:t>
            </w:r>
          </w:p>
          <w:p>
            <w:pPr>
              <w:spacing w:line="600" w:lineRule="exact"/>
              <w:jc w:val="left"/>
              <w:rPr>
                <w:rFonts w:ascii="宋体" w:hAnsi="宋体" w:cs="宋体"/>
                <w:color w:val="000000"/>
                <w:sz w:val="24"/>
              </w:rPr>
            </w:pPr>
            <w:r>
              <w:rPr>
                <w:rFonts w:hint="eastAsia" w:ascii="宋体" w:hAnsi="宋体" w:cs="宋体"/>
                <w:color w:val="000000"/>
                <w:sz w:val="24"/>
              </w:rPr>
              <w:t>1）“EPDM颗粒”的检测报告（2分）；</w:t>
            </w:r>
          </w:p>
          <w:p>
            <w:pPr>
              <w:spacing w:line="600" w:lineRule="exact"/>
              <w:jc w:val="left"/>
              <w:rPr>
                <w:rFonts w:ascii="宋体" w:hAnsi="宋体" w:cs="宋体"/>
                <w:color w:val="000000"/>
                <w:sz w:val="24"/>
              </w:rPr>
            </w:pPr>
            <w:r>
              <w:rPr>
                <w:rFonts w:hint="eastAsia" w:ascii="宋体" w:hAnsi="宋体" w:cs="宋体"/>
                <w:color w:val="000000"/>
                <w:sz w:val="24"/>
              </w:rPr>
              <w:t>2）“液体材料(胶黏剂）”的检测报告（2分）；</w:t>
            </w:r>
          </w:p>
          <w:p>
            <w:pPr>
              <w:spacing w:line="600" w:lineRule="exact"/>
              <w:jc w:val="left"/>
              <w:rPr>
                <w:sz w:val="24"/>
              </w:rPr>
            </w:pPr>
            <w:r>
              <w:rPr>
                <w:rFonts w:hint="eastAsia" w:ascii="宋体" w:hAnsi="宋体" w:cs="宋体"/>
                <w:b/>
                <w:bCs/>
                <w:color w:val="000000"/>
                <w:sz w:val="24"/>
              </w:rPr>
              <w:t>投标文件中同时提供检测报告复印件并加盖公章及相应查询网页截图复印件并加盖公章，否则不得分；</w:t>
            </w:r>
          </w:p>
        </w:tc>
        <w:tc>
          <w:tcPr>
            <w:tcW w:w="854" w:type="dxa"/>
            <w:noWrap/>
            <w:vAlign w:val="center"/>
          </w:tcPr>
          <w:p>
            <w:pPr>
              <w:jc w:val="center"/>
              <w:rPr>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p>
          <w:p>
            <w:pPr>
              <w:jc w:val="center"/>
              <w:rPr>
                <w:sz w:val="24"/>
              </w:rPr>
            </w:pPr>
            <w:r>
              <w:rPr>
                <w:rFonts w:hint="eastAsia"/>
                <w:sz w:val="24"/>
              </w:rPr>
              <w:t>3</w:t>
            </w:r>
          </w:p>
          <w:p>
            <w:pPr>
              <w:rPr>
                <w:sz w:val="24"/>
              </w:rPr>
            </w:pPr>
          </w:p>
        </w:tc>
        <w:tc>
          <w:tcPr>
            <w:tcW w:w="7684" w:type="dxa"/>
            <w:noWrap/>
            <w:vAlign w:val="center"/>
          </w:tcPr>
          <w:p>
            <w:pPr>
              <w:spacing w:line="600" w:lineRule="exact"/>
              <w:jc w:val="left"/>
              <w:rPr>
                <w:rFonts w:ascii="宋体" w:hAnsi="宋体" w:cs="宋体"/>
                <w:b/>
                <w:bCs/>
                <w:sz w:val="24"/>
              </w:rPr>
            </w:pPr>
            <w:r>
              <w:rPr>
                <w:rFonts w:hint="eastAsia" w:ascii="宋体" w:hAnsi="宋体" w:cs="宋体"/>
                <w:b/>
                <w:bCs/>
                <w:sz w:val="24"/>
              </w:rPr>
              <w:t>硅pu：</w:t>
            </w:r>
          </w:p>
          <w:p>
            <w:pPr>
              <w:spacing w:line="600" w:lineRule="exact"/>
              <w:jc w:val="left"/>
              <w:rPr>
                <w:rFonts w:ascii="宋体" w:hAnsi="宋体" w:cs="宋体"/>
                <w:color w:val="000000"/>
                <w:sz w:val="24"/>
              </w:rPr>
            </w:pPr>
            <w:r>
              <w:rPr>
                <w:rFonts w:hint="eastAsia" w:ascii="宋体" w:hAnsi="宋体" w:cs="宋体"/>
                <w:color w:val="000000"/>
                <w:sz w:val="24"/>
              </w:rPr>
              <w:t>1、所投硅PU球场产品经第三方检测机构（具有体现“CMA”和“CNAS”标识）出具的通过耐湿热老化处理720h后，检测其拉伸强度、拉断伸长率、垂直变形、冲击吸收等物理性能指标均符合GB36246-2018标准要求的检测报告得3分；</w:t>
            </w:r>
          </w:p>
          <w:p>
            <w:pPr>
              <w:spacing w:line="600" w:lineRule="exact"/>
              <w:jc w:val="left"/>
              <w:rPr>
                <w:rFonts w:ascii="宋体" w:hAnsi="宋体" w:cs="宋体"/>
                <w:color w:val="000000"/>
                <w:sz w:val="24"/>
              </w:rPr>
            </w:pPr>
            <w:r>
              <w:rPr>
                <w:rFonts w:hint="eastAsia" w:ascii="宋体" w:hAnsi="宋体" w:cs="宋体"/>
                <w:color w:val="000000"/>
                <w:sz w:val="24"/>
              </w:rPr>
              <w:t>2、所投硅PU球场产品经第三方检测机构（具有体现“CMA”和“CNAS”标识）出具的通过耐紫外线辐照处理720h后，其外观涂层无起层、不脱落、无开裂现象，粉化等级≦0级，变色等级≦1级，并分别依据GB36246-2018及GB/T14833-2020标准检测，其物理性能指标全项均符合对应标准要求的检测报告得3分;</w:t>
            </w:r>
          </w:p>
          <w:p>
            <w:pPr>
              <w:spacing w:line="600" w:lineRule="exact"/>
              <w:jc w:val="left"/>
              <w:rPr>
                <w:sz w:val="24"/>
              </w:rPr>
            </w:pPr>
            <w:r>
              <w:rPr>
                <w:rFonts w:hint="eastAsia" w:ascii="宋体" w:hAnsi="宋体" w:cs="宋体"/>
                <w:b/>
                <w:bCs/>
                <w:sz w:val="24"/>
              </w:rPr>
              <w:t>投标文件中同时提供检测报告复印件并加盖公章及相应查询网页截图复印件并加盖公章，否则不得分；</w:t>
            </w:r>
          </w:p>
        </w:tc>
        <w:tc>
          <w:tcPr>
            <w:tcW w:w="854" w:type="dxa"/>
            <w:noWrap/>
            <w:vAlign w:val="center"/>
          </w:tcPr>
          <w:p>
            <w:pPr>
              <w:jc w:val="center"/>
              <w:rPr>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noWrap/>
            <w:vAlign w:val="center"/>
          </w:tcPr>
          <w:p>
            <w:pPr>
              <w:jc w:val="center"/>
              <w:rPr>
                <w:sz w:val="24"/>
              </w:rPr>
            </w:pPr>
            <w:r>
              <w:rPr>
                <w:rFonts w:hint="eastAsia"/>
                <w:sz w:val="24"/>
              </w:rPr>
              <w:t>4</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所投产品耐老化性能：提供由投标单位送检的检测机构（具备CMA 国家计量认证）根据《实验室光源暴露试验方法》（</w:t>
            </w:r>
            <w:r>
              <w:fldChar w:fldCharType="begin"/>
            </w:r>
            <w:r>
              <w:instrText xml:space="preserve"> HYPERLINK "https://www.baidu.com/link?url=AxYBO9iKexdQ9VqJ57LtkeAocuFg1Hv-c-w0Vzb3Qtb6z6qj7xrvpAETDq0H7SqCx1RMkDo_qMrSimei37P-G_&amp;wd=&amp;eqid=87e8795200013ee3000000055ef06784" \t "https://www.baidu.com/_blank" </w:instrText>
            </w:r>
            <w:r>
              <w:fldChar w:fldCharType="separate"/>
            </w:r>
            <w:r>
              <w:rPr>
                <w:rFonts w:hint="eastAsia" w:ascii="宋体" w:hAnsi="宋体" w:cs="宋体"/>
                <w:sz w:val="24"/>
              </w:rPr>
              <w:t>GB/T 16422.2-2014</w:t>
            </w:r>
            <w:r>
              <w:rPr>
                <w:rFonts w:hint="eastAsia" w:ascii="宋体" w:hAnsi="宋体" w:cs="宋体"/>
                <w:sz w:val="24"/>
              </w:rPr>
              <w:fldChar w:fldCharType="end"/>
            </w:r>
            <w:r>
              <w:rPr>
                <w:rFonts w:hint="eastAsia" w:ascii="宋体" w:hAnsi="宋体" w:cs="宋体"/>
                <w:sz w:val="24"/>
              </w:rPr>
              <w:t>）的检测标准，对所投产品的色牢度，根据氙弧灯光老化耐候时间、灰卡变色评级等方面进行打分(0-3分)；</w:t>
            </w:r>
          </w:p>
          <w:p>
            <w:pPr>
              <w:spacing w:line="600" w:lineRule="exact"/>
              <w:jc w:val="left"/>
              <w:rPr>
                <w:sz w:val="24"/>
                <w:lang w:val="zh-CN"/>
              </w:rPr>
            </w:pPr>
            <w:r>
              <w:rPr>
                <w:rFonts w:hint="eastAsia" w:ascii="宋体" w:hAnsi="宋体" w:cs="宋体"/>
                <w:b/>
                <w:bCs/>
                <w:sz w:val="24"/>
              </w:rPr>
              <w:t>投标文件中提供检测报告复印件并加盖公章；</w:t>
            </w:r>
          </w:p>
        </w:tc>
        <w:tc>
          <w:tcPr>
            <w:tcW w:w="854" w:type="dxa"/>
            <w:noWrap/>
            <w:vAlign w:val="center"/>
          </w:tcPr>
          <w:p>
            <w:pPr>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r>
              <w:rPr>
                <w:rFonts w:hint="eastAsia"/>
                <w:sz w:val="24"/>
              </w:rPr>
              <w:t>5</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塑胶跑道材料检测报告：提供由投标单位送检的塑胶跑道材料经权威机构认可的第三方检测机构（具备CMA国家计量认证）出具的有关材料毒性试验的检测报告，根据检测报告数据进行打分(0-6分)；</w:t>
            </w:r>
          </w:p>
          <w:p>
            <w:pPr>
              <w:spacing w:line="600" w:lineRule="exact"/>
              <w:jc w:val="left"/>
            </w:pPr>
            <w:r>
              <w:rPr>
                <w:rFonts w:hint="eastAsia" w:ascii="宋体" w:hAnsi="宋体" w:cs="宋体"/>
                <w:b/>
                <w:bCs/>
                <w:sz w:val="24"/>
              </w:rPr>
              <w:t>投标文件中提供检测报告复印件并加盖公章；</w:t>
            </w:r>
          </w:p>
        </w:tc>
        <w:tc>
          <w:tcPr>
            <w:tcW w:w="854" w:type="dxa"/>
            <w:noWrap/>
            <w:vAlign w:val="center"/>
          </w:tcPr>
          <w:p>
            <w:pPr>
              <w:jc w:val="center"/>
              <w:rPr>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r>
              <w:rPr>
                <w:rFonts w:hint="eastAsia"/>
                <w:sz w:val="24"/>
              </w:rPr>
              <w:t>6</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生产线及施工机具设备的生产规模情况：根据投标人所提供的与本项目材料有关的生产线及施工机具设备的拥有状况(0-3分)；</w:t>
            </w:r>
          </w:p>
          <w:p>
            <w:pPr>
              <w:spacing w:line="600" w:lineRule="exact"/>
              <w:jc w:val="left"/>
              <w:rPr>
                <w:rFonts w:ascii="宋体" w:hAnsi="宋体" w:cs="宋体"/>
                <w:sz w:val="24"/>
              </w:rPr>
            </w:pPr>
            <w:r>
              <w:rPr>
                <w:rFonts w:hint="eastAsia" w:ascii="宋体" w:hAnsi="宋体" w:cs="宋体"/>
                <w:b/>
                <w:bCs/>
                <w:sz w:val="24"/>
              </w:rPr>
              <w:t>投标文件中同时提供设备购置发票复印件及照片复印件；</w:t>
            </w:r>
          </w:p>
        </w:tc>
        <w:tc>
          <w:tcPr>
            <w:tcW w:w="854" w:type="dxa"/>
            <w:noWrap/>
            <w:vAlign w:val="center"/>
          </w:tcPr>
          <w:p>
            <w:pPr>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noWrap/>
            <w:vAlign w:val="center"/>
          </w:tcPr>
          <w:p>
            <w:pPr>
              <w:jc w:val="center"/>
              <w:rPr>
                <w:sz w:val="24"/>
              </w:rPr>
            </w:pPr>
            <w:r>
              <w:rPr>
                <w:rFonts w:hint="eastAsia"/>
                <w:sz w:val="24"/>
              </w:rPr>
              <w:t>7</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服务能力：根据投标人提供的服务经营网点的地址、最近的服务网点情况表、分公司地址、人员名单、联系方式等，由专家进行打分(0-3分)；</w:t>
            </w:r>
          </w:p>
          <w:p>
            <w:pPr>
              <w:spacing w:line="600" w:lineRule="exact"/>
              <w:jc w:val="left"/>
              <w:rPr>
                <w:rFonts w:ascii="宋体" w:hAnsi="宋体" w:cs="宋体"/>
                <w:sz w:val="24"/>
              </w:rPr>
            </w:pPr>
            <w:r>
              <w:rPr>
                <w:rFonts w:hint="eastAsia" w:ascii="宋体" w:hAnsi="宋体" w:cs="宋体"/>
                <w:b/>
                <w:bCs/>
                <w:sz w:val="24"/>
              </w:rPr>
              <w:t>投标文件中提供营业执照（或其它可证明的合同）等证明材料复印件加盖投标人公章。</w:t>
            </w:r>
          </w:p>
        </w:tc>
        <w:tc>
          <w:tcPr>
            <w:tcW w:w="854" w:type="dxa"/>
            <w:noWrap/>
            <w:vAlign w:val="center"/>
          </w:tcPr>
          <w:p>
            <w:pPr>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noWrap/>
            <w:vAlign w:val="center"/>
          </w:tcPr>
          <w:p>
            <w:pPr>
              <w:jc w:val="center"/>
              <w:rPr>
                <w:sz w:val="24"/>
              </w:rPr>
            </w:pPr>
            <w:r>
              <w:rPr>
                <w:rFonts w:hint="eastAsia"/>
                <w:sz w:val="24"/>
              </w:rPr>
              <w:t>8</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项目方案内容：</w:t>
            </w:r>
          </w:p>
          <w:p>
            <w:pPr>
              <w:spacing w:line="600" w:lineRule="exact"/>
              <w:jc w:val="left"/>
              <w:rPr>
                <w:rFonts w:ascii="宋体" w:hAnsi="宋体" w:cs="宋体"/>
                <w:sz w:val="24"/>
              </w:rPr>
            </w:pPr>
            <w:r>
              <w:rPr>
                <w:rFonts w:hint="eastAsia" w:ascii="宋体" w:hAnsi="宋体" w:cs="宋体"/>
                <w:sz w:val="24"/>
              </w:rPr>
              <w:t>1）根据施工组织方案，由专家进行打分（0—3分）；</w:t>
            </w:r>
          </w:p>
          <w:p>
            <w:pPr>
              <w:spacing w:line="600" w:lineRule="exact"/>
              <w:jc w:val="left"/>
              <w:rPr>
                <w:rFonts w:ascii="宋体" w:hAnsi="宋体" w:cs="宋体"/>
                <w:sz w:val="24"/>
              </w:rPr>
            </w:pPr>
            <w:r>
              <w:rPr>
                <w:rFonts w:hint="eastAsia" w:ascii="宋体" w:hAnsi="宋体" w:cs="宋体"/>
                <w:sz w:val="24"/>
              </w:rPr>
              <w:t>2）根据整体施工工艺，由专家进行打分（0—3分）；</w:t>
            </w:r>
          </w:p>
          <w:p>
            <w:pPr>
              <w:spacing w:line="600" w:lineRule="exact"/>
              <w:jc w:val="left"/>
              <w:rPr>
                <w:rFonts w:ascii="宋体" w:hAnsi="宋体" w:cs="宋体"/>
                <w:sz w:val="24"/>
              </w:rPr>
            </w:pPr>
            <w:r>
              <w:rPr>
                <w:rFonts w:hint="eastAsia" w:ascii="宋体" w:hAnsi="宋体" w:cs="宋体"/>
                <w:sz w:val="24"/>
              </w:rPr>
              <w:t>3）根据重要节点、施工难点部位的处理方法，由专家进行打分（0—3分）；</w:t>
            </w:r>
          </w:p>
          <w:p>
            <w:pPr>
              <w:spacing w:line="600" w:lineRule="exact"/>
              <w:jc w:val="left"/>
              <w:rPr>
                <w:rFonts w:ascii="宋体" w:hAnsi="宋体" w:cs="宋体"/>
                <w:sz w:val="24"/>
              </w:rPr>
            </w:pPr>
            <w:r>
              <w:rPr>
                <w:rFonts w:hint="eastAsia" w:ascii="宋体" w:hAnsi="宋体" w:cs="宋体"/>
                <w:sz w:val="24"/>
              </w:rPr>
              <w:t>4）根据质量控制目标是否满足采购需求，由专家进行打分（0-2分）；</w:t>
            </w:r>
          </w:p>
          <w:p>
            <w:pPr>
              <w:spacing w:line="600" w:lineRule="exact"/>
              <w:jc w:val="left"/>
              <w:rPr>
                <w:rFonts w:ascii="宋体" w:hAnsi="宋体" w:cs="宋体"/>
                <w:sz w:val="24"/>
              </w:rPr>
            </w:pPr>
            <w:r>
              <w:rPr>
                <w:rFonts w:hint="eastAsia" w:ascii="宋体" w:hAnsi="宋体" w:cs="宋体"/>
                <w:sz w:val="24"/>
              </w:rPr>
              <w:t>5）根据质量控制措施方案，由专家进行打分（0-2分）；</w:t>
            </w:r>
          </w:p>
          <w:p>
            <w:pPr>
              <w:spacing w:line="600" w:lineRule="exact"/>
              <w:jc w:val="left"/>
              <w:rPr>
                <w:rFonts w:ascii="宋体" w:hAnsi="宋体" w:cs="宋体"/>
                <w:sz w:val="24"/>
              </w:rPr>
            </w:pPr>
            <w:r>
              <w:rPr>
                <w:rFonts w:hint="eastAsia" w:ascii="宋体" w:hAnsi="宋体" w:cs="宋体"/>
                <w:sz w:val="24"/>
              </w:rPr>
              <w:t>6）根据工期控制目标及相应的技术保障措施，由专家进行打分（0-2分）；</w:t>
            </w:r>
          </w:p>
          <w:p>
            <w:pPr>
              <w:spacing w:line="600" w:lineRule="exact"/>
              <w:jc w:val="left"/>
              <w:rPr>
                <w:rFonts w:ascii="宋体" w:hAnsi="宋体" w:cs="宋体"/>
                <w:sz w:val="24"/>
              </w:rPr>
            </w:pPr>
            <w:r>
              <w:rPr>
                <w:rFonts w:hint="eastAsia" w:ascii="宋体" w:hAnsi="宋体" w:cs="宋体"/>
                <w:sz w:val="24"/>
              </w:rPr>
              <w:t>7）根据安全文明施工保证措施，由专家进行打分（0-2分）；</w:t>
            </w:r>
          </w:p>
        </w:tc>
        <w:tc>
          <w:tcPr>
            <w:tcW w:w="854" w:type="dxa"/>
            <w:noWrap/>
            <w:vAlign w:val="center"/>
          </w:tcPr>
          <w:p>
            <w:pPr>
              <w:jc w:val="center"/>
              <w:rPr>
                <w:sz w:val="24"/>
              </w:rPr>
            </w:pPr>
            <w:r>
              <w:rPr>
                <w:rFonts w:hint="eastAsia" w:ascii="宋体" w:hAnsi="宋体" w:cs="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r>
              <w:rPr>
                <w:rFonts w:hint="eastAsia"/>
                <w:sz w:val="24"/>
              </w:rPr>
              <w:t>9</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认证证书：投标人具有质量管理体系认证证书的得1分；投标人具有环境体系认证证书的得1分；投标人具有职业健康安全管理体系认证证书的得1分；证书需在有效期内；</w:t>
            </w:r>
          </w:p>
          <w:p>
            <w:pPr>
              <w:spacing w:line="600" w:lineRule="exact"/>
              <w:jc w:val="left"/>
              <w:rPr>
                <w:rFonts w:ascii="宋体" w:hAnsi="宋体" w:cs="宋体"/>
                <w:b/>
                <w:bCs/>
                <w:sz w:val="24"/>
              </w:rPr>
            </w:pPr>
            <w:r>
              <w:rPr>
                <w:rFonts w:hint="eastAsia" w:ascii="宋体" w:hAnsi="宋体" w:cs="宋体"/>
                <w:b/>
                <w:bCs/>
                <w:sz w:val="24"/>
              </w:rPr>
              <w:t>备注：其证书编号、认证范围、认证项目、企业名称、日期（有效期）等信息应全部一致，否则不得分；</w:t>
            </w:r>
          </w:p>
          <w:p>
            <w:pPr>
              <w:spacing w:line="600" w:lineRule="exact"/>
              <w:jc w:val="left"/>
              <w:rPr>
                <w:sz w:val="24"/>
              </w:rPr>
            </w:pPr>
            <w:r>
              <w:rPr>
                <w:rFonts w:hint="eastAsia" w:ascii="宋体" w:hAnsi="宋体" w:cs="宋体"/>
                <w:b/>
                <w:bCs/>
                <w:sz w:val="24"/>
              </w:rPr>
              <w:t>投标文件中提同时供证书复印件及在“全国认证认可信息公共服务平台”官网查询结果的截图，否则不得分；</w:t>
            </w:r>
          </w:p>
        </w:tc>
        <w:tc>
          <w:tcPr>
            <w:tcW w:w="854" w:type="dxa"/>
            <w:noWrap/>
            <w:vAlign w:val="center"/>
          </w:tcPr>
          <w:p>
            <w:pPr>
              <w:spacing w:line="600" w:lineRule="exact"/>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r>
              <w:rPr>
                <w:rFonts w:hint="eastAsia"/>
                <w:sz w:val="24"/>
              </w:rPr>
              <w:t>10</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售后服务评价：提供投标人经国家认证委批准的第三方认证机构根据“《商品售后服务评价体系》（GB/T27922-2011）”的标准，出具在有效期范围内的“售后服务认证证书”：服务能力达到“五星级”及以上的售后服务认证证书的得3分；服务能力达到“四星级”的售后服务认证证书的得2分；服务能力达到“三星级”的售后服务认证证书的得1分；</w:t>
            </w:r>
          </w:p>
          <w:p>
            <w:pPr>
              <w:spacing w:line="600" w:lineRule="exact"/>
              <w:jc w:val="left"/>
              <w:rPr>
                <w:rFonts w:ascii="宋体" w:hAnsi="宋体" w:cs="宋体"/>
                <w:b/>
                <w:bCs/>
                <w:sz w:val="24"/>
              </w:rPr>
            </w:pPr>
            <w:r>
              <w:rPr>
                <w:rFonts w:hint="eastAsia" w:ascii="宋体" w:hAnsi="宋体" w:cs="宋体"/>
                <w:b/>
                <w:bCs/>
                <w:sz w:val="24"/>
              </w:rPr>
              <w:t>备注：其证书编号、认证范围、企业名称、日期（有效期）等信息应与投标文件全部一致，否则不得分；</w:t>
            </w:r>
          </w:p>
          <w:p>
            <w:pPr>
              <w:spacing w:line="600" w:lineRule="exact"/>
              <w:jc w:val="left"/>
              <w:rPr>
                <w:sz w:val="24"/>
              </w:rPr>
            </w:pPr>
            <w:r>
              <w:rPr>
                <w:rFonts w:hint="eastAsia" w:ascii="宋体" w:hAnsi="宋体" w:cs="宋体"/>
                <w:b/>
                <w:bCs/>
                <w:sz w:val="24"/>
              </w:rPr>
              <w:t>投标文件中同时提供证书复印件及在“全国认证认可信息公共服务平台”官网查询结果的截图，否则不得分；</w:t>
            </w:r>
          </w:p>
        </w:tc>
        <w:tc>
          <w:tcPr>
            <w:tcW w:w="854" w:type="dxa"/>
            <w:noWrap/>
            <w:vAlign w:val="center"/>
          </w:tcPr>
          <w:p>
            <w:pPr>
              <w:spacing w:line="600" w:lineRule="exact"/>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noWrap/>
            <w:vAlign w:val="center"/>
          </w:tcPr>
          <w:p>
            <w:pPr>
              <w:jc w:val="center"/>
              <w:rPr>
                <w:sz w:val="24"/>
              </w:rPr>
            </w:pPr>
            <w:r>
              <w:rPr>
                <w:rFonts w:hint="eastAsia"/>
                <w:sz w:val="24"/>
              </w:rPr>
              <w:t>11</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投标人曾参与制定合成材料运动场地面层、塑胶跑道类国家标准编制单位的，出具有效证明的得3分，没有不得分；</w:t>
            </w:r>
          </w:p>
          <w:p>
            <w:pPr>
              <w:spacing w:line="600" w:lineRule="exact"/>
              <w:jc w:val="left"/>
              <w:rPr>
                <w:sz w:val="24"/>
              </w:rPr>
            </w:pPr>
            <w:r>
              <w:rPr>
                <w:rFonts w:hint="eastAsia" w:ascii="宋体" w:hAnsi="宋体" w:cs="宋体"/>
                <w:b/>
                <w:bCs/>
                <w:sz w:val="24"/>
              </w:rPr>
              <w:t>投标文件中提供证明材料复印件加盖公章；</w:t>
            </w:r>
          </w:p>
        </w:tc>
        <w:tc>
          <w:tcPr>
            <w:tcW w:w="854" w:type="dxa"/>
            <w:noWrap/>
            <w:vAlign w:val="center"/>
          </w:tcPr>
          <w:p>
            <w:pPr>
              <w:spacing w:line="600" w:lineRule="exact"/>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r>
              <w:rPr>
                <w:rFonts w:hint="eastAsia"/>
                <w:sz w:val="24"/>
              </w:rPr>
              <w:t>12</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投标人出具由中国田径协会关于本企业有效期内的审定证书的3分；</w:t>
            </w:r>
          </w:p>
          <w:p>
            <w:pPr>
              <w:spacing w:line="600" w:lineRule="exact"/>
              <w:jc w:val="left"/>
              <w:rPr>
                <w:bCs/>
                <w:sz w:val="24"/>
              </w:rPr>
            </w:pPr>
            <w:r>
              <w:rPr>
                <w:rFonts w:hint="eastAsia" w:ascii="宋体" w:hAnsi="宋体" w:cs="宋体"/>
                <w:b/>
                <w:bCs/>
                <w:sz w:val="24"/>
              </w:rPr>
              <w:t>投标文件中提供证明材料复印件加盖公章；</w:t>
            </w:r>
          </w:p>
        </w:tc>
        <w:tc>
          <w:tcPr>
            <w:tcW w:w="854" w:type="dxa"/>
            <w:noWrap/>
            <w:vAlign w:val="center"/>
          </w:tcPr>
          <w:p>
            <w:pPr>
              <w:spacing w:line="600" w:lineRule="exact"/>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spacing w:line="600" w:lineRule="exact"/>
              <w:jc w:val="center"/>
              <w:rPr>
                <w:sz w:val="24"/>
              </w:rPr>
            </w:pPr>
            <w:r>
              <w:rPr>
                <w:rFonts w:hint="eastAsia" w:ascii="宋体" w:hAnsi="宋体" w:cs="宋体"/>
                <w:sz w:val="24"/>
              </w:rPr>
              <w:t>13</w:t>
            </w:r>
          </w:p>
        </w:tc>
        <w:tc>
          <w:tcPr>
            <w:tcW w:w="7684" w:type="dxa"/>
            <w:noWrap/>
            <w:vAlign w:val="center"/>
          </w:tcPr>
          <w:p>
            <w:pPr>
              <w:spacing w:line="600" w:lineRule="exact"/>
              <w:jc w:val="left"/>
              <w:rPr>
                <w:rFonts w:ascii="宋体" w:hAnsi="宋体" w:cs="宋体"/>
                <w:sz w:val="24"/>
              </w:rPr>
            </w:pPr>
            <w:r>
              <w:rPr>
                <w:rFonts w:hint="eastAsia" w:ascii="宋体" w:hAnsi="宋体" w:cs="宋体"/>
                <w:sz w:val="24"/>
              </w:rPr>
              <w:t>投标人从事类似项目获得区县级优质工程奖的得1分；获得市级优质工程奖的得2分；获得省级优质工程奖的得3分；获得国家级优质工程奖的得5分；本项最高得5分；最多计取1个奖项；</w:t>
            </w:r>
          </w:p>
          <w:p>
            <w:pPr>
              <w:spacing w:line="600" w:lineRule="exact"/>
              <w:jc w:val="left"/>
              <w:rPr>
                <w:rFonts w:ascii="宋体" w:hAnsi="宋体" w:cs="宋体"/>
                <w:b/>
                <w:bCs/>
                <w:sz w:val="24"/>
              </w:rPr>
            </w:pPr>
            <w:r>
              <w:rPr>
                <w:rFonts w:hint="eastAsia" w:ascii="宋体" w:hAnsi="宋体" w:cs="宋体"/>
                <w:b/>
                <w:bCs/>
                <w:sz w:val="24"/>
              </w:rPr>
              <w:t>投标文件中同时提供合同复印件（或中标通知书复印件）加盖公章及获奖证书复印件（或获奖文件复印件）加盖公章，否则不得分；</w:t>
            </w:r>
          </w:p>
        </w:tc>
        <w:tc>
          <w:tcPr>
            <w:tcW w:w="854" w:type="dxa"/>
            <w:noWrap/>
            <w:vAlign w:val="center"/>
          </w:tcPr>
          <w:p>
            <w:pPr>
              <w:spacing w:line="600" w:lineRule="exact"/>
              <w:jc w:val="center"/>
              <w:rPr>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r>
              <w:rPr>
                <w:rFonts w:hint="eastAsia"/>
                <w:sz w:val="24"/>
              </w:rPr>
              <w:t>14</w:t>
            </w:r>
          </w:p>
        </w:tc>
        <w:tc>
          <w:tcPr>
            <w:tcW w:w="7684" w:type="dxa"/>
            <w:noWrap/>
            <w:vAlign w:val="center"/>
          </w:tcPr>
          <w:p>
            <w:pPr>
              <w:spacing w:line="600" w:lineRule="exact"/>
              <w:jc w:val="left"/>
              <w:rPr>
                <w:sz w:val="24"/>
              </w:rPr>
            </w:pPr>
            <w:r>
              <w:rPr>
                <w:rFonts w:hint="eastAsia"/>
                <w:sz w:val="24"/>
              </w:rPr>
              <w:t>类似项目实施业绩一览表：投标人自2020年1月1日至今（</w:t>
            </w:r>
            <w:r>
              <w:rPr>
                <w:rFonts w:hint="eastAsia" w:ascii="宋体" w:hAnsi="宋体" w:cs="宋体"/>
                <w:sz w:val="24"/>
              </w:rPr>
              <w:t>以验收证书时间为准</w:t>
            </w:r>
            <w:r>
              <w:rPr>
                <w:rFonts w:hint="eastAsia"/>
                <w:sz w:val="24"/>
              </w:rPr>
              <w:t>）</w:t>
            </w:r>
            <w:r>
              <w:rPr>
                <w:rFonts w:hint="eastAsia" w:ascii="宋体" w:hAnsi="宋体" w:cs="宋体"/>
                <w:sz w:val="24"/>
              </w:rPr>
              <w:t>承担塑胶场地施工业绩项目成功案例，</w:t>
            </w:r>
            <w:r>
              <w:rPr>
                <w:rFonts w:hint="eastAsia"/>
                <w:sz w:val="24"/>
              </w:rPr>
              <w:t>每提供一个得1分，最多得3分；</w:t>
            </w:r>
          </w:p>
          <w:p>
            <w:pPr>
              <w:spacing w:line="600" w:lineRule="exact"/>
              <w:jc w:val="left"/>
              <w:rPr>
                <w:sz w:val="24"/>
                <w:lang w:val="zh-CN"/>
              </w:rPr>
            </w:pPr>
            <w:r>
              <w:rPr>
                <w:rFonts w:hint="eastAsia"/>
                <w:b/>
                <w:bCs/>
                <w:sz w:val="24"/>
              </w:rPr>
              <w:t>投标文件中同时提供合同复印件加盖投标人公章及验收报告复印件并加盖投标人公章</w:t>
            </w:r>
            <w:r>
              <w:rPr>
                <w:rFonts w:hint="eastAsia" w:ascii="宋体" w:hAnsi="宋体" w:cs="宋体"/>
                <w:b/>
                <w:bCs/>
                <w:sz w:val="24"/>
              </w:rPr>
              <w:t>，否则不得分</w:t>
            </w:r>
            <w:r>
              <w:rPr>
                <w:rFonts w:hint="eastAsia"/>
                <w:b/>
                <w:bCs/>
                <w:sz w:val="24"/>
              </w:rPr>
              <w:t>；</w:t>
            </w:r>
          </w:p>
        </w:tc>
        <w:tc>
          <w:tcPr>
            <w:tcW w:w="854" w:type="dxa"/>
            <w:noWrap/>
            <w:vAlign w:val="center"/>
          </w:tcPr>
          <w:p>
            <w:pPr>
              <w:spacing w:line="600" w:lineRule="exact"/>
              <w:jc w:val="center"/>
              <w:rPr>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noWrap/>
            <w:vAlign w:val="center"/>
          </w:tcPr>
          <w:p>
            <w:pPr>
              <w:jc w:val="center"/>
              <w:rPr>
                <w:sz w:val="24"/>
              </w:rPr>
            </w:pPr>
            <w:r>
              <w:rPr>
                <w:rFonts w:hint="eastAsia"/>
                <w:sz w:val="24"/>
              </w:rPr>
              <w:t>15</w:t>
            </w:r>
          </w:p>
        </w:tc>
        <w:tc>
          <w:tcPr>
            <w:tcW w:w="7684" w:type="dxa"/>
            <w:noWrap/>
            <w:vAlign w:val="center"/>
          </w:tcPr>
          <w:p>
            <w:pPr>
              <w:spacing w:line="600" w:lineRule="exact"/>
              <w:jc w:val="left"/>
              <w:rPr>
                <w:sz w:val="24"/>
              </w:rPr>
            </w:pPr>
            <w:r>
              <w:rPr>
                <w:rFonts w:hint="eastAsia"/>
                <w:sz w:val="24"/>
              </w:rPr>
              <w:t>有效投标报价的最低价作为评标基准价，其最低报价为满分；按［投标报价得分=（评标基准价/投标报价）*30］的计算公式计算。</w:t>
            </w:r>
          </w:p>
          <w:p>
            <w:pPr>
              <w:spacing w:line="600" w:lineRule="exact"/>
              <w:jc w:val="left"/>
              <w:rPr>
                <w:sz w:val="24"/>
              </w:rPr>
            </w:pPr>
            <w:r>
              <w:rPr>
                <w:rFonts w:hint="eastAsia"/>
                <w:sz w:val="24"/>
              </w:rPr>
              <w:t>评标过程中，不得去掉报价中的最高报价和最低报价。</w:t>
            </w:r>
          </w:p>
          <w:p>
            <w:pPr>
              <w:spacing w:line="600" w:lineRule="exact"/>
              <w:jc w:val="left"/>
              <w:rPr>
                <w:sz w:val="24"/>
              </w:rPr>
            </w:pPr>
            <w:r>
              <w:rPr>
                <w:rFonts w:hint="eastAsia"/>
                <w:sz w:val="24"/>
              </w:rPr>
              <w:t>因落实政府采购政策需要进行价格调整的，以调整后的价格计算评标基准价和投标报价。</w:t>
            </w:r>
          </w:p>
        </w:tc>
        <w:tc>
          <w:tcPr>
            <w:tcW w:w="854" w:type="dxa"/>
            <w:noWrap/>
            <w:vAlign w:val="center"/>
          </w:tcPr>
          <w:p>
            <w:pPr>
              <w:jc w:val="center"/>
              <w:rPr>
                <w:sz w:val="24"/>
              </w:rPr>
            </w:pPr>
            <w:r>
              <w:rPr>
                <w:rFonts w:hint="eastAsia"/>
                <w:sz w:val="24"/>
              </w:rPr>
              <w:t>30</w:t>
            </w:r>
          </w:p>
        </w:tc>
      </w:tr>
    </w:tbl>
    <w:p>
      <w:pPr>
        <w:pStyle w:val="25"/>
        <w:ind w:firstLine="0" w:firstLineChars="0"/>
      </w:pPr>
    </w:p>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color w:val="0000FF"/>
          <w:sz w:val="24"/>
          <w:u w:val="single"/>
        </w:rPr>
        <w:t>（采购人）</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color w:val="0000FF"/>
          <w:sz w:val="24"/>
          <w:u w:val="single"/>
        </w:rPr>
        <w:t xml:space="preserve">（项目名称、编号）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3029"/>
      <w:bookmarkStart w:id="400" w:name="_Toc2232"/>
      <w:bookmarkStart w:id="401" w:name="_Toc2405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7126"/>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pPr>
        <w:spacing w:line="560" w:lineRule="exact"/>
        <w:ind w:firstLine="480" w:firstLineChars="200"/>
        <w:rPr>
          <w:rFonts w:ascii="宋体" w:hAnsi="宋体" w:cs="宋体"/>
          <w:sz w:val="24"/>
          <w:u w:val="single"/>
        </w:rPr>
      </w:pPr>
      <w:r>
        <w:rPr>
          <w:rFonts w:hint="eastAsia" w:ascii="宋体" w:hAnsi="宋体" w:cs="宋体"/>
          <w:sz w:val="24"/>
        </w:rPr>
        <w:t>1.2.2 货物数量：；</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631"/>
      <w:bookmarkStart w:id="406" w:name="_Toc21551"/>
      <w:bookmarkStart w:id="407" w:name="_Toc23292"/>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rPr>
      </w:pPr>
      <w:bookmarkStart w:id="408" w:name="_Toc22618"/>
      <w:bookmarkStart w:id="409" w:name="_Toc10340"/>
      <w:bookmarkStart w:id="410" w:name="_Toc1814"/>
      <w:r>
        <w:rPr>
          <w:rFonts w:hint="eastAsia"/>
          <w:b/>
        </w:rPr>
        <w:t>1.4履约保证金</w:t>
      </w:r>
    </w:p>
    <w:p>
      <w:pPr>
        <w:pStyle w:val="958"/>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19304"/>
      <w:bookmarkStart w:id="413" w:name="_Toc2846"/>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1423"/>
      <w:bookmarkStart w:id="415" w:name="_Toc27250"/>
      <w:bookmarkStart w:id="416" w:name="_Toc19554"/>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28375"/>
      <w:bookmarkStart w:id="419" w:name="_Toc15583"/>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1173"/>
      <w:bookmarkStart w:id="421" w:name="_Toc15322"/>
      <w:bookmarkStart w:id="422" w:name="_Toc7245"/>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9101"/>
      <w:bookmarkStart w:id="424" w:name="_Ref467378463"/>
      <w:bookmarkStart w:id="425" w:name="_Toc487900349"/>
      <w:bookmarkStart w:id="426" w:name="_Ref467379225"/>
      <w:bookmarkStart w:id="427" w:name="_Toc19614"/>
      <w:bookmarkStart w:id="428" w:name="_Toc28763"/>
      <w:bookmarkStart w:id="429" w:name="_Ref467379214"/>
      <w:bookmarkStart w:id="430" w:name="_Ref467378499"/>
      <w:bookmarkStart w:id="431" w:name="_Toc259093669"/>
      <w:bookmarkStart w:id="432" w:name="_Ref467379094"/>
      <w:bookmarkStart w:id="433" w:name="_Ref467378404"/>
      <w:bookmarkStart w:id="434" w:name="_Toc16917"/>
      <w:bookmarkStart w:id="435" w:name="_Ref467379205"/>
      <w:bookmarkStart w:id="436" w:name="_Ref467379195"/>
      <w:bookmarkStart w:id="437" w:name="_Ref467379109"/>
      <w:bookmarkStart w:id="438" w:name="_Toc279701240"/>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59093670"/>
      <w:bookmarkStart w:id="443" w:name="_Toc487900350"/>
      <w:bookmarkStart w:id="444" w:name="_Toc13336"/>
      <w:bookmarkStart w:id="445" w:name="_Toc27635"/>
      <w:bookmarkStart w:id="446" w:name="_Toc279701241"/>
      <w:bookmarkStart w:id="447" w:name="_Toc32504"/>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259093671"/>
      <w:bookmarkStart w:id="449" w:name="_Toc31634"/>
      <w:bookmarkStart w:id="450" w:name="_Toc279701242"/>
      <w:bookmarkStart w:id="451" w:name="_Toc27853"/>
      <w:bookmarkStart w:id="452" w:name="_Toc9829"/>
      <w:bookmarkStart w:id="453" w:name="_Toc487900351"/>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36"/>
      <w:bookmarkStart w:id="458" w:name="_Ref467379542"/>
      <w:bookmarkStart w:id="459" w:name="_Toc259093674"/>
      <w:bookmarkStart w:id="460" w:name="_Ref467378591"/>
      <w:bookmarkStart w:id="461" w:name="_Ref467379527"/>
      <w:bookmarkStart w:id="462" w:name="_Toc487900354"/>
      <w:bookmarkStart w:id="463" w:name="_Toc279701245"/>
      <w:bookmarkStart w:id="464" w:name="_Ref467378541"/>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793"/>
      <w:bookmarkStart w:id="471" w:name="_Toc259093676"/>
      <w:bookmarkStart w:id="472" w:name="_Ref467379807"/>
      <w:bookmarkStart w:id="473" w:name="_Toc279701247"/>
      <w:bookmarkStart w:id="474"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Toc259093677"/>
      <w:bookmarkStart w:id="477" w:name="_Toc487900358"/>
      <w:bookmarkStart w:id="478" w:name="_Ref467379852"/>
      <w:bookmarkStart w:id="479" w:name="_Toc279701248"/>
      <w:bookmarkStart w:id="480" w:name="_Ref467379863"/>
      <w:bookmarkStart w:id="481" w:name="_Ref467379923"/>
      <w:bookmarkStart w:id="482" w:name="_Toc774"/>
      <w:bookmarkStart w:id="483" w:name="_Toc3225"/>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Ref467378121"/>
      <w:bookmarkStart w:id="493" w:name="_Toc259093683"/>
      <w:bookmarkStart w:id="494" w:name="_Toc487900364"/>
      <w:bookmarkStart w:id="495" w:name="_Toc27970125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4066"/>
      <w:bookmarkStart w:id="503" w:name="_Toc13566"/>
      <w:bookmarkStart w:id="504" w:name="_Toc16508"/>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89"/>
      <w:bookmarkStart w:id="506" w:name="_Toc487900365"/>
      <w:bookmarkStart w:id="507" w:name="_Toc30676"/>
      <w:bookmarkStart w:id="508" w:name="_Toc6969"/>
      <w:bookmarkStart w:id="509" w:name="_Toc259093684"/>
      <w:bookmarkStart w:id="510" w:name="_Toc279701255"/>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59093687"/>
      <w:bookmarkStart w:id="512" w:name="_Toc8298"/>
      <w:bookmarkStart w:id="513" w:name="_Toc16959"/>
      <w:bookmarkStart w:id="514" w:name="_Toc487900368"/>
      <w:bookmarkStart w:id="515" w:name="_Toc279701258"/>
      <w:bookmarkStart w:id="516" w:name="_Toc7102"/>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29333"/>
      <w:bookmarkStart w:id="518" w:name="_Toc6134"/>
      <w:bookmarkStart w:id="519" w:name="_Toc15387"/>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59093690"/>
      <w:bookmarkStart w:id="524" w:name="_Toc487900371"/>
      <w:bookmarkStart w:id="525" w:name="_Toc279701261"/>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487900372"/>
      <w:bookmarkStart w:id="532" w:name="_Toc279701262"/>
      <w:bookmarkStart w:id="533" w:name="_Toc259093691"/>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4355"/>
      <w:bookmarkStart w:id="537" w:name="_Toc30599"/>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8567"/>
      <w:bookmarkStart w:id="540" w:name="_Toc10330"/>
      <w:bookmarkStart w:id="541" w:name="_Toc487900373"/>
      <w:bookmarkStart w:id="542" w:name="_Toc279701263"/>
      <w:bookmarkStart w:id="543" w:name="_Toc259093692"/>
      <w:bookmarkStart w:id="544" w:name="_Toc1277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9890"/>
      <w:bookmarkStart w:id="546" w:name="_Toc6885"/>
      <w:bookmarkStart w:id="547" w:name="_Toc14001"/>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pStyle w:val="25"/>
        <w:ind w:firstLine="643"/>
        <w:rPr>
          <w:rFonts w:cs="宋体"/>
          <w:b/>
          <w:sz w:val="32"/>
          <w:szCs w:val="32"/>
        </w:rPr>
      </w:pPr>
    </w:p>
    <w:p>
      <w:pPr>
        <w:pStyle w:val="26"/>
        <w:ind w:firstLine="643"/>
        <w:rPr>
          <w:rFonts w:cs="宋体"/>
          <w:b/>
          <w:sz w:val="32"/>
          <w:szCs w:val="32"/>
        </w:rPr>
      </w:pPr>
    </w:p>
    <w:p>
      <w:pPr>
        <w:pStyle w:val="26"/>
        <w:ind w:firstLine="643"/>
        <w:rPr>
          <w:rFonts w:cs="宋体"/>
          <w:b/>
          <w:sz w:val="32"/>
          <w:szCs w:val="32"/>
        </w:rPr>
      </w:pPr>
    </w:p>
    <w:p>
      <w:pPr>
        <w:pStyle w:val="26"/>
        <w:ind w:firstLine="643"/>
        <w:rPr>
          <w:rFonts w:cs="宋体"/>
          <w:b/>
          <w:sz w:val="32"/>
          <w:szCs w:val="32"/>
        </w:rPr>
      </w:pPr>
    </w:p>
    <w:p>
      <w:pPr>
        <w:pStyle w:val="26"/>
        <w:ind w:firstLine="643"/>
        <w:rPr>
          <w:rFonts w:cs="宋体"/>
          <w:b/>
          <w:sz w:val="32"/>
          <w:szCs w:val="32"/>
        </w:rPr>
      </w:pPr>
    </w:p>
    <w:p>
      <w:pPr>
        <w:pStyle w:val="26"/>
        <w:ind w:firstLine="643"/>
        <w:rPr>
          <w:rFonts w:cs="宋体"/>
          <w:b/>
          <w:sz w:val="32"/>
          <w:szCs w:val="32"/>
        </w:rPr>
      </w:pPr>
    </w:p>
    <w:p>
      <w:pPr>
        <w:pStyle w:val="26"/>
        <w:ind w:firstLine="643"/>
        <w:rPr>
          <w:rFonts w:cs="宋体"/>
          <w:b/>
          <w:sz w:val="32"/>
          <w:szCs w:val="32"/>
        </w:rPr>
      </w:pPr>
    </w:p>
    <w:p>
      <w:pPr>
        <w:pStyle w:val="26"/>
        <w:ind w:firstLine="643"/>
        <w:rPr>
          <w:rFonts w:cs="宋体"/>
          <w:b/>
          <w:sz w:val="32"/>
          <w:szCs w:val="32"/>
        </w:rPr>
      </w:pPr>
    </w:p>
    <w:p>
      <w:pPr>
        <w:pStyle w:val="26"/>
        <w:ind w:firstLine="643"/>
        <w:rPr>
          <w:rFonts w:cs="宋体"/>
          <w:b/>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rPr>
          <w:rFonts w:ascii="宋体" w:hAnsi="宋体" w:cs="宋体"/>
          <w:b/>
          <w:sz w:val="32"/>
          <w:szCs w:val="32"/>
        </w:r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noWrap/>
            <w:tcMar>
              <w:top w:w="15" w:type="dxa"/>
              <w:left w:w="15" w:type="dxa"/>
              <w:bottom w:w="15" w:type="dxa"/>
              <w:right w:w="15" w:type="dxa"/>
            </w:tcMar>
            <w:vAlign w:val="bottom"/>
          </w:tcPr>
          <w:p>
            <w:pPr>
              <w:widowControl/>
              <w:jc w:val="center"/>
              <w:textAlignment w:val="bottom"/>
              <w:rPr>
                <w:rFonts w:ascii="仿宋" w:hAnsi="仿宋" w:eastAsia="仿宋" w:cs="仿宋"/>
                <w:b/>
                <w:sz w:val="32"/>
                <w:szCs w:val="32"/>
              </w:rPr>
            </w:pPr>
            <w:r>
              <w:rPr>
                <w:rFonts w:hint="eastAsia" w:ascii="仿宋" w:hAnsi="仿宋" w:eastAsia="仿宋" w:cs="仿宋"/>
                <w:b/>
                <w:kern w:val="0"/>
                <w:sz w:val="32"/>
                <w:szCs w:val="32"/>
              </w:rPr>
              <w:t>中小微行业划型标准规定</w:t>
            </w:r>
            <w:r>
              <w:rPr>
                <w:rFonts w:hint="eastAsia" w:ascii="仿宋" w:hAnsi="仿宋" w:eastAsia="仿宋" w:cs="仿宋"/>
                <w:b/>
                <w:kern w:val="0"/>
                <w:sz w:val="24"/>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noWrap/>
            <w:tcMar>
              <w:top w:w="15" w:type="dxa"/>
              <w:left w:w="15" w:type="dxa"/>
              <w:bottom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noWrap/>
            <w:tcMar>
              <w:top w:w="15" w:type="dxa"/>
              <w:left w:w="15" w:type="dxa"/>
              <w:bottom w:w="15" w:type="dxa"/>
              <w:right w:w="15" w:type="dxa"/>
            </w:tcMar>
            <w:vAlign w:val="center"/>
          </w:tcPr>
          <w:p>
            <w:pPr>
              <w:rPr>
                <w:rFonts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X＜5</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10≤X＜50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V＜200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20≤X＜100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V＜100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Y＜500</w:t>
            </w: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12"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12" w:space="0"/>
              <w:right w:val="single" w:color="000000" w:sz="4" w:space="0"/>
            </w:tcBorders>
            <w:noWrap/>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noWrap/>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87" w:hRule="atLeast"/>
        </w:trPr>
        <w:tc>
          <w:tcPr>
            <w:tcW w:w="14811" w:type="dxa"/>
            <w:gridSpan w:val="10"/>
            <w:noWrap/>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说明　1、企业类型的划分以统计部门的统计数据为依据。2、个体工商户和本规定以外的行业，参照本规定进行划型。3、本规定的中型企业标准上限即为大型企业标准的下限。</w:t>
            </w:r>
          </w:p>
        </w:tc>
      </w:tr>
    </w:tbl>
    <w:p>
      <w:pPr>
        <w:spacing w:line="360" w:lineRule="auto"/>
        <w:rPr>
          <w:rFonts w:ascii="宋体" w:hAnsi="宋体" w:cs="宋体"/>
          <w:b/>
          <w:sz w:val="32"/>
          <w:szCs w:val="32"/>
        </w:rPr>
      </w:pPr>
    </w:p>
    <w:p>
      <w:pPr>
        <w:spacing w:line="360" w:lineRule="auto"/>
        <w:rPr>
          <w:rFonts w:ascii="宋体" w:hAnsi="宋体" w:cs="宋体"/>
          <w:bCs/>
          <w:sz w:val="24"/>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55" w:name="_Toc91899912"/>
    <w:bookmarkStart w:id="556" w:name="_Toc131845147"/>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hhNjJhYzEwNGIxZGQwMjFkZTM1MjM4MDczNjgy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610"/>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2E7"/>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06"/>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A9B"/>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C1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D3"/>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26F"/>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0A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6"/>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4C8"/>
    <w:rsid w:val="00364A5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88C"/>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73D"/>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9C5"/>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913"/>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D7F8D"/>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C3B"/>
    <w:rsid w:val="006A39D0"/>
    <w:rsid w:val="006A3E91"/>
    <w:rsid w:val="006A430B"/>
    <w:rsid w:val="006A4321"/>
    <w:rsid w:val="006A4E20"/>
    <w:rsid w:val="006A4F11"/>
    <w:rsid w:val="006A563C"/>
    <w:rsid w:val="006A5A6F"/>
    <w:rsid w:val="006A5F7E"/>
    <w:rsid w:val="006A6786"/>
    <w:rsid w:val="006A7BD5"/>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772"/>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B6E"/>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4FC8"/>
    <w:rsid w:val="0074592C"/>
    <w:rsid w:val="00745C91"/>
    <w:rsid w:val="00746098"/>
    <w:rsid w:val="00746D58"/>
    <w:rsid w:val="00747578"/>
    <w:rsid w:val="00750ACA"/>
    <w:rsid w:val="00750D12"/>
    <w:rsid w:val="00751073"/>
    <w:rsid w:val="00751818"/>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571"/>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02F"/>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C11"/>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BEF"/>
    <w:rsid w:val="00890C40"/>
    <w:rsid w:val="00891119"/>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E8A"/>
    <w:rsid w:val="008C0325"/>
    <w:rsid w:val="008C094A"/>
    <w:rsid w:val="008C1570"/>
    <w:rsid w:val="008C1792"/>
    <w:rsid w:val="008C17B2"/>
    <w:rsid w:val="008C1E3E"/>
    <w:rsid w:val="008C2059"/>
    <w:rsid w:val="008C21D0"/>
    <w:rsid w:val="008C2DBC"/>
    <w:rsid w:val="008C3A4E"/>
    <w:rsid w:val="008C51E9"/>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30C"/>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B7B"/>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A24"/>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E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B1A"/>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24"/>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4F"/>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684"/>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2B1"/>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366"/>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6FF4"/>
    <w:rsid w:val="00C4720C"/>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B59"/>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22C"/>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19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B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B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C0E"/>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7F9"/>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05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85A"/>
    <w:rsid w:val="00F87282"/>
    <w:rsid w:val="00F878CD"/>
    <w:rsid w:val="00F87905"/>
    <w:rsid w:val="00F87A66"/>
    <w:rsid w:val="00F90C1F"/>
    <w:rsid w:val="00F912D9"/>
    <w:rsid w:val="00F91A44"/>
    <w:rsid w:val="00F91BFA"/>
    <w:rsid w:val="00F91F8F"/>
    <w:rsid w:val="00F9217B"/>
    <w:rsid w:val="00F94016"/>
    <w:rsid w:val="00F95B4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35B"/>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816"/>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53C2F"/>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272EC"/>
    <w:rsid w:val="118963A1"/>
    <w:rsid w:val="11C6522A"/>
    <w:rsid w:val="11E104CC"/>
    <w:rsid w:val="11E20309"/>
    <w:rsid w:val="12255233"/>
    <w:rsid w:val="12482B82"/>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25FD2"/>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17FA8"/>
    <w:rsid w:val="1D266CE1"/>
    <w:rsid w:val="1D3963AF"/>
    <w:rsid w:val="1D6A673C"/>
    <w:rsid w:val="1D9247AE"/>
    <w:rsid w:val="1DB567EC"/>
    <w:rsid w:val="1DF51A98"/>
    <w:rsid w:val="1E051CD9"/>
    <w:rsid w:val="1E3D060F"/>
    <w:rsid w:val="1E3F7D2E"/>
    <w:rsid w:val="1E4134E4"/>
    <w:rsid w:val="1E5062B3"/>
    <w:rsid w:val="1E523514"/>
    <w:rsid w:val="1E677A2A"/>
    <w:rsid w:val="1E714A66"/>
    <w:rsid w:val="1E802593"/>
    <w:rsid w:val="1E8B6156"/>
    <w:rsid w:val="1E911BEF"/>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874EB"/>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03893"/>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237990"/>
    <w:rsid w:val="2E4B082A"/>
    <w:rsid w:val="2E5D4E86"/>
    <w:rsid w:val="2E5D790B"/>
    <w:rsid w:val="2E9A3C18"/>
    <w:rsid w:val="2EBB0FEE"/>
    <w:rsid w:val="2EC63002"/>
    <w:rsid w:val="2F0A6B38"/>
    <w:rsid w:val="2F946CCB"/>
    <w:rsid w:val="2FD25781"/>
    <w:rsid w:val="2FDC745C"/>
    <w:rsid w:val="2FFD7934"/>
    <w:rsid w:val="30733ACD"/>
    <w:rsid w:val="308C3862"/>
    <w:rsid w:val="309379D8"/>
    <w:rsid w:val="309C60F4"/>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007DA"/>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164E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C40A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10D2B"/>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51C5E"/>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65E73"/>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link w:val="1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w:basedOn w:val="24"/>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TextIndent"/>
    <w:basedOn w:val="1"/>
    <w:qFormat/>
    <w:uiPriority w:val="0"/>
    <w:pPr>
      <w:spacing w:after="120"/>
      <w:ind w:left="420" w:leftChars="200"/>
      <w:textAlignment w:val="baseline"/>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38581</Words>
  <Characters>41478</Characters>
  <Lines>61</Lines>
  <Paragraphs>91</Paragraphs>
  <TotalTime>61</TotalTime>
  <ScaleCrop>false</ScaleCrop>
  <LinksUpToDate>false</LinksUpToDate>
  <CharactersWithSpaces>43345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叶问</cp:lastModifiedBy>
  <cp:lastPrinted>2021-12-27T03:06:00Z</cp:lastPrinted>
  <dcterms:modified xsi:type="dcterms:W3CDTF">2023-05-15T06:57:15Z</dcterms:modified>
  <dc:title>杭州市市民卡扩大发卡工程</dc:title>
  <cp:revision>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D076C2A69512484B9BEA6FCAEE2F204F_13</vt:lpwstr>
  </property>
</Properties>
</file>