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pStyle w:val="27"/>
        <w:rPr>
          <w:rFonts w:hint="eastAsia" w:ascii="宋体" w:hAnsi="宋体" w:eastAsia="宋体" w:cs="宋体"/>
          <w:color w:val="000000" w:themeColor="text1"/>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000000" w:themeColor="text1"/>
          <w:kern w:val="0"/>
          <w:sz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玉环市政府</w:t>
      </w:r>
      <w:r>
        <w:rPr>
          <w:rFonts w:hint="eastAsia" w:ascii="宋体" w:hAnsi="宋体" w:eastAsia="宋体" w:cs="宋体"/>
          <w:b/>
          <w:color w:val="000000" w:themeColor="text1"/>
          <w:kern w:val="0"/>
          <w:sz w:val="52"/>
          <w:highlight w:val="none"/>
          <w14:textFill>
            <w14:solidFill>
              <w14:schemeClr w14:val="tx1"/>
            </w14:solidFill>
          </w14:textFill>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lang w:val="en-US" w:eastAsia="zh-CN"/>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94" w:rightChars="0"/>
        <w:jc w:val="center"/>
        <w:rPr>
          <w:rFonts w:hint="default"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项目编号：</w:t>
      </w:r>
      <w:r>
        <w:rPr>
          <w:rFonts w:hint="eastAsia" w:ascii="宋体" w:hAnsi="宋体" w:cs="宋体"/>
          <w:b/>
          <w:color w:val="000000" w:themeColor="text1"/>
          <w:kern w:val="0"/>
          <w:sz w:val="32"/>
          <w:szCs w:val="32"/>
          <w:highlight w:val="none"/>
          <w:lang w:eastAsia="zh-CN"/>
          <w14:textFill>
            <w14:solidFill>
              <w14:schemeClr w14:val="tx1"/>
            </w14:solidFill>
          </w14:textFill>
        </w:rPr>
        <w:t>HQ-YHZFCG-2024-0502</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p>
    <w:p>
      <w:pPr>
        <w:pStyle w:val="46"/>
        <w:ind w:firstLine="600"/>
        <w:rPr>
          <w:rFonts w:hint="eastAsia" w:ascii="宋体" w:hAnsi="宋体" w:eastAsia="宋体" w:cs="宋体"/>
          <w:color w:val="000000" w:themeColor="text1"/>
          <w:kern w:val="0"/>
          <w:sz w:val="30"/>
          <w:szCs w:val="30"/>
          <w:highlight w:val="none"/>
          <w14:textFill>
            <w14:solidFill>
              <w14:schemeClr w14:val="tx1"/>
            </w14:solidFill>
          </w14:textFill>
        </w:rPr>
      </w:pPr>
    </w:p>
    <w:p>
      <w:pPr>
        <w:pStyle w:val="46"/>
        <w:ind w:firstLine="600"/>
        <w:rPr>
          <w:rFonts w:hint="eastAsia" w:ascii="宋体" w:hAnsi="宋体" w:eastAsia="宋体" w:cs="宋体"/>
          <w:color w:val="000000" w:themeColor="text1"/>
          <w:kern w:val="0"/>
          <w:sz w:val="30"/>
          <w:szCs w:val="30"/>
          <w:highlight w:val="none"/>
          <w14:textFill>
            <w14:solidFill>
              <w14:schemeClr w14:val="tx1"/>
            </w14:solidFill>
          </w14:textFill>
        </w:rPr>
      </w:pPr>
    </w:p>
    <w:p>
      <w:pPr>
        <w:pStyle w:val="33"/>
        <w:rPr>
          <w:rFonts w:hint="eastAsia" w:ascii="宋体" w:hAnsi="宋体" w:eastAsia="宋体" w:cs="宋体"/>
          <w:color w:val="000000" w:themeColor="text1"/>
          <w:highlight w:val="none"/>
          <w14:textFill>
            <w14:solidFill>
              <w14:schemeClr w14:val="tx1"/>
            </w14:solidFill>
          </w14:textFill>
        </w:rPr>
      </w:pPr>
    </w:p>
    <w:p>
      <w:pPr>
        <w:tabs>
          <w:tab w:val="left" w:pos="720"/>
          <w:tab w:val="left" w:pos="1440"/>
          <w:tab w:val="left" w:pos="2160"/>
          <w:tab w:val="left" w:pos="2880"/>
          <w:tab w:val="left" w:pos="4320"/>
          <w:tab w:val="left" w:pos="5040"/>
          <w:tab w:val="left" w:pos="5760"/>
        </w:tabs>
        <w:autoSpaceDE w:val="0"/>
        <w:autoSpaceDN w:val="0"/>
        <w:adjustRightInd w:val="0"/>
        <w:spacing w:line="360" w:lineRule="auto"/>
        <w:ind w:right="-314" w:rightChars="0"/>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新能源汽车橡胶零件行业中小企业轻量级数字化改造项目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lang w:eastAsia="zh-CN"/>
          <w14:textFill>
            <w14:solidFill>
              <w14:schemeClr w14:val="tx1"/>
            </w14:solidFill>
          </w14:textFill>
        </w:rPr>
        <w:t>玉环市经济和信息化局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p>
      <w:pPr>
        <w:pStyle w:val="27"/>
        <w:rPr>
          <w:rFonts w:hint="eastAsia" w:ascii="宋体" w:hAnsi="宋体" w:eastAsia="宋体" w:cs="宋体"/>
          <w:color w:val="000000" w:themeColor="text1"/>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r>
        <w:rPr>
          <w:rFonts w:hint="eastAsia" w:ascii="宋体" w:hAnsi="宋体" w:eastAsia="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2024年</w:t>
      </w:r>
      <w:r>
        <w:rPr>
          <w:rFonts w:hint="eastAsia" w:ascii="宋体" w:hAnsi="宋体" w:cs="宋体"/>
          <w:color w:val="000000" w:themeColor="text1"/>
          <w:sz w:val="28"/>
          <w:szCs w:val="28"/>
          <w:highlight w:val="none"/>
          <w:lang w:val="en-US" w:eastAsia="zh-CN"/>
          <w14:textFill>
            <w14:solidFill>
              <w14:schemeClr w14:val="tx1"/>
            </w14:solidFill>
          </w14:textFill>
        </w:rPr>
        <w:t>05月10日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p>
    <w:p>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一、竞争性磋商公告</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二、供应商须知</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三、评审办法及评审标准  </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四、</w:t>
      </w:r>
      <w:r>
        <w:rPr>
          <w:rFonts w:hint="eastAsia" w:ascii="宋体" w:hAnsi="宋体" w:eastAsia="宋体" w:cs="宋体"/>
          <w:b/>
          <w:color w:val="000000" w:themeColor="text1"/>
          <w:kern w:val="0"/>
          <w:sz w:val="28"/>
          <w:szCs w:val="28"/>
          <w:highlight w:val="none"/>
          <w14:textFill>
            <w14:solidFill>
              <w14:schemeClr w14:val="tx1"/>
            </w14:solidFill>
          </w14:textFill>
        </w:rPr>
        <w:t>项目需求</w:t>
      </w:r>
    </w:p>
    <w:p>
      <w:pPr>
        <w:spacing w:line="360" w:lineRule="auto"/>
        <w:ind w:firstLine="703" w:firstLineChars="250"/>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五、政府采购合同主要条款指引       </w:t>
      </w:r>
    </w:p>
    <w:p>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六、响应文件格式附件</w:t>
      </w: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6"/>
        <w:spacing w:before="0" w:after="0" w:line="520" w:lineRule="exact"/>
        <w:jc w:val="center"/>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第一章  竞争性磋商公告</w:t>
      </w: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tbl>
      <w:tblPr>
        <w:tblStyle w:val="36"/>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noWrap w:val="0"/>
            <w:vAlign w:val="top"/>
          </w:tcPr>
          <w:p>
            <w:pPr>
              <w:pStyle w:val="32"/>
              <w:widowControl/>
              <w:spacing w:beforeAutospacing="0" w:afterAutospacing="0" w:line="400" w:lineRule="exac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项目概况</w:t>
            </w:r>
          </w:p>
          <w:p>
            <w:pPr>
              <w:pStyle w:val="32"/>
              <w:widowControl/>
              <w:spacing w:beforeAutospacing="0" w:afterAutospacing="0" w:line="400" w:lineRule="exact"/>
              <w:ind w:firstLine="440" w:firstLineChars="200"/>
              <w:rPr>
                <w:rFonts w:hint="eastAsia" w:ascii="宋体" w:cs="宋体"/>
                <w:color w:val="000000" w:themeColor="text1"/>
                <w:sz w:val="22"/>
                <w:highlight w:val="none"/>
                <w:shd w:val="clear" w:color="auto" w:fill="FFFFFF"/>
                <w14:textFill>
                  <w14:solidFill>
                    <w14:schemeClr w14:val="tx1"/>
                  </w14:solidFill>
                </w14:textFill>
              </w:rPr>
            </w:pPr>
            <w:r>
              <w:rPr>
                <w:rFonts w:hint="eastAsia" w:ascii="仿宋" w:hAnsi="仿宋" w:eastAsia="仿宋" w:cs="仿宋"/>
                <w:color w:val="000000" w:themeColor="text1"/>
                <w:sz w:val="22"/>
                <w:highlight w:val="none"/>
                <w:lang w:eastAsia="zh-CN"/>
                <w14:textFill>
                  <w14:solidFill>
                    <w14:schemeClr w14:val="tx1"/>
                  </w14:solidFill>
                </w14:textFill>
              </w:rPr>
              <w:t>新能源汽车橡胶零件行业中小企业轻量级数字化改造项目</w:t>
            </w:r>
            <w:r>
              <w:rPr>
                <w:rFonts w:hint="eastAsia" w:ascii="仿宋" w:hAnsi="仿宋" w:eastAsia="仿宋" w:cs="仿宋"/>
                <w:color w:val="000000" w:themeColor="text1"/>
                <w:sz w:val="22"/>
                <w:highlight w:val="none"/>
                <w14:textFill>
                  <w14:solidFill>
                    <w14:schemeClr w14:val="tx1"/>
                  </w14:solidFill>
                </w14:textFill>
              </w:rPr>
              <w:t>采购项目的潜在供应商应在政采云平台获取（下载）采购文件，并于</w:t>
            </w:r>
            <w:r>
              <w:rPr>
                <w:rFonts w:hint="eastAsia" w:ascii="仿宋" w:hAnsi="仿宋" w:eastAsia="仿宋" w:cs="仿宋"/>
                <w:color w:val="000000" w:themeColor="text1"/>
                <w:sz w:val="22"/>
                <w:highlight w:val="none"/>
                <w:lang w:eastAsia="zh-CN"/>
                <w14:textFill>
                  <w14:solidFill>
                    <w14:schemeClr w14:val="tx1"/>
                  </w14:solidFill>
                </w14:textFill>
              </w:rPr>
              <w:t>2024年</w:t>
            </w:r>
            <w:bookmarkStart w:id="0" w:name="_GoBack"/>
            <w:bookmarkEnd w:id="0"/>
            <w:r>
              <w:rPr>
                <w:rFonts w:hint="eastAsia" w:ascii="仿宋" w:hAnsi="仿宋" w:eastAsia="仿宋" w:cs="仿宋"/>
                <w:color w:val="000000" w:themeColor="text1"/>
                <w:sz w:val="22"/>
                <w:highlight w:val="none"/>
                <w:lang w:eastAsia="zh-CN"/>
                <w14:textFill>
                  <w14:solidFill>
                    <w14:schemeClr w14:val="tx1"/>
                  </w14:solidFill>
                </w14:textFill>
              </w:rPr>
              <w:t>05月23日</w:t>
            </w:r>
            <w:r>
              <w:rPr>
                <w:rFonts w:hint="eastAsia" w:ascii="仿宋" w:hAnsi="仿宋" w:eastAsia="仿宋" w:cs="仿宋"/>
                <w:color w:val="000000" w:themeColor="text1"/>
                <w:sz w:val="22"/>
                <w:highlight w:val="none"/>
                <w:lang w:val="en-US" w:eastAsia="zh-CN"/>
                <w14:textFill>
                  <w14:solidFill>
                    <w14:schemeClr w14:val="tx1"/>
                  </w14:solidFill>
                </w14:textFill>
              </w:rPr>
              <w:t>09</w:t>
            </w:r>
            <w:r>
              <w:rPr>
                <w:rFonts w:hint="eastAsia" w:ascii="仿宋" w:hAnsi="仿宋" w:eastAsia="仿宋" w:cs="仿宋"/>
                <w:color w:val="000000" w:themeColor="text1"/>
                <w:sz w:val="22"/>
                <w:highlight w:val="none"/>
                <w:lang w:eastAsia="zh-CN"/>
                <w14:textFill>
                  <w14:solidFill>
                    <w14:schemeClr w14:val="tx1"/>
                  </w14:solidFill>
                </w14:textFill>
              </w:rPr>
              <w:t>:</w:t>
            </w:r>
            <w:r>
              <w:rPr>
                <w:rFonts w:hint="eastAsia" w:ascii="仿宋" w:hAnsi="仿宋" w:eastAsia="仿宋" w:cs="仿宋"/>
                <w:color w:val="000000" w:themeColor="text1"/>
                <w:sz w:val="22"/>
                <w:highlight w:val="none"/>
                <w:lang w:val="en-US" w:eastAsia="zh-CN"/>
                <w14:textFill>
                  <w14:solidFill>
                    <w14:schemeClr w14:val="tx1"/>
                  </w14:solidFill>
                </w14:textFill>
              </w:rPr>
              <w:t>0</w:t>
            </w:r>
            <w:r>
              <w:rPr>
                <w:rFonts w:hint="eastAsia" w:ascii="仿宋" w:hAnsi="仿宋" w:eastAsia="仿宋" w:cs="仿宋"/>
                <w:color w:val="000000" w:themeColor="text1"/>
                <w:sz w:val="22"/>
                <w:highlight w:val="none"/>
                <w:lang w:eastAsia="zh-CN"/>
                <w14:textFill>
                  <w14:solidFill>
                    <w14:schemeClr w14:val="tx1"/>
                  </w14:solidFill>
                </w14:textFill>
              </w:rPr>
              <w:t>0</w:t>
            </w:r>
            <w:r>
              <w:rPr>
                <w:rFonts w:hint="eastAsia" w:ascii="仿宋" w:hAnsi="仿宋" w:eastAsia="仿宋" w:cs="仿宋"/>
                <w:color w:val="000000" w:themeColor="text1"/>
                <w:sz w:val="22"/>
                <w:highlight w:val="none"/>
                <w14:textFill>
                  <w14:solidFill>
                    <w14:schemeClr w14:val="tx1"/>
                  </w14:solidFill>
                </w14:textFill>
              </w:rPr>
              <w:t>（北京时间）前提交（上传）响应文件</w:t>
            </w:r>
            <w:r>
              <w:rPr>
                <w:rFonts w:hint="eastAsia" w:ascii="宋体" w:cs="宋体"/>
                <w:color w:val="000000" w:themeColor="text1"/>
                <w:sz w:val="22"/>
                <w:highlight w:val="none"/>
                <w:shd w:val="clear" w:color="auto" w:fill="FFFFFF"/>
                <w14:textFill>
                  <w14:solidFill>
                    <w14:schemeClr w14:val="tx1"/>
                  </w14:solidFill>
                </w14:textFill>
              </w:rPr>
              <w:t xml:space="preserve">。    </w:t>
            </w:r>
          </w:p>
        </w:tc>
      </w:tr>
    </w:tbl>
    <w:p>
      <w:pPr>
        <w:pStyle w:val="32"/>
        <w:widowControl/>
        <w:spacing w:before="38" w:beforeAutospacing="0" w:after="38" w:afterAutospacing="0"/>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xml:space="preserve">                     </w:t>
      </w:r>
    </w:p>
    <w:p>
      <w:pPr>
        <w:pStyle w:val="32"/>
        <w:widowControl/>
        <w:spacing w:before="128" w:beforeAutospacing="0" w:after="128" w:afterAutospacing="0" w:line="225" w:lineRule="atLeast"/>
        <w:jc w:val="both"/>
        <w:rPr>
          <w:rFonts w:ascii="黑体" w:hAnsi="宋体" w:eastAsia="黑体" w:cs="黑体"/>
          <w:color w:val="000000" w:themeColor="text1"/>
          <w:sz w:val="22"/>
          <w:highlight w:val="none"/>
          <w14:textFill>
            <w14:solidFill>
              <w14:schemeClr w14:val="tx1"/>
            </w14:solidFill>
          </w14:textFill>
        </w:rPr>
      </w:pPr>
      <w:r>
        <w:rPr>
          <w:rStyle w:val="39"/>
          <w:rFonts w:ascii="黑体" w:hAnsi="宋体" w:eastAsia="黑体" w:cs="黑体"/>
          <w:color w:val="000000" w:themeColor="text1"/>
          <w:sz w:val="22"/>
          <w:highlight w:val="none"/>
          <w14:textFill>
            <w14:solidFill>
              <w14:schemeClr w14:val="tx1"/>
            </w14:solidFill>
          </w14:textFill>
        </w:rPr>
        <w:t>一、项目基本情况</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项目编号：</w:t>
      </w:r>
      <w:r>
        <w:rPr>
          <w:rFonts w:hint="eastAsia" w:ascii="仿宋" w:hAnsi="仿宋" w:eastAsia="仿宋" w:cs="仿宋"/>
          <w:color w:val="000000" w:themeColor="text1"/>
          <w:sz w:val="22"/>
          <w:highlight w:val="none"/>
          <w:lang w:eastAsia="zh-CN"/>
          <w14:textFill>
            <w14:solidFill>
              <w14:schemeClr w14:val="tx1"/>
            </w14:solidFill>
          </w14:textFill>
        </w:rPr>
        <w:t>HQ-YHZFCG-2024-0502</w:t>
      </w:r>
      <w:r>
        <w:rPr>
          <w:rFonts w:hint="eastAsia" w:ascii="仿宋" w:hAnsi="仿宋" w:eastAsia="仿宋" w:cs="仿宋"/>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项目名称：</w:t>
      </w:r>
      <w:r>
        <w:rPr>
          <w:rFonts w:hint="eastAsia" w:ascii="仿宋" w:hAnsi="仿宋" w:eastAsia="仿宋" w:cs="仿宋"/>
          <w:color w:val="000000" w:themeColor="text1"/>
          <w:sz w:val="22"/>
          <w:highlight w:val="none"/>
          <w:lang w:eastAsia="zh-CN"/>
          <w14:textFill>
            <w14:solidFill>
              <w14:schemeClr w14:val="tx1"/>
            </w14:solidFill>
          </w14:textFill>
        </w:rPr>
        <w:t>新能源汽车橡胶零件行业中小企业轻量级数字化改造项目</w:t>
      </w:r>
      <w:r>
        <w:rPr>
          <w:rFonts w:hint="eastAsia" w:ascii="仿宋" w:hAnsi="仿宋" w:eastAsia="仿宋" w:cs="仿宋"/>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采购方式：竞争性磋商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预算金额（元）：</w:t>
      </w:r>
      <w:r>
        <w:rPr>
          <w:rFonts w:hint="eastAsia" w:ascii="仿宋" w:hAnsi="仿宋" w:eastAsia="仿宋" w:cs="仿宋"/>
          <w:color w:val="000000" w:themeColor="text1"/>
          <w:sz w:val="22"/>
          <w:highlight w:val="none"/>
          <w:lang w:eastAsia="zh-CN"/>
          <w14:textFill>
            <w14:solidFill>
              <w14:schemeClr w14:val="tx1"/>
            </w14:solidFill>
          </w14:textFill>
        </w:rPr>
        <w:t>2000000</w:t>
      </w:r>
      <w:r>
        <w:rPr>
          <w:rFonts w:hint="eastAsia" w:ascii="仿宋" w:hAnsi="仿宋" w:eastAsia="仿宋" w:cs="仿宋"/>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最高限价（元）：</w:t>
      </w:r>
      <w:r>
        <w:rPr>
          <w:rFonts w:hint="eastAsia" w:ascii="仿宋" w:hAnsi="仿宋" w:eastAsia="仿宋" w:cs="仿宋"/>
          <w:color w:val="000000" w:themeColor="text1"/>
          <w:sz w:val="22"/>
          <w:highlight w:val="none"/>
          <w:lang w:eastAsia="zh-CN"/>
          <w14:textFill>
            <w14:solidFill>
              <w14:schemeClr w14:val="tx1"/>
            </w14:solidFill>
          </w14:textFill>
        </w:rPr>
        <w:t>2000000</w:t>
      </w:r>
      <w:r>
        <w:rPr>
          <w:rFonts w:hint="eastAsia" w:ascii="仿宋" w:hAnsi="仿宋" w:eastAsia="仿宋" w:cs="仿宋"/>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采购需求：</w:t>
      </w:r>
    </w:p>
    <w:p>
      <w:pPr>
        <w:widowControl/>
        <w:spacing w:line="150" w:lineRule="atLeast"/>
        <w:jc w:val="left"/>
        <w:rPr>
          <w:rFonts w:hint="eastAsia" w:ascii="仿宋" w:hAnsi="仿宋" w:eastAsia="仿宋" w:cs="仿宋"/>
          <w:color w:val="000000" w:themeColor="text1"/>
          <w:kern w:val="0"/>
          <w:sz w:val="22"/>
          <w:highlight w:val="none"/>
          <w:lang w:eastAsia="zh-CN" w:bidi="ar"/>
          <w14:textFill>
            <w14:solidFill>
              <w14:schemeClr w14:val="tx1"/>
            </w14:solidFill>
          </w14:textFill>
        </w:rPr>
      </w:pPr>
      <w:r>
        <w:rPr>
          <w:rFonts w:hint="eastAsia" w:ascii="仿宋" w:hAnsi="仿宋" w:eastAsia="仿宋" w:cs="仿宋"/>
          <w:color w:val="000000" w:themeColor="text1"/>
          <w:kern w:val="0"/>
          <w:sz w:val="22"/>
          <w:highlight w:val="none"/>
          <w:lang w:bidi="ar"/>
          <w14:textFill>
            <w14:solidFill>
              <w14:schemeClr w14:val="tx1"/>
            </w14:solidFill>
          </w14:textFill>
        </w:rPr>
        <w:t>         </w:t>
      </w:r>
    </w:p>
    <w:p>
      <w:pPr>
        <w:widowControl/>
        <w:spacing w:line="150" w:lineRule="atLeast"/>
        <w:jc w:val="lef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kern w:val="0"/>
          <w:sz w:val="22"/>
          <w:highlight w:val="none"/>
          <w:lang w:bidi="ar"/>
          <w14:textFill>
            <w14:solidFill>
              <w14:schemeClr w14:val="tx1"/>
            </w14:solidFill>
          </w14:textFill>
        </w:rPr>
        <w:t>   数量：不限       </w:t>
      </w:r>
    </w:p>
    <w:p>
      <w:pPr>
        <w:pStyle w:val="32"/>
        <w:widowControl/>
        <w:spacing w:before="38" w:beforeAutospacing="0" w:after="38" w:afterAutospacing="0" w:line="150" w:lineRule="atLeast"/>
        <w:rPr>
          <w:rFonts w:hint="eastAsia" w:eastAsia="仿宋"/>
          <w:color w:val="000000" w:themeColor="text1"/>
          <w:sz w:val="22"/>
          <w:highlight w:val="none"/>
          <w:lang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预算金额（元）：</w:t>
      </w:r>
      <w:r>
        <w:rPr>
          <w:rFonts w:hint="eastAsia" w:ascii="仿宋" w:hAnsi="仿宋" w:eastAsia="仿宋" w:cs="仿宋"/>
          <w:color w:val="000000" w:themeColor="text1"/>
          <w:sz w:val="22"/>
          <w:highlight w:val="none"/>
          <w:lang w:eastAsia="zh-CN"/>
          <w14:textFill>
            <w14:solidFill>
              <w14:schemeClr w14:val="tx1"/>
            </w14:solidFill>
          </w14:textFill>
        </w:rPr>
        <w:t>2000000</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单位：套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简要规格描述：</w:t>
      </w:r>
      <w:r>
        <w:rPr>
          <w:rFonts w:hint="eastAsia" w:ascii="仿宋" w:hAnsi="仿宋" w:eastAsia="仿宋" w:cs="仿宋"/>
          <w:color w:val="000000" w:themeColor="text1"/>
          <w:sz w:val="22"/>
          <w:highlight w:val="none"/>
          <w:lang w:eastAsia="zh-CN"/>
          <w14:textFill>
            <w14:solidFill>
              <w14:schemeClr w14:val="tx1"/>
            </w14:solidFill>
          </w14:textFill>
        </w:rPr>
        <w:t>新能源汽车橡胶零件行业中小企业轻量级数字化改造项目</w:t>
      </w:r>
      <w:r>
        <w:rPr>
          <w:rFonts w:hint="eastAsia" w:ascii="仿宋" w:hAnsi="仿宋" w:eastAsia="仿宋" w:cs="仿宋"/>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备注：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合同履约期限：标项 1，自详见采购文件。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本项目（否）接受联合体投标。  </w:t>
      </w:r>
    </w:p>
    <w:p>
      <w:pPr>
        <w:pStyle w:val="32"/>
        <w:widowControl/>
        <w:spacing w:before="128" w:beforeAutospacing="0" w:after="128" w:afterAutospacing="0" w:line="225" w:lineRule="atLeast"/>
        <w:jc w:val="both"/>
        <w:rPr>
          <w:rFonts w:ascii="黑体" w:hAnsi="宋体" w:eastAsia="黑体" w:cs="黑体"/>
          <w:color w:val="000000" w:themeColor="text1"/>
          <w:sz w:val="22"/>
          <w:highlight w:val="none"/>
          <w14:textFill>
            <w14:solidFill>
              <w14:schemeClr w14:val="tx1"/>
            </w14:solidFill>
          </w14:textFill>
        </w:rPr>
      </w:pPr>
      <w:r>
        <w:rPr>
          <w:rStyle w:val="39"/>
          <w:rFonts w:ascii="黑体" w:hAnsi="宋体" w:eastAsia="黑体" w:cs="黑体"/>
          <w:color w:val="000000" w:themeColor="text1"/>
          <w:sz w:val="22"/>
          <w:highlight w:val="none"/>
          <w14:textFill>
            <w14:solidFill>
              <w14:schemeClr w14:val="tx1"/>
            </w14:solidFill>
          </w14:textFill>
        </w:rPr>
        <w:t>二、申请人的资格要求：</w:t>
      </w:r>
    </w:p>
    <w:p>
      <w:pPr>
        <w:pStyle w:val="32"/>
        <w:widowControl/>
        <w:spacing w:before="38" w:beforeAutospacing="0" w:after="38" w:afterAutospacing="0" w:line="150" w:lineRule="atLeast"/>
        <w:rPr>
          <w:rFonts w:hint="eastAsia" w:eastAsia="仿宋"/>
          <w:color w:val="000000" w:themeColor="text1"/>
          <w:sz w:val="22"/>
          <w:highlight w:val="none"/>
          <w:lang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000000" w:themeColor="text1"/>
          <w:sz w:val="22"/>
          <w:highlight w:val="none"/>
          <w:lang w:eastAsia="zh-CN"/>
          <w14:textFill>
            <w14:solidFill>
              <w14:schemeClr w14:val="tx1"/>
            </w14:solidFill>
          </w14:textFill>
        </w:rPr>
        <w:t>；</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2.落实政府采购政策需满足的资格要求：供应商为中小企业/小微企业； </w:t>
      </w:r>
    </w:p>
    <w:p>
      <w:pPr>
        <w:pStyle w:val="32"/>
        <w:widowControl/>
        <w:spacing w:before="38" w:beforeAutospacing="0" w:after="38" w:afterAutospacing="0" w:line="150" w:lineRule="atLeast"/>
        <w:rPr>
          <w:rFonts w:hint="eastAsia" w:eastAsia="仿宋"/>
          <w:color w:val="000000" w:themeColor="text1"/>
          <w:sz w:val="22"/>
          <w:highlight w:val="none"/>
          <w:lang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3.本项目的特定资格要求：无</w:t>
      </w:r>
      <w:r>
        <w:rPr>
          <w:rFonts w:hint="eastAsia" w:ascii="仿宋" w:hAnsi="仿宋" w:eastAsia="仿宋" w:cs="仿宋"/>
          <w:color w:val="000000" w:themeColor="text1"/>
          <w:sz w:val="22"/>
          <w:highlight w:val="none"/>
          <w:lang w:eastAsia="zh-CN"/>
          <w14:textFill>
            <w14:solidFill>
              <w14:schemeClr w14:val="tx1"/>
            </w14:solidFill>
          </w14:textFill>
        </w:rPr>
        <w:t>。</w:t>
      </w:r>
    </w:p>
    <w:p>
      <w:pPr>
        <w:pStyle w:val="32"/>
        <w:widowControl/>
        <w:spacing w:before="128" w:beforeAutospacing="0" w:after="128" w:afterAutospacing="0" w:line="225" w:lineRule="atLeast"/>
        <w:jc w:val="both"/>
        <w:rPr>
          <w:rFonts w:ascii="黑体" w:hAnsi="宋体" w:eastAsia="黑体" w:cs="黑体"/>
          <w:color w:val="000000" w:themeColor="text1"/>
          <w:sz w:val="22"/>
          <w:highlight w:val="none"/>
          <w14:textFill>
            <w14:solidFill>
              <w14:schemeClr w14:val="tx1"/>
            </w14:solidFill>
          </w14:textFill>
        </w:rPr>
      </w:pPr>
      <w:r>
        <w:rPr>
          <w:rStyle w:val="39"/>
          <w:rFonts w:ascii="黑体" w:hAnsi="宋体" w:eastAsia="黑体" w:cs="黑体"/>
          <w:color w:val="000000" w:themeColor="text1"/>
          <w:sz w:val="22"/>
          <w:highlight w:val="none"/>
          <w14:textFill>
            <w14:solidFill>
              <w14:schemeClr w14:val="tx1"/>
            </w14:solidFill>
          </w14:textFill>
        </w:rPr>
        <w:t>三、获取（下载）采购文件</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w:t>
      </w:r>
      <w:r>
        <w:rPr>
          <w:rFonts w:hint="eastAsia" w:ascii="仿宋" w:hAnsi="仿宋" w:eastAsia="仿宋" w:cs="仿宋"/>
          <w:color w:val="000000" w:themeColor="text1"/>
          <w:sz w:val="2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2"/>
          <w:highlight w:val="none"/>
          <w14:textFill>
            <w14:solidFill>
              <w14:schemeClr w14:val="tx1"/>
            </w14:solidFill>
          </w14:textFill>
        </w:rPr>
        <w:t> 时间：/至</w:t>
      </w:r>
      <w:r>
        <w:rPr>
          <w:rFonts w:hint="eastAsia" w:ascii="仿宋" w:hAnsi="仿宋" w:eastAsia="仿宋" w:cs="仿宋"/>
          <w:color w:val="000000" w:themeColor="text1"/>
          <w:sz w:val="22"/>
          <w:highlight w:val="none"/>
          <w:lang w:eastAsia="zh-CN"/>
          <w14:textFill>
            <w14:solidFill>
              <w14:schemeClr w14:val="tx1"/>
            </w14:solidFill>
          </w14:textFill>
        </w:rPr>
        <w:t>2024年05月23日</w:t>
      </w:r>
      <w:r>
        <w:rPr>
          <w:rFonts w:hint="eastAsia" w:ascii="仿宋" w:hAnsi="仿宋" w:eastAsia="仿宋" w:cs="仿宋"/>
          <w:color w:val="000000" w:themeColor="text1"/>
          <w:sz w:val="22"/>
          <w:highlight w:val="none"/>
          <w14:textFill>
            <w14:solidFill>
              <w14:schemeClr w14:val="tx1"/>
            </w14:solidFill>
          </w14:textFill>
        </w:rPr>
        <w:t>，每天上午00:00至12:00，下午12:00至23:59（北京时间，线上获取法定节假日均可，线下获取文件法定节假日除外）</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地点（网址）：政采云平台线上获取 </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售价（元）：0 </w:t>
      </w:r>
    </w:p>
    <w:p>
      <w:pPr>
        <w:pStyle w:val="32"/>
        <w:widowControl/>
        <w:spacing w:before="128" w:beforeAutospacing="0" w:after="128" w:afterAutospacing="0" w:line="225" w:lineRule="atLeast"/>
        <w:jc w:val="both"/>
        <w:rPr>
          <w:rFonts w:ascii="黑体" w:hAnsi="宋体" w:eastAsia="黑体" w:cs="黑体"/>
          <w:color w:val="000000" w:themeColor="text1"/>
          <w:sz w:val="22"/>
          <w:highlight w:val="none"/>
          <w14:textFill>
            <w14:solidFill>
              <w14:schemeClr w14:val="tx1"/>
            </w14:solidFill>
          </w14:textFill>
        </w:rPr>
      </w:pPr>
      <w:r>
        <w:rPr>
          <w:rStyle w:val="39"/>
          <w:rFonts w:ascii="黑体" w:hAnsi="宋体" w:eastAsia="黑体" w:cs="黑体"/>
          <w:color w:val="000000" w:themeColor="text1"/>
          <w:sz w:val="22"/>
          <w:highlight w:val="none"/>
          <w14:textFill>
            <w14:solidFill>
              <w14:schemeClr w14:val="tx1"/>
            </w14:solidFill>
          </w14:textFill>
        </w:rPr>
        <w:t>四、响应文件提交（上传）</w:t>
      </w:r>
      <w:r>
        <w:rPr>
          <w:rFonts w:ascii="黑体" w:hAnsi="宋体" w:eastAsia="黑体" w:cs="黑体"/>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截止时间：</w:t>
      </w:r>
      <w:r>
        <w:rPr>
          <w:rFonts w:hint="eastAsia" w:ascii="仿宋" w:hAnsi="仿宋" w:eastAsia="仿宋" w:cs="仿宋"/>
          <w:color w:val="000000" w:themeColor="text1"/>
          <w:sz w:val="22"/>
          <w:highlight w:val="none"/>
          <w:lang w:eastAsia="zh-CN"/>
          <w14:textFill>
            <w14:solidFill>
              <w14:schemeClr w14:val="tx1"/>
            </w14:solidFill>
          </w14:textFill>
        </w:rPr>
        <w:t>2024年05月23日</w:t>
      </w:r>
      <w:r>
        <w:rPr>
          <w:rFonts w:hint="eastAsia" w:ascii="仿宋" w:hAnsi="仿宋" w:eastAsia="仿宋" w:cs="仿宋"/>
          <w:color w:val="000000" w:themeColor="text1"/>
          <w:sz w:val="22"/>
          <w:highlight w:val="none"/>
          <w:lang w:val="en-US" w:eastAsia="zh-CN"/>
          <w14:textFill>
            <w14:solidFill>
              <w14:schemeClr w14:val="tx1"/>
            </w14:solidFill>
          </w14:textFill>
        </w:rPr>
        <w:t>09</w:t>
      </w:r>
      <w:r>
        <w:rPr>
          <w:rFonts w:hint="eastAsia" w:ascii="仿宋" w:hAnsi="仿宋" w:eastAsia="仿宋" w:cs="仿宋"/>
          <w:color w:val="000000" w:themeColor="text1"/>
          <w:sz w:val="22"/>
          <w:highlight w:val="none"/>
          <w:lang w:eastAsia="zh-CN"/>
          <w14:textFill>
            <w14:solidFill>
              <w14:schemeClr w14:val="tx1"/>
            </w14:solidFill>
          </w14:textFill>
        </w:rPr>
        <w:t>:</w:t>
      </w:r>
      <w:r>
        <w:rPr>
          <w:rFonts w:hint="eastAsia" w:ascii="仿宋" w:hAnsi="仿宋" w:eastAsia="仿宋" w:cs="仿宋"/>
          <w:color w:val="000000" w:themeColor="text1"/>
          <w:sz w:val="22"/>
          <w:highlight w:val="none"/>
          <w:lang w:val="en-US" w:eastAsia="zh-CN"/>
          <w14:textFill>
            <w14:solidFill>
              <w14:schemeClr w14:val="tx1"/>
            </w14:solidFill>
          </w14:textFill>
        </w:rPr>
        <w:t>0</w:t>
      </w:r>
      <w:r>
        <w:rPr>
          <w:rFonts w:hint="eastAsia" w:ascii="仿宋" w:hAnsi="仿宋" w:eastAsia="仿宋" w:cs="仿宋"/>
          <w:color w:val="000000" w:themeColor="text1"/>
          <w:sz w:val="22"/>
          <w:highlight w:val="none"/>
          <w:lang w:eastAsia="zh-CN"/>
          <w14:textFill>
            <w14:solidFill>
              <w14:schemeClr w14:val="tx1"/>
            </w14:solidFill>
          </w14:textFill>
        </w:rPr>
        <w:t>0</w:t>
      </w:r>
      <w:r>
        <w:rPr>
          <w:rFonts w:hint="eastAsia" w:ascii="仿宋" w:hAnsi="仿宋" w:eastAsia="仿宋" w:cs="仿宋"/>
          <w:color w:val="000000" w:themeColor="text1"/>
          <w:sz w:val="22"/>
          <w:highlight w:val="none"/>
          <w14:textFill>
            <w14:solidFill>
              <w14:schemeClr w14:val="tx1"/>
            </w14:solidFill>
          </w14:textFill>
        </w:rPr>
        <w:t>（北京时间）</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地点（网址）：请登录政采云投标客户端投标  </w:t>
      </w:r>
    </w:p>
    <w:p>
      <w:pPr>
        <w:pStyle w:val="32"/>
        <w:widowControl/>
        <w:spacing w:before="128" w:beforeAutospacing="0" w:after="128" w:afterAutospacing="0" w:line="225" w:lineRule="atLeast"/>
        <w:jc w:val="both"/>
        <w:rPr>
          <w:rFonts w:ascii="黑体" w:hAnsi="宋体" w:eastAsia="黑体" w:cs="黑体"/>
          <w:color w:val="000000" w:themeColor="text1"/>
          <w:sz w:val="22"/>
          <w:highlight w:val="none"/>
          <w14:textFill>
            <w14:solidFill>
              <w14:schemeClr w14:val="tx1"/>
            </w14:solidFill>
          </w14:textFill>
        </w:rPr>
      </w:pPr>
      <w:r>
        <w:rPr>
          <w:rStyle w:val="39"/>
          <w:rFonts w:ascii="黑体" w:hAnsi="宋体" w:eastAsia="黑体" w:cs="黑体"/>
          <w:color w:val="000000" w:themeColor="text1"/>
          <w:sz w:val="22"/>
          <w:highlight w:val="none"/>
          <w14:textFill>
            <w14:solidFill>
              <w14:schemeClr w14:val="tx1"/>
            </w14:solidFill>
          </w14:textFill>
        </w:rPr>
        <w:t>五、响应文件开启</w:t>
      </w:r>
      <w:r>
        <w:rPr>
          <w:rFonts w:ascii="黑体" w:hAnsi="宋体" w:eastAsia="黑体" w:cs="黑体"/>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开启时间：</w:t>
      </w:r>
      <w:r>
        <w:rPr>
          <w:rFonts w:hint="eastAsia" w:ascii="仿宋" w:hAnsi="仿宋" w:eastAsia="仿宋" w:cs="仿宋"/>
          <w:color w:val="000000" w:themeColor="text1"/>
          <w:sz w:val="22"/>
          <w:highlight w:val="none"/>
          <w:lang w:eastAsia="zh-CN"/>
          <w14:textFill>
            <w14:solidFill>
              <w14:schemeClr w14:val="tx1"/>
            </w14:solidFill>
          </w14:textFill>
        </w:rPr>
        <w:t>2024年05月23日</w:t>
      </w:r>
      <w:r>
        <w:rPr>
          <w:rFonts w:hint="eastAsia" w:ascii="仿宋" w:hAnsi="仿宋" w:eastAsia="仿宋" w:cs="仿宋"/>
          <w:color w:val="000000" w:themeColor="text1"/>
          <w:sz w:val="22"/>
          <w:highlight w:val="none"/>
          <w:lang w:val="en-US" w:eastAsia="zh-CN"/>
          <w14:textFill>
            <w14:solidFill>
              <w14:schemeClr w14:val="tx1"/>
            </w14:solidFill>
          </w14:textFill>
        </w:rPr>
        <w:t>09</w:t>
      </w:r>
      <w:r>
        <w:rPr>
          <w:rFonts w:hint="eastAsia" w:ascii="仿宋" w:hAnsi="仿宋" w:eastAsia="仿宋" w:cs="仿宋"/>
          <w:color w:val="000000" w:themeColor="text1"/>
          <w:sz w:val="22"/>
          <w:highlight w:val="none"/>
          <w:lang w:eastAsia="zh-CN"/>
          <w14:textFill>
            <w14:solidFill>
              <w14:schemeClr w14:val="tx1"/>
            </w14:solidFill>
          </w14:textFill>
        </w:rPr>
        <w:t>:</w:t>
      </w:r>
      <w:r>
        <w:rPr>
          <w:rFonts w:hint="eastAsia" w:ascii="仿宋" w:hAnsi="仿宋" w:eastAsia="仿宋" w:cs="仿宋"/>
          <w:color w:val="000000" w:themeColor="text1"/>
          <w:sz w:val="22"/>
          <w:highlight w:val="none"/>
          <w:lang w:val="en-US" w:eastAsia="zh-CN"/>
          <w14:textFill>
            <w14:solidFill>
              <w14:schemeClr w14:val="tx1"/>
            </w14:solidFill>
          </w14:textFill>
        </w:rPr>
        <w:t>0</w:t>
      </w:r>
      <w:r>
        <w:rPr>
          <w:rFonts w:hint="eastAsia" w:ascii="仿宋" w:hAnsi="仿宋" w:eastAsia="仿宋" w:cs="仿宋"/>
          <w:color w:val="000000" w:themeColor="text1"/>
          <w:sz w:val="22"/>
          <w:highlight w:val="none"/>
          <w:lang w:eastAsia="zh-CN"/>
          <w14:textFill>
            <w14:solidFill>
              <w14:schemeClr w14:val="tx1"/>
            </w14:solidFill>
          </w14:textFill>
        </w:rPr>
        <w:t>0</w:t>
      </w:r>
      <w:r>
        <w:rPr>
          <w:rFonts w:hint="eastAsia" w:ascii="仿宋" w:hAnsi="仿宋" w:eastAsia="仿宋" w:cs="仿宋"/>
          <w:color w:val="000000" w:themeColor="text1"/>
          <w:sz w:val="22"/>
          <w:highlight w:val="none"/>
          <w14:textFill>
            <w14:solidFill>
              <w14:schemeClr w14:val="tx1"/>
            </w14:solidFill>
          </w14:textFill>
        </w:rPr>
        <w:t>（北京时间）</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地点（网址）：政采云 </w:t>
      </w:r>
    </w:p>
    <w:p>
      <w:pPr>
        <w:pStyle w:val="32"/>
        <w:widowControl/>
        <w:spacing w:before="128" w:beforeAutospacing="0" w:after="128" w:afterAutospacing="0" w:line="225" w:lineRule="atLeast"/>
        <w:jc w:val="both"/>
        <w:rPr>
          <w:rFonts w:ascii="黑体" w:hAnsi="宋体" w:eastAsia="黑体" w:cs="黑体"/>
          <w:color w:val="000000" w:themeColor="text1"/>
          <w:sz w:val="22"/>
          <w:highlight w:val="none"/>
          <w14:textFill>
            <w14:solidFill>
              <w14:schemeClr w14:val="tx1"/>
            </w14:solidFill>
          </w14:textFill>
        </w:rPr>
      </w:pPr>
      <w:r>
        <w:rPr>
          <w:rStyle w:val="39"/>
          <w:rFonts w:ascii="黑体" w:hAnsi="宋体" w:eastAsia="黑体" w:cs="黑体"/>
          <w:color w:val="000000" w:themeColor="text1"/>
          <w:sz w:val="22"/>
          <w:highlight w:val="none"/>
          <w14:textFill>
            <w14:solidFill>
              <w14:schemeClr w14:val="tx1"/>
            </w14:solidFill>
          </w14:textFill>
        </w:rPr>
        <w:t>六、公告期限</w:t>
      </w:r>
    </w:p>
    <w:p>
      <w:pPr>
        <w:pStyle w:val="32"/>
        <w:widowControl/>
        <w:spacing w:before="38" w:beforeAutospacing="0" w:after="38" w:afterAutospacing="0"/>
        <w:rPr>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自本公告发布之日起3个工作日。</w:t>
      </w:r>
    </w:p>
    <w:p>
      <w:pPr>
        <w:pStyle w:val="32"/>
        <w:widowControl/>
        <w:spacing w:before="128" w:beforeAutospacing="0" w:after="128" w:afterAutospacing="0" w:line="225" w:lineRule="atLeast"/>
        <w:jc w:val="both"/>
        <w:rPr>
          <w:rFonts w:ascii="黑体" w:hAnsi="宋体" w:eastAsia="黑体" w:cs="黑体"/>
          <w:color w:val="000000" w:themeColor="text1"/>
          <w:sz w:val="22"/>
          <w:highlight w:val="none"/>
          <w14:textFill>
            <w14:solidFill>
              <w14:schemeClr w14:val="tx1"/>
            </w14:solidFill>
          </w14:textFill>
        </w:rPr>
      </w:pPr>
      <w:r>
        <w:rPr>
          <w:rStyle w:val="39"/>
          <w:rFonts w:ascii="黑体" w:hAnsi="宋体" w:eastAsia="黑体" w:cs="黑体"/>
          <w:color w:val="000000" w:themeColor="text1"/>
          <w:sz w:val="22"/>
          <w:highlight w:val="none"/>
          <w14:textFill>
            <w14:solidFill>
              <w14:schemeClr w14:val="tx1"/>
            </w14:solidFill>
          </w14:textFill>
        </w:rPr>
        <w:t>七、其他补充事宜</w:t>
      </w:r>
      <w:r>
        <w:rPr>
          <w:rFonts w:ascii="黑体" w:hAnsi="宋体" w:eastAsia="黑体" w:cs="黑体"/>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ind w:firstLine="440" w:firstLineChars="200"/>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lang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4.其他事项：无</w:t>
      </w:r>
    </w:p>
    <w:p>
      <w:pPr>
        <w:pStyle w:val="32"/>
        <w:widowControl/>
        <w:spacing w:before="128" w:beforeAutospacing="0" w:after="128" w:afterAutospacing="0" w:line="240" w:lineRule="atLeast"/>
        <w:jc w:val="both"/>
        <w:rPr>
          <w:rFonts w:ascii="黑体" w:hAnsi="宋体" w:eastAsia="黑体" w:cs="黑体"/>
          <w:color w:val="000000" w:themeColor="text1"/>
          <w:sz w:val="22"/>
          <w:highlight w:val="none"/>
          <w14:textFill>
            <w14:solidFill>
              <w14:schemeClr w14:val="tx1"/>
            </w14:solidFill>
          </w14:textFill>
        </w:rPr>
      </w:pPr>
      <w:r>
        <w:rPr>
          <w:rStyle w:val="39"/>
          <w:rFonts w:ascii="黑体" w:hAnsi="宋体" w:eastAsia="黑体" w:cs="黑体"/>
          <w:color w:val="000000" w:themeColor="text1"/>
          <w:sz w:val="22"/>
          <w:highlight w:val="none"/>
          <w14:textFill>
            <w14:solidFill>
              <w14:schemeClr w14:val="tx1"/>
            </w14:solidFill>
          </w14:textFill>
        </w:rPr>
        <w:t>八、凡对本次招标提出询问、质疑、投诉，请按以下方式联系</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1.采购人信息</w:t>
      </w:r>
    </w:p>
    <w:p>
      <w:pPr>
        <w:pStyle w:val="32"/>
        <w:widowControl/>
        <w:spacing w:before="38" w:beforeAutospacing="0" w:after="38" w:afterAutospacing="0" w:line="150" w:lineRule="atLeast"/>
        <w:ind w:left="0" w:leftChars="0" w:firstLine="319" w:firstLineChars="145"/>
        <w:rPr>
          <w:rFonts w:hint="eastAsia" w:ascii="仿宋" w:hAnsi="仿宋" w:eastAsia="仿宋" w:cs="仿宋"/>
          <w:color w:val="000000" w:themeColor="text1"/>
          <w:sz w:val="22"/>
          <w:highlight w:val="none"/>
          <w:lang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名    称：</w:t>
      </w:r>
      <w:r>
        <w:rPr>
          <w:rFonts w:hint="eastAsia" w:ascii="仿宋" w:hAnsi="仿宋" w:eastAsia="仿宋" w:cs="仿宋"/>
          <w:color w:val="000000" w:themeColor="text1"/>
          <w:sz w:val="22"/>
          <w:highlight w:val="none"/>
          <w:lang w:eastAsia="zh-CN"/>
          <w14:textFill>
            <w14:solidFill>
              <w14:schemeClr w14:val="tx1"/>
            </w14:solidFill>
          </w14:textFill>
        </w:rPr>
        <w:t>玉环市经济和信息化局</w:t>
      </w:r>
    </w:p>
    <w:p>
      <w:pPr>
        <w:pStyle w:val="32"/>
        <w:widowControl/>
        <w:spacing w:before="38" w:beforeAutospacing="0" w:after="38" w:afterAutospacing="0" w:line="150" w:lineRule="atLeast"/>
        <w:ind w:left="0" w:leftChars="0" w:firstLine="319" w:firstLineChars="145"/>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地    址：浙江省台州市玉环市</w:t>
      </w:r>
    </w:p>
    <w:p>
      <w:pPr>
        <w:pStyle w:val="32"/>
        <w:widowControl/>
        <w:spacing w:before="38" w:beforeAutospacing="0" w:after="38" w:afterAutospacing="0" w:line="150" w:lineRule="atLeast"/>
        <w:ind w:left="0" w:leftChars="0" w:firstLine="319" w:firstLineChars="145"/>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联系人：任主任</w:t>
      </w:r>
    </w:p>
    <w:p>
      <w:pPr>
        <w:pStyle w:val="32"/>
        <w:widowControl/>
        <w:spacing w:before="38" w:beforeAutospacing="0" w:after="38" w:afterAutospacing="0" w:line="150" w:lineRule="atLeast"/>
        <w:ind w:left="0" w:leftChars="0" w:firstLine="319" w:firstLineChars="145"/>
        <w:rPr>
          <w:rFonts w:hint="default" w:ascii="仿宋" w:hAnsi="仿宋" w:eastAsia="仿宋" w:cs="仿宋"/>
          <w:color w:val="000000" w:themeColor="text1"/>
          <w:sz w:val="22"/>
          <w:highlight w:val="none"/>
          <w:lang w:val="en-US"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联系方式：0576-</w:t>
      </w:r>
      <w:r>
        <w:rPr>
          <w:rFonts w:hint="eastAsia" w:ascii="仿宋" w:hAnsi="仿宋" w:eastAsia="仿宋" w:cs="仿宋"/>
          <w:color w:val="000000" w:themeColor="text1"/>
          <w:sz w:val="22"/>
          <w:highlight w:val="none"/>
          <w:lang w:val="en-US" w:eastAsia="zh-CN"/>
          <w14:textFill>
            <w14:solidFill>
              <w14:schemeClr w14:val="tx1"/>
            </w14:solidFill>
          </w14:textFill>
        </w:rPr>
        <w:t>80751018</w:t>
      </w:r>
      <w:r>
        <w:rPr>
          <w:rFonts w:hint="eastAsia" w:ascii="仿宋" w:hAnsi="仿宋" w:eastAsia="仿宋" w:cs="仿宋"/>
          <w:color w:val="000000" w:themeColor="text1"/>
          <w:sz w:val="22"/>
          <w:highlight w:val="none"/>
          <w14:textFill>
            <w14:solidFill>
              <w14:schemeClr w14:val="tx1"/>
            </w14:solidFill>
          </w14:textFill>
        </w:rPr>
        <w:t xml:space="preserve"> </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lang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质疑联系人： 任主任</w:t>
      </w:r>
    </w:p>
    <w:p>
      <w:pPr>
        <w:pStyle w:val="32"/>
        <w:widowControl/>
        <w:spacing w:before="38" w:beforeAutospacing="0" w:after="38" w:afterAutospacing="0" w:line="150" w:lineRule="atLeast"/>
        <w:rPr>
          <w:rFonts w:hint="default" w:ascii="仿宋" w:hAnsi="仿宋" w:eastAsia="仿宋" w:cs="仿宋"/>
          <w:color w:val="000000" w:themeColor="text1"/>
          <w:sz w:val="22"/>
          <w:highlight w:val="none"/>
          <w:lang w:val="en-US"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质疑联系方式：0576-</w:t>
      </w:r>
      <w:r>
        <w:rPr>
          <w:rFonts w:hint="eastAsia" w:ascii="仿宋" w:hAnsi="仿宋" w:eastAsia="仿宋" w:cs="仿宋"/>
          <w:color w:val="000000" w:themeColor="text1"/>
          <w:sz w:val="22"/>
          <w:highlight w:val="none"/>
          <w:lang w:val="en-US" w:eastAsia="zh-CN"/>
          <w14:textFill>
            <w14:solidFill>
              <w14:schemeClr w14:val="tx1"/>
            </w14:solidFill>
          </w14:textFill>
        </w:rPr>
        <w:t>80751018</w:t>
      </w:r>
      <w:r>
        <w:rPr>
          <w:rFonts w:hint="eastAsia" w:ascii="仿宋" w:hAnsi="仿宋" w:eastAsia="仿宋" w:cs="仿宋"/>
          <w:color w:val="000000" w:themeColor="text1"/>
          <w:sz w:val="22"/>
          <w:highlight w:val="none"/>
          <w14:textFill>
            <w14:solidFill>
              <w14:schemeClr w14:val="tx1"/>
            </w14:solidFill>
          </w14:textFill>
        </w:rPr>
        <w:t xml:space="preserve"> </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lang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2.采购代理机构信息</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名    称：杭州华旗招标代理有限公司 </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地    址：台州市玉环市李家小区二期2号楼601室 </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传    真：  </w:t>
      </w:r>
    </w:p>
    <w:p>
      <w:pPr>
        <w:pStyle w:val="32"/>
        <w:widowControl/>
        <w:spacing w:before="38" w:beforeAutospacing="0" w:after="38" w:afterAutospacing="0" w:line="150" w:lineRule="atLeast"/>
        <w:rPr>
          <w:rFonts w:hint="default" w:ascii="仿宋" w:hAnsi="仿宋" w:eastAsia="仿宋" w:cs="仿宋"/>
          <w:color w:val="000000" w:themeColor="text1"/>
          <w:sz w:val="22"/>
          <w:highlight w:val="none"/>
          <w:lang w:val="en-US"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项目联系人（询问）：胡先生 </w:t>
      </w:r>
      <w:r>
        <w:rPr>
          <w:rFonts w:hint="eastAsia" w:ascii="仿宋" w:hAnsi="仿宋" w:eastAsia="仿宋" w:cs="仿宋"/>
          <w:color w:val="000000" w:themeColor="text1"/>
          <w:sz w:val="22"/>
          <w:highlight w:val="none"/>
          <w:lang w:val="en-US" w:eastAsia="zh-CN"/>
          <w14:textFill>
            <w14:solidFill>
              <w14:schemeClr w14:val="tx1"/>
            </w14:solidFill>
          </w14:textFill>
        </w:rPr>
        <w:t>林先生</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项目联系方式（询问）：</w:t>
      </w:r>
      <w:r>
        <w:rPr>
          <w:rFonts w:hint="eastAsia" w:ascii="仿宋" w:hAnsi="仿宋" w:eastAsia="仿宋" w:cs="仿宋"/>
          <w:color w:val="000000" w:themeColor="text1"/>
          <w:sz w:val="22"/>
          <w:highlight w:val="none"/>
          <w:lang w:val="en-US" w:eastAsia="zh-CN"/>
          <w14:textFill>
            <w14:solidFill>
              <w14:schemeClr w14:val="tx1"/>
            </w14:solidFill>
          </w14:textFill>
        </w:rPr>
        <w:t>15967041020</w:t>
      </w:r>
      <w:r>
        <w:rPr>
          <w:rFonts w:hint="eastAsia" w:ascii="仿宋" w:hAnsi="仿宋" w:eastAsia="仿宋" w:cs="仿宋"/>
          <w:color w:val="000000" w:themeColor="text1"/>
          <w:sz w:val="22"/>
          <w:highlight w:val="none"/>
          <w14:textFill>
            <w14:solidFill>
              <w14:schemeClr w14:val="tx1"/>
            </w14:solidFill>
          </w14:textFill>
        </w:rPr>
        <w:t xml:space="preserve"> </w:t>
      </w:r>
      <w:r>
        <w:rPr>
          <w:rFonts w:hint="eastAsia" w:ascii="仿宋" w:hAnsi="仿宋" w:eastAsia="仿宋" w:cs="仿宋"/>
          <w:color w:val="000000" w:themeColor="text1"/>
          <w:sz w:val="22"/>
          <w:highlight w:val="none"/>
          <w:lang w:val="en-US" w:eastAsia="zh-CN"/>
          <w14:textFill>
            <w14:solidFill>
              <w14:schemeClr w14:val="tx1"/>
            </w14:solidFill>
          </w14:textFill>
        </w:rPr>
        <w:t>18057685959</w:t>
      </w:r>
      <w:r>
        <w:rPr>
          <w:rFonts w:hint="eastAsia" w:ascii="仿宋" w:hAnsi="仿宋" w:eastAsia="仿宋" w:cs="仿宋"/>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质疑联系人：</w:t>
      </w:r>
      <w:r>
        <w:rPr>
          <w:rFonts w:hint="eastAsia" w:ascii="仿宋" w:hAnsi="仿宋" w:eastAsia="仿宋" w:cs="仿宋"/>
          <w:color w:val="000000" w:themeColor="text1"/>
          <w:sz w:val="22"/>
          <w:highlight w:val="none"/>
          <w:lang w:val="en-US" w:eastAsia="zh-CN"/>
          <w14:textFill>
            <w14:solidFill>
              <w14:schemeClr w14:val="tx1"/>
            </w14:solidFill>
          </w14:textFill>
        </w:rPr>
        <w:t>林先生</w:t>
      </w:r>
      <w:r>
        <w:rPr>
          <w:rFonts w:hint="eastAsia" w:ascii="仿宋" w:hAnsi="仿宋" w:eastAsia="仿宋" w:cs="仿宋"/>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质疑联系方式：</w:t>
      </w:r>
      <w:r>
        <w:rPr>
          <w:rFonts w:hint="eastAsia" w:ascii="仿宋" w:hAnsi="仿宋" w:eastAsia="仿宋" w:cs="仿宋"/>
          <w:color w:val="000000" w:themeColor="text1"/>
          <w:sz w:val="22"/>
          <w:highlight w:val="none"/>
          <w:lang w:val="en-US" w:eastAsia="zh-CN"/>
          <w14:textFill>
            <w14:solidFill>
              <w14:schemeClr w14:val="tx1"/>
            </w14:solidFill>
          </w14:textFill>
        </w:rPr>
        <w:t>18057685959</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lang w:eastAsia="zh-CN"/>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3. 同级政府采购监督管理部门</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名    称：玉环市财政局政府采购监督管理科</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地    址：玉环市广陵路130号财政大楼5楼</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传    真：</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联 系 人：谢主任</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    监督投诉电话：0576-87250185</w:t>
      </w:r>
    </w:p>
    <w:p>
      <w:pPr>
        <w:pStyle w:val="32"/>
        <w:widowControl/>
        <w:spacing w:before="38" w:beforeAutospacing="0" w:after="38" w:afterAutospacing="0" w:line="150" w:lineRule="atLeast"/>
        <w:rPr>
          <w:rFonts w:hint="eastAsia" w:ascii="仿宋" w:hAnsi="仿宋" w:eastAsia="仿宋" w:cs="仿宋"/>
          <w:color w:val="000000" w:themeColor="text1"/>
          <w:sz w:val="22"/>
          <w:highlight w:val="none"/>
          <w14:textFill>
            <w14:solidFill>
              <w14:schemeClr w14:val="tx1"/>
            </w14:solidFill>
          </w14:textFill>
        </w:rPr>
      </w:pPr>
    </w:p>
    <w:p>
      <w:pPr>
        <w:spacing w:line="400" w:lineRule="exact"/>
        <w:ind w:firstLine="564"/>
        <w:jc w:val="left"/>
        <w:rPr>
          <w:rFonts w:hint="eastAsia" w:ascii="宋体" w:hAnsi="宋体" w:cs="宋体"/>
          <w:color w:val="000000" w:themeColor="text1"/>
          <w:sz w:val="24"/>
          <w:highlight w:val="none"/>
          <w:shd w:val="clear" w:color="auto" w:fill="FFFFFF"/>
          <w14:textFill>
            <w14:solidFill>
              <w14:schemeClr w14:val="tx1"/>
            </w14:solidFill>
          </w14:textFill>
        </w:rPr>
      </w:pPr>
    </w:p>
    <w:p>
      <w:pPr>
        <w:pStyle w:val="32"/>
        <w:widowControl/>
        <w:spacing w:before="38" w:after="38" w:line="150" w:lineRule="atLeast"/>
        <w:rPr>
          <w:rFonts w:hint="eastAsia" w:ascii="仿宋" w:hAnsi="仿宋" w:eastAsia="仿宋" w:cs="仿宋"/>
          <w:color w:val="000000" w:themeColor="text1"/>
          <w:sz w:val="22"/>
          <w:highlight w:val="none"/>
          <w:shd w:val="clear" w:color="auto" w:fill="auto"/>
          <w14:textFill>
            <w14:solidFill>
              <w14:schemeClr w14:val="tx1"/>
            </w14:solidFill>
          </w14:textFill>
        </w:rPr>
      </w:pPr>
      <w:r>
        <w:rPr>
          <w:rFonts w:hint="eastAsia" w:ascii="仿宋" w:hAnsi="仿宋" w:eastAsia="仿宋" w:cs="仿宋"/>
          <w:color w:val="000000" w:themeColor="text1"/>
          <w:sz w:val="22"/>
          <w:highlight w:val="none"/>
          <w:shd w:val="clear" w:color="auto" w:fill="auto"/>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pStyle w:val="32"/>
        <w:widowControl/>
        <w:spacing w:before="38" w:after="38" w:line="150" w:lineRule="atLeast"/>
        <w:rPr>
          <w:rFonts w:hint="eastAsia" w:ascii="仿宋" w:hAnsi="仿宋" w:eastAsia="仿宋" w:cs="仿宋"/>
          <w:color w:val="000000" w:themeColor="text1"/>
          <w:kern w:val="0"/>
          <w:sz w:val="22"/>
          <w:szCs w:val="24"/>
          <w:highlight w:val="none"/>
          <w14:textFill>
            <w14:solidFill>
              <w14:schemeClr w14:val="tx1"/>
            </w14:solidFill>
          </w14:textFill>
        </w:rPr>
      </w:pPr>
      <w:r>
        <w:rPr>
          <w:rFonts w:hint="eastAsia" w:ascii="仿宋" w:hAnsi="仿宋" w:eastAsia="仿宋" w:cs="仿宋"/>
          <w:color w:val="000000" w:themeColor="text1"/>
          <w:sz w:val="22"/>
          <w:highlight w:val="none"/>
          <w:shd w:val="clear" w:color="auto" w:fill="auto"/>
          <w14:textFill>
            <w14:solidFill>
              <w14:schemeClr w14:val="tx1"/>
            </w14:solidFill>
          </w14:textFill>
        </w:rPr>
        <w:t>CA问题联系电话（人工）：汇信CA 400-888-4636；天谷CA 400-087-8198。</w:t>
      </w:r>
      <w:r>
        <w:rPr>
          <w:rFonts w:hint="eastAsia" w:ascii="仿宋" w:hAnsi="仿宋" w:eastAsia="仿宋" w:cs="仿宋"/>
          <w:color w:val="000000" w:themeColor="text1"/>
          <w:kern w:val="0"/>
          <w:sz w:val="22"/>
          <w:szCs w:val="24"/>
          <w:highlight w:val="none"/>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20" w:lineRule="exact"/>
        <w:ind w:right="23" w:firstLine="539"/>
        <w:jc w:val="center"/>
        <w:rPr>
          <w:rFonts w:hint="eastAsia" w:ascii="宋体" w:hAnsi="宋体" w:cs="宋体"/>
          <w:color w:val="000000" w:themeColor="text1"/>
          <w:sz w:val="24"/>
          <w:highlight w:val="none"/>
          <w14:textFill>
            <w14:solidFill>
              <w14:schemeClr w14:val="tx1"/>
            </w14:solidFill>
          </w14:textFill>
        </w:rPr>
      </w:pPr>
    </w:p>
    <w:p>
      <w:pPr>
        <w:pStyle w:val="6"/>
        <w:spacing w:before="0" w:after="0" w:line="5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第二章  供应商须知</w:t>
      </w:r>
    </w:p>
    <w:p>
      <w:pPr>
        <w:pStyle w:val="7"/>
        <w:spacing w:before="0"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前附表</w:t>
      </w:r>
    </w:p>
    <w:tbl>
      <w:tblPr>
        <w:tblStyle w:val="36"/>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0"/>
        <w:gridCol w:w="2002"/>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tcBorders>
              <w:top w:val="single" w:color="auto" w:sz="12" w:space="0"/>
            </w:tcBorders>
            <w:noWrap w:val="0"/>
            <w:vAlign w:val="center"/>
          </w:tcPr>
          <w:p>
            <w:pPr>
              <w:spacing w:line="400" w:lineRule="exact"/>
              <w:ind w:right="-214" w:rightChars="-102"/>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2002" w:type="dxa"/>
            <w:tcBorders>
              <w:top w:val="single" w:color="auto" w:sz="12" w:space="0"/>
            </w:tcBorders>
            <w:noWrap w:val="0"/>
            <w:vAlign w:val="center"/>
          </w:tcPr>
          <w:p>
            <w:pPr>
              <w:spacing w:line="400" w:lineRule="exact"/>
              <w:ind w:left="12" w:right="199" w:rightChars="95" w:hanging="12" w:hangingChars="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6577" w:type="dxa"/>
            <w:tcBorders>
              <w:top w:val="single" w:color="auto" w:sz="12" w:space="0"/>
            </w:tcBorders>
            <w:noWrap w:val="0"/>
            <w:vAlign w:val="center"/>
          </w:tcPr>
          <w:p>
            <w:pPr>
              <w:spacing w:line="400" w:lineRule="exact"/>
              <w:ind w:left="19" w:right="199" w:rightChars="95" w:hanging="19" w:hangingChars="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新能源汽车橡胶零件行业中小企业轻量级数字化改造项目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HQ-YHZFCG-2024-0502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采购预算</w:t>
            </w:r>
          </w:p>
        </w:tc>
        <w:tc>
          <w:tcPr>
            <w:tcW w:w="6577" w:type="dxa"/>
            <w:noWrap w:val="0"/>
            <w:vAlign w:val="center"/>
          </w:tcPr>
          <w:p>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2000000</w:t>
            </w:r>
            <w:r>
              <w:rPr>
                <w:rFonts w:hint="eastAsia" w:ascii="宋体" w:hAnsi="宋体" w:eastAsia="宋体" w:cs="宋体"/>
                <w:color w:val="000000" w:themeColor="text1"/>
                <w:sz w:val="24"/>
                <w:highlight w:val="none"/>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p>
        </w:tc>
        <w:tc>
          <w:tcPr>
            <w:tcW w:w="6577" w:type="dxa"/>
            <w:noWrap w:val="0"/>
            <w:vAlign w:val="center"/>
          </w:tcPr>
          <w:p>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2000000</w:t>
            </w:r>
            <w:r>
              <w:rPr>
                <w:rFonts w:hint="eastAsia" w:ascii="宋体" w:hAnsi="宋体" w:eastAsia="宋体" w:cs="宋体"/>
                <w:color w:val="000000" w:themeColor="text1"/>
                <w:sz w:val="24"/>
                <w:highlight w:val="none"/>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玉环市经济和信息化局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招标内容</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w:t>
            </w:r>
          </w:p>
          <w:p>
            <w:pPr>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资格要求</w:t>
            </w:r>
          </w:p>
        </w:tc>
        <w:tc>
          <w:tcPr>
            <w:tcW w:w="6577"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w:t>
            </w:r>
            <w:r>
              <w:rPr>
                <w:rFonts w:hint="eastAsia" w:ascii="宋体" w:hAnsi="宋体" w:cs="宋体"/>
                <w:color w:val="000000" w:themeColor="text1"/>
                <w:sz w:val="24"/>
                <w:highlight w:val="none"/>
                <w14:textFill>
                  <w14:solidFill>
                    <w14:schemeClr w14:val="tx1"/>
                  </w14:solidFill>
                </w14:textFill>
              </w:rPr>
              <w:t>供应商为中小企业/小微企业；</w:t>
            </w:r>
            <w:r>
              <w:rPr>
                <w:rFonts w:hint="eastAsia" w:ascii="宋体" w:hAnsi="宋体" w:eastAsia="宋体" w:cs="宋体"/>
                <w:color w:val="000000" w:themeColor="text1"/>
                <w:sz w:val="24"/>
                <w:highlight w:val="none"/>
                <w14:textFill>
                  <w14:solidFill>
                    <w14:schemeClr w14:val="tx1"/>
                  </w14:solidFill>
                </w14:textFill>
              </w:rPr>
              <w:t> </w:t>
            </w:r>
          </w:p>
          <w:p>
            <w:pPr>
              <w:spacing w:line="400" w:lineRule="exact"/>
              <w:ind w:right="199" w:rightChars="9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3.本项目的特定资格要求：无</w:t>
            </w:r>
            <w:r>
              <w:rPr>
                <w:rFonts w:hint="eastAsia" w:ascii="宋体" w:hAnsi="宋体" w:eastAsia="宋体" w:cs="宋体"/>
                <w:color w:val="000000" w:themeColor="text1"/>
                <w:sz w:val="24"/>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不接受</w:t>
            </w:r>
          </w:p>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不组织</w:t>
            </w:r>
          </w:p>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投标货币</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投标语言</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磋商</w:t>
            </w:r>
            <w:r>
              <w:rPr>
                <w:rFonts w:hint="eastAsia" w:ascii="宋体" w:hAnsi="宋体" w:eastAsia="宋体" w:cs="宋体"/>
                <w:b/>
                <w:bCs/>
                <w:color w:val="000000" w:themeColor="text1"/>
                <w:sz w:val="24"/>
                <w:szCs w:val="24"/>
                <w:highlight w:val="none"/>
                <w:lang w:val="zh-CN"/>
                <w14:textFill>
                  <w14:solidFill>
                    <w14:schemeClr w14:val="tx1"/>
                  </w14:solidFill>
                </w14:textFill>
              </w:rPr>
              <w:t>文件</w:t>
            </w:r>
            <w:r>
              <w:rPr>
                <w:rFonts w:hint="eastAsia" w:ascii="宋体" w:hAnsi="宋体" w:eastAsia="宋体" w:cs="宋体"/>
                <w:b/>
                <w:bCs/>
                <w:color w:val="000000" w:themeColor="text1"/>
                <w:sz w:val="24"/>
                <w:szCs w:val="24"/>
                <w:highlight w:val="none"/>
                <w14:textFill>
                  <w14:solidFill>
                    <w14:schemeClr w14:val="tx1"/>
                  </w14:solidFill>
                </w14:textFill>
              </w:rPr>
              <w:t>说明</w:t>
            </w:r>
          </w:p>
        </w:tc>
        <w:tc>
          <w:tcPr>
            <w:tcW w:w="6577" w:type="dxa"/>
            <w:noWrap w:val="0"/>
            <w:vAlign w:val="center"/>
          </w:tcPr>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b/>
                <w:bCs/>
                <w:color w:val="000000" w:themeColor="text1"/>
                <w:sz w:val="24"/>
                <w:szCs w:val="24"/>
                <w:highlight w:val="none"/>
                <w:lang w:val="zh-CN"/>
                <w14:textFill>
                  <w14:solidFill>
                    <w14:schemeClr w14:val="tx1"/>
                  </w14:solidFill>
                </w14:textFill>
              </w:rPr>
              <w:t>磋商文件组成：</w:t>
            </w:r>
            <w:r>
              <w:rPr>
                <w:rFonts w:hint="eastAsia" w:ascii="宋体" w:hAnsi="宋体" w:eastAsia="宋体" w:cs="宋体"/>
                <w:color w:val="000000" w:themeColor="text1"/>
                <w:sz w:val="24"/>
                <w:szCs w:val="24"/>
                <w:highlight w:val="none"/>
                <w:lang w:val="zh-CN"/>
                <w14:textFill>
                  <w14:solidFill>
                    <w14:schemeClr w14:val="tx1"/>
                  </w14:solidFill>
                </w14:textFill>
              </w:rPr>
              <w:t>《资格文件》及《商务技术文件》和《报价文件》。</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磋商文件编制：</w:t>
            </w:r>
            <w:r>
              <w:rPr>
                <w:rFonts w:hint="eastAsia" w:ascii="宋体" w:hAnsi="宋体" w:eastAsia="宋体" w:cs="宋体"/>
                <w:color w:val="000000" w:themeColor="text1"/>
                <w:sz w:val="24"/>
                <w:szCs w:val="24"/>
                <w:highlight w:val="none"/>
                <w14:textFill>
                  <w14:solidFill>
                    <w14:schemeClr w14:val="tx1"/>
                  </w14:solidFill>
                </w14:textFill>
              </w:rPr>
              <w:t>供应商应先安装“政采云电子交易客户端”，并按照本采购文件和“政府采购云平台”的要求，通过“政采云电子交易客户端”编制并加密磋商文件。</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磋商文件的签章：</w:t>
            </w:r>
            <w:r>
              <w:rPr>
                <w:rFonts w:hint="eastAsia" w:ascii="宋体" w:hAnsi="宋体" w:eastAsia="宋体" w:cs="宋体"/>
                <w:color w:val="000000" w:themeColor="text1"/>
                <w:sz w:val="24"/>
                <w:szCs w:val="24"/>
                <w:highlight w:val="none"/>
                <w14:textFill>
                  <w14:solidFill>
                    <w14:schemeClr w14:val="tx1"/>
                  </w14:solidFill>
                </w14:textFill>
              </w:rPr>
              <w:t>电子签章。</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磋商文件的形式：</w:t>
            </w:r>
            <w:r>
              <w:rPr>
                <w:rFonts w:hint="eastAsia" w:ascii="宋体" w:hAnsi="宋体" w:eastAsia="宋体" w:cs="宋体"/>
                <w:color w:val="000000" w:themeColor="text1"/>
                <w:sz w:val="24"/>
                <w:szCs w:val="24"/>
                <w:highlight w:val="none"/>
                <w14:textFill>
                  <w14:solidFill>
                    <w14:schemeClr w14:val="tx1"/>
                  </w14:solidFill>
                </w14:textFill>
              </w:rPr>
              <w:t>☑电子磋商文件（包括“</w:t>
            </w:r>
            <w:r>
              <w:rPr>
                <w:rFonts w:hint="eastAsia" w:ascii="宋体" w:hAnsi="宋体" w:eastAsia="宋体" w:cs="宋体"/>
                <w:color w:val="000000" w:themeColor="text1"/>
                <w:sz w:val="24"/>
                <w:szCs w:val="24"/>
                <w:highlight w:val="none"/>
                <w:lang w:bidi="ar"/>
                <w14:textFill>
                  <w14:solidFill>
                    <w14:schemeClr w14:val="tx1"/>
                  </w14:solidFill>
                </w14:textFill>
              </w:rPr>
              <w:t>电子加密磋商文件”和“备份磋商文件”，在磋商文件编制完成后同时生成）；</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（1）“电子加密磋商文件”是指通过“政采云电子交易客户端”完成磋商文件编制后生成并加密的数据电文形式的磋商文件。</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（2）“备份磋商文件”是指与“电子加密磋商文件”同时生成的数据电文形式的电子文件（备份标书），其他方式编制的备份磋商文件视为无效备份磋商文件。</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5、磋商文件份数：</w:t>
            </w: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（1）“电子加密磋商文件”：在线上传递交。按政采云平台供应商项目采购-电子招投标操作指南https://help.zcygov.cn/web/site_2/2018/12-28/2573.html及本磋商文件要求提交。</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（2）“备份磋商文件”：密封包装后投标截止时间前递交</w:t>
            </w:r>
            <w:r>
              <w:rPr>
                <w:rFonts w:hint="eastAsia" w:ascii="宋体" w:hAnsi="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一份</w:t>
            </w:r>
            <w:r>
              <w:rPr>
                <w:rFonts w:hint="eastAsia" w:ascii="宋体" w:hAnsi="宋体" w:cs="宋体"/>
                <w:color w:val="000000" w:themeColor="text1"/>
                <w:sz w:val="24"/>
                <w:szCs w:val="24"/>
                <w:highlight w:val="none"/>
                <w:lang w:eastAsia="zh-CN" w:bidi="ar"/>
                <w14:textFill>
                  <w14:solidFill>
                    <w14:schemeClr w14:val="tx1"/>
                  </w14:solidFill>
                </w14:textFill>
              </w:rPr>
              <w:t>。</w:t>
            </w:r>
          </w:p>
          <w:p>
            <w:pPr>
              <w:spacing w:line="400" w:lineRule="exact"/>
              <w:ind w:left="19" w:right="199" w:rightChars="95" w:hanging="19" w:hangingChars="8"/>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6、</w:t>
            </w:r>
            <w:r>
              <w:rPr>
                <w:rFonts w:hint="eastAsia" w:ascii="宋体" w:hAnsi="宋体" w:eastAsia="宋体" w:cs="宋体"/>
                <w:b/>
                <w:bCs/>
                <w:color w:val="000000" w:themeColor="text1"/>
                <w:sz w:val="24"/>
                <w:szCs w:val="24"/>
                <w:highlight w:val="none"/>
                <w:lang w:bidi="ar"/>
                <w14:textFill>
                  <w14:solidFill>
                    <w14:schemeClr w14:val="tx1"/>
                  </w14:solidFill>
                </w14:textFill>
              </w:rPr>
              <w:t>磋商文件的上传和递交：</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（1）“电子加密磋商文件”的上传、递交：</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a.供应商应在投标截止时间前将“电子加密磋商文件”成功上传递交至“政府采购云平台”，否则投标无效。</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b.“电子加密磋商文件”成功上传递交后，供应商可自行打印磋商文件接收回执。</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（2）“备份磋商文件”的密封包装、递交：</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a.供应商在“政府采购云平台”完成“电子加密磋商文件”的上传递交后， 投标供应商如需递交“备份磋商文件”的，应在投标截止时间前递交一份以介质（U盘）存储的“备份磋商文件”到杭州华旗招标代理有限公司（地址玉环市李家小区二期</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sz w:val="24"/>
                <w:szCs w:val="24"/>
                <w:highlight w:val="none"/>
                <w:lang w:bidi="ar"/>
                <w14:textFill>
                  <w14:solidFill>
                    <w14:schemeClr w14:val="tx1"/>
                  </w14:solidFill>
                </w14:textFill>
              </w:rPr>
              <w:t>号楼</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601</w:t>
            </w:r>
            <w:r>
              <w:rPr>
                <w:rFonts w:hint="eastAsia" w:ascii="宋体" w:hAnsi="宋体" w:eastAsia="宋体" w:cs="宋体"/>
                <w:color w:val="000000" w:themeColor="text1"/>
                <w:sz w:val="24"/>
                <w:szCs w:val="24"/>
                <w:highlight w:val="none"/>
                <w:lang w:bidi="ar"/>
                <w14:textFill>
                  <w14:solidFill>
                    <w14:schemeClr w14:val="tx1"/>
                  </w14:solidFill>
                </w14:textFill>
              </w:rPr>
              <w:t>室，胡先生15967041020）或备份磋商文件压缩包形式投标截止前发送至邮箱153997632@qq.com。</w:t>
            </w:r>
          </w:p>
          <w:p>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b.“备份磋商文件”应当密封包装，并在包装上标注投标项目名称、投标单位名称并加盖公章。没有密封包装或者逾期邮寄送达至投标地点的“备份磋商文件”将不予接收；</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c.通过“政府采购云平台”成功上传递交的“电子加密磋商文件”已按时解密的，“备份磋商文件”自动失效。投标截止时间前，供应商仅递交了“备份磋商文件”而未将“电子加密磋商文件”成功上传至“政府采购云平台”的，投标无效。</w:t>
            </w:r>
          </w:p>
          <w:p>
            <w:pPr>
              <w:spacing w:line="400" w:lineRule="exact"/>
              <w:ind w:left="19" w:right="199" w:rightChars="95" w:hanging="19" w:hangingChars="8"/>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7、电子加密磋商文件的解密和异常情况处理：</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（1）开标后，采购组织机构将向各供应商发出“电子加密磋商文件”的解密通知，各供应商代表应当在接到解密通知后30分钟内自行完成“电子加密磋商文件”的在线解密。</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通过“政府采购云平台”成功上传递交的“电子加密磋商文件”无法按时解密，供应商如按规定递交了“备份磋商文件”的，以“备份磋商文件”为依据（由采购组织机构按“政府采购云平台”操作规范将“备份磋商文件”上传至“政府采购云平台”，上传成功后，“电子加密磋商文件”自动失效），否则视为磋商文件撤回。</w:t>
            </w:r>
          </w:p>
          <w:p>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（3）投标截止时间前，供应商仅递交了“备份磋商文件”而未将电子加密磋商文件上传至“政府采购云平台”的，投标无效。</w:t>
            </w:r>
          </w:p>
          <w:p>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（4）投标截止后，在投标有效期内，供应商不能撤销磋商文件。</w:t>
            </w:r>
          </w:p>
          <w:p>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8、投标截止后，在投标有效期内，供应商不能撤销磋商文件</w:t>
            </w:r>
          </w:p>
          <w:p>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9、成交后，供应商拒绝签订合同的，采购人可以按照评审报告推荐的成交候选人名单排序，确定下一候选人为成交供应商，也可以重新开展政府采购活动。</w:t>
            </w:r>
          </w:p>
          <w:p>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（1）成交或者成交后，拒绝签订政府采购合同的；</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（2）投标有效期内撤销磋商文件的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投标样品</w:t>
            </w:r>
          </w:p>
        </w:tc>
        <w:tc>
          <w:tcPr>
            <w:tcW w:w="6577" w:type="dxa"/>
            <w:noWrap w:val="0"/>
            <w:vAlign w:val="center"/>
          </w:tcPr>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不需要</w:t>
            </w:r>
          </w:p>
          <w:p>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6577" w:type="dxa"/>
            <w:noWrap w:val="0"/>
            <w:vAlign w:val="center"/>
          </w:tcPr>
          <w:p>
            <w:pPr>
              <w:widowControl/>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履约担保</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highlight w:val="none"/>
                <w14:textFill>
                  <w14:solidFill>
                    <w14:schemeClr w14:val="tx1"/>
                  </w14:solidFill>
                </w14:textFill>
              </w:rPr>
              <w:instrText xml:space="preserve">□</w:instrText>
            </w:r>
            <w:r>
              <w:rPr>
                <w:rFonts w:hint="eastAsia" w:ascii="宋体" w:hAnsi="宋体" w:eastAsia="宋体" w:cs="宋体"/>
                <w:color w:val="000000" w:themeColor="text1"/>
                <w:position w:val="-4"/>
                <w:sz w:val="36"/>
                <w:highlight w:val="none"/>
                <w:lang w:eastAsia="zh-CN"/>
                <w14:textFill>
                  <w14:solidFill>
                    <w14:schemeClr w14:val="tx1"/>
                  </w14:solidFill>
                </w14:textFill>
              </w:rPr>
              <w:instrText xml:space="preserve">,</w:instrText>
            </w:r>
            <w:r>
              <w:rPr>
                <w:rFonts w:hint="eastAsia" w:ascii="宋体" w:hAnsi="宋体" w:eastAsia="宋体" w:cs="宋体"/>
                <w:color w:val="000000" w:themeColor="text1"/>
                <w:position w:val="0"/>
                <w:sz w:val="25"/>
                <w:highlight w:val="none"/>
                <w:lang w:eastAsia="zh-CN"/>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不需要</w:t>
            </w:r>
          </w:p>
          <w:p>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fldChar w:fldCharType="begin"/>
            </w:r>
            <w:r>
              <w:rPr>
                <w:rFonts w:hint="eastAsia" w:ascii="宋体" w:hAnsi="宋体" w:eastAsia="宋体" w:cs="宋体"/>
                <w:color w:val="000000" w:themeColor="text1"/>
                <w:sz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instrText xml:space="preserve">)</w:instrText>
            </w:r>
            <w:r>
              <w:rPr>
                <w:rFonts w:hint="eastAsia" w:ascii="宋体" w:hAnsi="宋体" w:eastAsia="宋体" w:cs="宋体"/>
                <w:color w:val="000000" w:themeColor="text1"/>
                <w:sz w:val="24"/>
                <w:highlight w:val="none"/>
                <w14:textFill>
                  <w14:solidFill>
                    <w14:schemeClr w14:val="tx1"/>
                  </w14:solidFill>
                </w14:textFill>
              </w:rPr>
              <w:fldChar w:fldCharType="end"/>
            </w:r>
            <w:r>
              <w:rPr>
                <w:rFonts w:hint="eastAsia" w:ascii="宋体" w:hAnsi="宋体" w:eastAsia="宋体" w:cs="宋体"/>
                <w:color w:val="000000" w:themeColor="text1"/>
                <w:sz w:val="24"/>
                <w:highlight w:val="none"/>
                <w14:textFill>
                  <w14:solidFill>
                    <w14:schemeClr w14:val="tx1"/>
                  </w14:solidFill>
                </w14:textFill>
              </w:rPr>
              <w:t>需要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签订合同后，中标（成交）方须在10日内向采购人提交合同金额1%的履约保证金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鼓励供应商开展政采贷、履约保函等政府采购金融服务，供应商</w:t>
            </w:r>
            <w:r>
              <w:rPr>
                <w:rFonts w:hint="eastAsia" w:ascii="宋体" w:hAnsi="宋体" w:eastAsia="宋体" w:cs="宋体"/>
                <w:color w:val="000000" w:themeColor="text1"/>
                <w:sz w:val="24"/>
                <w:highlight w:val="none"/>
                <w:lang w:val="en-US" w:eastAsia="zh-CN"/>
                <w14:textFill>
                  <w14:solidFill>
                    <w14:schemeClr w14:val="tx1"/>
                  </w14:solidFill>
                </w14:textFill>
              </w:rPr>
              <w:t>可</w:t>
            </w:r>
            <w:r>
              <w:rPr>
                <w:rFonts w:hint="eastAsia" w:ascii="宋体" w:hAnsi="宋体" w:eastAsia="宋体" w:cs="宋体"/>
                <w:color w:val="000000" w:themeColor="text1"/>
                <w:sz w:val="24"/>
                <w:highlight w:val="none"/>
                <w14:textFill>
                  <w14:solidFill>
                    <w14:schemeClr w14:val="tx1"/>
                  </w14:solidFill>
                </w14:textFill>
              </w:rPr>
              <w:t>以银行、保险公司出具保函形式提交履约保证金</w:t>
            </w:r>
            <w:r>
              <w:rPr>
                <w:rFonts w:hint="eastAsia" w:ascii="宋体" w:hAnsi="宋体" w:eastAsia="宋体" w:cs="宋体"/>
                <w:color w:val="000000" w:themeColor="text1"/>
                <w:sz w:val="24"/>
                <w:highlight w:val="none"/>
                <w:lang w:val="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磋商文件获取方式</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登录浙江省政府采购网（网址：</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http://www.zjzfcg.gov.cn）查找本项目并获取采购文件，获取采购文件时应填写正确的电子邮箱（开标时文件传输均发至此邮箱）。</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磋商截止时间</w:t>
            </w:r>
          </w:p>
        </w:tc>
        <w:tc>
          <w:tcPr>
            <w:tcW w:w="6577" w:type="dxa"/>
            <w:noWrap w:val="0"/>
            <w:vAlign w:val="center"/>
          </w:tcPr>
          <w:p>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2024年</w:t>
            </w:r>
            <w:r>
              <w:rPr>
                <w:rFonts w:hint="eastAsia" w:ascii="宋体" w:hAnsi="宋体" w:cs="宋体"/>
                <w:b/>
                <w:color w:val="000000" w:themeColor="text1"/>
                <w:sz w:val="24"/>
                <w:highlight w:val="none"/>
                <w:lang w:eastAsia="zh-CN"/>
                <w14:textFill>
                  <w14:solidFill>
                    <w14:schemeClr w14:val="tx1"/>
                  </w14:solidFill>
                </w14:textFill>
              </w:rPr>
              <w:t>05月23日</w:t>
            </w:r>
            <w:r>
              <w:rPr>
                <w:rFonts w:hint="eastAsia" w:ascii="宋体" w:hAnsi="宋体" w:eastAsia="宋体" w:cs="宋体"/>
                <w:b/>
                <w:color w:val="000000" w:themeColor="text1"/>
                <w:sz w:val="24"/>
                <w:highlight w:val="none"/>
                <w:lang w:val="en-US" w:eastAsia="zh-CN"/>
                <w14:textFill>
                  <w14:solidFill>
                    <w14:schemeClr w14:val="tx1"/>
                  </w14:solidFill>
                </w14:textFill>
              </w:rPr>
              <w:t>09</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0</w:t>
            </w:r>
            <w:r>
              <w:rPr>
                <w:rFonts w:hint="eastAsia" w:ascii="宋体" w:hAnsi="宋体" w:eastAsia="宋体" w:cs="宋体"/>
                <w:b/>
                <w:color w:val="000000" w:themeColor="text1"/>
                <w:sz w:val="24"/>
                <w:highlight w:val="none"/>
                <w14:textFill>
                  <w14:solidFill>
                    <w14:schemeClr w14:val="tx1"/>
                  </w14:solidFill>
                </w14:textFill>
              </w:rPr>
              <w:t>0（北京时间）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递交地点</w:t>
            </w:r>
          </w:p>
        </w:tc>
        <w:tc>
          <w:tcPr>
            <w:tcW w:w="6577" w:type="dxa"/>
            <w:noWrap w:val="0"/>
            <w:vAlign w:val="center"/>
          </w:tcPr>
          <w:p>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磋商时间</w:t>
            </w:r>
          </w:p>
          <w:p>
            <w:pPr>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磋商地点</w:t>
            </w:r>
          </w:p>
        </w:tc>
        <w:tc>
          <w:tcPr>
            <w:tcW w:w="6577" w:type="dxa"/>
            <w:noWrap w:val="0"/>
            <w:vAlign w:val="center"/>
          </w:tcPr>
          <w:p>
            <w:pPr>
              <w:spacing w:line="400" w:lineRule="exact"/>
              <w:ind w:left="19" w:right="199" w:rightChars="95" w:hanging="19" w:hangingChars="8"/>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开标时间：</w:t>
            </w:r>
            <w:r>
              <w:rPr>
                <w:rFonts w:hint="eastAsia" w:ascii="宋体" w:hAnsi="宋体" w:eastAsia="宋体" w:cs="宋体"/>
                <w:b/>
                <w:color w:val="000000" w:themeColor="text1"/>
                <w:sz w:val="24"/>
                <w:highlight w:val="none"/>
                <w:lang w:eastAsia="zh-CN"/>
                <w14:textFill>
                  <w14:solidFill>
                    <w14:schemeClr w14:val="tx1"/>
                  </w14:solidFill>
                </w14:textFill>
              </w:rPr>
              <w:t>2024年</w:t>
            </w:r>
            <w:r>
              <w:rPr>
                <w:rFonts w:hint="eastAsia" w:ascii="宋体" w:hAnsi="宋体" w:cs="宋体"/>
                <w:b/>
                <w:color w:val="000000" w:themeColor="text1"/>
                <w:sz w:val="24"/>
                <w:highlight w:val="none"/>
                <w:lang w:eastAsia="zh-CN"/>
                <w14:textFill>
                  <w14:solidFill>
                    <w14:schemeClr w14:val="tx1"/>
                  </w14:solidFill>
                </w14:textFill>
              </w:rPr>
              <w:t>05月23日</w:t>
            </w:r>
            <w:r>
              <w:rPr>
                <w:rFonts w:hint="eastAsia" w:ascii="宋体" w:hAnsi="宋体" w:eastAsia="宋体" w:cs="宋体"/>
                <w:b/>
                <w:color w:val="000000" w:themeColor="text1"/>
                <w:sz w:val="24"/>
                <w:highlight w:val="none"/>
                <w:lang w:val="en-US" w:eastAsia="zh-CN"/>
                <w14:textFill>
                  <w14:solidFill>
                    <w14:schemeClr w14:val="tx1"/>
                  </w14:solidFill>
                </w14:textFill>
              </w:rPr>
              <w:t>09</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0</w:t>
            </w:r>
            <w:r>
              <w:rPr>
                <w:rFonts w:hint="eastAsia" w:ascii="宋体" w:hAnsi="宋体" w:eastAsia="宋体" w:cs="宋体"/>
                <w:b/>
                <w:color w:val="000000" w:themeColor="text1"/>
                <w:sz w:val="24"/>
                <w:highlight w:val="none"/>
                <w14:textFill>
                  <w14:solidFill>
                    <w14:schemeClr w14:val="tx1"/>
                  </w14:solidFill>
                </w14:textFill>
              </w:rPr>
              <w:t>0（北京时间）</w:t>
            </w:r>
          </w:p>
          <w:p>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开标地点：“政府采购云平台”线上开标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leftChars="0"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竞争性磋商小组的组建</w:t>
            </w:r>
          </w:p>
        </w:tc>
        <w:tc>
          <w:tcPr>
            <w:tcW w:w="6577" w:type="dxa"/>
            <w:noWrap w:val="0"/>
            <w:vAlign w:val="center"/>
          </w:tcPr>
          <w:p>
            <w:pPr>
              <w:spacing w:line="400" w:lineRule="exact"/>
              <w:ind w:left="19" w:leftChars="0"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w:t>
            </w:r>
          </w:p>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扶持政策</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本项目整体专门面向中小企业采购（残疾人福利性单位和监狱企业视同小微企业）</w:t>
            </w:r>
            <w:r>
              <w:rPr>
                <w:rFonts w:hint="eastAsia" w:asci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不再执行价格评审优惠的扶持政策。</w:t>
            </w:r>
            <w:r>
              <w:rPr>
                <w:rFonts w:hint="eastAsia" w:ascii="宋体" w:cs="宋体"/>
                <w:color w:val="000000" w:themeColor="text1"/>
                <w:sz w:val="24"/>
                <w:highlight w:val="none"/>
                <w14:textFill>
                  <w14:solidFill>
                    <w14:schemeClr w14:val="tx1"/>
                  </w14:solidFill>
                </w14:textFill>
              </w:rPr>
              <w:t>磋商供应商应属于磋商文件中明确的行业所对应的中小企业/小微企业（残疾人福利性单位和监狱企业视同小微企业）；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本项目采购文件明确采购的标的所属行业</w:t>
            </w:r>
          </w:p>
        </w:tc>
        <w:tc>
          <w:tcPr>
            <w:tcW w:w="6577" w:type="dxa"/>
            <w:noWrap w:val="0"/>
            <w:vAlign w:val="center"/>
          </w:tcPr>
          <w:p>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软件和信息技术服务业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供应商信用查询</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)；“中国政府采购网”（http://www.ccgp.gov.cn/）；</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2、投标供应商信用信息查询截止时点：本项目投标截止时间。</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3、投标供应商信用信息查询记录和证据留存的具体方式：网页截图打印；</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磋商文件备案</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成交单位需在成交确认后7个工作日内，邮寄1套纸质投标资料至招标代理处。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合同备案</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1、成交方须在发出成交通知书之日起30日历天内与采购人签订合同。</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2、成交方与采购人签订合同后，2日历天内将合同原件交给招标代理机构备案。</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合同履约管理</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合同签订后，采购人依法加强对合同履约进行管理，并在成交单位供货、项目验收等重要关节，如实填写《合同验收报告》（表附合同条款中），并及时向同级财政部门报告验收过程中遇到的问题。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16"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免责声明</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1、投标供应商自行承担投标过程中产生的费用。无论何种因素导致采购项目延期开标、废标（流标）、投标供应商未成交、项目终止采购的，采购人与代理机构均不承担供应商投标费用。</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2、投标供应商在投标、合同履行过程中必须做好安全保障工作，不因项目实施而危及自身及第三方人员、财产安全。若发生任何安全事故，由成交方自行承担一切责任并赔偿损失。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577" w:type="dxa"/>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tcBorders>
              <w:bottom w:val="single" w:color="auto" w:sz="12" w:space="0"/>
            </w:tcBorders>
            <w:noWrap w:val="0"/>
            <w:vAlign w:val="center"/>
          </w:tcPr>
          <w:p>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tcBorders>
              <w:bottom w:val="single" w:color="auto" w:sz="12" w:space="0"/>
            </w:tcBorders>
            <w:noWrap w:val="0"/>
            <w:vAlign w:val="center"/>
          </w:tcPr>
          <w:p>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注意事项</w:t>
            </w:r>
          </w:p>
        </w:tc>
        <w:tc>
          <w:tcPr>
            <w:tcW w:w="6577" w:type="dxa"/>
            <w:tcBorders>
              <w:bottom w:val="single" w:color="auto" w:sz="12" w:space="0"/>
            </w:tcBorders>
            <w:noWrap w:val="0"/>
            <w:vAlign w:val="center"/>
          </w:tcPr>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1.请务必确保磋商文件制作客户端为最新版本，旧版本可能导致磋商文件解密失败。</w:t>
            </w:r>
          </w:p>
          <w:p>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2.请务必确保磋商文件制作时所用的 CA 锁与磋商文件解密时的 CA 锁为同一把，否则可能导致磋商文件解密失败。</w:t>
            </w:r>
          </w:p>
        </w:tc>
      </w:tr>
    </w:tbl>
    <w:p>
      <w:pPr>
        <w:pStyle w:val="3"/>
        <w:spacing w:line="38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p>
    <w:p>
      <w:pPr>
        <w:pStyle w:val="3"/>
        <w:spacing w:line="380" w:lineRule="exact"/>
        <w:jc w:val="center"/>
        <w:outlineLvl w:val="1"/>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前附表2.</w:t>
      </w:r>
      <w:r>
        <w:rPr>
          <w:rFonts w:hint="eastAsia" w:ascii="宋体" w:hAnsi="宋体" w:eastAsia="宋体" w:cs="宋体"/>
          <w:b/>
          <w:color w:val="000000" w:themeColor="text1"/>
          <w:sz w:val="24"/>
          <w:highlight w:val="none"/>
          <w:lang w:val="en-GB"/>
          <w14:textFill>
            <w14:solidFill>
              <w14:schemeClr w14:val="tx1"/>
            </w14:solidFill>
          </w14:textFill>
        </w:rPr>
        <w:t>关于支持中小企业政府采购信用融资</w:t>
      </w:r>
    </w:p>
    <w:p>
      <w:pPr>
        <w:pStyle w:val="4"/>
        <w:spacing w:before="21" w:line="420" w:lineRule="exact"/>
        <w:ind w:left="-617" w:leftChars="-294" w:right="-319" w:rightChars="-152" w:firstLine="616" w:firstLineChars="25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为优化政府采购营商环境，缓解供应商资金难题，政采云平台已推广应用“政采贷”、</w:t>
      </w:r>
      <w:r>
        <w:rPr>
          <w:rFonts w:hint="eastAsia" w:ascii="宋体" w:hAnsi="宋体" w:eastAsia="宋体" w:cs="宋体"/>
          <w:color w:val="000000" w:themeColor="text1"/>
          <w:spacing w:val="-14"/>
          <w:sz w:val="24"/>
          <w:highlight w:val="none"/>
          <w14:textFill>
            <w14:solidFill>
              <w14:schemeClr w14:val="tx1"/>
            </w14:solidFill>
          </w14:textFill>
        </w:rPr>
        <w:t>“政采保”服务，</w:t>
      </w:r>
      <w:r>
        <w:rPr>
          <w:rFonts w:hint="eastAsia" w:ascii="宋体" w:hAnsi="宋体" w:cs="宋体"/>
          <w:color w:val="000000" w:themeColor="text1"/>
          <w:spacing w:val="-14"/>
          <w:sz w:val="24"/>
          <w:highlight w:val="none"/>
          <w:lang w:eastAsia="zh-CN"/>
          <w14:textFill>
            <w14:solidFill>
              <w14:schemeClr w14:val="tx1"/>
            </w14:solidFill>
          </w14:textFill>
        </w:rPr>
        <w:t>成交供应商</w:t>
      </w:r>
      <w:r>
        <w:rPr>
          <w:rFonts w:hint="eastAsia" w:ascii="宋体" w:hAnsi="宋体" w:eastAsia="宋体" w:cs="宋体"/>
          <w:color w:val="000000" w:themeColor="text1"/>
          <w:spacing w:val="-14"/>
          <w:sz w:val="24"/>
          <w:highlight w:val="none"/>
          <w14:textFill>
            <w14:solidFill>
              <w14:schemeClr w14:val="tx1"/>
            </w14:solidFill>
          </w14:textFill>
        </w:rPr>
        <w:t>如有融资需求，可使用以下金融、保险机构的“政采贷”、“政</w:t>
      </w:r>
      <w:r>
        <w:rPr>
          <w:rFonts w:hint="eastAsia" w:ascii="宋体" w:hAnsi="宋体" w:eastAsia="宋体" w:cs="宋体"/>
          <w:color w:val="000000" w:themeColor="text1"/>
          <w:sz w:val="24"/>
          <w:highlight w:val="none"/>
          <w14:textFill>
            <w14:solidFill>
              <w14:schemeClr w14:val="tx1"/>
            </w14:solidFill>
          </w14:textFill>
        </w:rPr>
        <w:t>采保”服务。</w:t>
      </w:r>
    </w:p>
    <w:p>
      <w:pPr>
        <w:spacing w:line="420" w:lineRule="exact"/>
        <w:ind w:left="-617" w:leftChars="-294" w:right="-319" w:rightChars="-152" w:firstLine="616" w:firstLineChars="25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政采贷联系方式:</w:t>
      </w:r>
    </w:p>
    <w:tbl>
      <w:tblPr>
        <w:tblStyle w:val="36"/>
        <w:tblW w:w="9047"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859"/>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贷款年利率</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联系人</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中国工商银行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3.8%起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谢美珍</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中国农业银行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3.8%起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吴佳怡</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中国建设银行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3.85%起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刘伟</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中国银行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3.8%起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张才国</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浙商银行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6.01%起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梅淑华</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农商银行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4.35%起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陈辉</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泰隆银行</w:t>
            </w:r>
          </w:p>
        </w:tc>
        <w:tc>
          <w:tcPr>
            <w:tcW w:w="1859"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6.00%起</w:t>
            </w:r>
          </w:p>
        </w:tc>
        <w:tc>
          <w:tcPr>
            <w:tcW w:w="1688"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许超</w:t>
            </w:r>
          </w:p>
        </w:tc>
        <w:tc>
          <w:tcPr>
            <w:tcW w:w="2131" w:type="dxa"/>
            <w:noWrap w:val="0"/>
            <w:vAlign w:val="center"/>
          </w:tcPr>
          <w:p>
            <w:pPr>
              <w:spacing w:line="420" w:lineRule="exact"/>
              <w:jc w:val="center"/>
              <w:rPr>
                <w:rFonts w:hint="eastAsia" w:ascii="宋体" w:hAnsi="宋体" w:eastAsia="宋体" w:cs="宋体"/>
                <w:color w:val="000000" w:themeColor="text1"/>
                <w:kern w:val="21"/>
                <w:sz w:val="24"/>
                <w:highlight w:val="none"/>
                <w14:textFill>
                  <w14:solidFill>
                    <w14:schemeClr w14:val="tx1"/>
                  </w14:solidFill>
                </w14:textFill>
              </w:rPr>
            </w:pPr>
            <w:r>
              <w:rPr>
                <w:rFonts w:hint="eastAsia" w:ascii="宋体" w:hAnsi="宋体" w:eastAsia="宋体" w:cs="宋体"/>
                <w:color w:val="000000" w:themeColor="text1"/>
                <w:kern w:val="21"/>
                <w:sz w:val="24"/>
                <w:highlight w:val="none"/>
                <w14:textFill>
                  <w14:solidFill>
                    <w14:schemeClr w14:val="tx1"/>
                  </w14:solidFill>
                </w14:textFill>
              </w:rPr>
              <w:t>17858683351</w:t>
            </w:r>
          </w:p>
        </w:tc>
      </w:tr>
    </w:tbl>
    <w:p>
      <w:pPr>
        <w:spacing w:line="42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政采保联系方式:</w:t>
      </w:r>
    </w:p>
    <w:tbl>
      <w:tblPr>
        <w:tblStyle w:val="36"/>
        <w:tblW w:w="9060"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584"/>
        <w:gridCol w:w="1327"/>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保险机构</w:t>
            </w:r>
          </w:p>
        </w:tc>
        <w:tc>
          <w:tcPr>
            <w:tcW w:w="3584"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承保方案</w:t>
            </w:r>
          </w:p>
        </w:tc>
        <w:tc>
          <w:tcPr>
            <w:tcW w:w="1327"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p>
        </w:tc>
        <w:tc>
          <w:tcPr>
            <w:tcW w:w="2061"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阳光财产保险股份有限公司玉环支公司</w:t>
            </w:r>
          </w:p>
        </w:tc>
        <w:tc>
          <w:tcPr>
            <w:tcW w:w="3584"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合同（质量）履约按履约保证金年费率1%（1.5%），每单保函最低保险费为500元（300元）</w:t>
            </w:r>
          </w:p>
        </w:tc>
        <w:tc>
          <w:tcPr>
            <w:tcW w:w="1327" w:type="dxa"/>
            <w:noWrap w:val="0"/>
            <w:vAlign w:val="center"/>
          </w:tcPr>
          <w:p>
            <w:pPr>
              <w:spacing w:line="42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梁英超</w:t>
            </w:r>
          </w:p>
        </w:tc>
        <w:tc>
          <w:tcPr>
            <w:tcW w:w="2061" w:type="dxa"/>
            <w:noWrap w:val="0"/>
            <w:vAlign w:val="center"/>
          </w:tcPr>
          <w:p>
            <w:pPr>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18067723172（微信同号）</w:t>
            </w:r>
          </w:p>
        </w:tc>
      </w:tr>
    </w:tbl>
    <w:p>
      <w:pPr>
        <w:pStyle w:val="7"/>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p>
    <w:p>
      <w:pPr>
        <w:pStyle w:val="7"/>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、总  则</w:t>
      </w:r>
    </w:p>
    <w:p>
      <w:pPr>
        <w:pStyle w:val="8"/>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适用范围</w:t>
      </w:r>
    </w:p>
    <w:p>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适用于</w:t>
      </w:r>
      <w:r>
        <w:rPr>
          <w:rFonts w:hint="eastAsia" w:ascii="宋体" w:hAnsi="宋体" w:eastAsia="宋体" w:cs="宋体"/>
          <w:bCs/>
          <w:color w:val="000000" w:themeColor="text1"/>
          <w:sz w:val="24"/>
          <w:highlight w:val="none"/>
          <w14:textFill>
            <w14:solidFill>
              <w14:schemeClr w14:val="tx1"/>
            </w14:solidFill>
          </w14:textFill>
        </w:rPr>
        <w:t>本次</w:t>
      </w:r>
      <w:r>
        <w:rPr>
          <w:rFonts w:hint="eastAsia" w:ascii="宋体" w:hAnsi="宋体" w:eastAsia="宋体" w:cs="宋体"/>
          <w:color w:val="000000" w:themeColor="text1"/>
          <w:sz w:val="24"/>
          <w:highlight w:val="none"/>
          <w14:textFill>
            <w14:solidFill>
              <w14:schemeClr w14:val="tx1"/>
            </w14:solidFill>
          </w14:textFill>
        </w:rPr>
        <w:t>项目的磋商、</w:t>
      </w:r>
      <w:r>
        <w:rPr>
          <w:rFonts w:hint="eastAsia" w:ascii="宋体" w:hAnsi="宋体" w:eastAsia="宋体" w:cs="宋体"/>
          <w:bCs/>
          <w:color w:val="000000" w:themeColor="text1"/>
          <w:sz w:val="24"/>
          <w:highlight w:val="none"/>
          <w14:textFill>
            <w14:solidFill>
              <w14:schemeClr w14:val="tx1"/>
            </w14:solidFill>
          </w14:textFill>
        </w:rPr>
        <w:t>评审、确定成交供应商</w:t>
      </w:r>
      <w:r>
        <w:rPr>
          <w:rFonts w:hint="eastAsia" w:ascii="宋体" w:hAnsi="宋体" w:eastAsia="宋体" w:cs="宋体"/>
          <w:color w:val="000000" w:themeColor="text1"/>
          <w:sz w:val="24"/>
          <w:highlight w:val="none"/>
          <w14:textFill>
            <w14:solidFill>
              <w14:schemeClr w14:val="tx1"/>
            </w14:solidFill>
          </w14:textFill>
        </w:rPr>
        <w:t>、验收、合同履约、付款等行为（法律、法规另有规定的，从其规定）。</w:t>
      </w:r>
    </w:p>
    <w:p>
      <w:pPr>
        <w:pStyle w:val="8"/>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（二）定义</w:t>
      </w:r>
    </w:p>
    <w:p>
      <w:pPr>
        <w:pStyle w:val="3"/>
        <w:spacing w:line="400" w:lineRule="exact"/>
        <w:ind w:firstLine="566" w:firstLineChars="23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1、“采购组织机构”指采购人委托组织磋商的集中采购机构或采购代理机构。</w:t>
      </w:r>
    </w:p>
    <w:p>
      <w:pPr>
        <w:snapToGrid w:val="0"/>
        <w:spacing w:line="400" w:lineRule="exact"/>
        <w:ind w:firstLine="566" w:firstLineChars="23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2、采购人：是指委托</w:t>
      </w:r>
      <w:r>
        <w:rPr>
          <w:rFonts w:hint="eastAsia" w:ascii="宋体" w:hAnsi="宋体" w:eastAsia="宋体" w:cs="宋体"/>
          <w:color w:val="000000" w:themeColor="text1"/>
          <w:sz w:val="24"/>
          <w:highlight w:val="none"/>
          <w:lang w:val="zh-CN"/>
          <w14:textFill>
            <w14:solidFill>
              <w14:schemeClr w14:val="tx1"/>
            </w14:solidFill>
          </w14:textFill>
        </w:rPr>
        <w:t>集中采购机构或</w:t>
      </w:r>
      <w:r>
        <w:rPr>
          <w:rFonts w:hint="eastAsia" w:ascii="宋体" w:hAnsi="宋体" w:eastAsia="宋体" w:cs="宋体"/>
          <w:color w:val="000000" w:themeColor="text1"/>
          <w:sz w:val="24"/>
          <w:highlight w:val="none"/>
          <w14:textFill>
            <w14:solidFill>
              <w14:schemeClr w14:val="tx1"/>
            </w14:solidFill>
          </w14:textFill>
        </w:rPr>
        <w:t>采购代理机构采购本次项目的国家机关、事业单位和团体组织。</w:t>
      </w:r>
    </w:p>
    <w:p>
      <w:pPr>
        <w:snapToGrid w:val="0"/>
        <w:spacing w:line="400" w:lineRule="exact"/>
        <w:ind w:left="424" w:leftChars="202" w:firstLine="141" w:firstLineChars="5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3、磋商供应商：是指向</w:t>
      </w:r>
      <w:r>
        <w:rPr>
          <w:rFonts w:hint="eastAsia" w:ascii="宋体" w:hAnsi="宋体" w:eastAsia="宋体" w:cs="宋体"/>
          <w:color w:val="000000" w:themeColor="text1"/>
          <w:sz w:val="24"/>
          <w:highlight w:val="none"/>
          <w:lang w:val="zh-CN"/>
          <w14:textFill>
            <w14:solidFill>
              <w14:schemeClr w14:val="tx1"/>
            </w14:solidFill>
          </w14:textFill>
        </w:rPr>
        <w:t>采购组织机构</w:t>
      </w:r>
      <w:r>
        <w:rPr>
          <w:rFonts w:hint="eastAsia" w:ascii="宋体" w:hAnsi="宋体" w:eastAsia="宋体" w:cs="宋体"/>
          <w:color w:val="000000" w:themeColor="text1"/>
          <w:sz w:val="24"/>
          <w:highlight w:val="none"/>
          <w14:textFill>
            <w14:solidFill>
              <w14:schemeClr w14:val="tx1"/>
            </w14:solidFill>
          </w14:textFill>
        </w:rPr>
        <w:t>提交磋商响应文件的单位或个人。</w:t>
      </w:r>
    </w:p>
    <w:p>
      <w:pPr>
        <w:snapToGrid w:val="0"/>
        <w:spacing w:line="400" w:lineRule="exact"/>
        <w:ind w:left="424" w:leftChars="202" w:firstLine="143"/>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4、货物：是指各种形态和种类的物品，包括原材料、燃料、设备、产品等。</w:t>
      </w:r>
    </w:p>
    <w:p>
      <w:pPr>
        <w:snapToGrid w:val="0"/>
        <w:spacing w:line="400" w:lineRule="exact"/>
        <w:ind w:firstLine="566" w:firstLineChars="236"/>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pPr>
        <w:snapToGrid w:val="0"/>
        <w:spacing w:line="400" w:lineRule="exact"/>
        <w:ind w:firstLine="566" w:firstLineChars="23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6、“书面形式”包括信函、传真等。</w:t>
      </w:r>
    </w:p>
    <w:p>
      <w:pPr>
        <w:snapToGrid w:val="0"/>
        <w:spacing w:line="400" w:lineRule="exact"/>
        <w:ind w:firstLine="566" w:firstLineChars="236"/>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7、“▲”为重要参数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不可偏离。</w:t>
      </w:r>
    </w:p>
    <w:p>
      <w:pPr>
        <w:pStyle w:val="8"/>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（三）磋商费用</w:t>
      </w:r>
    </w:p>
    <w:p>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不论磋商结果如何，供应商均应自行承担所有与磋商有关的全部费用（</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有相关规定除外）。</w:t>
      </w:r>
    </w:p>
    <w:p>
      <w:pPr>
        <w:pStyle w:val="8"/>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（四）特别说明</w:t>
      </w:r>
    </w:p>
    <w:p>
      <w:pPr>
        <w:pStyle w:val="3"/>
        <w:snapToGrid w:val="0"/>
        <w:spacing w:line="400" w:lineRule="exact"/>
        <w:ind w:left="2"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1、供应商磋商所使用的资格、信誉、荣誉、业绩与企业认证必须为本法人所拥有。供应商磋商所使用的采购项目实施人员必须为本法人员工（指必须为本法人或控股公司正式员工）。</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2、供应商所标产品除</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rFonts w:hint="eastAsia" w:ascii="宋体" w:hAnsi="宋体" w:eastAsia="宋体" w:cs="宋体"/>
          <w:b/>
          <w:color w:val="000000" w:themeColor="text1"/>
          <w:sz w:val="24"/>
          <w:highlight w:val="none"/>
          <w14:textFill>
            <w14:solidFill>
              <w14:schemeClr w14:val="tx1"/>
            </w14:solidFill>
          </w14:textFill>
        </w:rPr>
        <w:t>磋商供应商对所标产品技术参数的真实性承担法律责任。</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000000" w:themeColor="text1"/>
          <w:sz w:val="24"/>
          <w:highlight w:val="none"/>
          <w14:textFill>
            <w14:solidFill>
              <w14:schemeClr w14:val="tx1"/>
            </w14:solidFill>
          </w14:textFill>
        </w:rPr>
        <w:tab/>
      </w:r>
    </w:p>
    <w:p>
      <w:pPr>
        <w:pStyle w:val="70"/>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3、供应商在</w:t>
      </w:r>
      <w:r>
        <w:rPr>
          <w:rFonts w:hint="eastAsia" w:ascii="宋体" w:hAnsi="宋体" w:eastAsia="宋体" w:cs="宋体"/>
          <w:bCs/>
          <w:color w:val="000000" w:themeColor="text1"/>
          <w:sz w:val="24"/>
          <w:szCs w:val="24"/>
          <w:highlight w:val="none"/>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0"/>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pPr>
        <w:pStyle w:val="70"/>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70"/>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pPr>
        <w:pStyle w:val="70"/>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7"/>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w:t>
      </w:r>
    </w:p>
    <w:p>
      <w:pPr>
        <w:pStyle w:val="8"/>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（一）磋商响应文件的组成</w:t>
      </w:r>
    </w:p>
    <w:p>
      <w:pPr>
        <w:snapToGrid w:val="0"/>
        <w:spacing w:line="40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400" w:lineRule="exact"/>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▲1、资格证明内容的组成：</w:t>
      </w:r>
    </w:p>
    <w:p>
      <w:pPr>
        <w:pStyle w:val="31"/>
        <w:spacing w:line="400" w:lineRule="exact"/>
        <w:ind w:left="0" w:leftChars="0" w:firstLine="470"/>
        <w:rPr>
          <w:rStyle w:val="42"/>
          <w:rFonts w:hint="eastAsia" w:ascii="宋体" w:hAnsi="宋体" w:eastAsia="宋体" w:cs="宋体"/>
          <w:b w:val="0"/>
          <w:color w:val="000000" w:themeColor="text1"/>
          <w:highlight w:val="none"/>
          <w:u w:val="none"/>
          <w:lang w:eastAsia="zh-CN"/>
          <w14:textFill>
            <w14:solidFill>
              <w14:schemeClr w14:val="tx1"/>
            </w14:solidFill>
          </w14:textFill>
        </w:rPr>
      </w:pPr>
      <w:r>
        <w:rPr>
          <w:rStyle w:val="42"/>
          <w:rFonts w:hint="eastAsia" w:ascii="宋体" w:hAnsi="宋体" w:eastAsia="宋体" w:cs="宋体"/>
          <w:b w:val="0"/>
          <w:color w:val="000000" w:themeColor="text1"/>
          <w:highlight w:val="none"/>
          <w:u w:val="none"/>
          <w14:textFill>
            <w14:solidFill>
              <w14:schemeClr w14:val="tx1"/>
            </w14:solidFill>
          </w14:textFill>
        </w:rPr>
        <w:t>（1）磋商声明书</w:t>
      </w:r>
      <w:r>
        <w:rPr>
          <w:rStyle w:val="42"/>
          <w:rFonts w:hint="eastAsia" w:cs="宋体"/>
          <w:b w:val="0"/>
          <w:color w:val="000000" w:themeColor="text1"/>
          <w:highlight w:val="none"/>
          <w:u w:val="none"/>
          <w:lang w:eastAsia="zh-CN"/>
          <w14:textFill>
            <w14:solidFill>
              <w14:schemeClr w14:val="tx1"/>
            </w14:solidFill>
          </w14:textFill>
        </w:rPr>
        <w:t>；</w:t>
      </w:r>
    </w:p>
    <w:p>
      <w:pPr>
        <w:pStyle w:val="31"/>
        <w:spacing w:line="400" w:lineRule="exact"/>
        <w:ind w:left="0" w:leftChars="0" w:firstLine="470"/>
        <w:rPr>
          <w:rStyle w:val="42"/>
          <w:rFonts w:hint="eastAsia" w:ascii="宋体" w:hAnsi="宋体" w:eastAsia="宋体" w:cs="宋体"/>
          <w:b w:val="0"/>
          <w:color w:val="000000" w:themeColor="text1"/>
          <w:highlight w:val="none"/>
          <w:u w:val="none"/>
          <w14:textFill>
            <w14:solidFill>
              <w14:schemeClr w14:val="tx1"/>
            </w14:solidFill>
          </w14:textFill>
        </w:rPr>
      </w:pPr>
      <w:r>
        <w:rPr>
          <w:rStyle w:val="42"/>
          <w:rFonts w:hint="eastAsia" w:ascii="宋体" w:hAnsi="宋体" w:eastAsia="宋体" w:cs="宋体"/>
          <w:b w:val="0"/>
          <w:color w:val="000000" w:themeColor="text1"/>
          <w:highlight w:val="none"/>
          <w:u w:val="none"/>
          <w14:textFill>
            <w14:solidFill>
              <w14:schemeClr w14:val="tx1"/>
            </w14:solidFill>
          </w14:textFill>
        </w:rPr>
        <w:t>（2）授权委托书（法定代表人亲自办理磋商响应事宜的，则无需提交)；</w:t>
      </w:r>
    </w:p>
    <w:p>
      <w:pPr>
        <w:pStyle w:val="31"/>
        <w:spacing w:line="400" w:lineRule="exact"/>
        <w:ind w:left="0" w:leftChars="0" w:firstLine="470"/>
        <w:rPr>
          <w:rStyle w:val="42"/>
          <w:rFonts w:hint="eastAsia" w:ascii="宋体" w:hAnsi="宋体" w:eastAsia="宋体" w:cs="宋体"/>
          <w:b w:val="0"/>
          <w:color w:val="000000" w:themeColor="text1"/>
          <w:highlight w:val="none"/>
          <w:u w:val="none"/>
          <w14:textFill>
            <w14:solidFill>
              <w14:schemeClr w14:val="tx1"/>
            </w14:solidFill>
          </w14:textFill>
        </w:rPr>
      </w:pPr>
      <w:r>
        <w:rPr>
          <w:rStyle w:val="42"/>
          <w:rFonts w:hint="eastAsia" w:ascii="宋体" w:hAnsi="宋体" w:eastAsia="宋体" w:cs="宋体"/>
          <w:b w:val="0"/>
          <w:color w:val="000000" w:themeColor="text1"/>
          <w:highlight w:val="none"/>
          <w:u w:val="none"/>
          <w14:textFill>
            <w14:solidFill>
              <w14:schemeClr w14:val="tx1"/>
            </w14:solidFill>
          </w14:textFill>
        </w:rPr>
        <w:t>（3）法人或者其他组织的营业执照等证明文件，自然人的身份证明；</w:t>
      </w:r>
    </w:p>
    <w:p>
      <w:pPr>
        <w:pStyle w:val="31"/>
        <w:spacing w:line="400" w:lineRule="exact"/>
        <w:ind w:left="0" w:leftChars="0" w:firstLine="470"/>
        <w:rPr>
          <w:rStyle w:val="42"/>
          <w:rFonts w:hint="eastAsia" w:ascii="宋体" w:hAnsi="宋体" w:eastAsia="宋体" w:cs="宋体"/>
          <w:b w:val="0"/>
          <w:color w:val="000000" w:themeColor="text1"/>
          <w:highlight w:val="none"/>
          <w:u w:val="none"/>
          <w14:textFill>
            <w14:solidFill>
              <w14:schemeClr w14:val="tx1"/>
            </w14:solidFill>
          </w14:textFill>
        </w:rPr>
      </w:pPr>
      <w:r>
        <w:rPr>
          <w:rStyle w:val="42"/>
          <w:rFonts w:hint="eastAsia" w:ascii="宋体" w:hAnsi="宋体" w:eastAsia="宋体" w:cs="宋体"/>
          <w:b w:val="0"/>
          <w:color w:val="000000" w:themeColor="text1"/>
          <w:highlight w:val="none"/>
          <w:u w:val="none"/>
          <w14:textFill>
            <w14:solidFill>
              <w14:schemeClr w14:val="tx1"/>
            </w14:solidFill>
          </w14:textFill>
        </w:rPr>
        <w:t>（4）财务状况报告，依法缴纳税收和社会保障资金的相关材料</w:t>
      </w:r>
      <w:r>
        <w:rPr>
          <w:rStyle w:val="42"/>
          <w:rFonts w:hint="eastAsia" w:cs="宋体"/>
          <w:b w:val="0"/>
          <w:color w:val="000000" w:themeColor="text1"/>
          <w:highlight w:val="none"/>
          <w:u w:val="none"/>
          <w:lang w:eastAsia="zh-CN"/>
          <w14:textFill>
            <w14:solidFill>
              <w14:schemeClr w14:val="tx1"/>
            </w14:solidFill>
          </w14:textFill>
        </w:rPr>
        <w:t>（</w:t>
      </w:r>
      <w:r>
        <w:rPr>
          <w:rStyle w:val="42"/>
          <w:rFonts w:hint="eastAsia" w:cs="宋体"/>
          <w:b w:val="0"/>
          <w:color w:val="000000" w:themeColor="text1"/>
          <w:highlight w:val="none"/>
          <w:u w:val="none"/>
          <w:lang w:val="en-US" w:eastAsia="zh-CN"/>
          <w14:textFill>
            <w14:solidFill>
              <w14:schemeClr w14:val="tx1"/>
            </w14:solidFill>
          </w14:textFill>
        </w:rPr>
        <w:t>允许承诺函形式</w:t>
      </w:r>
      <w:r>
        <w:rPr>
          <w:rStyle w:val="42"/>
          <w:rFonts w:hint="eastAsia" w:cs="宋体"/>
          <w:b w:val="0"/>
          <w:color w:val="000000" w:themeColor="text1"/>
          <w:highlight w:val="none"/>
          <w:u w:val="none"/>
          <w:lang w:eastAsia="zh-CN"/>
          <w14:textFill>
            <w14:solidFill>
              <w14:schemeClr w14:val="tx1"/>
            </w14:solidFill>
          </w14:textFill>
        </w:rPr>
        <w:t>）</w:t>
      </w:r>
      <w:r>
        <w:rPr>
          <w:rStyle w:val="42"/>
          <w:rFonts w:hint="eastAsia" w:ascii="宋体" w:hAnsi="宋体" w:eastAsia="宋体" w:cs="宋体"/>
          <w:b w:val="0"/>
          <w:color w:val="000000" w:themeColor="text1"/>
          <w:highlight w:val="none"/>
          <w:u w:val="none"/>
          <w14:textFill>
            <w14:solidFill>
              <w14:schemeClr w14:val="tx1"/>
            </w14:solidFill>
          </w14:textFill>
        </w:rPr>
        <w:t>；</w:t>
      </w:r>
    </w:p>
    <w:p>
      <w:pPr>
        <w:pStyle w:val="31"/>
        <w:spacing w:line="400" w:lineRule="exact"/>
        <w:ind w:left="0" w:leftChars="0" w:firstLine="470"/>
        <w:rPr>
          <w:rStyle w:val="42"/>
          <w:rFonts w:hint="eastAsia" w:ascii="宋体" w:hAnsi="宋体" w:eastAsia="宋体" w:cs="宋体"/>
          <w:b w:val="0"/>
          <w:color w:val="000000" w:themeColor="text1"/>
          <w:highlight w:val="none"/>
          <w:u w:val="none"/>
          <w14:textFill>
            <w14:solidFill>
              <w14:schemeClr w14:val="tx1"/>
            </w14:solidFill>
          </w14:textFill>
        </w:rPr>
      </w:pPr>
      <w:r>
        <w:rPr>
          <w:rStyle w:val="42"/>
          <w:rFonts w:hint="eastAsia" w:ascii="宋体" w:hAnsi="宋体" w:eastAsia="宋体" w:cs="宋体"/>
          <w:b w:val="0"/>
          <w:color w:val="000000" w:themeColor="text1"/>
          <w:highlight w:val="none"/>
          <w:u w:val="none"/>
          <w14:textFill>
            <w14:solidFill>
              <w14:schemeClr w14:val="tx1"/>
            </w14:solidFill>
          </w14:textFill>
        </w:rPr>
        <w:t>（5）具备履行合同所必需的设备和专业技术能力的证明材料(根据项目性质提供)；</w:t>
      </w:r>
    </w:p>
    <w:p>
      <w:pPr>
        <w:pStyle w:val="31"/>
        <w:spacing w:line="400" w:lineRule="exact"/>
        <w:ind w:left="0" w:leftChars="0" w:firstLine="470"/>
        <w:rPr>
          <w:rStyle w:val="42"/>
          <w:rFonts w:hint="eastAsia" w:ascii="宋体" w:hAnsi="宋体" w:eastAsia="宋体" w:cs="宋体"/>
          <w:b w:val="0"/>
          <w:color w:val="000000" w:themeColor="text1"/>
          <w:highlight w:val="none"/>
          <w:u w:val="none"/>
          <w14:textFill>
            <w14:solidFill>
              <w14:schemeClr w14:val="tx1"/>
            </w14:solidFill>
          </w14:textFill>
        </w:rPr>
      </w:pPr>
      <w:r>
        <w:rPr>
          <w:rStyle w:val="42"/>
          <w:rFonts w:hint="eastAsia" w:ascii="宋体" w:hAnsi="宋体" w:eastAsia="宋体" w:cs="宋体"/>
          <w:b w:val="0"/>
          <w:color w:val="000000" w:themeColor="text1"/>
          <w:highlight w:val="none"/>
          <w:u w:val="none"/>
          <w14:textFill>
            <w14:solidFill>
              <w14:schemeClr w14:val="tx1"/>
            </w14:solidFill>
          </w14:textFill>
        </w:rPr>
        <w:t>（6）提供采购公告中符合供应商特定条件的有效资质证书复印件（磋商供应商特定条件中有要求的必须提供），以及需要说明的其他资料；</w:t>
      </w:r>
    </w:p>
    <w:p>
      <w:pPr>
        <w:pStyle w:val="31"/>
        <w:spacing w:line="400" w:lineRule="exact"/>
        <w:ind w:left="0" w:leftChars="0" w:firstLine="470"/>
        <w:rPr>
          <w:rStyle w:val="42"/>
          <w:rFonts w:hint="eastAsia" w:ascii="宋体" w:hAnsi="宋体" w:eastAsia="宋体" w:cs="宋体"/>
          <w:b w:val="0"/>
          <w:bCs/>
          <w:color w:val="000000" w:themeColor="text1"/>
          <w:highlight w:val="none"/>
          <w:u w:val="none"/>
          <w:lang w:eastAsia="zh-CN"/>
          <w14:textFill>
            <w14:solidFill>
              <w14:schemeClr w14:val="tx1"/>
            </w14:solidFill>
          </w14:textFill>
        </w:rPr>
      </w:pPr>
      <w:r>
        <w:rPr>
          <w:rStyle w:val="42"/>
          <w:rFonts w:hint="eastAsia" w:ascii="宋体" w:hAnsi="宋体" w:eastAsia="宋体" w:cs="宋体"/>
          <w:b w:val="0"/>
          <w:color w:val="000000" w:themeColor="text1"/>
          <w:highlight w:val="none"/>
          <w:u w:val="none"/>
          <w:lang w:eastAsia="zh-CN"/>
          <w14:textFill>
            <w14:solidFill>
              <w14:schemeClr w14:val="tx1"/>
            </w14:solidFill>
          </w14:textFill>
        </w:rPr>
        <w:t>（</w:t>
      </w:r>
      <w:r>
        <w:rPr>
          <w:rStyle w:val="42"/>
          <w:rFonts w:hint="eastAsia" w:ascii="宋体" w:hAnsi="宋体" w:eastAsia="宋体" w:cs="宋体"/>
          <w:b w:val="0"/>
          <w:color w:val="000000" w:themeColor="text1"/>
          <w:highlight w:val="none"/>
          <w:u w:val="none"/>
          <w:lang w:val="en-US" w:eastAsia="zh-CN"/>
          <w14:textFill>
            <w14:solidFill>
              <w14:schemeClr w14:val="tx1"/>
            </w14:solidFill>
          </w14:textFill>
        </w:rPr>
        <w:t>7</w:t>
      </w:r>
      <w:r>
        <w:rPr>
          <w:rStyle w:val="42"/>
          <w:rFonts w:hint="eastAsia" w:ascii="宋体" w:hAnsi="宋体" w:eastAsia="宋体" w:cs="宋体"/>
          <w:b w:val="0"/>
          <w:color w:val="000000" w:themeColor="text1"/>
          <w:highlight w:val="none"/>
          <w:u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中小企业声明函（服务）</w:t>
      </w:r>
    </w:p>
    <w:p>
      <w:pPr>
        <w:snapToGrid w:val="0"/>
        <w:spacing w:line="400" w:lineRule="exact"/>
        <w:ind w:firstLine="482"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2、商务与技术内容的组成：</w:t>
      </w:r>
    </w:p>
    <w:p>
      <w:pPr>
        <w:pStyle w:val="13"/>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（1）供应商情况介绍。</w:t>
      </w:r>
    </w:p>
    <w:p>
      <w:pPr>
        <w:pStyle w:val="13"/>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（2）磋商响应方案描述：</w:t>
      </w:r>
    </w:p>
    <w:p>
      <w:pPr>
        <w:pStyle w:val="13"/>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lang w:val="en-US" w:eastAsia="zh-CN"/>
          <w14:textFill>
            <w14:solidFill>
              <w14:schemeClr w14:val="tx1"/>
            </w14:solidFill>
          </w14:textFill>
        </w:rPr>
        <w:t>技术服务方案</w:t>
      </w:r>
      <w:r>
        <w:rPr>
          <w:rFonts w:hint="eastAsia" w:ascii="宋体" w:hAnsi="宋体" w:eastAsia="宋体" w:cs="宋体"/>
          <w:color w:val="000000" w:themeColor="text1"/>
          <w:sz w:val="24"/>
          <w:szCs w:val="24"/>
          <w:highlight w:val="none"/>
          <w14:textFill>
            <w14:solidFill>
              <w14:schemeClr w14:val="tx1"/>
            </w14:solidFill>
          </w14:textFill>
        </w:rPr>
        <w:t>。</w:t>
      </w:r>
    </w:p>
    <w:p>
      <w:pPr>
        <w:pStyle w:val="13"/>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B.项目实施人员一览表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项目负责人资格情况表。</w:t>
      </w:r>
    </w:p>
    <w:p>
      <w:pPr>
        <w:autoSpaceDE w:val="0"/>
        <w:autoSpaceDN w:val="0"/>
        <w:adjustRightInd w:val="0"/>
        <w:spacing w:line="400" w:lineRule="exact"/>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（3）供应商通过的</w:t>
      </w:r>
      <w:r>
        <w:rPr>
          <w:rFonts w:hint="eastAsia" w:ascii="宋体" w:hAnsi="宋体" w:eastAsia="宋体" w:cs="宋体"/>
          <w:color w:val="000000" w:themeColor="text1"/>
          <w:sz w:val="24"/>
          <w:highlight w:val="none"/>
          <w14:textFill>
            <w14:solidFill>
              <w14:schemeClr w14:val="tx1"/>
            </w14:solidFill>
          </w14:textFill>
        </w:rPr>
        <w:t>自主创新相关证书、软件著作权证等等与本项目相关</w:t>
      </w:r>
      <w:r>
        <w:rPr>
          <w:rFonts w:hint="eastAsia" w:ascii="宋体" w:hAnsi="宋体" w:eastAsia="宋体" w:cs="宋体"/>
          <w:color w:val="000000" w:themeColor="text1"/>
          <w:kern w:val="0"/>
          <w:sz w:val="24"/>
          <w:highlight w:val="none"/>
          <w14:textFill>
            <w14:solidFill>
              <w14:schemeClr w14:val="tx1"/>
            </w14:solidFill>
          </w14:textFill>
        </w:rPr>
        <w:t>的认证证书或文件；</w:t>
      </w:r>
    </w:p>
    <w:p>
      <w:pPr>
        <w:pStyle w:val="13"/>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（4）类似项目业绩一览表；</w:t>
      </w:r>
    </w:p>
    <w:p>
      <w:pPr>
        <w:snapToGrid w:val="0"/>
        <w:spacing w:line="40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（5）供应商认为需要提供的其他资料（包括可能影响供应商商务与技术内容评分的各类证明材料）。</w:t>
      </w:r>
    </w:p>
    <w:p>
      <w:pPr>
        <w:pStyle w:val="13"/>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（6）售后服务描述及承诺：</w:t>
      </w:r>
    </w:p>
    <w:p>
      <w:pPr>
        <w:pStyle w:val="13"/>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13"/>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400" w:lineRule="exact"/>
        <w:ind w:left="426" w:firstLine="65" w:firstLineChars="27"/>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3、报价内容的组成</w:t>
      </w:r>
    </w:p>
    <w:p>
      <w:pPr>
        <w:pStyle w:val="31"/>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（1）报价内容由首次报价一览表、报价明细表，以及供应商认为其他需要说明的内容组成。</w:t>
      </w:r>
    </w:p>
    <w:p>
      <w:pPr>
        <w:pStyle w:val="31"/>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（2）此报价为供应商针对本项目报出的唯一的首次报价，包含其它一切所要涉及到的费用，有选择的报价将被拒绝。</w:t>
      </w:r>
    </w:p>
    <w:p>
      <w:pPr>
        <w:pStyle w:val="31"/>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（3）</w:t>
      </w:r>
      <w:r>
        <w:rPr>
          <w:rFonts w:hint="eastAsia" w:ascii="宋体" w:hAnsi="宋体" w:eastAsia="宋体" w:cs="宋体"/>
          <w:b w:val="0"/>
          <w:color w:val="000000" w:themeColor="text1"/>
          <w:kern w:val="0"/>
          <w:highlight w:val="none"/>
          <w:lang w:val="zh-CN"/>
          <w14:textFill>
            <w14:solidFill>
              <w14:schemeClr w14:val="tx1"/>
            </w14:solidFill>
          </w14:textFill>
        </w:rPr>
        <w:t>报价包括</w:t>
      </w:r>
      <w:r>
        <w:rPr>
          <w:rFonts w:hint="eastAsia" w:ascii="宋体" w:hAnsi="宋体" w:eastAsia="宋体" w:cs="宋体"/>
          <w:b w:val="0"/>
          <w:color w:val="000000" w:themeColor="text1"/>
          <w:kern w:val="0"/>
          <w:highlight w:val="none"/>
          <w14:textFill>
            <w14:solidFill>
              <w14:schemeClr w14:val="tx1"/>
            </w14:solidFill>
          </w14:textFill>
        </w:rPr>
        <w:t>相关</w:t>
      </w:r>
      <w:r>
        <w:rPr>
          <w:rFonts w:hint="eastAsia" w:ascii="宋体" w:hAnsi="宋体" w:eastAsia="宋体" w:cs="宋体"/>
          <w:b w:val="0"/>
          <w:color w:val="000000" w:themeColor="text1"/>
          <w:kern w:val="0"/>
          <w:highlight w:val="none"/>
          <w:lang w:val="zh-CN"/>
          <w14:textFill>
            <w14:solidFill>
              <w14:schemeClr w14:val="tx1"/>
            </w14:solidFill>
          </w14:textFill>
        </w:rPr>
        <w:t>人工费、材料费、设备使用费、人员来往的交通、通信、食宿、企业管理费、利润、税金、售后服务费、技术服务费、技术培训费、</w:t>
      </w:r>
      <w:r>
        <w:rPr>
          <w:rFonts w:hint="eastAsia" w:ascii="宋体" w:hAnsi="宋体" w:eastAsia="宋体" w:cs="宋体"/>
          <w:b w:val="0"/>
          <w:color w:val="000000" w:themeColor="text1"/>
          <w:kern w:val="0"/>
          <w:highlight w:val="none"/>
          <w14:textFill>
            <w14:solidFill>
              <w14:schemeClr w14:val="tx1"/>
            </w14:solidFill>
          </w14:textFill>
        </w:rPr>
        <w:t>招标代理服务费、</w:t>
      </w:r>
      <w:r>
        <w:rPr>
          <w:rFonts w:hint="eastAsia" w:ascii="宋体" w:hAnsi="宋体" w:eastAsia="宋体" w:cs="宋体"/>
          <w:b w:val="0"/>
          <w:color w:val="000000" w:themeColor="text1"/>
          <w:kern w:val="0"/>
          <w:highlight w:val="none"/>
          <w:lang w:val="zh-CN"/>
          <w14:textFill>
            <w14:solidFill>
              <w14:schemeClr w14:val="tx1"/>
            </w14:solidFill>
          </w14:textFill>
        </w:rPr>
        <w:t>政策性文件规定及合同包含的所有风险、责任、成果验收以及采购文件约定工作内容所包含的等一切费用。供应商应列入而未列入其中的费用，均视为已包含在内，不得再要求追加任何费用</w:t>
      </w:r>
      <w:r>
        <w:rPr>
          <w:rFonts w:hint="eastAsia" w:ascii="宋体" w:hAnsi="宋体" w:eastAsia="宋体" w:cs="宋体"/>
          <w:b w:val="0"/>
          <w:color w:val="000000" w:themeColor="text1"/>
          <w:kern w:val="0"/>
          <w:highlight w:val="none"/>
          <w14:textFill>
            <w14:solidFill>
              <w14:schemeClr w14:val="tx1"/>
            </w14:solidFill>
          </w14:textFill>
        </w:rPr>
        <w:t>。</w:t>
      </w:r>
    </w:p>
    <w:p>
      <w:pPr>
        <w:pStyle w:val="31"/>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（4）相关报价表需打印或用不退色的墨水填写， 磋商响应报价表不得涂改和增删，如有错漏必须修改，修改处须由同一签署人签字或盖章。由于字迹模糊或表达不清引起的后果由供应商负责。</w:t>
      </w:r>
    </w:p>
    <w:p>
      <w:pPr>
        <w:pStyle w:val="31"/>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报价有关表格应按磋商采购文件中相关附表格式填写。</w:t>
      </w:r>
    </w:p>
    <w:p>
      <w:pPr>
        <w:pStyle w:val="8"/>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（二）磋商响应文件的制作、封装及递交要求</w:t>
      </w:r>
    </w:p>
    <w:p>
      <w:pPr>
        <w:autoSpaceDE w:val="0"/>
        <w:autoSpaceDN w:val="0"/>
        <w:adjustRightInd w:val="0"/>
        <w:spacing w:line="40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kern w:val="0"/>
          <w:sz w:val="24"/>
          <w:highlight w:val="none"/>
          <w14:textFill>
            <w14:solidFill>
              <w14:schemeClr w14:val="tx1"/>
            </w14:solidFill>
          </w14:textFill>
        </w:rPr>
        <w:t>磋商响应</w:t>
      </w:r>
      <w:r>
        <w:rPr>
          <w:rFonts w:hint="eastAsia" w:ascii="宋体" w:hAnsi="宋体" w:eastAsia="宋体" w:cs="宋体"/>
          <w:b/>
          <w:bCs/>
          <w:color w:val="000000" w:themeColor="text1"/>
          <w:sz w:val="24"/>
          <w:highlight w:val="none"/>
          <w14:textFill>
            <w14:solidFill>
              <w14:schemeClr w14:val="tx1"/>
            </w14:solidFill>
          </w14:textFill>
        </w:rPr>
        <w:t>文件的制作要求</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（1）磋商人应按照磋商文件组成内容及项目采购需求制作磋商响应文件，</w:t>
      </w:r>
      <w:r>
        <w:rPr>
          <w:rFonts w:hint="eastAsia" w:ascii="宋体" w:hAnsi="宋体" w:eastAsia="宋体" w:cs="宋体"/>
          <w:color w:val="000000" w:themeColor="text1"/>
          <w:kern w:val="0"/>
          <w:sz w:val="24"/>
          <w:highlight w:val="none"/>
          <w14:textFill>
            <w14:solidFill>
              <w14:schemeClr w14:val="tx1"/>
            </w14:solidFill>
          </w14:textFill>
        </w:rPr>
        <w:t>不按磋商采购文件要求制作磋商响应文件的将视情处理（拒收、扣分等），由此产生的责任由磋商人自行承担。</w:t>
      </w:r>
    </w:p>
    <w:p>
      <w:pPr>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（2）磋商人应对所提供的全部资料的真实性承担法律责任，磋商响应</w:t>
      </w:r>
      <w:r>
        <w:rPr>
          <w:rFonts w:hint="eastAsia" w:ascii="宋体" w:hAnsi="宋体" w:eastAsia="宋体" w:cs="宋体"/>
          <w:color w:val="000000" w:themeColor="text1"/>
          <w:kern w:val="0"/>
          <w:sz w:val="24"/>
          <w:highlight w:val="none"/>
          <w:lang w:val="zh-CN"/>
          <w14:textFill>
            <w14:solidFill>
              <w14:schemeClr w14:val="tx1"/>
            </w14:solidFill>
          </w14:textFill>
        </w:rPr>
        <w:t>文件内容中有要求盖章或签字的地方必须加盖磋商人的公章以及法定代表人或全权代表的盖章或签字。</w:t>
      </w:r>
    </w:p>
    <w:p>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）磋商响应</w:t>
      </w:r>
      <w:r>
        <w:rPr>
          <w:rFonts w:hint="eastAsia" w:ascii="宋体" w:hAnsi="宋体" w:eastAsia="宋体" w:cs="宋体"/>
          <w:color w:val="000000" w:themeColor="text1"/>
          <w:sz w:val="24"/>
          <w:highlight w:val="none"/>
          <w14:textFill>
            <w14:solidFill>
              <w14:schemeClr w14:val="tx1"/>
            </w14:solidFill>
          </w14:textFill>
        </w:rPr>
        <w:t>文件以及磋商供应商与采购组织机构就有关磋商响应事宜的所有来往函电，均应以中文汉语书写。除签字、盖章、专用名称等特殊情形外，以中文汉语以外的文字表述的磋商响应文件视同未提供。</w:t>
      </w:r>
    </w:p>
    <w:p>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（4）磋商计量单位，磋商文件已有明确规定的，使用磋商文件规定的计量单位；磋商文件没有规定的，应采用中华人民共和国法定计量单位（货币单位：人民币元）。</w:t>
      </w:r>
    </w:p>
    <w:p>
      <w:pPr>
        <w:autoSpaceDE w:val="0"/>
        <w:autoSpaceDN w:val="0"/>
        <w:adjustRightIn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（5）若供应商不按磋商文件的要求提供资格审查材料，其风险由供应商自行承担。</w:t>
      </w:r>
    </w:p>
    <w:p>
      <w:pPr>
        <w:autoSpaceDE w:val="0"/>
        <w:autoSpaceDN w:val="0"/>
        <w:adjustRightIn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与本次磋商无关的内容请不要制作在内，确保磋商文件有针对性、简洁明了。</w:t>
      </w:r>
    </w:p>
    <w:p>
      <w:pPr>
        <w:autoSpaceDE w:val="0"/>
        <w:autoSpaceDN w:val="0"/>
        <w:adjustRightInd w:val="0"/>
        <w:spacing w:line="40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2、磋商响应文件的</w:t>
      </w:r>
      <w:r>
        <w:rPr>
          <w:rFonts w:hint="eastAsia" w:ascii="宋体" w:hAnsi="宋体" w:eastAsia="宋体" w:cs="宋体"/>
          <w:b/>
          <w:color w:val="000000" w:themeColor="text1"/>
          <w:sz w:val="24"/>
          <w:highlight w:val="none"/>
          <w14:textFill>
            <w14:solidFill>
              <w14:schemeClr w14:val="tx1"/>
            </w14:solidFill>
          </w14:textFill>
        </w:rPr>
        <w:t>签署及规定</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（1）供应商应按本须知的相关要求准备磋商响应文件，注明 “项目编号”、“项目名称”、“资格文件”或“商务技术文件”或“报价文件”、 “磋商供应商”、“时间”等字样。</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（2）磋商响应文件封面和内部有要求盖章或签字的地方必须加盖磋商供应商的单位公章（或CA电子公章）以及法定代表人或全权代表（CA电子签章或签字）。</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（3）电子磋商响应文件：按政采云平台供应商项目采购-电子招投标操作指南https://help.zcygov.cn/web/site_2/2018/12-28/2573.html及本磋商文件要求提交。</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（4）介质存储的数据电文形式的备份电子磋商响应文件：U盘1份，独立密封封装。</w:t>
      </w:r>
    </w:p>
    <w:p>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（5）磋商响应文件不得涂改，若有修改错漏处，须加盖单位公章（或CA电子公章）或者法定代表人或授权委托人签字（或CA电子签章）。磋商响应文件因字迹潦草或表达不清所引起的后果由磋商供应商负责。</w:t>
      </w:r>
    </w:p>
    <w:p>
      <w:pPr>
        <w:autoSpaceDE w:val="0"/>
        <w:autoSpaceDN w:val="0"/>
        <w:adjustRightInd w:val="0"/>
        <w:spacing w:line="40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磋商响应文件的递交要求</w:t>
      </w:r>
    </w:p>
    <w:p>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（1）▲在投标截止时间前，磋商供应商应按磋商文件规定的时间、形式上传电子磋商响应文件至政采云平台采购项目中。在投标截止时间后上传提交磋商响应文件的，将被政采云平台拒绝。</w:t>
      </w:r>
    </w:p>
    <w:p>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（2）采购代理机构工作人员将做好介质存储的数据电文形式备份电子磋商响应文件签收手续，明确电子磋商响应文件的提交时间、磋商响应文件的份数、提交人等信息。</w:t>
      </w:r>
    </w:p>
    <w:p>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（3）因密封不严、标记不明而造成过早启封、失密等情况，采购代理机构概不负责。</w:t>
      </w:r>
    </w:p>
    <w:p>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（4）如因故推迟磋商响应文件提交截止时间的，招标采购单位和磋商供应商的权利和义务将受到新的截止时间约束。</w:t>
      </w:r>
    </w:p>
    <w:p>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（5）已提交磋商响应文件的供应商，在提交最后报价之前，可以根据磋商情况退出磋商。</w:t>
      </w:r>
    </w:p>
    <w:p>
      <w:pPr>
        <w:pStyle w:val="8"/>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（三）磋商响应文件的有效期</w:t>
      </w:r>
    </w:p>
    <w:p>
      <w:pPr>
        <w:pStyle w:val="12"/>
        <w:widowControl w:val="0"/>
        <w:numPr>
          <w:ilvl w:val="0"/>
          <w:numId w:val="0"/>
        </w:numPr>
        <w:tabs>
          <w:tab w:val="left" w:pos="0"/>
          <w:tab w:val="left" w:pos="960"/>
          <w:tab w:val="left" w:pos="1200"/>
          <w:tab w:val="clear" w:pos="454"/>
        </w:tabs>
        <w:snapToGrid w:val="0"/>
        <w:spacing w:after="0" w:afterLines="0" w:line="400" w:lineRule="exact"/>
        <w:ind w:firstLine="480" w:firstLineChars="200"/>
        <w:rPr>
          <w:rFonts w:hint="eastAsia" w:ascii="宋体" w:hAnsi="宋体" w:eastAsia="宋体" w:cs="宋体"/>
          <w:color w:val="000000" w:themeColor="text1"/>
          <w:szCs w:val="24"/>
          <w:highlight w:val="none"/>
          <w:lang w:val="en-GB"/>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pPr>
        <w:pStyle w:val="12"/>
        <w:widowControl w:val="0"/>
        <w:numPr>
          <w:ilvl w:val="0"/>
          <w:numId w:val="0"/>
        </w:numPr>
        <w:tabs>
          <w:tab w:val="left" w:pos="0"/>
          <w:tab w:val="left" w:pos="960"/>
          <w:tab w:val="left" w:pos="1200"/>
          <w:tab w:val="clear" w:pos="454"/>
        </w:tabs>
        <w:snapToGrid w:val="0"/>
        <w:spacing w:after="0" w:afterLines="0" w:line="400" w:lineRule="exact"/>
        <w:ind w:firstLine="480" w:firstLineChars="2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pPr>
        <w:pStyle w:val="12"/>
        <w:widowControl w:val="0"/>
        <w:numPr>
          <w:ilvl w:val="0"/>
          <w:numId w:val="0"/>
        </w:numPr>
        <w:tabs>
          <w:tab w:val="left" w:pos="0"/>
          <w:tab w:val="left" w:pos="960"/>
          <w:tab w:val="left" w:pos="1200"/>
          <w:tab w:val="clear" w:pos="454"/>
        </w:tabs>
        <w:snapToGrid w:val="0"/>
        <w:spacing w:after="0" w:afterLines="0" w:line="400" w:lineRule="exact"/>
        <w:ind w:firstLine="480" w:firstLineChars="2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3.成交供应商的磋商响应文件自磋商之日起至合同履行完毕均应保持有效。</w:t>
      </w:r>
    </w:p>
    <w:p>
      <w:pPr>
        <w:pStyle w:val="7"/>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w:t>
      </w:r>
    </w:p>
    <w:p>
      <w:pPr>
        <w:pStyle w:val="8"/>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（一）磋商程序</w:t>
      </w:r>
    </w:p>
    <w:p>
      <w:p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 开标程序</w:t>
      </w:r>
    </w:p>
    <w:p>
      <w:pPr>
        <w:numPr>
          <w:ilvl w:val="0"/>
          <w:numId w:val="4"/>
        </w:num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到开标时间后，供应商登录政采云平台，用“项目采购-开标评标”功能对电子磋商响应文件进行在线解密。在线解密电子磋商文件时间为开标时间起半个小时内；</w:t>
      </w:r>
    </w:p>
    <w:p>
      <w:pPr>
        <w:numPr>
          <w:ilvl w:val="0"/>
          <w:numId w:val="4"/>
        </w:num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开标结束后，采购人或采购代理机构依法对供应商的资格进行审查。</w:t>
      </w:r>
      <w:r>
        <w:rPr>
          <w:rFonts w:hint="eastAsia" w:ascii="宋体" w:hAnsi="宋体" w:eastAsia="宋体" w:cs="宋体"/>
          <w:color w:val="000000" w:themeColor="text1"/>
          <w:kern w:val="0"/>
          <w:sz w:val="24"/>
          <w:highlight w:val="none"/>
          <w14:textFill>
            <w14:solidFill>
              <w14:schemeClr w14:val="tx1"/>
            </w14:solidFill>
          </w14:textFill>
        </w:rPr>
        <w:t>审查内容见。2、通过资格审查视作具备磋商资格，审查不合格的磋商响应文件将不进入后续详细评审。</w:t>
      </w:r>
    </w:p>
    <w:p>
      <w:p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 磋商小组根据磋商文件的规定，对磋商响应文件的有效性、完整性和对磋商文件的响应程度进行审查，以确定其是否对磋商文件作出了实质性响应。实质上没有响应磋商文件要求的磋商响应文件将被否决。</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 评审过程中磋商供应商有义务对磋商小组提出就磋商响应文件中含义不明确、同类问题表述不</w:t>
      </w:r>
      <w:r>
        <w:rPr>
          <w:rFonts w:hint="eastAsia" w:ascii="宋体" w:hAnsi="宋体" w:eastAsia="宋体" w:cs="宋体"/>
          <w:color w:val="000000" w:themeColor="text1"/>
          <w:sz w:val="24"/>
          <w:highlight w:val="none"/>
          <w14:textFill>
            <w14:solidFill>
              <w14:schemeClr w14:val="tx1"/>
            </w14:solidFill>
          </w14:textFill>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5、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b/>
          <w:bCs/>
          <w:color w:val="000000" w:themeColor="text1"/>
          <w:sz w:val="24"/>
          <w:highlight w:val="none"/>
          <w:u w:val="single"/>
          <w14:textFill>
            <w14:solidFill>
              <w14:schemeClr w14:val="tx1"/>
            </w14:solidFill>
          </w14:textFill>
        </w:rPr>
        <w:t>经澄清后，若偏差仍存在，且不可接受，磋商供应商则被认为是“没有实质性响应竞争性磋商文件要求”，其磋商不进入下一步评审</w:t>
      </w:r>
      <w:r>
        <w:rPr>
          <w:rFonts w:hint="eastAsia" w:ascii="宋体" w:hAnsi="宋体" w:eastAsia="宋体" w:cs="宋体"/>
          <w:color w:val="000000" w:themeColor="text1"/>
          <w:sz w:val="24"/>
          <w:highlight w:val="none"/>
          <w14:textFill>
            <w14:solidFill>
              <w14:schemeClr w14:val="tx1"/>
            </w14:solidFill>
          </w14:textFill>
        </w:rPr>
        <w:t>。</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8、在磋商过程中，磋商供应商不得向磋商小组成员询问磋商情况，不得进行旨在影响磋商结果的活动，否则将取消其磋商资格。</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9、在磋商过程中，磋商小组成员不得与磋商供应商私下交换意见，在竞争性磋商结束后，凡与磋商情况有接触的人不得将磋商情况扩散出磋商小组成员外。</w:t>
      </w:r>
    </w:p>
    <w:p>
      <w:pPr>
        <w:spacing w:line="380" w:lineRule="exact"/>
        <w:ind w:firstLine="458"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10、磋商结束后，磋商小组将要求磋商供应商在规定的时间内，统一进行最后报价，最后报价不得高于首次报价（磋商小组另有决议的除外）。</w:t>
      </w:r>
      <w:r>
        <w:rPr>
          <w:rFonts w:hint="eastAsia" w:ascii="宋体" w:hAnsi="宋体" w:cs="宋体"/>
          <w:b/>
          <w:bCs/>
          <w:color w:val="000000" w:themeColor="text1"/>
          <w:sz w:val="24"/>
          <w:highlight w:val="none"/>
          <w14:textFill>
            <w14:solidFill>
              <w14:schemeClr w14:val="tx1"/>
            </w14:solidFill>
          </w14:textFill>
        </w:rPr>
        <w:t>供应商超过最终报价提交时间的，政采云平台以首次报价为准。</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11、宣布评分结果以及最终报价</w:t>
      </w:r>
    </w:p>
    <w:p>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宣布评分结果以及最终报价在政采云电子招投标开标及评审程序中进行。</w:t>
      </w:r>
    </w:p>
    <w:p>
      <w:pPr>
        <w:pStyle w:val="8"/>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（二）澄清问题的形式</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pPr>
        <w:pStyle w:val="8"/>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（三）错误修正</w:t>
      </w:r>
    </w:p>
    <w:p>
      <w:pPr>
        <w:pStyle w:val="32"/>
        <w:spacing w:before="0" w:beforeAutospacing="0" w:after="0" w:afterAutospacing="0" w:line="400" w:lineRule="exact"/>
        <w:ind w:firstLine="480" w:firstLineChars="2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磋商响应文件报价出现前后不一致的，除</w:t>
      </w:r>
      <w:r>
        <w:rPr>
          <w:rFonts w:hint="eastAsia" w:ascii="宋体" w:hAnsi="宋体" w:eastAsia="宋体" w:cs="宋体"/>
          <w:bCs/>
          <w:color w:val="000000" w:themeColor="text1"/>
          <w:highlight w:val="none"/>
          <w14:textFill>
            <w14:solidFill>
              <w14:schemeClr w14:val="tx1"/>
            </w14:solidFill>
          </w14:textFill>
        </w:rPr>
        <w:t>磋商采购文件</w:t>
      </w:r>
      <w:r>
        <w:rPr>
          <w:rFonts w:hint="eastAsia" w:ascii="宋体" w:hAnsi="宋体" w:eastAsia="宋体" w:cs="宋体"/>
          <w:color w:val="000000" w:themeColor="text1"/>
          <w:highlight w:val="none"/>
          <w14:textFill>
            <w14:solidFill>
              <w14:schemeClr w14:val="tx1"/>
            </w14:solidFill>
          </w14:textFill>
        </w:rPr>
        <w:t>另有规定外，按照下列规定修正：</w:t>
      </w:r>
    </w:p>
    <w:p>
      <w:pPr>
        <w:pStyle w:val="32"/>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1、磋商响应文件中首次报价一览表内容与磋商响应文件中相应内容不一致的，以首次报价一览表为准；</w:t>
      </w:r>
    </w:p>
    <w:p>
      <w:pPr>
        <w:pStyle w:val="32"/>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2、大写金额和小写金额不一致的，以大写金额为准；</w:t>
      </w:r>
    </w:p>
    <w:p>
      <w:pPr>
        <w:pStyle w:val="32"/>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3、单价金额小数点或者百分比有明显错位的，以首次报价一览表的总价为准，并修改单价；</w:t>
      </w:r>
    </w:p>
    <w:p>
      <w:pPr>
        <w:pStyle w:val="32"/>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4、总价金额与按单价汇总金额不一致的，以单价金额计算结果为准。</w:t>
      </w:r>
    </w:p>
    <w:p>
      <w:pPr>
        <w:pStyle w:val="32"/>
        <w:spacing w:before="0" w:beforeAutospacing="0" w:after="0" w:afterAutospacing="0" w:line="400" w:lineRule="exact"/>
        <w:ind w:firstLine="48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pStyle w:val="8"/>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（四）磋商供应商存在下列情况之一的，响应无效，终止磋商</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1、实质上没有响应磋商文件要求的磋商响应文件将被视为无效磋商。供应商不得通过修正或撤消不合要求的偏离或保留从而使其磋商成为实质上响应的磋商。如发生下列情况之一的，其磋商响应文件视为无效：</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2、未提交电子磋商响应文件的；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3、供应商仅提交备份电子磋商响应文件的；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4、采用电子投标的，电子磋商响应文件未在规定时间内解密的（出现特殊情况，采用介质存储的数据电文形式的备份响应文件开标、评标的情形除外）；</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5、磋商响应文件未有效授权的；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6、供应商未按磋商文件规定参加磋商的；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7、未按规定要求盖章和签字（包括CA签章）的；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8、磋商小组认为供应商的报价明显低于其他通过符合性审查供应商的报价，有可能影响产品质量或者不能诚信履约的，应当要求其在磋商合理的时间内提供书面说明，必要时提交相关证明材料；关于不能证明其报价合理性的，磋商小组应当将其作为无效投标处理；</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9、未按规定要求递交资格文件、商务技术文件、报价文件的磋商响应文件的；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10、同一供应商最终报价具有选择性（即出现二个及以上投标总报价的）；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11、符合竞争性磋商文件中明确作无效标处理或被拒绝的条款；</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12、报价超出磋商文件中规定的预算金额或者最高限价的；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13、提供虚假材料谋取成交的；</w:t>
      </w:r>
    </w:p>
    <w:p>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14、不符合法律、法规和磋商文件规定的其他实质性要求的。</w:t>
      </w:r>
    </w:p>
    <w:p>
      <w:pPr>
        <w:pStyle w:val="8"/>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（五）有下列情况之一的，本次磋商终止。</w:t>
      </w:r>
    </w:p>
    <w:p>
      <w:pPr>
        <w:pStyle w:val="32"/>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1、出现影响采购公正的违法、违规行为的；</w:t>
      </w:r>
    </w:p>
    <w:p>
      <w:pPr>
        <w:pStyle w:val="32"/>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2、磋商小组发现磋商文件存在歧义、重大缺陷导致评审工作无法进行，或者磋商文件内容违反国家有关强制性规定的； </w:t>
      </w:r>
    </w:p>
    <w:p>
      <w:pPr>
        <w:pStyle w:val="32"/>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3、因重大变故，采购任务取消的；</w:t>
      </w:r>
    </w:p>
    <w:p>
      <w:pPr>
        <w:pStyle w:val="32"/>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4、法律、法规和磋商文件规定的其他导致评审结果无效的。</w:t>
      </w:r>
    </w:p>
    <w:p>
      <w:pPr>
        <w:pStyle w:val="8"/>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（六）磋商原则和方法</w:t>
      </w:r>
    </w:p>
    <w:p>
      <w:pPr>
        <w:pStyle w:val="3"/>
        <w:snapToGrid w:val="0"/>
        <w:spacing w:line="380" w:lineRule="exact"/>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pStyle w:val="3"/>
        <w:snapToGrid w:val="0"/>
        <w:spacing w:line="380" w:lineRule="exact"/>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2、磋商办法。具体磋商内容及评分标准等详见《第三章：评审方法及评分标准》。</w:t>
      </w:r>
    </w:p>
    <w:p>
      <w:pPr>
        <w:pStyle w:val="8"/>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（七）评审过程的监控</w:t>
      </w:r>
    </w:p>
    <w:p>
      <w:pPr>
        <w:pStyle w:val="32"/>
        <w:spacing w:before="0" w:beforeAutospacing="0" w:after="0" w:afterAutospacing="0" w:line="380" w:lineRule="exact"/>
        <w:ind w:firstLine="480" w:firstLineChars="2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pPr>
        <w:pStyle w:val="7"/>
        <w:spacing w:before="0" w:after="0"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四、磋商结果确定</w:t>
      </w:r>
    </w:p>
    <w:p>
      <w:pPr>
        <w:pStyle w:val="32"/>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pPr>
        <w:pStyle w:val="7"/>
        <w:spacing w:before="0" w:after="0"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五、合同签订及公告</w:t>
      </w:r>
    </w:p>
    <w:p>
      <w:pPr>
        <w:pStyle w:val="8"/>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（一）签订合同</w:t>
      </w:r>
    </w:p>
    <w:p>
      <w:pPr>
        <w:pStyle w:val="17"/>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1．采购人应当自成交通知书发出之日起10个工作日内，按照磋商采购文件确定的合同文本以及采购标的、规格型号、采购金额、采购数量和服务要求等事项签订政府采购合同。</w:t>
      </w:r>
    </w:p>
    <w:p>
      <w:pPr>
        <w:pStyle w:val="32"/>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32"/>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3．成交供应商无故拖延、拒签合同的,取消成交资格。</w:t>
      </w:r>
    </w:p>
    <w:p>
      <w:pPr>
        <w:pStyle w:val="32"/>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32"/>
        <w:spacing w:before="0" w:beforeAutospacing="0" w:after="0" w:afterAutospacing="0" w:line="380" w:lineRule="exact"/>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8"/>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（二）合同公告及备案</w:t>
      </w:r>
    </w:p>
    <w:p>
      <w:pPr>
        <w:pStyle w:val="17"/>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pPr>
        <w:pStyle w:val="17"/>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7"/>
        <w:spacing w:before="0" w:after="0"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六、采购代理费</w:t>
      </w:r>
    </w:p>
    <w:p>
      <w:pPr>
        <w:pStyle w:val="17"/>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中标（</w:t>
      </w:r>
      <w:r>
        <w:rPr>
          <w:rFonts w:hint="eastAsia" w:ascii="宋体" w:hAnsi="宋体" w:eastAsia="宋体" w:cs="宋体"/>
          <w:color w:val="000000" w:themeColor="text1"/>
          <w:highlight w:val="none"/>
          <w14:textFill>
            <w14:solidFill>
              <w14:schemeClr w14:val="tx1"/>
            </w14:solidFill>
          </w14:textFill>
        </w:rPr>
        <w:t>成交</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供应商在领取</w:t>
      </w:r>
      <w:r>
        <w:rPr>
          <w:rFonts w:hint="eastAsia" w:ascii="宋体" w:hAnsi="宋体" w:eastAsia="宋体" w:cs="宋体"/>
          <w:color w:val="000000" w:themeColor="text1"/>
          <w:highlight w:val="none"/>
          <w:lang w:val="en-US" w:eastAsia="zh-CN"/>
          <w14:textFill>
            <w14:solidFill>
              <w14:schemeClr w14:val="tx1"/>
            </w14:solidFill>
          </w14:textFill>
        </w:rPr>
        <w:t>中标（</w:t>
      </w:r>
      <w:r>
        <w:rPr>
          <w:rFonts w:hint="eastAsia" w:ascii="宋体" w:hAnsi="宋体" w:eastAsia="宋体" w:cs="宋体"/>
          <w:color w:val="000000" w:themeColor="text1"/>
          <w:highlight w:val="none"/>
          <w14:textFill>
            <w14:solidFill>
              <w14:schemeClr w14:val="tx1"/>
            </w14:solidFill>
          </w14:textFill>
        </w:rPr>
        <w:t>成交</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通知书同时向招标代理机构支付招标代理服务费</w:t>
      </w:r>
      <w:r>
        <w:rPr>
          <w:rFonts w:hint="eastAsia" w:ascii="宋体" w:hAnsi="宋体" w:eastAsia="宋体" w:cs="宋体"/>
          <w:color w:val="000000" w:themeColor="text1"/>
          <w:highlight w:val="none"/>
          <w:lang w:val="en-US" w:eastAsia="zh-CN"/>
          <w14:textFill>
            <w14:solidFill>
              <w14:schemeClr w14:val="tx1"/>
            </w14:solidFill>
          </w14:textFill>
        </w:rPr>
        <w:t>贰万叁仟元</w:t>
      </w:r>
      <w:r>
        <w:rPr>
          <w:rFonts w:hint="eastAsia" w:ascii="宋体" w:hAnsi="宋体" w:eastAsia="宋体" w:cs="宋体"/>
          <w:color w:val="000000" w:themeColor="text1"/>
          <w:highlight w:val="none"/>
          <w14:textFill>
            <w14:solidFill>
              <w14:schemeClr w14:val="tx1"/>
            </w14:solidFill>
          </w14:textFill>
        </w:rPr>
        <w:t>，费用包含在投标总价中。招标代理服务费汇入以下帐号：</w:t>
      </w:r>
    </w:p>
    <w:p>
      <w:pPr>
        <w:pStyle w:val="17"/>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开户名称：杭州华旗招标代理有限公司玉环分公司</w:t>
      </w:r>
    </w:p>
    <w:p>
      <w:pPr>
        <w:pStyle w:val="17"/>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开户银行：浙江玉环农村商业银行股份有限公司营业部</w:t>
      </w:r>
    </w:p>
    <w:p>
      <w:pPr>
        <w:pStyle w:val="17"/>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开户账号：201000355923625</w:t>
      </w:r>
    </w:p>
    <w:p>
      <w:pPr>
        <w:pStyle w:val="17"/>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p>
    <w:p>
      <w:pPr>
        <w:pStyle w:val="17"/>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p>
    <w:p>
      <w:pPr>
        <w:pStyle w:val="33"/>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6"/>
        <w:spacing w:before="0" w:after="0"/>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第三章　评审办法及评审标准</w:t>
      </w:r>
    </w:p>
    <w:p>
      <w:pPr>
        <w:autoSpaceDE w:val="0"/>
        <w:autoSpaceDN w:val="0"/>
        <w:spacing w:line="360" w:lineRule="auto"/>
        <w:ind w:left="-336" w:leftChars="-160" w:right="-353" w:rightChars="-168" w:firstLine="496" w:firstLineChars="207"/>
        <w:rPr>
          <w:rFonts w:hint="eastAsia"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kern w:val="0"/>
          <w:sz w:val="24"/>
          <w:highlight w:val="none"/>
          <w14:textFill>
            <w14:solidFill>
              <w14:schemeClr w14:val="tx1"/>
            </w14:solidFill>
          </w14:textFill>
        </w:rPr>
        <w:t>，对</w:t>
      </w: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提供的</w:t>
      </w:r>
      <w:r>
        <w:rPr>
          <w:rFonts w:hint="eastAsia" w:ascii="宋体" w:hAnsi="宋体" w:cs="宋体"/>
          <w:color w:val="000000" w:themeColor="text1"/>
          <w:sz w:val="24"/>
          <w:highlight w:val="none"/>
          <w14:textFill>
            <w14:solidFill>
              <w14:schemeClr w14:val="tx1"/>
            </w14:solidFill>
          </w14:textFill>
        </w:rPr>
        <w:t>磋商响应文件</w:t>
      </w:r>
      <w:r>
        <w:rPr>
          <w:rFonts w:hint="eastAsia" w:ascii="宋体" w:hAnsi="宋体" w:cs="宋体"/>
          <w:color w:val="000000" w:themeColor="text1"/>
          <w:kern w:val="0"/>
          <w:sz w:val="24"/>
          <w:highlight w:val="none"/>
          <w14:textFill>
            <w14:solidFill>
              <w14:schemeClr w14:val="tx1"/>
            </w14:solidFill>
          </w14:textFill>
        </w:rPr>
        <w:t xml:space="preserve">进行综合评审。 </w:t>
      </w:r>
    </w:p>
    <w:p>
      <w:pPr>
        <w:autoSpaceDE w:val="0"/>
        <w:autoSpaceDN w:val="0"/>
        <w:adjustRightInd w:val="0"/>
        <w:spacing w:line="360" w:lineRule="auto"/>
        <w:ind w:left="-336" w:leftChars="-160" w:right="-353" w:rightChars="-168" w:firstLine="499" w:firstLineChars="207"/>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二、本次磋商项目的评审方法为综合评分法，总计100</w:t>
      </w:r>
      <w:r>
        <w:rPr>
          <w:rFonts w:hint="eastAsia" w:ascii="宋体" w:hAnsi="宋体" w:eastAsia="宋体" w:cs="宋体"/>
          <w:b/>
          <w:bCs/>
          <w:color w:val="000000" w:themeColor="text1"/>
          <w:kern w:val="0"/>
          <w:sz w:val="24"/>
          <w:highlight w:val="none"/>
          <w14:textFill>
            <w14:solidFill>
              <w14:schemeClr w14:val="tx1"/>
            </w14:solidFill>
          </w14:textFill>
        </w:rPr>
        <w:t>分</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商务与技术</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评分</w:t>
      </w:r>
      <w:r>
        <w:rPr>
          <w:rFonts w:hint="eastAsia" w:ascii="宋体" w:hAnsi="宋体" w:eastAsia="宋体" w:cs="宋体"/>
          <w:b/>
          <w:bCs/>
          <w:color w:val="000000" w:themeColor="text1"/>
          <w:kern w:val="0"/>
          <w:sz w:val="24"/>
          <w:highlight w:val="none"/>
          <w14:textFill>
            <w14:solidFill>
              <w14:schemeClr w14:val="tx1"/>
            </w14:solidFill>
          </w14:textFill>
        </w:rPr>
        <w:t>100分</w:t>
      </w:r>
      <w:r>
        <w:rPr>
          <w:rFonts w:hint="eastAsia" w:ascii="宋体" w:hAnsi="宋体" w:eastAsia="宋体" w:cs="宋体"/>
          <w:b/>
          <w:bCs/>
          <w:color w:val="000000" w:themeColor="text1"/>
          <w:kern w:val="0"/>
          <w:sz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highlight w:val="none"/>
          <w14:textFill>
            <w14:solidFill>
              <w14:schemeClr w14:val="tx1"/>
            </w14:solidFill>
          </w14:textFill>
        </w:rPr>
        <w:t>。</w:t>
      </w:r>
    </w:p>
    <w:p>
      <w:pPr>
        <w:autoSpaceDE w:val="0"/>
        <w:autoSpaceDN w:val="0"/>
        <w:adjustRightInd w:val="0"/>
        <w:spacing w:line="360" w:lineRule="auto"/>
        <w:ind w:left="-336" w:leftChars="-160" w:right="-353" w:rightChars="-168" w:firstLine="496" w:firstLineChars="207"/>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本项目执行统一价格标准，其价格不列为评分因素，即报价统一为人民币贰佰万元（￥2000000元）。</w:t>
      </w:r>
    </w:p>
    <w:p>
      <w:pPr>
        <w:autoSpaceDE w:val="0"/>
        <w:autoSpaceDN w:val="0"/>
        <w:adjustRightInd w:val="0"/>
        <w:spacing w:line="360" w:lineRule="auto"/>
        <w:ind w:left="-336" w:leftChars="-160" w:right="-353" w:rightChars="-168" w:firstLine="496" w:firstLineChars="207"/>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（一）商务与技术文件中的客观分由</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讨论后统一打分；其余在规定的分值内单独评定打分。</w:t>
      </w:r>
    </w:p>
    <w:p>
      <w:pPr>
        <w:autoSpaceDE w:val="0"/>
        <w:autoSpaceDN w:val="0"/>
        <w:adjustRightInd w:val="0"/>
        <w:spacing w:line="360" w:lineRule="auto"/>
        <w:ind w:left="-336" w:leftChars="-160" w:right="-353" w:rightChars="-168" w:firstLine="496" w:firstLineChars="207"/>
        <w:rPr>
          <w:rFonts w:hint="eastAsia" w:ascii="宋体" w:hAnsi="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（二）各磋商供应商商务与技术文件</w:t>
      </w:r>
      <w:r>
        <w:rPr>
          <w:rFonts w:hint="eastAsia" w:ascii="宋体" w:hAnsi="宋体" w:cs="宋体"/>
          <w:color w:val="000000" w:themeColor="text1"/>
          <w:kern w:val="0"/>
          <w:sz w:val="24"/>
          <w:highlight w:val="none"/>
          <w:lang w:val="zh-CN"/>
          <w14:textFill>
            <w14:solidFill>
              <w14:schemeClr w14:val="tx1"/>
            </w14:solidFill>
          </w14:textFill>
        </w:rPr>
        <w:t>得分按照</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kern w:val="0"/>
          <w:sz w:val="24"/>
          <w:highlight w:val="none"/>
          <w:lang w:val="zh-CN"/>
          <w14:textFill>
            <w14:solidFill>
              <w14:schemeClr w14:val="tx1"/>
            </w14:solidFill>
          </w14:textFill>
        </w:rPr>
        <w:t>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left="-336" w:leftChars="-160" w:right="-353" w:rightChars="-168" w:firstLine="496" w:firstLineChars="207"/>
        <w:rPr>
          <w:rFonts w:hint="eastAsia" w:ascii="宋体" w:hAns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商务与技术文件得分</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所有成员评分合计数/</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bCs/>
          <w:color w:val="000000" w:themeColor="text1"/>
          <w:sz w:val="24"/>
          <w:highlight w:val="none"/>
          <w:lang w:val="zh-CN"/>
          <w14:textFill>
            <w14:solidFill>
              <w14:schemeClr w14:val="tx1"/>
            </w14:solidFill>
          </w14:textFill>
        </w:rPr>
        <w:t>组成人员数。</w:t>
      </w:r>
    </w:p>
    <w:p>
      <w:pPr>
        <w:pStyle w:val="2"/>
        <w:ind w:firstLine="240" w:firstLineChars="100"/>
        <w:rPr>
          <w:rFonts w:hint="eastAsia"/>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所有分值计算保留小数点后二位，小数点后三位四舍五入。</w:t>
      </w:r>
    </w:p>
    <w:p>
      <w:pPr>
        <w:autoSpaceDE w:val="0"/>
        <w:autoSpaceDN w:val="0"/>
        <w:adjustRightInd w:val="0"/>
        <w:spacing w:line="360" w:lineRule="auto"/>
        <w:ind w:left="-336" w:leftChars="-160" w:right="-353" w:rightChars="-168" w:firstLine="496" w:firstLineChars="207"/>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三、在最大限度地满足磋商文件实质性要求前提下，</w:t>
      </w:r>
      <w:r>
        <w:rPr>
          <w:rFonts w:hint="eastAsia" w:ascii="宋体" w:hAnsi="宋体" w:cs="宋体"/>
          <w:color w:val="000000" w:themeColor="text1"/>
          <w:sz w:val="24"/>
          <w:highlight w:val="none"/>
          <w14:textFill>
            <w14:solidFill>
              <w14:schemeClr w14:val="tx1"/>
            </w14:solidFill>
          </w14:textFill>
        </w:rPr>
        <w:t>磋商小组</w:t>
      </w:r>
      <w:r>
        <w:rPr>
          <w:rFonts w:hint="eastAsia" w:ascii="宋体" w:hAnsi="宋体" w:cs="宋体"/>
          <w:color w:val="000000" w:themeColor="text1"/>
          <w:sz w:val="24"/>
          <w:highlight w:val="none"/>
          <w:lang w:val="zh-CN"/>
          <w14:textFill>
            <w14:solidFill>
              <w14:schemeClr w14:val="tx1"/>
            </w14:solidFill>
          </w14:textFill>
        </w:rPr>
        <w:t>按照磋商文件中规定的各项因素进行综合评审后，以评审总得分最高的供应商为成交候选供应商。</w:t>
      </w:r>
    </w:p>
    <w:p>
      <w:pPr>
        <w:autoSpaceDE w:val="0"/>
        <w:autoSpaceDN w:val="0"/>
        <w:adjustRightInd w:val="0"/>
        <w:spacing w:line="360" w:lineRule="auto"/>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四、如商务与技术得分相同，</w:t>
      </w:r>
      <w:r>
        <w:rPr>
          <w:rFonts w:hint="eastAsia" w:ascii="宋体" w:hAnsi="宋体" w:eastAsia="宋体" w:cs="宋体"/>
          <w:color w:val="000000" w:themeColor="text1"/>
          <w:sz w:val="24"/>
          <w:highlight w:val="none"/>
          <w:lang w:val="en-US" w:eastAsia="zh-CN"/>
          <w14:textFill>
            <w14:solidFill>
              <w14:schemeClr w14:val="tx1"/>
            </w14:solidFill>
          </w14:textFill>
        </w:rPr>
        <w:t>则以采购人现场抽签决定</w:t>
      </w:r>
      <w:r>
        <w:rPr>
          <w:rFonts w:hint="eastAsia" w:ascii="宋体" w:hAnsi="宋体" w:eastAsia="宋体" w:cs="宋体"/>
          <w:color w:val="000000" w:themeColor="text1"/>
          <w:sz w:val="24"/>
          <w:highlight w:val="none"/>
          <w:lang w:val="zh-CN"/>
          <w14:textFill>
            <w14:solidFill>
              <w14:schemeClr w14:val="tx1"/>
            </w14:solidFill>
          </w14:textFill>
        </w:rPr>
        <w:t>。</w:t>
      </w:r>
    </w:p>
    <w:p>
      <w:pPr>
        <w:autoSpaceDE w:val="0"/>
        <w:autoSpaceDN w:val="0"/>
        <w:adjustRightInd w:val="0"/>
        <w:spacing w:line="360" w:lineRule="auto"/>
        <w:ind w:left="-336" w:leftChars="-160" w:right="-353" w:rightChars="-168" w:firstLine="496" w:firstLineChars="207"/>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五、</w:t>
      </w:r>
      <w:r>
        <w:rPr>
          <w:rFonts w:hint="eastAsia" w:ascii="宋体" w:hAnsi="宋体" w:cs="宋体"/>
          <w:color w:val="000000" w:themeColor="text1"/>
          <w:kern w:val="0"/>
          <w:sz w:val="24"/>
          <w:highlight w:val="none"/>
          <w14:textFill>
            <w14:solidFill>
              <w14:schemeClr w14:val="tx1"/>
            </w14:solidFill>
          </w14:textFill>
        </w:rPr>
        <w:t>本次评分具体分值细化条款如下表：</w:t>
      </w:r>
    </w:p>
    <w:tbl>
      <w:tblPr>
        <w:tblStyle w:val="36"/>
        <w:tblW w:w="9147" w:type="dxa"/>
        <w:tblInd w:w="-277" w:type="dxa"/>
        <w:tblLayout w:type="fixed"/>
        <w:tblCellMar>
          <w:top w:w="0" w:type="dxa"/>
          <w:left w:w="108" w:type="dxa"/>
          <w:bottom w:w="0" w:type="dxa"/>
          <w:right w:w="108" w:type="dxa"/>
        </w:tblCellMar>
      </w:tblPr>
      <w:tblGrid>
        <w:gridCol w:w="810"/>
        <w:gridCol w:w="1390"/>
        <w:gridCol w:w="6047"/>
        <w:gridCol w:w="900"/>
      </w:tblGrid>
      <w:tr>
        <w:tblPrEx>
          <w:tblCellMar>
            <w:top w:w="0" w:type="dxa"/>
            <w:left w:w="108" w:type="dxa"/>
            <w:bottom w:w="0" w:type="dxa"/>
            <w:right w:w="108" w:type="dxa"/>
          </w:tblCellMar>
        </w:tblPrEx>
        <w:trPr>
          <w:trHeight w:val="3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序号</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评审因素</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评审标准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分值</w:t>
            </w:r>
          </w:p>
        </w:tc>
      </w:tr>
      <w:tr>
        <w:tblPrEx>
          <w:tblCellMar>
            <w:top w:w="0" w:type="dxa"/>
            <w:left w:w="108" w:type="dxa"/>
            <w:bottom w:w="0" w:type="dxa"/>
            <w:right w:w="108" w:type="dxa"/>
          </w:tblCellMar>
        </w:tblPrEx>
        <w:trPr>
          <w:trHeight w:val="9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c>
          <w:tcPr>
            <w:tcW w:w="1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资信及履约能力</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投标人具有有效的质量管理体系认证、信息安全管理体系认证每有一项的得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注：需提供有效证书原件的扫描件。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通过软件CMMI3级及以上</w:t>
            </w:r>
            <w:r>
              <w:rPr>
                <w:rFonts w:hint="eastAsia" w:ascii="宋体" w:hAnsi="宋体" w:eastAsia="宋体" w:cs="宋体"/>
                <w:color w:val="000000" w:themeColor="text1"/>
                <w:sz w:val="24"/>
                <w:szCs w:val="24"/>
                <w:highlight w:val="none"/>
                <w14:textFill>
                  <w14:solidFill>
                    <w14:schemeClr w14:val="tx1"/>
                  </w14:solidFill>
                </w14:textFill>
              </w:rPr>
              <w:t>认证的得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注：需提供有效证书（或通知文件）扫描件。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872"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所提供</w:t>
            </w:r>
            <w:r>
              <w:rPr>
                <w:rFonts w:hint="eastAsia" w:ascii="宋体" w:hAnsi="宋体" w:eastAsia="宋体" w:cs="宋体"/>
                <w:color w:val="000000" w:themeColor="text1"/>
                <w:sz w:val="24"/>
                <w:szCs w:val="24"/>
                <w:highlight w:val="none"/>
                <w14:textFill>
                  <w14:solidFill>
                    <w14:schemeClr w14:val="tx1"/>
                  </w14:solidFill>
                </w14:textFill>
              </w:rPr>
              <w:t>的软件通过软件产品认证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的每个产品</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snapToGrid/>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注：需提供有效证书原件的扫描件。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1142"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投标人所实施的软件通过信息系统安全等级保护</w:t>
            </w:r>
            <w:r>
              <w:rPr>
                <w:rFonts w:hint="eastAsia" w:ascii="宋体" w:hAnsi="宋体" w:eastAsia="宋体" w:cs="宋体"/>
                <w:color w:val="000000" w:themeColor="text1"/>
                <w:sz w:val="24"/>
                <w:szCs w:val="24"/>
                <w:highlight w:val="none"/>
                <w:lang w:val="en-US" w:eastAsia="zh-CN"/>
                <w14:textFill>
                  <w14:solidFill>
                    <w14:schemeClr w14:val="tx1"/>
                  </w14:solidFill>
                </w14:textFill>
              </w:rPr>
              <w:t>二级及以上</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备案证明</w:t>
            </w:r>
            <w:r>
              <w:rPr>
                <w:rFonts w:hint="eastAsia" w:ascii="宋体" w:hAnsi="宋体" w:eastAsia="宋体" w:cs="宋体"/>
                <w:color w:val="000000" w:themeColor="text1"/>
                <w:sz w:val="24"/>
                <w:szCs w:val="24"/>
                <w:highlight w:val="none"/>
                <w14:textFill>
                  <w14:solidFill>
                    <w14:schemeClr w14:val="tx1"/>
                  </w14:solidFill>
                </w14:textFill>
              </w:rPr>
              <w:t>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0-3</w:t>
            </w:r>
          </w:p>
        </w:tc>
      </w:tr>
      <w:tr>
        <w:tblPrEx>
          <w:tblCellMar>
            <w:top w:w="0" w:type="dxa"/>
            <w:left w:w="108" w:type="dxa"/>
            <w:bottom w:w="0" w:type="dxa"/>
            <w:right w:w="108" w:type="dxa"/>
          </w:tblCellMar>
        </w:tblPrEx>
        <w:trPr>
          <w:trHeight w:val="845"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获得</w:t>
            </w:r>
            <w:r>
              <w:rPr>
                <w:rFonts w:hint="eastAsia" w:ascii="宋体" w:hAnsi="宋体" w:eastAsia="宋体" w:cs="宋体"/>
                <w:color w:val="000000" w:themeColor="text1"/>
                <w:sz w:val="24"/>
                <w:szCs w:val="24"/>
                <w:highlight w:val="none"/>
                <w14:textFill>
                  <w14:solidFill>
                    <w14:schemeClr w14:val="tx1"/>
                  </w14:solidFill>
                </w14:textFill>
              </w:rPr>
              <w:t>省级</w:t>
            </w:r>
            <w:r>
              <w:rPr>
                <w:rFonts w:hint="eastAsia" w:ascii="宋体" w:hAnsi="宋体" w:eastAsia="宋体" w:cs="宋体"/>
                <w:color w:val="000000" w:themeColor="text1"/>
                <w:sz w:val="24"/>
                <w:szCs w:val="24"/>
                <w:highlight w:val="none"/>
                <w:lang w:val="en-US" w:eastAsia="zh-CN"/>
                <w14:textFill>
                  <w14:solidFill>
                    <w14:schemeClr w14:val="tx1"/>
                  </w14:solidFill>
                </w14:textFill>
              </w:rPr>
              <w:t>及以上“专精特新”中小企业</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注：需提供有效证书原件（或通知文件）的扫描件。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1105"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投标人获得省级</w:t>
            </w:r>
            <w:r>
              <w:rPr>
                <w:rFonts w:hint="eastAsia" w:ascii="宋体" w:hAnsi="宋体" w:eastAsia="宋体" w:cs="宋体"/>
                <w:color w:val="000000" w:themeColor="text1"/>
                <w:sz w:val="24"/>
                <w:szCs w:val="24"/>
                <w:highlight w:val="none"/>
                <w:lang w:val="en-US" w:eastAsia="zh-CN"/>
                <w14:textFill>
                  <w14:solidFill>
                    <w14:schemeClr w14:val="tx1"/>
                  </w14:solidFill>
                </w14:textFill>
              </w:rPr>
              <w:t>及以上</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首台套</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首版次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认定的每个产品得3分，最多得6分。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注：需提供有效证书原件（或通知文件）的扫描件。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558" w:hRule="atLeast"/>
        </w:trPr>
        <w:tc>
          <w:tcPr>
            <w:tcW w:w="8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c>
          <w:tcPr>
            <w:tcW w:w="13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知识产权</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投标人具有国家知识产权局或国家版权局颁发的专利证书和计算机软件著作权登记证书30项（含）以上的得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0项以下</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得1分；没有则不得分；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558" w:hRule="atLeast"/>
        </w:trPr>
        <w:tc>
          <w:tcPr>
            <w:tcW w:w="8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3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投标人有可扩展的“产品生命周期管理(PLM)”、“制造执行系统(MES)”、“仓储管理系统(WMS)”、“供应链管理系统(SCM)”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自动排产系统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APS</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、“数据中心管理软件”</w:t>
            </w:r>
            <w:r>
              <w:rPr>
                <w:rFonts w:hint="eastAsia" w:ascii="宋体" w:hAnsi="宋体" w:eastAsia="宋体" w:cs="宋体"/>
                <w:color w:val="000000" w:themeColor="text1"/>
                <w:sz w:val="24"/>
                <w:szCs w:val="24"/>
                <w:highlight w:val="none"/>
                <w14:textFill>
                  <w14:solidFill>
                    <w14:schemeClr w14:val="tx1"/>
                  </w14:solidFill>
                </w14:textFill>
              </w:rPr>
              <w:t>软件产品著作权登记证书，每项得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5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3</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团队人员情况</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根据投标人拟派项目团队的人员情况（如人数、职称等）进行综合评分。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项目人员配备齐全、分工明确，贴合项目采购要求的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项目人员配备基本齐全、分工基本明确，基本贴合项目采购要求的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项目人员配备不够齐全、分工不够明确，不够贴合项目采购要求的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不满足</w:t>
            </w:r>
            <w:r>
              <w:rPr>
                <w:rFonts w:hint="eastAsia" w:ascii="宋体" w:hAnsi="宋体" w:eastAsia="宋体" w:cs="宋体"/>
                <w:color w:val="000000" w:themeColor="text1"/>
                <w:sz w:val="24"/>
                <w:szCs w:val="24"/>
                <w:highlight w:val="none"/>
                <w14:textFill>
                  <w14:solidFill>
                    <w14:schemeClr w14:val="tx1"/>
                  </w14:solidFill>
                </w14:textFill>
              </w:rPr>
              <w:t>的不得分。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出具项目团队</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color w:val="000000" w:themeColor="text1"/>
                <w:sz w:val="24"/>
                <w:szCs w:val="24"/>
                <w:highlight w:val="none"/>
                <w14:textFill>
                  <w14:solidFill>
                    <w14:schemeClr w14:val="tx1"/>
                  </w14:solidFill>
                </w14:textFill>
              </w:rPr>
              <w:t>的单位社保</w:t>
            </w:r>
            <w:r>
              <w:rPr>
                <w:rFonts w:hint="eastAsia" w:ascii="宋体" w:hAnsi="宋体" w:eastAsia="宋体" w:cs="宋体"/>
                <w:color w:val="000000" w:themeColor="text1"/>
                <w:sz w:val="24"/>
                <w:szCs w:val="24"/>
                <w:highlight w:val="none"/>
                <w:lang w:val="en-US" w:eastAsia="zh-CN"/>
                <w14:textFill>
                  <w14:solidFill>
                    <w14:schemeClr w14:val="tx1"/>
                  </w14:solidFill>
                </w14:textFill>
              </w:rPr>
              <w:t>缴纳</w:t>
            </w:r>
            <w:r>
              <w:rPr>
                <w:rFonts w:hint="eastAsia" w:ascii="宋体" w:hAnsi="宋体" w:eastAsia="宋体" w:cs="宋体"/>
                <w:color w:val="000000" w:themeColor="text1"/>
                <w:sz w:val="24"/>
                <w:szCs w:val="24"/>
                <w:highlight w:val="none"/>
                <w14:textFill>
                  <w14:solidFill>
                    <w14:schemeClr w14:val="tx1"/>
                  </w14:solidFill>
                </w14:textFill>
              </w:rPr>
              <w:t>明细清单。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r>
      <w:tr>
        <w:tblPrEx>
          <w:tblCellMar>
            <w:top w:w="0" w:type="dxa"/>
            <w:left w:w="108" w:type="dxa"/>
            <w:bottom w:w="0" w:type="dxa"/>
            <w:right w:w="108" w:type="dxa"/>
          </w:tblCellMar>
        </w:tblPrEx>
        <w:trPr>
          <w:trHeight w:val="6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项目需求理解</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根据投标人对本项目需求理解的深度进行综合评分。</w:t>
            </w:r>
          </w:p>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全面掌握、理解深刻、工作任务明确的得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基本掌握、理解基本准确、工作任务部分明确的得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掌握不全、理解程度简单、工作任务片面的得</w:t>
            </w:r>
            <w:r>
              <w:rPr>
                <w:rFonts w:hint="eastAsia" w:ascii="宋体" w:hAnsi="宋体" w:cs="宋体"/>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9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应用场景</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根据投标人针对采购执行管理的应用场景功能是否契合、合理、可行进行综合评分。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408"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销售</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应用场景</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根据投标人针对销售执行管理的应用场景功能是否契合、合理、可行进行综合评分。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9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仓库</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应用场景</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根据投标人对仓库执行管理的应用场景功能是否契合、合理、可行进行的综合评分。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9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8</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生产</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应用场景</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根据投标人对生产执行管理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应用场景功能是否契合、合理、可行进行综合评分。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9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9</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管理应用场景</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根据投标人对质量执行管理的应用场景功能是否契合、合理、可行进行综合评分。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终端刷卡报工应用场景</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根据投标人对终端刷卡报工应用场景功能是否契合、合理、可行进行综合评分。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项目技术方案</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投标人根据本项目的技术要求提供软件技术方案，系统的应用服务保持单一职责、逻辑清晰，系统具备灵活性、可弹性扩容，完整测试，系统满足海量数据的安全存储等进行综合评分。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方案措施完整详细，具有科学性、可操作，符合项目需求的，得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方案有提及保证措施，但阐述不够详尽的，得2-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方案不明确，具体措施有不足的，得0-2分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5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项目实施方案</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根据投标人对项目整体落地推进的方案是否合理、可行、完整性等方面进行综合打分。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方案措施完整详细，具有科学性、可操作，符合项目需求的，得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方案有提及保证措施，但阐述不够详尽的，得2-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方案不明确，具体措施有不足的，得0-2分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r>
        <w:tblPrEx>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13</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项目运维方案</w:t>
            </w:r>
          </w:p>
        </w:tc>
        <w:tc>
          <w:tcPr>
            <w:tcW w:w="6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根据投标人对整体运维方案是否合理、可行、完整性等方面进行综合评分。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方案措施完整详细，具有科学性、可操作，符合项目需求的，得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方案有提及保证措施，但阐述不够详尽的，得2-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方案不明确，具体措施有不足的，得0-2分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r>
    </w:tbl>
    <w:p>
      <w:pPr>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p>
    <w:p>
      <w:pPr>
        <w:pStyle w:val="9"/>
        <w:rPr>
          <w:rFonts w:hint="eastAsia" w:ascii="宋体" w:hAnsi="宋体" w:cs="宋体"/>
          <w:color w:val="000000" w:themeColor="text1"/>
          <w:highlight w:val="none"/>
          <w14:textFill>
            <w14:solidFill>
              <w14:schemeClr w14:val="tx1"/>
            </w14:solidFill>
          </w14:textFill>
        </w:rPr>
      </w:pPr>
    </w:p>
    <w:p>
      <w:pPr>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98"/>
        <w:rPr>
          <w:rFonts w:hint="eastAsia" w:ascii="宋体" w:hAnsi="宋体" w:cs="宋体"/>
          <w:color w:val="000000" w:themeColor="text1"/>
          <w:highlight w:val="none"/>
          <w14:textFill>
            <w14:solidFill>
              <w14:schemeClr w14:val="tx1"/>
            </w14:solidFill>
          </w14:textFill>
        </w:rPr>
      </w:pPr>
    </w:p>
    <w:p>
      <w:pPr>
        <w:pStyle w:val="6"/>
        <w:spacing w:before="0" w:after="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第四章 项目需求</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一、项目基本情况</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新能源汽车橡胶零件行业中小企业轻量级数字化改造项目</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w:t>
      </w:r>
      <w:r>
        <w:rPr>
          <w:rFonts w:hint="eastAsia" w:ascii="宋体" w:hAnsi="宋体" w:eastAsia="宋体" w:cs="宋体"/>
          <w:color w:val="000000" w:themeColor="text1"/>
          <w:sz w:val="24"/>
          <w:szCs w:val="24"/>
          <w:highlight w:val="none"/>
          <w:lang w:eastAsia="zh-CN"/>
          <w14:textFill>
            <w14:solidFill>
              <w14:schemeClr w14:val="tx1"/>
            </w14:solidFill>
          </w14:textFill>
        </w:rPr>
        <w:t>2000000</w:t>
      </w:r>
      <w:r>
        <w:rPr>
          <w:rFonts w:hint="eastAsia" w:ascii="宋体" w:hAnsi="宋体" w:eastAsia="宋体" w:cs="宋体"/>
          <w:color w:val="000000" w:themeColor="text1"/>
          <w:sz w:val="24"/>
          <w:szCs w:val="24"/>
          <w:highlight w:val="none"/>
          <w14:textFill>
            <w14:solidFill>
              <w14:schemeClr w14:val="tx1"/>
            </w14:solidFill>
          </w14:textFill>
        </w:rPr>
        <w:t>元；</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r>
        <w:rPr>
          <w:rFonts w:hint="eastAsia" w:ascii="宋体" w:hAnsi="宋体" w:eastAsia="宋体" w:cs="宋体"/>
          <w:color w:val="000000" w:themeColor="text1"/>
          <w:sz w:val="24"/>
          <w:szCs w:val="24"/>
          <w:highlight w:val="none"/>
          <w:lang w:eastAsia="zh-CN"/>
          <w14:textFill>
            <w14:solidFill>
              <w14:schemeClr w14:val="tx1"/>
            </w14:solidFill>
          </w14:textFill>
        </w:rPr>
        <w:t>2000000</w:t>
      </w:r>
      <w:r>
        <w:rPr>
          <w:rFonts w:hint="eastAsia" w:ascii="宋体" w:hAnsi="宋体" w:eastAsia="宋体" w:cs="宋体"/>
          <w:color w:val="000000" w:themeColor="text1"/>
          <w:sz w:val="24"/>
          <w:szCs w:val="24"/>
          <w:highlight w:val="none"/>
          <w14:textFill>
            <w14:solidFill>
              <w14:schemeClr w14:val="tx1"/>
            </w14:solidFill>
          </w14:textFill>
        </w:rPr>
        <w:t>元；</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采购需求：</w:t>
      </w:r>
    </w:p>
    <w:tbl>
      <w:tblPr>
        <w:tblStyle w:val="36"/>
        <w:tblW w:w="8643" w:type="dxa"/>
        <w:jc w:val="center"/>
        <w:tblLayout w:type="fixed"/>
        <w:tblCellMar>
          <w:top w:w="0" w:type="dxa"/>
          <w:left w:w="108" w:type="dxa"/>
          <w:bottom w:w="0" w:type="dxa"/>
          <w:right w:w="108" w:type="dxa"/>
        </w:tblCellMar>
      </w:tblPr>
      <w:tblGrid>
        <w:gridCol w:w="969"/>
        <w:gridCol w:w="3126"/>
        <w:gridCol w:w="1480"/>
        <w:gridCol w:w="1621"/>
        <w:gridCol w:w="1447"/>
      </w:tblGrid>
      <w:tr>
        <w:tblPrEx>
          <w:tblCellMar>
            <w:top w:w="0" w:type="dxa"/>
            <w:left w:w="108" w:type="dxa"/>
            <w:bottom w:w="0" w:type="dxa"/>
            <w:right w:w="108" w:type="dxa"/>
          </w:tblCellMar>
        </w:tblPrEx>
        <w:trPr>
          <w:trHeight w:val="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标项</w:t>
            </w:r>
          </w:p>
        </w:tc>
        <w:tc>
          <w:tcPr>
            <w:tcW w:w="3126"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企业数量</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服务期限</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CellMar>
            <w:top w:w="0" w:type="dxa"/>
            <w:left w:w="108" w:type="dxa"/>
            <w:bottom w:w="0" w:type="dxa"/>
            <w:right w:w="108" w:type="dxa"/>
          </w:tblCellMar>
        </w:tblPrEx>
        <w:trPr>
          <w:trHeight w:val="90"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126"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新能源汽车橡胶零件行行业中小企业轻量级数字化改造项目</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20家</w:t>
            </w:r>
          </w:p>
        </w:tc>
        <w:tc>
          <w:tcPr>
            <w:tcW w:w="1621"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自合同签订之日起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1年</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0" w:leftChars="0" w:right="0" w:rightChars="0"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具体服务数量以实际验收为准</w:t>
            </w:r>
          </w:p>
        </w:tc>
      </w:tr>
    </w:tbl>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二、项目背景</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加快</w:t>
      </w:r>
      <w:r>
        <w:rPr>
          <w:rFonts w:hint="eastAsia" w:ascii="宋体" w:hAnsi="宋体" w:eastAsia="宋体" w:cs="宋体"/>
          <w:color w:val="000000" w:themeColor="text1"/>
          <w:sz w:val="24"/>
          <w:szCs w:val="24"/>
          <w:highlight w:val="none"/>
          <w:lang w:eastAsia="zh-CN"/>
          <w14:textFill>
            <w14:solidFill>
              <w14:schemeClr w14:val="tx1"/>
            </w14:solidFill>
          </w14:textFill>
        </w:rPr>
        <w:t>新能源汽车橡胶零件行业中小企业轻量级</w:t>
      </w:r>
      <w:r>
        <w:rPr>
          <w:rFonts w:hint="eastAsia" w:ascii="宋体" w:hAnsi="宋体" w:eastAsia="宋体" w:cs="宋体"/>
          <w:color w:val="000000" w:themeColor="text1"/>
          <w:sz w:val="24"/>
          <w:szCs w:val="24"/>
          <w:highlight w:val="none"/>
          <w14:textFill>
            <w14:solidFill>
              <w14:schemeClr w14:val="tx1"/>
            </w14:solidFill>
          </w14:textFill>
        </w:rPr>
        <w:t>数字化改造是贯彻省委省政府数字经济创新提质“一号发展工程”有关精神的重要行动，是落实《推进细分行业中小企业数字化改造行动方案》（浙政办发〔2022〕45号）等决策部署的有效举措。按照“找准切口、试点验证、复制推广”的总体思路，</w:t>
      </w:r>
      <w:r>
        <w:rPr>
          <w:rFonts w:hint="eastAsia" w:ascii="宋体" w:hAnsi="宋体" w:cs="宋体"/>
          <w:color w:val="000000" w:themeColor="text1"/>
          <w:sz w:val="24"/>
          <w:szCs w:val="24"/>
          <w:highlight w:val="none"/>
          <w:lang w:val="en-US" w:eastAsia="zh-CN"/>
          <w14:textFill>
            <w14:solidFill>
              <w14:schemeClr w14:val="tx1"/>
            </w14:solidFill>
          </w14:textFill>
        </w:rPr>
        <w:t>对</w:t>
      </w:r>
      <w:r>
        <w:rPr>
          <w:rFonts w:hint="eastAsia" w:ascii="宋体" w:hAnsi="宋体" w:eastAsia="宋体" w:cs="宋体"/>
          <w:color w:val="000000" w:themeColor="text1"/>
          <w:sz w:val="24"/>
          <w:szCs w:val="24"/>
          <w:highlight w:val="none"/>
          <w14:textFill>
            <w14:solidFill>
              <w14:schemeClr w14:val="tx1"/>
            </w14:solidFill>
          </w14:textFill>
        </w:rPr>
        <w:t>仙居县新能源汽车橡胶零件轻量级数字化改造，企业数字化改造总费用为政府购买服务补贴+企业投入，其中单家企业政府购买服务补贴不超过数字化改造总费用50%。项目预算金额约</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00万元。</w:t>
      </w:r>
    </w:p>
    <w:p>
      <w:pPr>
        <w:pStyle w:val="5"/>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三、项目要求</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（一）应用场景</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1、采购管理应用场景：</w:t>
      </w:r>
      <w:r>
        <w:rPr>
          <w:rFonts w:hint="eastAsia" w:ascii="宋体" w:hAnsi="宋体" w:eastAsia="宋体" w:cs="宋体"/>
          <w:color w:val="000000" w:themeColor="text1"/>
          <w:sz w:val="24"/>
          <w:szCs w:val="24"/>
          <w:highlight w:val="none"/>
          <w:lang w:val="en-US" w:eastAsia="zh-CN"/>
          <w14:textFill>
            <w14:solidFill>
              <w14:schemeClr w14:val="tx1"/>
            </w14:solidFill>
          </w14:textFill>
        </w:rPr>
        <w:t>由系统拆封生产任务单自动生成相应请购单，采购人员依照采购起批量，采购提前期下采购订单，针对不同的采购物料可以设定不同的采购上限价格以及比例，控制采购成本。针对一些采购原料不进本厂仓库，而直接发给外协厂的情况，也能随时跟踪到外协商的原料库存，以及交回本厂的毛坯数量。另外系统提供供应商及时率，物料合格率报表。</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2、销售管理应用场景：</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客户情况设置内销和外贸两种形式，针对以备货为主的内销业务，系统可以对以前的销售业绩进行分析，结合安全库存给，出下单预测分析。可以按地区、业务员、客户、产品等进行多种条件进行统计分析，以便让企业随时掌控销售状况。提供订单跟踪报表，方便业务员了解订单各个环节进度。</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3、仓库管理应用场景：</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对仓库管理员日常所发生的业务进行跟踪，帮助企业的仓管员对所有物料的出、入库、移动、盘点等进行控制，以达到降低库存，减少资金占用，避免物料积压或短缺现象，保证生产经营活动的顺利进行。各种日报、统计报表自动生成，减轻了仓管人员工工作量，提高仓管人员工作效率。。</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4、生产管理应用场景：</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系统可以及时跟踪每笔订单的完成情况，依托车间生产任务单追踪每一道工序的完成情况，呈现在制品数量报表，对生产工艺的乱序、工序加的不良品、废品处理都能很好的解决。</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5、质量管理应用场景：</w:t>
      </w:r>
      <w:r>
        <w:rPr>
          <w:rFonts w:hint="eastAsia" w:ascii="宋体" w:hAnsi="宋体" w:eastAsia="宋体" w:cs="宋体"/>
          <w:color w:val="000000" w:themeColor="text1"/>
          <w:sz w:val="24"/>
          <w:szCs w:val="24"/>
          <w:highlight w:val="none"/>
          <w:lang w:val="en-US" w:eastAsia="zh-CN"/>
          <w14:textFill>
            <w14:solidFill>
              <w14:schemeClr w14:val="tx1"/>
            </w14:solidFill>
          </w14:textFill>
        </w:rPr>
        <w:t>质量标准与产品工艺紧密结合，系统采集来料检、首检、巡检、工序检等检验数据信息，对有质量问题的产品的出厂时间，是否过保，以及同生产批次产品从领料，到生产、质检等环节能够追溯。</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6、终端刷卡报工应用场景：</w:t>
      </w:r>
      <w:r>
        <w:rPr>
          <w:rFonts w:hint="eastAsia" w:ascii="宋体" w:hAnsi="宋体" w:eastAsia="宋体" w:cs="宋体"/>
          <w:color w:val="000000" w:themeColor="text1"/>
          <w:sz w:val="24"/>
          <w:szCs w:val="24"/>
          <w:highlight w:val="none"/>
          <w:lang w:val="en-US" w:eastAsia="zh-CN"/>
          <w14:textFill>
            <w14:solidFill>
              <w14:schemeClr w14:val="tx1"/>
            </w14:solidFill>
          </w14:textFill>
        </w:rPr>
        <w:t>在车间设置终端，员工刷卡填报工单加工数据、废品数据，系统自动汇总形成产品加工进度，生成员工计件工资。</w:t>
      </w:r>
    </w:p>
    <w:p>
      <w:pPr>
        <w:pStyle w:val="5"/>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（二）技术要求</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1.系统的应用服务保持单一职责、逻辑清晰，如一个服务发生异常，不能导致其他服务受到影响。</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2.系统具备灵活性，可弹性扩容；且部署便捷性，可快速部署。</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3.系统需通过完整的测试，并且能够保证高质量的发布。</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4.系统满足海量数据的安全存储，并符合网络安全要求。</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（三）项目交付</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成交供应商在签订合同后，根据采购人的工作安排，按进度分批次完成企业的软件系统的实施与交付。软件功能及验收标准应参考《离散型制造执行过程云化规范》行业标准的有关要求。</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（四）服务及运维要求 </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（1）实施服务内容：</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负责企业需求调研分析工作；负责协助企业开展系统基础数据准备、软件实施、调试、参数配置、用户培训等实施工作；提供所需配合硬件配置清单供企业采购参考。</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（2）运维服务内容：</w:t>
      </w:r>
    </w:p>
    <w:p>
      <w:pPr>
        <w:pStyle w:val="4"/>
        <w:keepNext w:val="0"/>
        <w:keepLines w:val="0"/>
        <w:pageBreakBefore w:val="0"/>
        <w:widowControl w:val="0"/>
        <w:kinsoku/>
        <w:wordWrap/>
        <w:overflowPunct/>
        <w:topLinePunct w:val="0"/>
        <w:autoSpaceDE/>
        <w:autoSpaceDN/>
        <w:bidi w:val="0"/>
        <w:adjustRightInd/>
        <w:snapToGrid/>
        <w:spacing w:after="0" w:afterLines="0"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按照日常维护、技术维护等不同运维场景开展运维服务，确保部署的平台软件可靠稳定运行。</w:t>
      </w:r>
    </w:p>
    <w:p>
      <w:pPr>
        <w:pStyle w:val="5"/>
        <w:keepNext w:val="0"/>
        <w:keepLines w:val="0"/>
        <w:pageBreakBefore w:val="0"/>
        <w:widowControl w:val="0"/>
        <w:kinsoku/>
        <w:wordWrap/>
        <w:overflowPunct/>
        <w:topLinePunct w:val="0"/>
        <w:autoSpaceDE/>
        <w:autoSpaceDN/>
        <w:bidi w:val="0"/>
        <w:adjustRightInd/>
        <w:snapToGrid/>
        <w:spacing w:before="0"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pStyle w:val="4"/>
        <w:keepNext w:val="0"/>
        <w:keepLines w:val="0"/>
        <w:pageBreakBefore w:val="0"/>
        <w:widowControl w:val="0"/>
        <w:numPr>
          <w:ilvl w:val="0"/>
          <w:numId w:val="5"/>
        </w:numPr>
        <w:kinsoku/>
        <w:wordWrap/>
        <w:overflowPunct/>
        <w:topLinePunct w:val="0"/>
        <w:autoSpaceDE/>
        <w:autoSpaceDN/>
        <w:bidi w:val="0"/>
        <w:adjustRightInd/>
        <w:snapToGrid/>
        <w:spacing w:after="0" w:afterLines="0"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付款方式</w:t>
      </w: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合同签订</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后，采购人</w:t>
      </w:r>
      <w:r>
        <w:rPr>
          <w:rFonts w:hint="eastAsia" w:ascii="宋体" w:hAnsi="宋体" w:eastAsia="宋体" w:cs="宋体"/>
          <w:b/>
          <w:bCs/>
          <w:color w:val="000000" w:themeColor="text1"/>
          <w:sz w:val="24"/>
          <w:szCs w:val="24"/>
          <w:highlight w:val="none"/>
          <w:u w:val="single"/>
          <w14:textFill>
            <w14:solidFill>
              <w14:schemeClr w14:val="tx1"/>
            </w14:solidFill>
          </w14:textFill>
        </w:rPr>
        <w:t>支付合同金额的20%作为预付款</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项目完成并通过验收后，采购人按实结算，并支付合同剩余金额。</w:t>
      </w: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在签订合同时，供应商明确表示无须预付款或者主动要求降低预付款比例的，采购单位可不适用前述规定。</w:t>
      </w: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（六）项目验收要求</w:t>
      </w:r>
    </w:p>
    <w:p>
      <w:pPr>
        <w:pStyle w:val="99"/>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501" w:firstLineChars="208"/>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（1）验收合格的条件：</w:t>
      </w: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1）提供合同要求的全部软件和资料；</w:t>
      </w: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2）符合《离散型制造执行过程云化规范》行业标准的有关要求。</w:t>
      </w: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功能验收：参考采购需求的功能要求，为企业部署应用的软件功能模块已经全部具备。</w:t>
      </w: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流程验收：对软件所涉及的流程进行验收，尤其是核心流程是否清晰，同时检查流程设置是否合理。</w:t>
      </w: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文档验收：保证系统稳定运行的文件必须完整，操作手册必须可以指导使用者日常的操作使用。</w:t>
      </w:r>
    </w:p>
    <w:p>
      <w:pPr>
        <w:keepNext w:val="0"/>
        <w:keepLines w:val="0"/>
        <w:pageBreakBefore w:val="0"/>
        <w:widowControl w:val="0"/>
        <w:kinsoku/>
        <w:wordWrap/>
        <w:overflowPunct/>
        <w:topLinePunct w:val="0"/>
        <w:autoSpaceDE/>
        <w:autoSpaceDN/>
        <w:bidi w:val="0"/>
        <w:adjustRightInd/>
        <w:snapToGrid/>
        <w:spacing w:line="400" w:lineRule="exact"/>
        <w:ind w:left="-319" w:leftChars="-152" w:right="-313" w:rightChars="-149"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培训验收：以培训的开展情况（系统总体与各模块的培训情况、操作人员的培训情况、公司中高层领导的培训情况等）进行衡量。</w:t>
      </w:r>
    </w:p>
    <w:p>
      <w:pPr>
        <w:pStyle w:val="4"/>
        <w:rPr>
          <w:rFonts w:hint="eastAsia" w:ascii="宋体" w:hAnsi="宋体" w:eastAsia="宋体" w:cs="宋体"/>
          <w:color w:val="000000" w:themeColor="text1"/>
          <w:sz w:val="24"/>
          <w:szCs w:val="24"/>
          <w:highlight w:val="none"/>
          <w14:textFill>
            <w14:solidFill>
              <w14:schemeClr w14:val="tx1"/>
            </w14:solidFill>
          </w14:textFill>
        </w:rPr>
      </w:pPr>
    </w:p>
    <w:p>
      <w:pPr>
        <w:pStyle w:val="5"/>
        <w:rPr>
          <w:rFonts w:hint="eastAsia" w:ascii="宋体" w:hAnsi="宋体" w:eastAsia="宋体" w:cs="宋体"/>
          <w:color w:val="000000" w:themeColor="text1"/>
          <w:sz w:val="24"/>
          <w:szCs w:val="24"/>
          <w:highlight w:val="none"/>
          <w14:textFill>
            <w14:solidFill>
              <w14:schemeClr w14:val="tx1"/>
            </w14:solidFill>
          </w14:textFill>
        </w:rPr>
      </w:pPr>
    </w:p>
    <w:p>
      <w:pPr>
        <w:pStyle w:val="2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4"/>
        <w:rPr>
          <w:rFonts w:hint="eastAsia" w:ascii="宋体" w:hAnsi="宋体" w:eastAsia="宋体" w:cs="宋体"/>
          <w:color w:val="000000" w:themeColor="text1"/>
          <w:sz w:val="24"/>
          <w:szCs w:val="24"/>
          <w:highlight w:val="none"/>
          <w14:textFill>
            <w14:solidFill>
              <w14:schemeClr w14:val="tx1"/>
            </w14:solidFill>
          </w14:textFill>
        </w:rPr>
      </w:pPr>
    </w:p>
    <w:p>
      <w:pPr>
        <w:pStyle w:val="5"/>
        <w:rPr>
          <w:rFonts w:hint="eastAsia" w:ascii="宋体" w:hAnsi="宋体" w:eastAsia="宋体" w:cs="宋体"/>
          <w:color w:val="000000" w:themeColor="text1"/>
          <w:sz w:val="24"/>
          <w:szCs w:val="24"/>
          <w:highlight w:val="none"/>
          <w14:textFill>
            <w14:solidFill>
              <w14:schemeClr w14:val="tx1"/>
            </w14:solidFill>
          </w14:textFill>
        </w:rPr>
      </w:pPr>
    </w:p>
    <w:p>
      <w:pPr>
        <w:pStyle w:val="2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4"/>
        <w:rPr>
          <w:rFonts w:hint="eastAsia" w:ascii="宋体" w:hAnsi="宋体" w:eastAsia="宋体" w:cs="宋体"/>
          <w:color w:val="000000" w:themeColor="text1"/>
          <w:sz w:val="24"/>
          <w:szCs w:val="24"/>
          <w:highlight w:val="none"/>
          <w14:textFill>
            <w14:solidFill>
              <w14:schemeClr w14:val="tx1"/>
            </w14:solidFill>
          </w14:textFill>
        </w:rPr>
      </w:pPr>
    </w:p>
    <w:p>
      <w:pPr>
        <w:pStyle w:val="5"/>
        <w:rPr>
          <w:rFonts w:hint="eastAsia" w:ascii="宋体" w:hAnsi="宋体" w:eastAsia="宋体" w:cs="宋体"/>
          <w:color w:val="000000" w:themeColor="text1"/>
          <w:sz w:val="24"/>
          <w:szCs w:val="24"/>
          <w:highlight w:val="none"/>
          <w14:textFill>
            <w14:solidFill>
              <w14:schemeClr w14:val="tx1"/>
            </w14:solidFill>
          </w14:textFill>
        </w:rPr>
      </w:pPr>
    </w:p>
    <w:p>
      <w:pPr>
        <w:pStyle w:val="2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4"/>
        <w:rPr>
          <w:rFonts w:hint="eastAsia" w:ascii="宋体" w:hAnsi="宋体" w:eastAsia="宋体" w:cs="宋体"/>
          <w:color w:val="000000" w:themeColor="text1"/>
          <w:sz w:val="24"/>
          <w:szCs w:val="24"/>
          <w:highlight w:val="none"/>
          <w14:textFill>
            <w14:solidFill>
              <w14:schemeClr w14:val="tx1"/>
            </w14:solidFill>
          </w14:textFill>
        </w:rPr>
      </w:pPr>
    </w:p>
    <w:p>
      <w:pPr>
        <w:pStyle w:val="5"/>
        <w:rPr>
          <w:rFonts w:hint="eastAsia" w:ascii="宋体" w:hAnsi="宋体" w:eastAsia="宋体" w:cs="宋体"/>
          <w:color w:val="000000" w:themeColor="text1"/>
          <w:sz w:val="24"/>
          <w:szCs w:val="24"/>
          <w:highlight w:val="none"/>
          <w14:textFill>
            <w14:solidFill>
              <w14:schemeClr w14:val="tx1"/>
            </w14:solidFill>
          </w14:textFill>
        </w:rPr>
      </w:pPr>
    </w:p>
    <w:p>
      <w:pPr>
        <w:pStyle w:val="29"/>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4"/>
        <w:rPr>
          <w:rFonts w:hint="eastAsia"/>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6"/>
        <w:spacing w:before="0" w:after="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第五章　政府采购合同主要条款指引</w:t>
      </w:r>
    </w:p>
    <w:p>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3"/>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p>
    <w:p>
      <w:pPr>
        <w:pStyle w:val="3"/>
        <w:keepNext w:val="0"/>
        <w:keepLines w:val="0"/>
        <w:pageBreakBefore w:val="0"/>
        <w:kinsoku/>
        <w:wordWrap/>
        <w:overflowPunct/>
        <w:topLinePunct w:val="0"/>
        <w:bidi w:val="0"/>
        <w:snapToGrid w:val="0"/>
        <w:spacing w:line="38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pPr>
        <w:pStyle w:val="3"/>
        <w:keepNext w:val="0"/>
        <w:keepLines w:val="0"/>
        <w:pageBreakBefore w:val="0"/>
        <w:kinsoku/>
        <w:wordWrap/>
        <w:overflowPunct/>
        <w:topLinePunct w:val="0"/>
        <w:bidi w:val="0"/>
        <w:snapToGrid w:val="0"/>
        <w:spacing w:line="380" w:lineRule="exact"/>
        <w:textAlignment w:val="auto"/>
        <w:rPr>
          <w:rFonts w:hint="eastAsia"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w:t>
      </w:r>
      <w:r>
        <w:rPr>
          <w:rFonts w:ascii="宋体" w:hAnsi="宋体"/>
          <w:color w:val="000000" w:themeColor="text1"/>
          <w:sz w:val="24"/>
          <w:highlight w:val="none"/>
          <w14:textFill>
            <w14:solidFill>
              <w14:schemeClr w14:val="tx1"/>
            </w14:solidFill>
          </w14:textFill>
        </w:rPr>
        <w:t>人</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pPr>
        <w:pStyle w:val="3"/>
        <w:keepNext w:val="0"/>
        <w:keepLines w:val="0"/>
        <w:pageBreakBefore w:val="0"/>
        <w:kinsoku/>
        <w:wordWrap/>
        <w:overflowPunct/>
        <w:topLinePunct w:val="0"/>
        <w:bidi w:val="0"/>
        <w:snapToGrid w:val="0"/>
        <w:spacing w:line="38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成交供应商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pPr>
        <w:keepNext w:val="0"/>
        <w:keepLines w:val="0"/>
        <w:pageBreakBefore w:val="0"/>
        <w:widowControl/>
        <w:shd w:val="clear" w:color="auto" w:fill="FFFFFF"/>
        <w:kinsoku/>
        <w:wordWrap/>
        <w:overflowPunct/>
        <w:topLinePunct w:val="0"/>
        <w:bidi w:val="0"/>
        <w:spacing w:line="38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甲、乙双方根据</w:t>
      </w:r>
      <w:r>
        <w:rPr>
          <w:rFonts w:hint="eastAsia" w:ascii="宋体" w:hAnsi="宋体" w:eastAsia="宋体" w:cs="Arial"/>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(采购组织机构名称）</w:t>
      </w:r>
      <w:r>
        <w:rPr>
          <w:rFonts w:ascii="宋体" w:hAnsi="宋体" w:eastAsia="宋体"/>
          <w:color w:val="000000" w:themeColor="text1"/>
          <w:sz w:val="24"/>
          <w:highlight w:val="none"/>
          <w14:textFill>
            <w14:solidFill>
              <w14:schemeClr w14:val="tx1"/>
            </w14:solidFill>
          </w14:textFill>
        </w:rPr>
        <w:t>关于</w:t>
      </w:r>
      <w:r>
        <w:rPr>
          <w:rFonts w:hint="eastAsia" w:ascii="宋体" w:hAnsi="宋体" w:eastAsia="宋体" w:cs="Arial"/>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单位</w:t>
      </w:r>
      <w:r>
        <w:rPr>
          <w:rFonts w:hint="eastAsia" w:ascii="宋体" w:hAnsi="宋体" w:eastAsia="宋体" w:cs="Arial"/>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磋商采购</w:t>
      </w:r>
      <w:r>
        <w:rPr>
          <w:rFonts w:ascii="宋体" w:hAnsi="宋体"/>
          <w:color w:val="000000" w:themeColor="text1"/>
          <w:sz w:val="24"/>
          <w:highlight w:val="none"/>
          <w14:textFill>
            <w14:solidFill>
              <w14:schemeClr w14:val="tx1"/>
            </w14:solidFill>
          </w14:textFill>
        </w:rPr>
        <w:t>的结果，签署本合同。</w:t>
      </w:r>
    </w:p>
    <w:p>
      <w:pPr>
        <w:keepNext w:val="0"/>
        <w:keepLines w:val="0"/>
        <w:pageBreakBefore w:val="0"/>
        <w:kinsoku/>
        <w:wordWrap/>
        <w:overflowPunct/>
        <w:topLinePunct w:val="0"/>
        <w:bidi w:val="0"/>
        <w:spacing w:line="380" w:lineRule="exact"/>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pPr>
        <w:keepNext w:val="0"/>
        <w:keepLines w:val="0"/>
        <w:pageBreakBefore w:val="0"/>
        <w:kinsoku/>
        <w:wordWrap/>
        <w:overflowPunct/>
        <w:topLinePunct w:val="0"/>
        <w:bidi w:val="0"/>
        <w:spacing w:line="38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pPr>
        <w:keepNext w:val="0"/>
        <w:keepLines w:val="0"/>
        <w:pageBreakBefore w:val="0"/>
        <w:kinsoku/>
        <w:wordWrap/>
        <w:overflowPunct/>
        <w:topLinePunct w:val="0"/>
        <w:bidi w:val="0"/>
        <w:spacing w:line="38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2.成交通知书。</w:t>
      </w:r>
    </w:p>
    <w:p>
      <w:pPr>
        <w:keepNext w:val="0"/>
        <w:keepLines w:val="0"/>
        <w:pageBreakBefore w:val="0"/>
        <w:kinsoku/>
        <w:wordWrap/>
        <w:overflowPunct/>
        <w:topLinePunct w:val="0"/>
        <w:bidi w:val="0"/>
        <w:spacing w:line="38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pPr>
        <w:keepNext w:val="0"/>
        <w:keepLines w:val="0"/>
        <w:pageBreakBefore w:val="0"/>
        <w:kinsoku/>
        <w:wordWrap/>
        <w:overflowPunct/>
        <w:topLinePunct w:val="0"/>
        <w:bidi w:val="0"/>
        <w:spacing w:line="38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4.磋商采购文件。</w:t>
      </w:r>
    </w:p>
    <w:p>
      <w:pPr>
        <w:keepNext w:val="0"/>
        <w:keepLines w:val="0"/>
        <w:pageBreakBefore w:val="0"/>
        <w:kinsoku/>
        <w:wordWrap/>
        <w:overflowPunct/>
        <w:topLinePunct w:val="0"/>
        <w:bidi w:val="0"/>
        <w:spacing w:line="38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5.成交供应商磋商响应文件。</w:t>
      </w:r>
    </w:p>
    <w:p>
      <w:pPr>
        <w:keepNext w:val="0"/>
        <w:keepLines w:val="0"/>
        <w:pageBreakBefore w:val="0"/>
        <w:kinsoku/>
        <w:wordWrap/>
        <w:overflowPunct/>
        <w:topLinePunct w:val="0"/>
        <w:bidi w:val="0"/>
        <w:spacing w:line="38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pPr>
        <w:pStyle w:val="3"/>
        <w:keepNext w:val="0"/>
        <w:keepLines w:val="0"/>
        <w:pageBreakBefore w:val="0"/>
        <w:kinsoku/>
        <w:wordWrap/>
        <w:overflowPunct/>
        <w:topLinePunct w:val="0"/>
        <w:bidi w:val="0"/>
        <w:snapToGrid w:val="0"/>
        <w:spacing w:line="380" w:lineRule="exact"/>
        <w:ind w:firstLine="480" w:firstLineChars="200"/>
        <w:textAlignment w:val="auto"/>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line="380" w:lineRule="exact"/>
        <w:jc w:val="left"/>
        <w:textAlignment w:val="auto"/>
        <w:rPr>
          <w:rFonts w:ascii="宋体" w:hAnsi="宋体"/>
          <w:b/>
          <w:color w:val="000000" w:themeColor="text1"/>
          <w:sz w:val="24"/>
          <w:highlight w:val="none"/>
          <w14:textFill>
            <w14:solidFill>
              <w14:schemeClr w14:val="tx1"/>
            </w14:solidFill>
          </w14:textFill>
        </w:rPr>
      </w:pPr>
    </w:p>
    <w:p>
      <w:pPr>
        <w:keepNext w:val="0"/>
        <w:keepLines w:val="0"/>
        <w:pageBreakBefore w:val="0"/>
        <w:widowControl/>
        <w:shd w:val="clear" w:color="auto" w:fill="FFFFFF"/>
        <w:kinsoku/>
        <w:wordWrap/>
        <w:overflowPunct/>
        <w:topLinePunct w:val="0"/>
        <w:bidi w:val="0"/>
        <w:spacing w:line="380" w:lineRule="exact"/>
        <w:jc w:val="left"/>
        <w:textAlignment w:val="auto"/>
        <w:rPr>
          <w:rFonts w:ascii="宋体" w:hAnsi="宋体" w:cs="Arial"/>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w:t>
      </w:r>
      <w:r>
        <w:rPr>
          <w:rFonts w:ascii="宋体" w:hAnsi="宋体" w:cs="Arial"/>
          <w:b/>
          <w:color w:val="000000" w:themeColor="text1"/>
          <w:kern w:val="0"/>
          <w:sz w:val="24"/>
          <w:highlight w:val="none"/>
          <w14:textFill>
            <w14:solidFill>
              <w14:schemeClr w14:val="tx1"/>
            </w14:solidFill>
          </w14:textFill>
        </w:rPr>
        <w:t>合同内容及服务标准</w:t>
      </w:r>
    </w:p>
    <w:p>
      <w:pPr>
        <w:keepNext w:val="0"/>
        <w:keepLines w:val="0"/>
        <w:pageBreakBefore w:val="0"/>
        <w:widowControl/>
        <w:shd w:val="clear" w:color="auto" w:fill="FFFFFF"/>
        <w:kinsoku/>
        <w:wordWrap/>
        <w:overflowPunct/>
        <w:topLinePunct w:val="0"/>
        <w:bidi w:val="0"/>
        <w:spacing w:line="380" w:lineRule="exact"/>
        <w:ind w:firstLine="480"/>
        <w:jc w:val="left"/>
        <w:textAlignment w:val="auto"/>
        <w:rPr>
          <w:rFonts w:ascii="宋体" w:hAnsi="宋体" w:cs="Arial"/>
          <w:color w:val="000000" w:themeColor="text1"/>
          <w:kern w:val="0"/>
          <w:sz w:val="24"/>
          <w:szCs w:val="24"/>
          <w:highlight w:val="none"/>
          <w14:textFill>
            <w14:solidFill>
              <w14:schemeClr w14:val="tx1"/>
            </w14:solidFill>
          </w14:textFill>
        </w:rPr>
      </w:pPr>
      <w:r>
        <w:rPr>
          <w:rFonts w:ascii="宋体" w:hAnsi="宋体" w:cs="Arial"/>
          <w:color w:val="000000" w:themeColor="text1"/>
          <w:kern w:val="0"/>
          <w:sz w:val="24"/>
          <w:szCs w:val="24"/>
          <w:highlight w:val="none"/>
          <w14:textFill>
            <w14:solidFill>
              <w14:schemeClr w14:val="tx1"/>
            </w14:solidFill>
          </w14:textFill>
        </w:rPr>
        <w:t>（具体见项目需求）</w:t>
      </w:r>
    </w:p>
    <w:p>
      <w:pPr>
        <w:pStyle w:val="3"/>
        <w:keepNext w:val="0"/>
        <w:keepLines w:val="0"/>
        <w:pageBreakBefore w:val="0"/>
        <w:kinsoku/>
        <w:wordWrap/>
        <w:overflowPunct/>
        <w:topLinePunct w:val="0"/>
        <w:bidi w:val="0"/>
        <w:snapToGrid w:val="0"/>
        <w:spacing w:line="380" w:lineRule="exact"/>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pPr>
        <w:pStyle w:val="3"/>
        <w:keepNext w:val="0"/>
        <w:keepLines w:val="0"/>
        <w:pageBreakBefore w:val="0"/>
        <w:kinsoku/>
        <w:wordWrap/>
        <w:overflowPunct/>
        <w:topLinePunct w:val="0"/>
        <w:bidi w:val="0"/>
        <w:snapToGrid w:val="0"/>
        <w:spacing w:line="38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本合同金额为（大写）：____________元（￥_______________元）人民币。</w:t>
      </w:r>
    </w:p>
    <w:p>
      <w:pPr>
        <w:keepNext w:val="0"/>
        <w:keepLines w:val="0"/>
        <w:pageBreakBefore w:val="0"/>
        <w:widowControl/>
        <w:shd w:val="clear" w:color="auto" w:fill="FFFFFF"/>
        <w:kinsoku/>
        <w:wordWrap/>
        <w:overflowPunct/>
        <w:topLinePunct w:val="0"/>
        <w:bidi w:val="0"/>
        <w:spacing w:line="380" w:lineRule="exact"/>
        <w:jc w:val="left"/>
        <w:textAlignment w:val="auto"/>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四</w:t>
      </w:r>
      <w:r>
        <w:rPr>
          <w:rFonts w:ascii="宋体" w:hAnsi="宋体" w:cs="Arial"/>
          <w:b/>
          <w:color w:val="000000" w:themeColor="text1"/>
          <w:kern w:val="0"/>
          <w:sz w:val="24"/>
          <w:highlight w:val="none"/>
          <w14:textFill>
            <w14:solidFill>
              <w14:schemeClr w14:val="tx1"/>
            </w14:solidFill>
          </w14:textFill>
        </w:rPr>
        <w:t>、甲乙双方责任</w:t>
      </w:r>
    </w:p>
    <w:p>
      <w:pPr>
        <w:pStyle w:val="32"/>
        <w:keepNext w:val="0"/>
        <w:keepLines w:val="0"/>
        <w:pageBreakBefore w:val="0"/>
        <w:shd w:val="clear" w:color="auto" w:fill="FFFFFF"/>
        <w:kinsoku/>
        <w:wordWrap/>
        <w:overflowPunct/>
        <w:topLinePunct w:val="0"/>
        <w:bidi w:val="0"/>
        <w:spacing w:before="0" w:beforeLines="0" w:beforeAutospacing="0" w:after="0" w:afterLines="0" w:afterAutospacing="0" w:line="380" w:lineRule="exact"/>
        <w:ind w:firstLine="480"/>
        <w:textAlignment w:val="auto"/>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（一）甲方责任</w:t>
      </w:r>
    </w:p>
    <w:p>
      <w:pPr>
        <w:pStyle w:val="32"/>
        <w:keepNext w:val="0"/>
        <w:keepLines w:val="0"/>
        <w:pageBreakBefore w:val="0"/>
        <w:shd w:val="clear" w:color="auto" w:fill="FFFFFF"/>
        <w:kinsoku/>
        <w:wordWrap/>
        <w:overflowPunct/>
        <w:topLinePunct w:val="0"/>
        <w:bidi w:val="0"/>
        <w:spacing w:before="0" w:beforeLines="0" w:beforeAutospacing="0" w:after="0" w:afterLines="0" w:afterAutospacing="0" w:line="380" w:lineRule="exact"/>
        <w:ind w:firstLine="480"/>
        <w:textAlignment w:val="auto"/>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（根据磋商采购结果确定）</w:t>
      </w:r>
    </w:p>
    <w:p>
      <w:pPr>
        <w:pStyle w:val="32"/>
        <w:keepNext w:val="0"/>
        <w:keepLines w:val="0"/>
        <w:pageBreakBefore w:val="0"/>
        <w:shd w:val="clear" w:color="auto" w:fill="FFFFFF"/>
        <w:kinsoku/>
        <w:wordWrap/>
        <w:overflowPunct/>
        <w:topLinePunct w:val="0"/>
        <w:bidi w:val="0"/>
        <w:spacing w:before="0" w:beforeLines="0" w:beforeAutospacing="0" w:after="0" w:afterLines="0" w:afterAutospacing="0" w:line="380" w:lineRule="exact"/>
        <w:ind w:firstLine="480"/>
        <w:textAlignment w:val="auto"/>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（二）乙方责任</w:t>
      </w:r>
    </w:p>
    <w:p>
      <w:pPr>
        <w:pStyle w:val="32"/>
        <w:keepNext w:val="0"/>
        <w:keepLines w:val="0"/>
        <w:pageBreakBefore w:val="0"/>
        <w:shd w:val="clear" w:color="auto" w:fill="FFFFFF"/>
        <w:kinsoku/>
        <w:wordWrap/>
        <w:overflowPunct/>
        <w:topLinePunct w:val="0"/>
        <w:bidi w:val="0"/>
        <w:spacing w:before="0" w:beforeLines="0" w:beforeAutospacing="0" w:after="0" w:afterLines="0" w:afterAutospacing="0" w:line="380" w:lineRule="exact"/>
        <w:ind w:firstLine="480"/>
        <w:textAlignment w:val="auto"/>
        <w:rPr>
          <w:rFonts w:hint="default" w:cs="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（根据磋商采购结果确定）</w:t>
      </w:r>
    </w:p>
    <w:p>
      <w:pPr>
        <w:pStyle w:val="3"/>
        <w:keepNext w:val="0"/>
        <w:keepLines w:val="0"/>
        <w:pageBreakBefore w:val="0"/>
        <w:kinsoku/>
        <w:wordWrap/>
        <w:overflowPunct/>
        <w:topLinePunct w:val="0"/>
        <w:bidi w:val="0"/>
        <w:snapToGrid w:val="0"/>
        <w:spacing w:line="380" w:lineRule="exact"/>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、技术资料</w:t>
      </w:r>
    </w:p>
    <w:p>
      <w:pPr>
        <w:pStyle w:val="3"/>
        <w:keepNext w:val="0"/>
        <w:keepLines w:val="0"/>
        <w:pageBreakBefore w:val="0"/>
        <w:kinsoku/>
        <w:wordWrap/>
        <w:overflowPunct/>
        <w:topLinePunct w:val="0"/>
        <w:bidi w:val="0"/>
        <w:snapToGrid w:val="0"/>
        <w:spacing w:line="38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w:t>
      </w:r>
      <w:r>
        <w:rPr>
          <w:rFonts w:hint="eastAsia" w:hAnsi="宋体"/>
          <w:color w:val="000000" w:themeColor="text1"/>
          <w:sz w:val="24"/>
          <w:highlight w:val="none"/>
          <w14:textFill>
            <w14:solidFill>
              <w14:schemeClr w14:val="tx1"/>
            </w14:solidFill>
          </w14:textFill>
        </w:rPr>
        <w:t>磋商采购</w:t>
      </w:r>
      <w:r>
        <w:rPr>
          <w:rFonts w:hAnsi="宋体"/>
          <w:color w:val="000000" w:themeColor="text1"/>
          <w:sz w:val="24"/>
          <w:highlight w:val="none"/>
          <w14:textFill>
            <w14:solidFill>
              <w14:schemeClr w14:val="tx1"/>
            </w14:solidFill>
          </w14:textFill>
        </w:rPr>
        <w:t>文件规定的时间向甲方提供有关技术资料。</w:t>
      </w:r>
    </w:p>
    <w:p>
      <w:pPr>
        <w:pStyle w:val="3"/>
        <w:keepNext w:val="0"/>
        <w:keepLines w:val="0"/>
        <w:pageBreakBefore w:val="0"/>
        <w:kinsoku/>
        <w:wordWrap/>
        <w:overflowPunct/>
        <w:topLinePunct w:val="0"/>
        <w:bidi w:val="0"/>
        <w:snapToGrid w:val="0"/>
        <w:spacing w:line="38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keepNext w:val="0"/>
        <w:keepLines w:val="0"/>
        <w:pageBreakBefore w:val="0"/>
        <w:kinsoku/>
        <w:wordWrap/>
        <w:overflowPunct/>
        <w:topLinePunct w:val="0"/>
        <w:bidi w:val="0"/>
        <w:snapToGrid w:val="0"/>
        <w:spacing w:line="380" w:lineRule="exact"/>
        <w:ind w:left="412" w:hanging="412" w:hangingChars="171"/>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、知识产权</w:t>
      </w:r>
    </w:p>
    <w:p>
      <w:pPr>
        <w:pStyle w:val="3"/>
        <w:keepNext w:val="0"/>
        <w:keepLines w:val="0"/>
        <w:pageBreakBefore w:val="0"/>
        <w:kinsoku/>
        <w:wordWrap/>
        <w:overflowPunct/>
        <w:topLinePunct w:val="0"/>
        <w:bidi w:val="0"/>
        <w:snapToGrid w:val="0"/>
        <w:spacing w:line="380" w:lineRule="exact"/>
        <w:ind w:left="410" w:hanging="410" w:hangingChars="171"/>
        <w:textAlignment w:val="auto"/>
        <w:rPr>
          <w:rFonts w:hAnsi="宋体"/>
          <w:b/>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乙方应保证提供服务过程中不会侵犯任何第三方的知识产权。</w:t>
      </w:r>
    </w:p>
    <w:p>
      <w:pPr>
        <w:pStyle w:val="3"/>
        <w:keepNext w:val="0"/>
        <w:keepLines w:val="0"/>
        <w:pageBreakBefore w:val="0"/>
        <w:kinsoku/>
        <w:wordWrap/>
        <w:overflowPunct/>
        <w:topLinePunct w:val="0"/>
        <w:bidi w:val="0"/>
        <w:snapToGrid w:val="0"/>
        <w:spacing w:line="380" w:lineRule="exact"/>
        <w:ind w:left="410" w:hanging="410" w:hangingChars="170"/>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pPr>
        <w:keepNext w:val="0"/>
        <w:keepLines w:val="0"/>
        <w:pageBreakBefore w:val="0"/>
        <w:tabs>
          <w:tab w:val="left" w:pos="1418"/>
        </w:tabs>
        <w:kinsoku/>
        <w:wordWrap/>
        <w:overflowPunct/>
        <w:topLinePunct w:val="0"/>
        <w:autoSpaceDE w:val="0"/>
        <w:autoSpaceDN w:val="0"/>
        <w:bidi w:val="0"/>
        <w:adjustRightInd w:val="0"/>
        <w:spacing w:line="380" w:lineRule="exact"/>
        <w:ind w:left="48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本项目履约保证金为合同金额的</w:t>
      </w:r>
      <w:r>
        <w:rPr>
          <w:rFonts w:ascii="宋体" w:hAnsi="宋体"/>
          <w:color w:val="000000" w:themeColor="text1"/>
          <w:sz w:val="24"/>
          <w:highlight w:val="none"/>
          <w14:textFill>
            <w14:solidFill>
              <w14:schemeClr w14:val="tx1"/>
            </w14:solidFill>
          </w14:textFill>
        </w:rPr>
        <w:t>____</w:t>
      </w:r>
      <w:r>
        <w:rPr>
          <w:rFonts w:hint="eastAsia" w:ascii="宋体" w:hAnsi="宋体"/>
          <w:color w:val="000000" w:themeColor="text1"/>
          <w:sz w:val="24"/>
          <w:highlight w:val="none"/>
          <w14:textFill>
            <w14:solidFill>
              <w14:schemeClr w14:val="tx1"/>
            </w14:solidFill>
          </w14:textFill>
        </w:rPr>
        <w:t>% 。</w:t>
      </w:r>
      <w:r>
        <w:rPr>
          <w:rFonts w:hint="eastAsia" w:ascii="宋体" w:hAnsi="宋体"/>
          <w:color w:val="000000" w:themeColor="text1"/>
          <w:sz w:val="24"/>
          <w:highlight w:val="none"/>
          <w:lang w:val="zh-CN"/>
          <w14:textFill>
            <w14:solidFill>
              <w14:schemeClr w14:val="tx1"/>
            </w14:solidFill>
          </w14:textFill>
        </w:rPr>
        <w:t>[履约保证金交至采购人处，在合同约定交货验收合格满（）个月之日起5个工作日内无息退还]</w:t>
      </w:r>
    </w:p>
    <w:p>
      <w:pPr>
        <w:keepNext w:val="0"/>
        <w:keepLines w:val="0"/>
        <w:pageBreakBefore w:val="0"/>
        <w:kinsoku/>
        <w:wordWrap/>
        <w:overflowPunct/>
        <w:topLinePunct w:val="0"/>
        <w:bidi w:val="0"/>
        <w:snapToGrid w:val="0"/>
        <w:spacing w:line="380" w:lineRule="exact"/>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八、转包或分包</w:t>
      </w:r>
    </w:p>
    <w:p>
      <w:pPr>
        <w:keepNext w:val="0"/>
        <w:keepLines w:val="0"/>
        <w:pageBreakBefore w:val="0"/>
        <w:kinsoku/>
        <w:wordWrap/>
        <w:overflowPunct/>
        <w:topLinePunct w:val="0"/>
        <w:bidi w:val="0"/>
        <w:snapToGrid w:val="0"/>
        <w:spacing w:line="38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.本合同范围的服务，应由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方直接供应，不得转让他人供应；</w:t>
      </w:r>
    </w:p>
    <w:p>
      <w:pPr>
        <w:keepNext w:val="0"/>
        <w:keepLines w:val="0"/>
        <w:pageBreakBefore w:val="0"/>
        <w:kinsoku/>
        <w:wordWrap/>
        <w:overflowPunct/>
        <w:topLinePunct w:val="0"/>
        <w:bidi w:val="0"/>
        <w:snapToGrid w:val="0"/>
        <w:spacing w:line="38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除非得到甲方的书面同意，</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方不得将本合同范围的服务全部或部分分包给他人供应；</w:t>
      </w:r>
    </w:p>
    <w:p>
      <w:pPr>
        <w:keepNext w:val="0"/>
        <w:keepLines w:val="0"/>
        <w:pageBreakBefore w:val="0"/>
        <w:kinsoku/>
        <w:wordWrap/>
        <w:overflowPunct/>
        <w:topLinePunct w:val="0"/>
        <w:bidi w:val="0"/>
        <w:snapToGrid w:val="0"/>
        <w:spacing w:line="38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.如有转让和未经甲方同意的分包行为，甲方有权解除合同，没收履约保证金并追究乙方的违约责任。</w:t>
      </w:r>
    </w:p>
    <w:p>
      <w:pPr>
        <w:pStyle w:val="3"/>
        <w:keepNext w:val="0"/>
        <w:keepLines w:val="0"/>
        <w:pageBreakBefore w:val="0"/>
        <w:kinsoku/>
        <w:wordWrap/>
        <w:overflowPunct/>
        <w:topLinePunct w:val="0"/>
        <w:bidi w:val="0"/>
        <w:snapToGrid w:val="0"/>
        <w:spacing w:line="380" w:lineRule="exact"/>
        <w:textAlignment w:val="auto"/>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、服务质量保证期 (选用)</w:t>
      </w:r>
    </w:p>
    <w:p>
      <w:pPr>
        <w:pStyle w:val="3"/>
        <w:keepNext w:val="0"/>
        <w:keepLines w:val="0"/>
        <w:pageBreakBefore w:val="0"/>
        <w:kinsoku/>
        <w:wordWrap/>
        <w:overflowPunct/>
        <w:topLinePunct w:val="0"/>
        <w:bidi w:val="0"/>
        <w:snapToGrid w:val="0"/>
        <w:spacing w:line="38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服务质量保证期</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年。（自验收合格之日起计）</w:t>
      </w:r>
    </w:p>
    <w:p>
      <w:pPr>
        <w:pStyle w:val="3"/>
        <w:keepNext w:val="0"/>
        <w:keepLines w:val="0"/>
        <w:pageBreakBefore w:val="0"/>
        <w:kinsoku/>
        <w:wordWrap/>
        <w:overflowPunct/>
        <w:topLinePunct w:val="0"/>
        <w:bidi w:val="0"/>
        <w:snapToGrid w:val="0"/>
        <w:spacing w:line="380" w:lineRule="exact"/>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、合同履行时间、履行方式及履行地点</w:t>
      </w:r>
    </w:p>
    <w:p>
      <w:pPr>
        <w:pStyle w:val="3"/>
        <w:keepNext w:val="0"/>
        <w:keepLines w:val="0"/>
        <w:pageBreakBefore w:val="0"/>
        <w:kinsoku/>
        <w:wordWrap/>
        <w:overflowPunct/>
        <w:topLinePunct w:val="0"/>
        <w:bidi w:val="0"/>
        <w:snapToGrid w:val="0"/>
        <w:spacing w:line="380" w:lineRule="exact"/>
        <w:textAlignment w:val="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履行时间</w:t>
      </w:r>
      <w:r>
        <w:rPr>
          <w:rFonts w:hAnsi="宋体"/>
          <w:bCs/>
          <w:color w:val="000000" w:themeColor="text1"/>
          <w:sz w:val="24"/>
          <w:highlight w:val="none"/>
          <w14:textFill>
            <w14:solidFill>
              <w14:schemeClr w14:val="tx1"/>
            </w14:solidFill>
          </w14:textFill>
        </w:rPr>
        <w:t>：</w:t>
      </w:r>
    </w:p>
    <w:p>
      <w:pPr>
        <w:pStyle w:val="3"/>
        <w:keepNext w:val="0"/>
        <w:keepLines w:val="0"/>
        <w:pageBreakBefore w:val="0"/>
        <w:kinsoku/>
        <w:wordWrap/>
        <w:overflowPunct/>
        <w:topLinePunct w:val="0"/>
        <w:bidi w:val="0"/>
        <w:snapToGrid w:val="0"/>
        <w:spacing w:line="380" w:lineRule="exact"/>
        <w:textAlignment w:val="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2</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履行方式</w:t>
      </w:r>
      <w:r>
        <w:rPr>
          <w:rFonts w:hAnsi="宋体"/>
          <w:bCs/>
          <w:color w:val="000000" w:themeColor="text1"/>
          <w:sz w:val="24"/>
          <w:highlight w:val="none"/>
          <w14:textFill>
            <w14:solidFill>
              <w14:schemeClr w14:val="tx1"/>
            </w14:solidFill>
          </w14:textFill>
        </w:rPr>
        <w:t>：</w:t>
      </w:r>
    </w:p>
    <w:p>
      <w:pPr>
        <w:pStyle w:val="3"/>
        <w:keepNext w:val="0"/>
        <w:keepLines w:val="0"/>
        <w:pageBreakBefore w:val="0"/>
        <w:kinsoku/>
        <w:wordWrap/>
        <w:overflowPunct/>
        <w:topLinePunct w:val="0"/>
        <w:bidi w:val="0"/>
        <w:snapToGrid w:val="0"/>
        <w:spacing w:line="380" w:lineRule="exact"/>
        <w:textAlignment w:val="auto"/>
        <w:rPr>
          <w:rFonts w:hAnsi="宋体"/>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3</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履行地点</w:t>
      </w:r>
      <w:r>
        <w:rPr>
          <w:rFonts w:hAnsi="宋体"/>
          <w:bCs/>
          <w:color w:val="000000" w:themeColor="text1"/>
          <w:sz w:val="24"/>
          <w:highlight w:val="none"/>
          <w14:textFill>
            <w14:solidFill>
              <w14:schemeClr w14:val="tx1"/>
            </w14:solidFill>
          </w14:textFill>
        </w:rPr>
        <w:t>：</w:t>
      </w:r>
    </w:p>
    <w:p>
      <w:pPr>
        <w:pStyle w:val="3"/>
        <w:keepNext w:val="0"/>
        <w:keepLines w:val="0"/>
        <w:pageBreakBefore w:val="0"/>
        <w:kinsoku/>
        <w:wordWrap/>
        <w:overflowPunct/>
        <w:topLinePunct w:val="0"/>
        <w:bidi w:val="0"/>
        <w:snapToGrid w:val="0"/>
        <w:spacing w:line="380" w:lineRule="exact"/>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十一</w:t>
      </w:r>
      <w:r>
        <w:rPr>
          <w:rFonts w:hAnsi="宋体"/>
          <w:b/>
          <w:color w:val="000000" w:themeColor="text1"/>
          <w:sz w:val="24"/>
          <w:highlight w:val="none"/>
          <w14:textFill>
            <w14:solidFill>
              <w14:schemeClr w14:val="tx1"/>
            </w14:solidFill>
          </w14:textFill>
        </w:rPr>
        <w:t>、款项支付</w:t>
      </w:r>
    </w:p>
    <w:p>
      <w:pPr>
        <w:pStyle w:val="3"/>
        <w:keepNext w:val="0"/>
        <w:keepLines w:val="0"/>
        <w:pageBreakBefore w:val="0"/>
        <w:kinsoku/>
        <w:wordWrap/>
        <w:overflowPunct/>
        <w:topLinePunct w:val="0"/>
        <w:bidi w:val="0"/>
        <w:snapToGrid w:val="0"/>
        <w:spacing w:line="380" w:lineRule="exact"/>
        <w:textAlignment w:val="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付款方式：</w:t>
      </w:r>
    </w:p>
    <w:p>
      <w:pPr>
        <w:keepNext w:val="0"/>
        <w:keepLines w:val="0"/>
        <w:pageBreakBefore w:val="0"/>
        <w:kinsoku/>
        <w:wordWrap/>
        <w:overflowPunct/>
        <w:topLinePunct w:val="0"/>
        <w:bidi w:val="0"/>
        <w:snapToGrid w:val="0"/>
        <w:spacing w:line="380" w:lineRule="exact"/>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十二、税费</w:t>
      </w:r>
    </w:p>
    <w:p>
      <w:pPr>
        <w:keepNext w:val="0"/>
        <w:keepLines w:val="0"/>
        <w:pageBreakBefore w:val="0"/>
        <w:kinsoku/>
        <w:wordWrap/>
        <w:overflowPunct/>
        <w:topLinePunct w:val="0"/>
        <w:bidi w:val="0"/>
        <w:snapToGrid w:val="0"/>
        <w:spacing w:line="38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pPr>
        <w:pStyle w:val="3"/>
        <w:keepNext w:val="0"/>
        <w:keepLines w:val="0"/>
        <w:pageBreakBefore w:val="0"/>
        <w:kinsoku/>
        <w:wordWrap/>
        <w:overflowPunct/>
        <w:topLinePunct w:val="0"/>
        <w:bidi w:val="0"/>
        <w:snapToGrid w:val="0"/>
        <w:spacing w:line="380" w:lineRule="exact"/>
        <w:ind w:left="412" w:hanging="412" w:hangingChars="171"/>
        <w:textAlignment w:val="auto"/>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、质量保证及后续服务</w:t>
      </w:r>
    </w:p>
    <w:p>
      <w:pPr>
        <w:pStyle w:val="3"/>
        <w:keepNext w:val="0"/>
        <w:keepLines w:val="0"/>
        <w:pageBreakBefore w:val="0"/>
        <w:kinsoku/>
        <w:wordWrap/>
        <w:overflowPunct/>
        <w:topLinePunct w:val="0"/>
        <w:bidi w:val="0"/>
        <w:snapToGrid w:val="0"/>
        <w:spacing w:line="38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乙方应按</w:t>
      </w:r>
      <w:r>
        <w:rPr>
          <w:rFonts w:hint="eastAsia" w:hAnsi="宋体"/>
          <w:color w:val="000000" w:themeColor="text1"/>
          <w:sz w:val="24"/>
          <w:highlight w:val="none"/>
          <w14:textFill>
            <w14:solidFill>
              <w14:schemeClr w14:val="tx1"/>
            </w14:solidFill>
          </w14:textFill>
        </w:rPr>
        <w:t>磋商采购</w:t>
      </w:r>
      <w:r>
        <w:rPr>
          <w:rFonts w:hAnsi="宋体"/>
          <w:color w:val="000000" w:themeColor="text1"/>
          <w:sz w:val="24"/>
          <w:highlight w:val="none"/>
          <w14:textFill>
            <w14:solidFill>
              <w14:schemeClr w14:val="tx1"/>
            </w14:solidFill>
          </w14:textFill>
        </w:rPr>
        <w:t>文件规定向甲方提供服务。</w:t>
      </w:r>
    </w:p>
    <w:p>
      <w:pPr>
        <w:pStyle w:val="3"/>
        <w:keepNext w:val="0"/>
        <w:keepLines w:val="0"/>
        <w:pageBreakBefore w:val="0"/>
        <w:kinsoku/>
        <w:wordWrap/>
        <w:overflowPunct/>
        <w:topLinePunct w:val="0"/>
        <w:bidi w:val="0"/>
        <w:snapToGrid w:val="0"/>
        <w:spacing w:line="380" w:lineRule="exact"/>
        <w:ind w:left="480" w:hanging="480" w:hangingChars="20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3"/>
        <w:keepNext w:val="0"/>
        <w:keepLines w:val="0"/>
        <w:pageBreakBefore w:val="0"/>
        <w:kinsoku/>
        <w:wordWrap/>
        <w:overflowPunct/>
        <w:topLinePunct w:val="0"/>
        <w:bidi w:val="0"/>
        <w:snapToGrid w:val="0"/>
        <w:spacing w:line="380" w:lineRule="exact"/>
        <w:ind w:firstLine="42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⑴重做：由乙方承担所发生的全部费用。</w:t>
      </w:r>
    </w:p>
    <w:p>
      <w:pPr>
        <w:pStyle w:val="3"/>
        <w:keepNext w:val="0"/>
        <w:keepLines w:val="0"/>
        <w:pageBreakBefore w:val="0"/>
        <w:kinsoku/>
        <w:wordWrap/>
        <w:overflowPunct/>
        <w:topLinePunct w:val="0"/>
        <w:bidi w:val="0"/>
        <w:snapToGrid w:val="0"/>
        <w:spacing w:line="380" w:lineRule="exact"/>
        <w:ind w:firstLine="42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⑵贬值处理：由甲乙双方合议定价。</w:t>
      </w:r>
    </w:p>
    <w:p>
      <w:pPr>
        <w:pStyle w:val="3"/>
        <w:keepNext w:val="0"/>
        <w:keepLines w:val="0"/>
        <w:pageBreakBefore w:val="0"/>
        <w:kinsoku/>
        <w:wordWrap/>
        <w:overflowPunct/>
        <w:topLinePunct w:val="0"/>
        <w:bidi w:val="0"/>
        <w:snapToGrid w:val="0"/>
        <w:spacing w:line="380" w:lineRule="exact"/>
        <w:ind w:left="420" w:leftChars="20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⑶解除合同。</w:t>
      </w:r>
    </w:p>
    <w:p>
      <w:pPr>
        <w:pStyle w:val="3"/>
        <w:keepNext w:val="0"/>
        <w:keepLines w:val="0"/>
        <w:pageBreakBefore w:val="0"/>
        <w:kinsoku/>
        <w:wordWrap/>
        <w:overflowPunct/>
        <w:topLinePunct w:val="0"/>
        <w:bidi w:val="0"/>
        <w:snapToGrid w:val="0"/>
        <w:spacing w:line="38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小时内到达甲方现场。</w:t>
      </w:r>
    </w:p>
    <w:p>
      <w:pPr>
        <w:pStyle w:val="3"/>
        <w:keepNext w:val="0"/>
        <w:keepLines w:val="0"/>
        <w:pageBreakBefore w:val="0"/>
        <w:kinsoku/>
        <w:wordWrap/>
        <w:overflowPunct/>
        <w:topLinePunct w:val="0"/>
        <w:bidi w:val="0"/>
        <w:snapToGrid w:val="0"/>
        <w:spacing w:line="38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w:t>
      </w:r>
      <w:r>
        <w:rPr>
          <w:rFonts w:hAnsi="宋体"/>
          <w:b w:val="0"/>
          <w:bCs/>
          <w:color w:val="000000" w:themeColor="text1"/>
          <w:sz w:val="24"/>
          <w:highlight w:val="none"/>
          <w14:textFill>
            <w14:solidFill>
              <w14:schemeClr w14:val="tx1"/>
            </w14:solidFill>
          </w14:textFill>
        </w:rPr>
        <w:t>服务质量保证期</w:t>
      </w:r>
      <w:r>
        <w:rPr>
          <w:rFonts w:hAnsi="宋体"/>
          <w:color w:val="000000" w:themeColor="text1"/>
          <w:sz w:val="24"/>
          <w:highlight w:val="none"/>
          <w14:textFill>
            <w14:solidFill>
              <w14:schemeClr w14:val="tx1"/>
            </w14:solidFill>
          </w14:textFill>
        </w:rPr>
        <w:t>内，乙方应对出现的质量及安全问题负责处理解决并承担</w:t>
      </w:r>
    </w:p>
    <w:p>
      <w:pPr>
        <w:pStyle w:val="3"/>
        <w:keepNext w:val="0"/>
        <w:keepLines w:val="0"/>
        <w:pageBreakBefore w:val="0"/>
        <w:kinsoku/>
        <w:wordWrap/>
        <w:overflowPunct/>
        <w:topLinePunct w:val="0"/>
        <w:bidi w:val="0"/>
        <w:snapToGrid w:val="0"/>
        <w:spacing w:line="380" w:lineRule="exact"/>
        <w:ind w:firstLine="360" w:firstLineChars="15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一切费用。</w:t>
      </w:r>
    </w:p>
    <w:p>
      <w:pPr>
        <w:pStyle w:val="3"/>
        <w:keepNext w:val="0"/>
        <w:keepLines w:val="0"/>
        <w:pageBreakBefore w:val="0"/>
        <w:kinsoku/>
        <w:wordWrap/>
        <w:overflowPunct/>
        <w:topLinePunct w:val="0"/>
        <w:bidi w:val="0"/>
        <w:snapToGrid w:val="0"/>
        <w:spacing w:line="380" w:lineRule="exact"/>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、违约责任</w:t>
      </w:r>
    </w:p>
    <w:p>
      <w:pPr>
        <w:pStyle w:val="3"/>
        <w:keepNext w:val="0"/>
        <w:keepLines w:val="0"/>
        <w:pageBreakBefore w:val="0"/>
        <w:kinsoku/>
        <w:wordWrap/>
        <w:overflowPunct/>
        <w:topLinePunct w:val="0"/>
        <w:bidi w:val="0"/>
        <w:snapToGrid w:val="0"/>
        <w:spacing w:line="38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甲方无正当理由拒收接受服务的，甲方向乙方偿付合同款项</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作为违约金。</w:t>
      </w:r>
    </w:p>
    <w:p>
      <w:pPr>
        <w:pStyle w:val="3"/>
        <w:keepNext w:val="0"/>
        <w:keepLines w:val="0"/>
        <w:pageBreakBefore w:val="0"/>
        <w:kinsoku/>
        <w:wordWrap/>
        <w:overflowPunct/>
        <w:topLinePunct w:val="0"/>
        <w:bidi w:val="0"/>
        <w:snapToGrid w:val="0"/>
        <w:spacing w:line="380" w:lineRule="exact"/>
        <w:ind w:left="410" w:hanging="410" w:hangingChars="171"/>
        <w:textAlignment w:val="auto"/>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甲方无故逾期验收和办理款项支付手续的,甲方应按逾期付款总额</w:t>
      </w:r>
      <w:r>
        <w:rPr>
          <w:rFonts w:hAnsi="宋体"/>
          <w:color w:val="000000" w:themeColor="text1"/>
          <w:sz w:val="24"/>
          <w:highlight w:val="none"/>
          <w:u w:val="single"/>
          <w14:textFill>
            <w14:solidFill>
              <w14:schemeClr w14:val="tx1"/>
            </w14:solidFill>
          </w14:textFill>
        </w:rPr>
        <w:t>每日万分之</w:t>
      </w:r>
    </w:p>
    <w:p>
      <w:pPr>
        <w:pStyle w:val="3"/>
        <w:keepNext w:val="0"/>
        <w:keepLines w:val="0"/>
        <w:pageBreakBefore w:val="0"/>
        <w:kinsoku/>
        <w:wordWrap/>
        <w:overflowPunct/>
        <w:topLinePunct w:val="0"/>
        <w:bidi w:val="0"/>
        <w:snapToGrid w:val="0"/>
        <w:spacing w:line="380" w:lineRule="exact"/>
        <w:ind w:left="407" w:leftChars="114" w:hanging="168" w:hangingChars="7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五</w:t>
      </w:r>
      <w:r>
        <w:rPr>
          <w:rFonts w:hAnsi="宋体"/>
          <w:color w:val="000000" w:themeColor="text1"/>
          <w:sz w:val="24"/>
          <w:highlight w:val="none"/>
          <w14:textFill>
            <w14:solidFill>
              <w14:schemeClr w14:val="tx1"/>
            </w14:solidFill>
          </w14:textFill>
        </w:rPr>
        <w:t>向乙方支付违约金。</w:t>
      </w:r>
    </w:p>
    <w:p>
      <w:pPr>
        <w:pStyle w:val="3"/>
        <w:keepNext w:val="0"/>
        <w:keepLines w:val="0"/>
        <w:pageBreakBefore w:val="0"/>
        <w:kinsoku/>
        <w:wordWrap/>
        <w:overflowPunct/>
        <w:topLinePunct w:val="0"/>
        <w:bidi w:val="0"/>
        <w:snapToGrid w:val="0"/>
        <w:spacing w:line="380" w:lineRule="exact"/>
        <w:ind w:left="410" w:hanging="410" w:hangingChars="171"/>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期提供服务的，每日向甲方支付</w:t>
      </w:r>
      <w:r>
        <w:rPr>
          <w:rFonts w:hint="eastAsia" w:hAnsi="宋体"/>
          <w:color w:val="000000" w:themeColor="text1"/>
          <w:sz w:val="24"/>
          <w:highlight w:val="none"/>
          <w14:textFill>
            <w14:solidFill>
              <w14:schemeClr w14:val="tx1"/>
            </w14:solidFill>
          </w14:textFill>
        </w:rPr>
        <w:t>合同款项的</w:t>
      </w:r>
      <w:r>
        <w:rPr>
          <w:rFonts w:hAnsi="宋体"/>
          <w:color w:val="000000" w:themeColor="text1"/>
          <w:sz w:val="24"/>
          <w:highlight w:val="none"/>
          <w:u w:val="single"/>
          <w14:textFill>
            <w14:solidFill>
              <w14:schemeClr w14:val="tx1"/>
            </w14:solidFill>
          </w14:textFill>
        </w:rPr>
        <w:t>千分之六</w:t>
      </w:r>
      <w:r>
        <w:rPr>
          <w:rFonts w:hint="eastAsia" w:hAnsi="宋体"/>
          <w:color w:val="000000" w:themeColor="text1"/>
          <w:sz w:val="24"/>
          <w:highlight w:val="none"/>
          <w14:textFill>
            <w14:solidFill>
              <w14:schemeClr w14:val="tx1"/>
            </w14:solidFill>
          </w14:textFill>
        </w:rPr>
        <w:t>作为</w:t>
      </w:r>
      <w:r>
        <w:rPr>
          <w:rFonts w:hAnsi="宋体"/>
          <w:color w:val="000000" w:themeColor="text1"/>
          <w:sz w:val="24"/>
          <w:highlight w:val="none"/>
          <w14:textFill>
            <w14:solidFill>
              <w14:schemeClr w14:val="tx1"/>
            </w14:solidFill>
          </w14:textFill>
        </w:rPr>
        <w:t>违约金。乙方超过约定日期10个工作日</w:t>
      </w:r>
      <w:r>
        <w:rPr>
          <w:rFonts w:hint="eastAsia" w:hAnsi="宋体"/>
          <w:color w:val="000000" w:themeColor="text1"/>
          <w:sz w:val="24"/>
          <w:highlight w:val="none"/>
          <w14:textFill>
            <w14:solidFill>
              <w14:schemeClr w14:val="tx1"/>
            </w14:solidFill>
          </w14:textFill>
        </w:rPr>
        <w:t>仍</w:t>
      </w:r>
      <w:r>
        <w:rPr>
          <w:rFonts w:hAnsi="宋体"/>
          <w:color w:val="000000" w:themeColor="text1"/>
          <w:sz w:val="24"/>
          <w:highlight w:val="none"/>
          <w14:textFill>
            <w14:solidFill>
              <w14:schemeClr w14:val="tx1"/>
            </w14:solidFill>
          </w14:textFill>
        </w:rPr>
        <w:t>不能</w:t>
      </w:r>
      <w:r>
        <w:rPr>
          <w:rFonts w:hint="eastAsia" w:hAnsi="宋体"/>
          <w:color w:val="000000" w:themeColor="text1"/>
          <w:sz w:val="24"/>
          <w:highlight w:val="none"/>
          <w14:textFill>
            <w14:solidFill>
              <w14:schemeClr w14:val="tx1"/>
            </w14:solidFill>
          </w14:textFill>
        </w:rPr>
        <w:t>提供服务</w:t>
      </w:r>
      <w:r>
        <w:rPr>
          <w:rFonts w:hAnsi="宋体"/>
          <w:color w:val="000000" w:themeColor="text1"/>
          <w:sz w:val="24"/>
          <w:highlight w:val="none"/>
          <w14:textFill>
            <w14:solidFill>
              <w14:schemeClr w14:val="tx1"/>
            </w14:solidFill>
          </w14:textFill>
        </w:rPr>
        <w:t>的，甲方可解除本合同。乙方因</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pPr>
        <w:pStyle w:val="3"/>
        <w:keepNext w:val="0"/>
        <w:keepLines w:val="0"/>
        <w:pageBreakBefore w:val="0"/>
        <w:kinsoku/>
        <w:wordWrap/>
        <w:overflowPunct/>
        <w:topLinePunct w:val="0"/>
        <w:bidi w:val="0"/>
        <w:snapToGrid w:val="0"/>
        <w:spacing w:line="380" w:lineRule="exact"/>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、不可抗力事件处理</w:t>
      </w:r>
    </w:p>
    <w:p>
      <w:pPr>
        <w:pStyle w:val="3"/>
        <w:keepNext w:val="0"/>
        <w:keepLines w:val="0"/>
        <w:pageBreakBefore w:val="0"/>
        <w:kinsoku/>
        <w:wordWrap/>
        <w:overflowPunct/>
        <w:topLinePunct w:val="0"/>
        <w:bidi w:val="0"/>
        <w:snapToGrid w:val="0"/>
        <w:spacing w:line="380" w:lineRule="exact"/>
        <w:ind w:left="480" w:hanging="480" w:hangingChars="20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在合同有效期内，任何一方因不可抗力事件导致不能履行合同，则合同履行</w:t>
      </w:r>
    </w:p>
    <w:p>
      <w:pPr>
        <w:pStyle w:val="3"/>
        <w:keepNext w:val="0"/>
        <w:keepLines w:val="0"/>
        <w:pageBreakBefore w:val="0"/>
        <w:kinsoku/>
        <w:wordWrap/>
        <w:overflowPunct/>
        <w:topLinePunct w:val="0"/>
        <w:bidi w:val="0"/>
        <w:snapToGrid w:val="0"/>
        <w:spacing w:line="380" w:lineRule="exact"/>
        <w:ind w:firstLine="360" w:firstLineChars="15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期可延长，其延长期与不可抗力影响期相同。</w:t>
      </w:r>
    </w:p>
    <w:p>
      <w:pPr>
        <w:pStyle w:val="3"/>
        <w:keepNext w:val="0"/>
        <w:keepLines w:val="0"/>
        <w:pageBreakBefore w:val="0"/>
        <w:kinsoku/>
        <w:wordWrap/>
        <w:overflowPunct/>
        <w:topLinePunct w:val="0"/>
        <w:bidi w:val="0"/>
        <w:snapToGrid w:val="0"/>
        <w:spacing w:line="38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不可抗力事件发生后，应立即通知对方，并寄送有关权威机构出具的证明。</w:t>
      </w:r>
    </w:p>
    <w:p>
      <w:pPr>
        <w:pStyle w:val="3"/>
        <w:keepNext w:val="0"/>
        <w:keepLines w:val="0"/>
        <w:pageBreakBefore w:val="0"/>
        <w:kinsoku/>
        <w:wordWrap/>
        <w:overflowPunct/>
        <w:topLinePunct w:val="0"/>
        <w:bidi w:val="0"/>
        <w:snapToGrid w:val="0"/>
        <w:spacing w:line="38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不可抗力事件延续120天以上，双方应通过友好协商，确定是否继续履行合</w:t>
      </w:r>
    </w:p>
    <w:p>
      <w:pPr>
        <w:pStyle w:val="3"/>
        <w:keepNext w:val="0"/>
        <w:keepLines w:val="0"/>
        <w:pageBreakBefore w:val="0"/>
        <w:kinsoku/>
        <w:wordWrap/>
        <w:overflowPunct/>
        <w:topLinePunct w:val="0"/>
        <w:bidi w:val="0"/>
        <w:snapToGrid w:val="0"/>
        <w:spacing w:line="380" w:lineRule="exact"/>
        <w:ind w:firstLine="360" w:firstLineChars="150"/>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同。</w:t>
      </w:r>
    </w:p>
    <w:p>
      <w:pPr>
        <w:pStyle w:val="3"/>
        <w:keepNext w:val="0"/>
        <w:keepLines w:val="0"/>
        <w:pageBreakBefore w:val="0"/>
        <w:kinsoku/>
        <w:wordWrap/>
        <w:overflowPunct/>
        <w:topLinePunct w:val="0"/>
        <w:bidi w:val="0"/>
        <w:snapToGrid w:val="0"/>
        <w:spacing w:line="380" w:lineRule="exact"/>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解决争议的方法</w:t>
      </w:r>
    </w:p>
    <w:p>
      <w:pPr>
        <w:pStyle w:val="3"/>
        <w:keepNext w:val="0"/>
        <w:keepLines w:val="0"/>
        <w:pageBreakBefore w:val="0"/>
        <w:kinsoku/>
        <w:wordWrap/>
        <w:overflowPunct/>
        <w:topLinePunct w:val="0"/>
        <w:bidi w:val="0"/>
        <w:snapToGrid w:val="0"/>
        <w:spacing w:line="380" w:lineRule="exact"/>
        <w:textAlignment w:val="auto"/>
        <w:rPr>
          <w:rFonts w:hAnsi="宋体" w:cs="宋体"/>
          <w:color w:val="000000" w:themeColor="text1"/>
          <w:kern w:val="0"/>
          <w:sz w:val="24"/>
          <w:highlight w:val="none"/>
          <w:lang w:bidi="ar"/>
          <w14:textFill>
            <w14:solidFill>
              <w14:schemeClr w14:val="tx1"/>
            </w14:solidFill>
          </w14:textFill>
        </w:rPr>
      </w:pPr>
      <w:r>
        <w:rPr>
          <w:rFonts w:hint="eastAsia" w:hAnsi="宋体" w:cs="宋体"/>
          <w:color w:val="000000" w:themeColor="text1"/>
          <w:kern w:val="0"/>
          <w:sz w:val="24"/>
          <w:highlight w:val="none"/>
          <w:lang w:bidi="ar"/>
          <w14:textFill>
            <w14:solidFill>
              <w14:schemeClr w14:val="tx1"/>
            </w14:solidFill>
          </w14:textFill>
        </w:rPr>
        <w:t xml:space="preserve">1. </w:t>
      </w:r>
      <w:r>
        <w:rPr>
          <w:rFonts w:hAnsi="宋体" w:cs="宋体"/>
          <w:color w:val="000000" w:themeColor="text1"/>
          <w:kern w:val="0"/>
          <w:sz w:val="24"/>
          <w:highlight w:val="none"/>
          <w:lang w:bidi="ar"/>
          <w14:textFill>
            <w14:solidFill>
              <w14:schemeClr w14:val="tx1"/>
            </w14:solidFill>
          </w14:textFill>
        </w:rPr>
        <w:t>如双方在履行合同时发生纠纷，应协商解决；协商不成时，依法向</w:t>
      </w:r>
      <w:r>
        <w:rPr>
          <w:rFonts w:hint="eastAsia" w:hAnsi="宋体" w:cs="宋体"/>
          <w:color w:val="000000" w:themeColor="text1"/>
          <w:kern w:val="0"/>
          <w:sz w:val="24"/>
          <w:highlight w:val="none"/>
          <w:lang w:val="en-US" w:eastAsia="zh-CN" w:bidi="ar"/>
          <w14:textFill>
            <w14:solidFill>
              <w14:schemeClr w14:val="tx1"/>
            </w14:solidFill>
          </w14:textFill>
        </w:rPr>
        <w:t>玉环市</w:t>
      </w:r>
      <w:r>
        <w:rPr>
          <w:rFonts w:hAnsi="宋体" w:cs="宋体"/>
          <w:color w:val="000000" w:themeColor="text1"/>
          <w:kern w:val="0"/>
          <w:sz w:val="24"/>
          <w:highlight w:val="none"/>
          <w:lang w:bidi="ar"/>
          <w14:textFill>
            <w14:solidFill>
              <w14:schemeClr w14:val="tx1"/>
            </w14:solidFill>
          </w14:textFill>
        </w:rPr>
        <w:t>人民法院提起诉讼。</w:t>
      </w:r>
    </w:p>
    <w:p>
      <w:pPr>
        <w:pStyle w:val="3"/>
        <w:keepNext w:val="0"/>
        <w:keepLines w:val="0"/>
        <w:pageBreakBefore w:val="0"/>
        <w:kinsoku/>
        <w:wordWrap/>
        <w:overflowPunct/>
        <w:topLinePunct w:val="0"/>
        <w:bidi w:val="0"/>
        <w:snapToGrid w:val="0"/>
        <w:spacing w:line="380" w:lineRule="exact"/>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、合同生效及其它</w:t>
      </w:r>
    </w:p>
    <w:p>
      <w:pPr>
        <w:pStyle w:val="3"/>
        <w:keepNext w:val="0"/>
        <w:keepLines w:val="0"/>
        <w:pageBreakBefore w:val="0"/>
        <w:kinsoku/>
        <w:wordWrap/>
        <w:overflowPunct/>
        <w:topLinePunct w:val="0"/>
        <w:bidi w:val="0"/>
        <w:snapToGrid w:val="0"/>
        <w:spacing w:line="38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合同经双方法定代表人或授权代表</w:t>
      </w:r>
      <w:r>
        <w:rPr>
          <w:rFonts w:hint="eastAsia" w:hAnsi="宋体"/>
          <w:color w:val="000000" w:themeColor="text1"/>
          <w:sz w:val="24"/>
          <w:highlight w:val="none"/>
          <w:lang w:eastAsia="zh-CN"/>
          <w14:textFill>
            <w14:solidFill>
              <w14:schemeClr w14:val="tx1"/>
            </w14:solidFill>
          </w14:textFill>
        </w:rPr>
        <w:t>签字</w:t>
      </w:r>
      <w:r>
        <w:rPr>
          <w:rFonts w:hAnsi="宋体"/>
          <w:color w:val="000000" w:themeColor="text1"/>
          <w:sz w:val="24"/>
          <w:highlight w:val="none"/>
          <w14:textFill>
            <w14:solidFill>
              <w14:schemeClr w14:val="tx1"/>
            </w14:solidFill>
          </w14:textFill>
        </w:rPr>
        <w:t>并加盖单位公章后生效。</w:t>
      </w:r>
    </w:p>
    <w:p>
      <w:pPr>
        <w:pStyle w:val="3"/>
        <w:keepNext w:val="0"/>
        <w:keepLines w:val="0"/>
        <w:pageBreakBefore w:val="0"/>
        <w:kinsoku/>
        <w:wordWrap/>
        <w:overflowPunct/>
        <w:topLinePunct w:val="0"/>
        <w:bidi w:val="0"/>
        <w:snapToGrid w:val="0"/>
        <w:spacing w:line="380" w:lineRule="exact"/>
        <w:ind w:left="480" w:hanging="480" w:hangingChars="200"/>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2. </w:t>
      </w:r>
      <w:r>
        <w:rPr>
          <w:rFonts w:hAnsi="宋体"/>
          <w:color w:val="000000" w:themeColor="text1"/>
          <w:sz w:val="24"/>
          <w:highlight w:val="none"/>
          <w14:textFill>
            <w14:solidFill>
              <w14:schemeClr w14:val="tx1"/>
            </w14:solidFill>
          </w14:textFill>
        </w:rPr>
        <w:t>本合同未尽事宜，遵照《</w:t>
      </w:r>
      <w:r>
        <w:rPr>
          <w:rFonts w:hint="eastAsia" w:hAnsi="宋体"/>
          <w:color w:val="000000" w:themeColor="text1"/>
          <w:sz w:val="24"/>
          <w:highlight w:val="none"/>
          <w:lang w:val="en-US" w:eastAsia="zh-CN"/>
          <w14:textFill>
            <w14:solidFill>
              <w14:schemeClr w14:val="tx1"/>
            </w14:solidFill>
          </w14:textFill>
        </w:rPr>
        <w:t>民法典</w:t>
      </w:r>
      <w:r>
        <w:rPr>
          <w:rFonts w:hAnsi="宋体"/>
          <w:color w:val="000000" w:themeColor="text1"/>
          <w:sz w:val="24"/>
          <w:highlight w:val="none"/>
          <w14:textFill>
            <w14:solidFill>
              <w14:schemeClr w14:val="tx1"/>
            </w14:solidFill>
          </w14:textFill>
        </w:rPr>
        <w:t>》有关条文执行。</w:t>
      </w:r>
    </w:p>
    <w:p>
      <w:pPr>
        <w:keepNext w:val="0"/>
        <w:keepLines w:val="0"/>
        <w:pageBreakBefore w:val="0"/>
        <w:widowControl/>
        <w:kinsoku/>
        <w:wordWrap/>
        <w:overflowPunct/>
        <w:topLinePunct w:val="0"/>
        <w:bidi w:val="0"/>
        <w:spacing w:line="38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本合同一式四份。甲、乙双方各执</w:t>
      </w:r>
      <w:r>
        <w:rPr>
          <w:rFonts w:hint="eastAsia" w:ascii="宋体" w:hAnsi="宋体"/>
          <w:color w:val="000000" w:themeColor="text1"/>
          <w:sz w:val="24"/>
          <w:highlight w:val="none"/>
          <w:lang w:val="en-US" w:eastAsia="zh-CN"/>
          <w14:textFill>
            <w14:solidFill>
              <w14:schemeClr w14:val="tx1"/>
            </w14:solidFill>
          </w14:textFill>
        </w:rPr>
        <w:t>两</w:t>
      </w:r>
      <w:r>
        <w:rPr>
          <w:rFonts w:hint="eastAsia" w:ascii="宋体" w:hAnsi="宋体"/>
          <w:color w:val="000000" w:themeColor="text1"/>
          <w:sz w:val="24"/>
          <w:highlight w:val="none"/>
          <w14:textFill>
            <w14:solidFill>
              <w14:schemeClr w14:val="tx1"/>
            </w14:solidFill>
          </w14:textFill>
        </w:rPr>
        <w:t>份。本项目未尽事宜以磋商采购文件、磋商响应文件及澄清文件等为准。</w:t>
      </w:r>
    </w:p>
    <w:p>
      <w:pPr>
        <w:keepNext w:val="0"/>
        <w:keepLines w:val="0"/>
        <w:pageBreakBefore w:val="0"/>
        <w:widowControl/>
        <w:kinsoku/>
        <w:wordWrap/>
        <w:overflowPunct/>
        <w:topLinePunct w:val="0"/>
        <w:bidi w:val="0"/>
        <w:spacing w:line="380" w:lineRule="exact"/>
        <w:textAlignment w:val="auto"/>
        <w:rPr>
          <w:rFonts w:ascii="宋体" w:hAnsi="宋体"/>
          <w:b/>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8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甲方（公章）                                     乙方（公章）</w:t>
      </w:r>
    </w:p>
    <w:p>
      <w:pPr>
        <w:keepNext w:val="0"/>
        <w:keepLines w:val="0"/>
        <w:pageBreakBefore w:val="0"/>
        <w:kinsoku/>
        <w:wordWrap/>
        <w:overflowPunct/>
        <w:topLinePunct w:val="0"/>
        <w:bidi w:val="0"/>
        <w:spacing w:line="38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pPr>
        <w:keepNext w:val="0"/>
        <w:keepLines w:val="0"/>
        <w:pageBreakBefore w:val="0"/>
        <w:kinsoku/>
        <w:wordWrap/>
        <w:overflowPunct/>
        <w:topLinePunct w:val="0"/>
        <w:bidi w:val="0"/>
        <w:spacing w:line="38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pPr>
        <w:keepNext w:val="0"/>
        <w:keepLines w:val="0"/>
        <w:pageBreakBefore w:val="0"/>
        <w:kinsoku/>
        <w:wordWrap/>
        <w:overflowPunct/>
        <w:topLinePunct w:val="0"/>
        <w:bidi w:val="0"/>
        <w:spacing w:line="38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pPr>
        <w:keepNext w:val="0"/>
        <w:keepLines w:val="0"/>
        <w:pageBreakBefore w:val="0"/>
        <w:kinsoku/>
        <w:wordWrap/>
        <w:overflowPunct/>
        <w:topLinePunct w:val="0"/>
        <w:bidi w:val="0"/>
        <w:spacing w:line="38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pPr>
        <w:keepNext w:val="0"/>
        <w:keepLines w:val="0"/>
        <w:pageBreakBefore w:val="0"/>
        <w:kinsoku/>
        <w:wordWrap/>
        <w:overflowPunct/>
        <w:topLinePunct w:val="0"/>
        <w:bidi w:val="0"/>
        <w:spacing w:line="38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pPr>
        <w:keepNext w:val="0"/>
        <w:keepLines w:val="0"/>
        <w:pageBreakBefore w:val="0"/>
        <w:kinsoku/>
        <w:wordWrap/>
        <w:overflowPunct/>
        <w:topLinePunct w:val="0"/>
        <w:bidi w:val="0"/>
        <w:spacing w:line="38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pPr>
        <w:keepNext w:val="0"/>
        <w:keepLines w:val="0"/>
        <w:pageBreakBefore w:val="0"/>
        <w:kinsoku/>
        <w:wordWrap/>
        <w:overflowPunct/>
        <w:topLinePunct w:val="0"/>
        <w:bidi w:val="0"/>
        <w:spacing w:line="380" w:lineRule="exact"/>
        <w:textAlignment w:val="auto"/>
        <w:rPr>
          <w:rFonts w:ascii="宋体" w:hAnsi="宋体"/>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80" w:lineRule="exact"/>
        <w:ind w:firstLine="4920" w:firstLineChars="205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签订时间：    年   月    日</w:t>
      </w:r>
    </w:p>
    <w:p>
      <w:pPr>
        <w:keepNext w:val="0"/>
        <w:keepLines w:val="0"/>
        <w:pageBreakBefore w:val="0"/>
        <w:kinsoku/>
        <w:wordWrap/>
        <w:overflowPunct/>
        <w:topLinePunct w:val="0"/>
        <w:autoSpaceDE w:val="0"/>
        <w:autoSpaceDN w:val="0"/>
        <w:bidi w:val="0"/>
        <w:adjustRightInd w:val="0"/>
        <w:spacing w:line="400" w:lineRule="exact"/>
        <w:textAlignment w:val="auto"/>
        <w:rPr>
          <w:rFonts w:ascii="宋体" w:hAnsi="宋体"/>
          <w:b/>
          <w:color w:val="000000" w:themeColor="text1"/>
          <w:kern w:val="0"/>
          <w:sz w:val="24"/>
          <w:highlight w:val="none"/>
          <w14:textFill>
            <w14:solidFill>
              <w14:schemeClr w14:val="tx1"/>
            </w14:solidFill>
          </w14:textFill>
        </w:rPr>
      </w:pPr>
    </w:p>
    <w:p>
      <w:pPr>
        <w:keepNext w:val="0"/>
        <w:keepLines w:val="0"/>
        <w:pageBreakBefore w:val="0"/>
        <w:kinsoku/>
        <w:wordWrap/>
        <w:overflowPunct/>
        <w:topLinePunct w:val="0"/>
        <w:bidi w:val="0"/>
        <w:spacing w:line="400" w:lineRule="exact"/>
        <w:jc w:val="center"/>
        <w:textAlignment w:val="auto"/>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专用条款</w:t>
      </w:r>
    </w:p>
    <w:p>
      <w:pPr>
        <w:keepNext w:val="0"/>
        <w:keepLines w:val="0"/>
        <w:pageBreakBefore w:val="0"/>
        <w:kinsoku/>
        <w:wordWrap/>
        <w:overflowPunct/>
        <w:topLinePunct w:val="0"/>
        <w:bidi w:val="0"/>
        <w:spacing w:line="400" w:lineRule="exact"/>
        <w:jc w:val="lef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pPr>
        <w:keepNext w:val="0"/>
        <w:keepLines w:val="0"/>
        <w:pageBreakBefore w:val="0"/>
        <w:kinsoku/>
        <w:wordWrap/>
        <w:overflowPunct/>
        <w:topLinePunct w:val="0"/>
        <w:bidi w:val="0"/>
        <w:spacing w:line="400" w:lineRule="exact"/>
        <w:jc w:val="left"/>
        <w:textAlignment w:val="auto"/>
        <w:rPr>
          <w:rFonts w:ascii="宋体" w:hAnsi="宋体"/>
          <w:color w:val="000000" w:themeColor="text1"/>
          <w:sz w:val="24"/>
          <w:szCs w:val="24"/>
          <w:highlight w:val="none"/>
          <w14:textFill>
            <w14:solidFill>
              <w14:schemeClr w14:val="tx1"/>
            </w14:solidFill>
          </w14:textFill>
        </w:rPr>
      </w:pPr>
    </w:p>
    <w:p>
      <w:pPr>
        <w:keepNext w:val="0"/>
        <w:keepLines w:val="0"/>
        <w:pageBreakBefore w:val="0"/>
        <w:tabs>
          <w:tab w:val="left" w:pos="1069"/>
        </w:tabs>
        <w:kinsoku/>
        <w:wordWrap/>
        <w:overflowPunct/>
        <w:topLinePunct w:val="0"/>
        <w:bidi w:val="0"/>
        <w:spacing w:line="400" w:lineRule="exact"/>
        <w:textAlignment w:val="auto"/>
        <w:rPr>
          <w:rFonts w:ascii="宋体"/>
          <w:color w:val="000000" w:themeColor="text1"/>
          <w:sz w:val="22"/>
          <w:highlight w:val="none"/>
          <w14:textFill>
            <w14:solidFill>
              <w14:schemeClr w14:val="tx1"/>
            </w14:solidFill>
          </w14:textFill>
        </w:rPr>
      </w:pPr>
    </w:p>
    <w:p>
      <w:pPr>
        <w:pStyle w:val="6"/>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第六章：响应文件格式附件</w:t>
      </w:r>
    </w:p>
    <w:p>
      <w:pPr>
        <w:pStyle w:val="7"/>
        <w:keepNext/>
        <w:keepLines/>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8"/>
          <w:highlight w:val="none"/>
          <w14:textFill>
            <w14:solidFill>
              <w14:schemeClr w14:val="tx1"/>
            </w14:solidFill>
          </w14:textFill>
        </w:rPr>
        <w:t xml:space="preserve">        </w:t>
      </w:r>
    </w:p>
    <w:p>
      <w:pPr>
        <w:spacing w:line="360" w:lineRule="auto"/>
        <w:ind w:right="-514" w:rightChars="0"/>
        <w:jc w:val="center"/>
        <w:rPr>
          <w:rFonts w:hint="eastAsia" w:ascii="宋体" w:hAnsi="宋体" w:eastAsia="宋体" w:cs="宋体"/>
          <w:color w:val="000000" w:themeColor="text1"/>
          <w:spacing w:val="40"/>
          <w:sz w:val="48"/>
          <w:szCs w:val="48"/>
          <w:highlight w:val="none"/>
          <w:lang w:eastAsia="zh-CN"/>
          <w14:textFill>
            <w14:solidFill>
              <w14:schemeClr w14:val="tx1"/>
            </w14:solidFill>
          </w14:textFill>
        </w:rPr>
      </w:pPr>
      <w:r>
        <w:rPr>
          <w:rFonts w:hint="eastAsia" w:ascii="宋体" w:hAnsi="宋体" w:cs="宋体"/>
          <w:color w:val="000000" w:themeColor="text1"/>
          <w:spacing w:val="40"/>
          <w:sz w:val="48"/>
          <w:szCs w:val="48"/>
          <w:highlight w:val="none"/>
          <w:lang w:eastAsia="zh-CN"/>
          <w14:textFill>
            <w14:solidFill>
              <w14:schemeClr w14:val="tx1"/>
            </w14:solidFill>
          </w14:textFill>
        </w:rPr>
        <w:t>新能源汽车橡胶零件行业中小企业轻量级数字化改造项目</w:t>
      </w:r>
    </w:p>
    <w:p>
      <w:pPr>
        <w:spacing w:before="312" w:beforeLines="100" w:line="360" w:lineRule="auto"/>
        <w:ind w:right="-108" w:firstLine="1800" w:firstLineChars="5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eastAsia="宋体" w:cs="宋体"/>
          <w:color w:val="000000" w:themeColor="text1"/>
          <w:sz w:val="36"/>
          <w:szCs w:val="36"/>
          <w:highlight w:val="none"/>
          <w:u w:val="single"/>
          <w14:textFill>
            <w14:solidFill>
              <w14:schemeClr w14:val="tx1"/>
            </w14:solidFill>
          </w14:textFill>
        </w:rPr>
        <w:t>HQ-YHZFCG-2024-0502</w:t>
      </w:r>
    </w:p>
    <w:p>
      <w:pPr>
        <w:spacing w:before="312" w:beforeLines="100" w:line="240" w:lineRule="atLeast"/>
        <w:ind w:right="-108"/>
        <w:jc w:val="center"/>
        <w:rPr>
          <w:rFonts w:hint="eastAsia" w:ascii="宋体" w:hAnsi="宋体" w:eastAsia="宋体" w:cs="宋体"/>
          <w:color w:val="000000" w:themeColor="text1"/>
          <w:sz w:val="32"/>
          <w:szCs w:val="32"/>
          <w:highlight w:val="none"/>
          <w14:textFill>
            <w14:solidFill>
              <w14:schemeClr w14:val="tx1"/>
            </w14:solidFill>
          </w14:textFill>
        </w:rPr>
      </w:pP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磋</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商</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响</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应</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文</w:t>
      </w:r>
    </w:p>
    <w:p>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件</w:t>
      </w:r>
    </w:p>
    <w:p>
      <w:pPr>
        <w:spacing w:line="500" w:lineRule="exact"/>
        <w:ind w:right="532" w:firstLine="720" w:firstLineChars="2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供应商全称（公章）：</w:t>
      </w:r>
    </w:p>
    <w:p>
      <w:pPr>
        <w:wordWrap w:val="0"/>
        <w:spacing w:line="500" w:lineRule="exact"/>
        <w:ind w:right="-108" w:firstLine="720" w:firstLineChars="2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    址：</w:t>
      </w:r>
    </w:p>
    <w:p>
      <w:pPr>
        <w:wordWrap w:val="0"/>
        <w:spacing w:line="500" w:lineRule="exact"/>
        <w:ind w:right="-108" w:firstLine="720" w:firstLineChars="2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    间：</w:t>
      </w:r>
    </w:p>
    <w:p>
      <w:pPr>
        <w:snapToGrid w:val="0"/>
        <w:spacing w:before="50" w:after="5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napToGrid w:val="0"/>
        <w:spacing w:before="50" w:after="5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磋商响应文件目录</w:t>
      </w:r>
    </w:p>
    <w:p>
      <w:pPr>
        <w:snapToGrid w:val="0"/>
        <w:spacing w:before="50" w:after="50" w:line="360" w:lineRule="auto"/>
        <w:ind w:firstLine="422" w:firstLineChars="15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第一部分：资格证明部分</w:t>
      </w:r>
    </w:p>
    <w:p>
      <w:pPr>
        <w:numPr>
          <w:ilvl w:val="0"/>
          <w:numId w:val="6"/>
        </w:numPr>
        <w:snapToGrid w:val="0"/>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磋商声明书（附件2）</w:t>
      </w:r>
      <w:r>
        <w:rPr>
          <w:rFonts w:hint="eastAsia" w:ascii="宋体" w:hAnsi="宋体" w:cs="宋体"/>
          <w:color w:val="000000" w:themeColor="text1"/>
          <w:sz w:val="24"/>
          <w:highlight w:val="none"/>
          <w:lang w:eastAsia="zh-CN"/>
          <w14:textFill>
            <w14:solidFill>
              <w14:schemeClr w14:val="tx1"/>
            </w14:solidFill>
          </w14:textFill>
        </w:rPr>
        <w:t>；</w:t>
      </w:r>
    </w:p>
    <w:p>
      <w:pPr>
        <w:numPr>
          <w:ilvl w:val="0"/>
          <w:numId w:val="6"/>
        </w:num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授权委托书（附件3）</w:t>
      </w:r>
      <w:r>
        <w:rPr>
          <w:rFonts w:hint="eastAsia" w:ascii="宋体" w:hAnsi="宋体" w:cs="宋体"/>
          <w:bCs/>
          <w:color w:val="000000" w:themeColor="text1"/>
          <w:sz w:val="24"/>
          <w:highlight w:val="none"/>
          <w:lang w:eastAsia="zh-CN"/>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3、法人或者其他组织的营业执照等证明文件，自然人的身份证明</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财务状况报告，依法缴纳税收和社会保障资金的相关材料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允许采用承诺函形式</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5、具备履行合同所必需的设备和专业技术能力的证明材料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允许采用承诺函形式</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6、本项目要求的特定资质证书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7、中小企业声明函（服务）（附件13）</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22" w:firstLineChars="15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eastAsia="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供应商情况介绍（附件4）</w:t>
      </w:r>
      <w:r>
        <w:rPr>
          <w:rFonts w:hint="eastAsia" w:ascii="宋体" w:hAnsi="宋体" w:cs="宋体"/>
          <w:color w:val="000000" w:themeColor="text1"/>
          <w:kern w:val="0"/>
          <w:sz w:val="24"/>
          <w:highlight w:val="none"/>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2、项目实施人员一览表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项目负责人资格情况表(附件5、附件6)； </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3、商务及技术响应表</w:t>
      </w:r>
      <w:r>
        <w:rPr>
          <w:rFonts w:hint="eastAsia" w:ascii="宋体" w:hAnsi="宋体" w:eastAsia="宋体" w:cs="宋体"/>
          <w:color w:val="000000" w:themeColor="text1"/>
          <w:sz w:val="24"/>
          <w:highlight w:val="none"/>
          <w14:textFill>
            <w14:solidFill>
              <w14:schemeClr w14:val="tx1"/>
            </w14:solidFill>
          </w14:textFill>
        </w:rPr>
        <w:t>（附件7）；</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4、证书一览表（附件8）；</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类似项目业绩一览表</w:t>
      </w:r>
      <w:r>
        <w:rPr>
          <w:rFonts w:hint="eastAsia" w:ascii="宋体" w:hAnsi="宋体" w:eastAsia="宋体" w:cs="宋体"/>
          <w:color w:val="000000" w:themeColor="text1"/>
          <w:kern w:val="0"/>
          <w:sz w:val="24"/>
          <w:highlight w:val="none"/>
          <w14:textFill>
            <w14:solidFill>
              <w14:schemeClr w14:val="tx1"/>
            </w14:solidFill>
          </w14:textFill>
        </w:rPr>
        <w:t>（附件9）</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售后服务措施及承诺</w:t>
      </w:r>
      <w:r>
        <w:rPr>
          <w:rFonts w:hint="eastAsia" w:ascii="宋体" w:hAnsi="宋体" w:eastAsia="宋体" w:cs="宋体"/>
          <w:color w:val="000000" w:themeColor="text1"/>
          <w:kern w:val="0"/>
          <w:sz w:val="24"/>
          <w:highlight w:val="none"/>
          <w14:textFill>
            <w14:solidFill>
              <w14:schemeClr w14:val="tx1"/>
            </w14:solidFill>
          </w14:textFill>
        </w:rPr>
        <w:t>（附件10）；</w:t>
      </w:r>
    </w:p>
    <w:p>
      <w:pPr>
        <w:spacing w:line="360" w:lineRule="auto"/>
        <w:ind w:right="-108" w:firstLine="422"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第三部分 ：</w:t>
      </w:r>
      <w:r>
        <w:rPr>
          <w:rFonts w:hint="eastAsia" w:ascii="宋体" w:hAnsi="宋体" w:eastAsia="宋体" w:cs="宋体"/>
          <w:b/>
          <w:color w:val="000000" w:themeColor="text1"/>
          <w:sz w:val="28"/>
          <w:szCs w:val="28"/>
          <w:highlight w:val="none"/>
          <w14:textFill>
            <w14:solidFill>
              <w14:schemeClr w14:val="tx1"/>
            </w14:solidFill>
          </w14:textFill>
        </w:rPr>
        <w:t>报价</w:t>
      </w:r>
      <w:r>
        <w:rPr>
          <w:rFonts w:hint="eastAsia" w:ascii="宋体" w:hAnsi="宋体" w:eastAsia="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1、首次报价一览表（附件11）；</w:t>
      </w:r>
    </w:p>
    <w:p>
      <w:pPr>
        <w:pStyle w:val="20"/>
        <w:snapToGrid w:val="0"/>
        <w:spacing w:line="360" w:lineRule="auto"/>
        <w:ind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2、报价明细表（附件12）；</w:t>
      </w:r>
    </w:p>
    <w:p>
      <w:pPr>
        <w:spacing w:line="360" w:lineRule="auto"/>
        <w:ind w:left="216" w:leftChars="103" w:right="-108" w:firstLine="202" w:firstLineChars="7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第四部分 ：</w:t>
      </w:r>
      <w:r>
        <w:rPr>
          <w:rFonts w:hint="eastAsia" w:ascii="宋体" w:hAnsi="宋体" w:eastAsia="宋体" w:cs="宋体"/>
          <w:b/>
          <w:color w:val="000000" w:themeColor="text1"/>
          <w:sz w:val="28"/>
          <w:szCs w:val="28"/>
          <w:highlight w:val="none"/>
          <w14:textFill>
            <w14:solidFill>
              <w14:schemeClr w14:val="tx1"/>
            </w14:solidFill>
          </w14:textFill>
        </w:rPr>
        <w:t>其他</w:t>
      </w:r>
      <w:r>
        <w:rPr>
          <w:rFonts w:hint="eastAsia" w:ascii="宋体" w:hAnsi="宋体" w:eastAsia="宋体" w:cs="宋体"/>
          <w:b/>
          <w:bCs/>
          <w:color w:val="000000" w:themeColor="text1"/>
          <w:sz w:val="28"/>
          <w:szCs w:val="28"/>
          <w:highlight w:val="none"/>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1、针对磋商，响应供应商认为其他需要说明的；</w:t>
      </w:r>
    </w:p>
    <w:p>
      <w:pPr>
        <w:snapToGrid w:val="0"/>
        <w:spacing w:line="360" w:lineRule="auto"/>
        <w:ind w:left="837" w:leftChars="223" w:hanging="369" w:hangingChars="154"/>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（以上内容具体描述详见“第二章 供应商须知”中“二、磋商响应文件”的组成说明）</w:t>
      </w:r>
    </w:p>
    <w:p>
      <w:pPr>
        <w:pStyle w:val="4"/>
        <w:rPr>
          <w:rFonts w:hint="eastAsia" w:ascii="宋体" w:hAnsi="宋体" w:eastAsia="宋体" w:cs="宋体"/>
          <w:color w:val="000000" w:themeColor="text1"/>
          <w:szCs w:val="21"/>
          <w:highlight w:val="none"/>
          <w14:textFill>
            <w14:solidFill>
              <w14:schemeClr w14:val="tx1"/>
            </w14:solidFill>
          </w14:textFill>
        </w:rPr>
      </w:pPr>
    </w:p>
    <w:p>
      <w:pPr>
        <w:pStyle w:val="4"/>
        <w:ind w:firstLine="3373" w:firstLineChars="1200"/>
        <w:rPr>
          <w:rFonts w:hint="eastAsia" w:ascii="宋体" w:hAnsi="宋体" w:eastAsia="宋体" w:cs="宋体"/>
          <w:b/>
          <w:color w:val="000000" w:themeColor="text1"/>
          <w:sz w:val="28"/>
          <w:highlight w:val="none"/>
          <w14:textFill>
            <w14:solidFill>
              <w14:schemeClr w14:val="tx1"/>
            </w14:solidFill>
          </w14:textFill>
        </w:rPr>
      </w:pPr>
    </w:p>
    <w:p>
      <w:pPr>
        <w:pStyle w:val="4"/>
        <w:ind w:firstLine="3373" w:firstLineChars="120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目录索引</w:t>
      </w:r>
    </w:p>
    <w:tbl>
      <w:tblPr>
        <w:tblStyle w:val="36"/>
        <w:tblW w:w="9653" w:type="dxa"/>
        <w:tblInd w:w="-277" w:type="dxa"/>
        <w:tblLayout w:type="fixed"/>
        <w:tblCellMar>
          <w:top w:w="0" w:type="dxa"/>
          <w:left w:w="108" w:type="dxa"/>
          <w:bottom w:w="0" w:type="dxa"/>
          <w:right w:w="108" w:type="dxa"/>
        </w:tblCellMar>
      </w:tblPr>
      <w:tblGrid>
        <w:gridCol w:w="810"/>
        <w:gridCol w:w="1390"/>
        <w:gridCol w:w="4753"/>
        <w:gridCol w:w="900"/>
        <w:gridCol w:w="900"/>
        <w:gridCol w:w="900"/>
      </w:tblGrid>
      <w:tr>
        <w:tblPrEx>
          <w:tblCellMar>
            <w:top w:w="0" w:type="dxa"/>
            <w:left w:w="108" w:type="dxa"/>
            <w:bottom w:w="0" w:type="dxa"/>
            <w:right w:w="108" w:type="dxa"/>
          </w:tblCellMar>
        </w:tblPrEx>
        <w:trPr>
          <w:trHeight w:val="3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序号</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评审因素</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评审标准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bidi="ar"/>
                <w14:textFill>
                  <w14:solidFill>
                    <w14:schemeClr w14:val="tx1"/>
                  </w14:solidFill>
                </w14:textFill>
              </w:rPr>
              <w:t>分值</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自评分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页码</w:t>
            </w:r>
          </w:p>
        </w:tc>
      </w:tr>
      <w:tr>
        <w:tblPrEx>
          <w:tblCellMar>
            <w:top w:w="0" w:type="dxa"/>
            <w:left w:w="108" w:type="dxa"/>
            <w:bottom w:w="0" w:type="dxa"/>
            <w:right w:w="108" w:type="dxa"/>
          </w:tblCellMar>
        </w:tblPrEx>
        <w:trPr>
          <w:trHeight w:val="9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p>
        </w:tc>
        <w:tc>
          <w:tcPr>
            <w:tcW w:w="1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资信及履约能力</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投标人具有有效的质量管理体系认证、信息安全管理体系认证每有一项的得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注：需提供有效证书原件的扫描件。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通过软件CMMI3级及以上</w:t>
            </w:r>
            <w:r>
              <w:rPr>
                <w:rFonts w:hint="eastAsia" w:ascii="宋体" w:hAnsi="宋体" w:eastAsia="宋体" w:cs="宋体"/>
                <w:color w:val="000000" w:themeColor="text1"/>
                <w:sz w:val="24"/>
                <w:szCs w:val="24"/>
                <w:highlight w:val="none"/>
                <w14:textFill>
                  <w14:solidFill>
                    <w14:schemeClr w14:val="tx1"/>
                  </w14:solidFill>
                </w14:textFill>
              </w:rPr>
              <w:t>认证的得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注：需提供有效证书（或通知文件）扫描件。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872"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所提供</w:t>
            </w:r>
            <w:r>
              <w:rPr>
                <w:rFonts w:hint="eastAsia" w:ascii="宋体" w:hAnsi="宋体" w:eastAsia="宋体" w:cs="宋体"/>
                <w:color w:val="000000" w:themeColor="text1"/>
                <w:sz w:val="24"/>
                <w:szCs w:val="24"/>
                <w:highlight w:val="none"/>
                <w14:textFill>
                  <w14:solidFill>
                    <w14:schemeClr w14:val="tx1"/>
                  </w14:solidFill>
                </w14:textFill>
              </w:rPr>
              <w:t>的软件通过软件产品认证</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的每个产品</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snapToGrid/>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注：需提供有效证书原件的扫描件。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142"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投标人所实施的软件通过信息系统安全等级保护</w:t>
            </w:r>
            <w:r>
              <w:rPr>
                <w:rFonts w:hint="eastAsia" w:ascii="宋体" w:hAnsi="宋体" w:eastAsia="宋体" w:cs="宋体"/>
                <w:color w:val="000000" w:themeColor="text1"/>
                <w:sz w:val="24"/>
                <w:szCs w:val="24"/>
                <w:highlight w:val="none"/>
                <w:lang w:val="en-US" w:eastAsia="zh-CN"/>
                <w14:textFill>
                  <w14:solidFill>
                    <w14:schemeClr w14:val="tx1"/>
                  </w14:solidFill>
                </w14:textFill>
              </w:rPr>
              <w:t>二级及以上</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备案证明</w:t>
            </w:r>
            <w:r>
              <w:rPr>
                <w:rFonts w:hint="eastAsia" w:ascii="宋体" w:hAnsi="宋体" w:eastAsia="宋体" w:cs="宋体"/>
                <w:color w:val="000000" w:themeColor="text1"/>
                <w:sz w:val="24"/>
                <w:szCs w:val="24"/>
                <w:highlight w:val="none"/>
                <w14:textFill>
                  <w14:solidFill>
                    <w14:schemeClr w14:val="tx1"/>
                  </w14:solidFill>
                </w14:textFill>
              </w:rPr>
              <w:t>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0-3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spacing w:line="36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845"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获得</w:t>
            </w:r>
            <w:r>
              <w:rPr>
                <w:rFonts w:hint="eastAsia" w:ascii="宋体" w:hAnsi="宋体" w:eastAsia="宋体" w:cs="宋体"/>
                <w:color w:val="000000" w:themeColor="text1"/>
                <w:sz w:val="24"/>
                <w:szCs w:val="24"/>
                <w:highlight w:val="none"/>
                <w14:textFill>
                  <w14:solidFill>
                    <w14:schemeClr w14:val="tx1"/>
                  </w14:solidFill>
                </w14:textFill>
              </w:rPr>
              <w:t>省级</w:t>
            </w:r>
            <w:r>
              <w:rPr>
                <w:rFonts w:hint="eastAsia" w:ascii="宋体" w:hAnsi="宋体" w:eastAsia="宋体" w:cs="宋体"/>
                <w:color w:val="000000" w:themeColor="text1"/>
                <w:sz w:val="24"/>
                <w:szCs w:val="24"/>
                <w:highlight w:val="none"/>
                <w:lang w:val="en-US" w:eastAsia="zh-CN"/>
                <w14:textFill>
                  <w14:solidFill>
                    <w14:schemeClr w14:val="tx1"/>
                  </w14:solidFill>
                </w14:textFill>
              </w:rPr>
              <w:t>及以上“专精特新”中小企业</w:t>
            </w:r>
            <w:r>
              <w:rPr>
                <w:rFonts w:hint="eastAsia" w:ascii="宋体" w:hAnsi="宋体" w:eastAsia="宋体" w:cs="宋体"/>
                <w:color w:val="000000" w:themeColor="text1"/>
                <w:sz w:val="24"/>
                <w:szCs w:val="24"/>
                <w:highlight w:val="none"/>
                <w14:textFill>
                  <w14:solidFill>
                    <w14:schemeClr w14:val="tx1"/>
                  </w14:solidFill>
                </w14:textFill>
              </w:rPr>
              <w:t>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注：需提供有效证书原件（或通知文件）的扫描件。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105"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投标人获得省级</w:t>
            </w:r>
            <w:r>
              <w:rPr>
                <w:rFonts w:hint="eastAsia" w:ascii="宋体" w:hAnsi="宋体" w:eastAsia="宋体" w:cs="宋体"/>
                <w:color w:val="000000" w:themeColor="text1"/>
                <w:sz w:val="24"/>
                <w:szCs w:val="24"/>
                <w:highlight w:val="none"/>
                <w:lang w:val="en-US" w:eastAsia="zh-CN"/>
                <w14:textFill>
                  <w14:solidFill>
                    <w14:schemeClr w14:val="tx1"/>
                  </w14:solidFill>
                </w14:textFill>
              </w:rPr>
              <w:t>及以上</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首台套</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首版次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认定的每个产品得3分，最多得6分。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注：需提供有效证书原件（或通知文件）的扫描件。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58" w:hRule="atLeast"/>
        </w:trPr>
        <w:tc>
          <w:tcPr>
            <w:tcW w:w="81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2</w:t>
            </w:r>
          </w:p>
        </w:tc>
        <w:tc>
          <w:tcPr>
            <w:tcW w:w="139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知识产权</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投标人具有国家知识产权局或国家版权局颁发的专利证书和计算机软件著作权登记证书30项（含）以上的得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0项以下</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得1分；没有则不得分；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58" w:hRule="atLeast"/>
        </w:trPr>
        <w:tc>
          <w:tcPr>
            <w:tcW w:w="81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p>
        </w:tc>
        <w:tc>
          <w:tcPr>
            <w:tcW w:w="139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投标人有可扩展的“产品生命周期管理(PLM)”、“制造执行系统(MES)”、“仓储管理系统(WMS)”、“供应链管理系统(SCM)”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自动排产系统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APS</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、“数据中心管理软件”</w:t>
            </w:r>
            <w:r>
              <w:rPr>
                <w:rFonts w:hint="eastAsia" w:ascii="宋体" w:hAnsi="宋体" w:eastAsia="宋体" w:cs="宋体"/>
                <w:color w:val="000000" w:themeColor="text1"/>
                <w:sz w:val="24"/>
                <w:szCs w:val="24"/>
                <w:highlight w:val="none"/>
                <w14:textFill>
                  <w14:solidFill>
                    <w14:schemeClr w14:val="tx1"/>
                  </w14:solidFill>
                </w14:textFill>
              </w:rPr>
              <w:t>软件产品著作权登记证书，每项得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3</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团队人员情况</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根据投标人拟派项目团队的人员情况（如人数、职称等）进行综合评分。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项目人员配备齐全、分工明确，贴合项目采购要求的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项目人员配备基本齐全、分工基本明确，基本贴合项目采购要求的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项目人员配备不够齐全、分工不够明确，不够贴合项目采购要求的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不满足</w:t>
            </w:r>
            <w:r>
              <w:rPr>
                <w:rFonts w:hint="eastAsia" w:ascii="宋体" w:hAnsi="宋体" w:eastAsia="宋体" w:cs="宋体"/>
                <w:color w:val="000000" w:themeColor="text1"/>
                <w:sz w:val="24"/>
                <w:szCs w:val="24"/>
                <w:highlight w:val="none"/>
                <w14:textFill>
                  <w14:solidFill>
                    <w14:schemeClr w14:val="tx1"/>
                  </w14:solidFill>
                </w14:textFill>
              </w:rPr>
              <w:t>的不得分。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出具项目团队</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人员</w:t>
            </w:r>
            <w:r>
              <w:rPr>
                <w:rFonts w:hint="eastAsia" w:ascii="宋体" w:hAnsi="宋体" w:eastAsia="宋体" w:cs="宋体"/>
                <w:color w:val="000000" w:themeColor="text1"/>
                <w:sz w:val="24"/>
                <w:szCs w:val="24"/>
                <w:highlight w:val="none"/>
                <w14:textFill>
                  <w14:solidFill>
                    <w14:schemeClr w14:val="tx1"/>
                  </w14:solidFill>
                </w14:textFill>
              </w:rPr>
              <w:t>的单位社保</w:t>
            </w:r>
            <w:r>
              <w:rPr>
                <w:rFonts w:hint="eastAsia" w:ascii="宋体" w:hAnsi="宋体" w:eastAsia="宋体" w:cs="宋体"/>
                <w:color w:val="000000" w:themeColor="text1"/>
                <w:sz w:val="24"/>
                <w:szCs w:val="24"/>
                <w:highlight w:val="none"/>
                <w:lang w:val="en-US" w:eastAsia="zh-CN"/>
                <w14:textFill>
                  <w14:solidFill>
                    <w14:schemeClr w14:val="tx1"/>
                  </w14:solidFill>
                </w14:textFill>
              </w:rPr>
              <w:t>缴纳</w:t>
            </w:r>
            <w:r>
              <w:rPr>
                <w:rFonts w:hint="eastAsia" w:ascii="宋体" w:hAnsi="宋体" w:eastAsia="宋体" w:cs="宋体"/>
                <w:color w:val="000000" w:themeColor="text1"/>
                <w:sz w:val="24"/>
                <w:szCs w:val="24"/>
                <w:highlight w:val="none"/>
                <w14:textFill>
                  <w14:solidFill>
                    <w14:schemeClr w14:val="tx1"/>
                  </w14:solidFill>
                </w14:textFill>
              </w:rPr>
              <w:t>明细清单。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项目需求理解</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根据投标人对本项目需求理解的深度进行综合评分。</w:t>
            </w:r>
          </w:p>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全面掌握、理解深刻、工作任务明确的得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基本掌握、理解基本准确、工作任务部分明确的得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掌握不全、理解程度简单、工作任务片面的得</w:t>
            </w:r>
            <w:r>
              <w:rPr>
                <w:rFonts w:hint="eastAsia" w:ascii="宋体" w:hAnsi="宋体" w:cs="宋体"/>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应用场景</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根据投标人针对采购执行管理的应用场景功能是否契合、合理、可行进行综合评分。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408"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6</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销售</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应用场景</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根据投标人针对销售执行管理的应用场景功能是否契合、合理、可行进行综合评分。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7</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仓库</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应用场景</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根据投标人对仓库执行管理的应用场景功能是否契合、合理、可行进行的综合评分。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8</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生产</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color w:val="000000" w:themeColor="text1"/>
                <w:sz w:val="24"/>
                <w:szCs w:val="24"/>
                <w:highlight w:val="none"/>
                <w14:textFill>
                  <w14:solidFill>
                    <w14:schemeClr w14:val="tx1"/>
                  </w14:solidFill>
                </w14:textFill>
              </w:rPr>
              <w:t>应用场景</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根据投标人对生产执行管理</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应用场景功能是否契合、合理、可行进行综合评分。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9</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管理应用场景</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根据投标人对质量执行管理的应用场景功能是否契合、合理、可行进行综合评分。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10</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终端刷卡报工应用场景</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根据投标人对终端刷卡报工应用场景功能是否契合、合理、可行进行综合评分。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方案内容详尽、可行的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基本详尽、可行性高的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基本契合项目的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不够详尽、可行性差的</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不够契合项目的</w:t>
            </w:r>
            <w:r>
              <w:rPr>
                <w:rFonts w:hint="eastAsia" w:ascii="宋体" w:hAnsi="宋体" w:eastAsia="宋体" w:cs="宋体"/>
                <w:color w:val="000000" w:themeColor="text1"/>
                <w:sz w:val="24"/>
                <w:szCs w:val="24"/>
                <w:highlight w:val="none"/>
                <w14:textFill>
                  <w14:solidFill>
                    <w14:schemeClr w14:val="tx1"/>
                  </w14:solidFill>
                </w14:textFill>
              </w:rPr>
              <w:t>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项目技术方案</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投标人根据本项目的技术要求提供软件技术方案，系统的应用服务保持单一职责、逻辑清晰，系统具备灵活性、可弹性扩容，完整测试，系统满足海量数据的安全存储等进行综合评分。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方案措施完整详细，具有科学性、可操作，符合项目需求的，得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方案有提及保证措施，但阐述不够详尽的，得2-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方案不明确，具体措施有不足的，得0-2分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57"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项目实施方案</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根据投标人对项目整体落地推进的方案是否合理、可行、完整性等方面进行综合打分。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方案措施完整详细，具有科学性、可操作，符合项目需求的，得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方案有提及保证措施，但阐述不够详尽的，得2-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方案不明确，具体措施有不足的，得0-2分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9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13</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项目运维方案</w:t>
            </w:r>
          </w:p>
        </w:tc>
        <w:tc>
          <w:tcPr>
            <w:tcW w:w="47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根据投标人对整体运维方案是否合理、可行、完整性等方面进行综合评分。</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方案措施完整详细，具有科学性、可操作，符合项目需求的，得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tabs>
                <w:tab w:val="left" w:pos="780"/>
              </w:tabs>
              <w:kinsoku/>
              <w:wordWrap/>
              <w:overflowPunct/>
              <w:topLinePunct w:val="0"/>
              <w:autoSpaceDE w:val="0"/>
              <w:autoSpaceDN w:val="0"/>
              <w:bidi w:val="0"/>
              <w:adjustRightInd w:val="0"/>
              <w:spacing w:line="32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方案有提及保证措施，但阐述不够详尽的，得2-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方案不明确，具体措施有不足的，得0-2分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未提及此项</w:t>
            </w:r>
            <w:r>
              <w:rPr>
                <w:rFonts w:hint="eastAsia" w:ascii="宋体" w:hAnsi="宋体" w:cs="宋体"/>
                <w:color w:val="000000" w:themeColor="text1"/>
                <w:sz w:val="24"/>
                <w:szCs w:val="24"/>
                <w:highlight w:val="none"/>
                <w:lang w:val="en-US" w:eastAsia="zh-CN"/>
                <w14:textFill>
                  <w14:solidFill>
                    <w14:schemeClr w14:val="tx1"/>
                  </w14:solidFill>
                </w14:textFill>
              </w:rPr>
              <w:t>或完全不合理的</w:t>
            </w:r>
            <w:r>
              <w:rPr>
                <w:rFonts w:hint="eastAsia" w:ascii="宋体" w:hAnsi="宋体" w:eastAsia="宋体" w:cs="宋体"/>
                <w:color w:val="000000" w:themeColor="text1"/>
                <w:sz w:val="24"/>
                <w:szCs w:val="24"/>
                <w:highlight w:val="none"/>
                <w14:textFill>
                  <w14:solidFill>
                    <w14:schemeClr w14:val="tx1"/>
                  </w14:solidFill>
                </w14:textFill>
              </w:rPr>
              <w:t>不得分。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p>
        </w:tc>
      </w:tr>
    </w:tbl>
    <w:p>
      <w:pPr>
        <w:pStyle w:val="5"/>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7"/>
        <w:jc w:val="center"/>
        <w:rPr>
          <w:rStyle w:val="42"/>
          <w:rFonts w:hint="eastAsia" w:ascii="宋体" w:hAnsi="宋体" w:eastAsia="宋体" w:cs="宋体"/>
          <w:b w:val="0"/>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附件2：</w:t>
      </w:r>
      <w:r>
        <w:rPr>
          <w:rStyle w:val="42"/>
          <w:rFonts w:hint="eastAsia" w:ascii="宋体" w:hAnsi="宋体" w:eastAsia="宋体" w:cs="宋体"/>
          <w:b w:val="0"/>
          <w:color w:val="000000" w:themeColor="text1"/>
          <w:highlight w:val="none"/>
          <w:u w:val="none"/>
          <w14:textFill>
            <w14:solidFill>
              <w14:schemeClr w14:val="tx1"/>
            </w14:solidFill>
          </w14:textFill>
        </w:rPr>
        <w:t>磋商声明书</w:t>
      </w:r>
    </w:p>
    <w:p>
      <w:pPr>
        <w:keepNext w:val="0"/>
        <w:keepLines w:val="0"/>
        <w:pageBreakBefore w:val="0"/>
        <w:widowControl w:val="0"/>
        <w:kinsoku/>
        <w:wordWrap/>
        <w:overflowPunct/>
        <w:topLinePunct w:val="0"/>
        <w:autoSpaceDE/>
        <w:autoSpaceDN/>
        <w:bidi w:val="0"/>
        <w:snapToGrid w:val="0"/>
        <w:spacing w:line="400" w:lineRule="exact"/>
        <w:ind w:firstLine="0" w:firstLineChars="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杭州华旗招标代理有限公司：</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（供应商名称）</w:t>
      </w:r>
      <w:r>
        <w:rPr>
          <w:rFonts w:hint="eastAsia" w:ascii="宋体" w:hAnsi="宋体" w:eastAsia="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u w:val="single"/>
          <w14:textFill>
            <w14:solidFill>
              <w14:schemeClr w14:val="tx1"/>
            </w14:solidFill>
          </w14:textFill>
        </w:rPr>
        <w:t xml:space="preserve"> 姓名 </w:t>
      </w:r>
      <w:r>
        <w:rPr>
          <w:rFonts w:hint="eastAsia" w:ascii="宋体" w:hAnsi="宋体" w:eastAsia="宋体" w:cs="宋体"/>
          <w:color w:val="000000" w:themeColor="text1"/>
          <w:kern w:val="0"/>
          <w:sz w:val="24"/>
          <w:highlight w:val="none"/>
          <w14:textFill>
            <w14:solidFill>
              <w14:schemeClr w14:val="tx1"/>
            </w14:solidFill>
          </w14:textFill>
        </w:rPr>
        <w:t>）系（</w:t>
      </w:r>
      <w:r>
        <w:rPr>
          <w:rFonts w:hint="eastAsia" w:ascii="宋体" w:hAnsi="宋体" w:eastAsia="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eastAsia="宋体" w:cs="宋体"/>
          <w:color w:val="000000" w:themeColor="text1"/>
          <w:kern w:val="0"/>
          <w:sz w:val="24"/>
          <w:highlight w:val="none"/>
          <w:lang w:eastAsia="zh-CN"/>
          <w14:textFill>
            <w14:solidFill>
              <w14:schemeClr w14:val="tx1"/>
            </w14:solidFill>
          </w14:textFill>
        </w:rPr>
        <w:t>新能源汽车橡胶零件行业中小企业轻量级数字化改造项目</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HQ-YHZFCG-2024-0502</w:t>
      </w:r>
      <w:r>
        <w:rPr>
          <w:rFonts w:hint="eastAsia" w:ascii="宋体" w:hAnsi="宋体" w:eastAsia="宋体" w:cs="宋体"/>
          <w:color w:val="000000" w:themeColor="text1"/>
          <w:kern w:val="0"/>
          <w:sz w:val="24"/>
          <w:highlight w:val="none"/>
          <w14:textFill>
            <w14:solidFill>
              <w14:schemeClr w14:val="tx1"/>
            </w14:solidFill>
          </w14:textFill>
        </w:rPr>
        <w:t>）的磋商，为此，我公司就本次磋商有关事项郑重声明如下：</w:t>
      </w:r>
    </w:p>
    <w:p>
      <w:pPr>
        <w:keepNext w:val="0"/>
        <w:keepLines w:val="0"/>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sz w:val="24"/>
          <w:highlight w:val="none"/>
          <w14:textFill>
            <w14:solidFill>
              <w14:schemeClr w14:val="tx1"/>
            </w14:solidFill>
          </w14:textFill>
        </w:rPr>
        <w:t>我</w:t>
      </w:r>
      <w:r>
        <w:rPr>
          <w:rFonts w:hint="eastAsia" w:ascii="宋体" w:hAnsi="宋体" w:eastAsia="宋体" w:cs="宋体"/>
          <w:color w:val="000000" w:themeColor="text1"/>
          <w:sz w:val="24"/>
          <w:highlight w:val="none"/>
          <w14:textFill>
            <w14:solidFill>
              <w14:schemeClr w14:val="tx1"/>
            </w14:solidFill>
          </w14:textFill>
        </w:rPr>
        <w:t>公司声明截止磋商时间近三年以来：在参加政府采购活动过程中无重大违法记录（重大违法记录是指供应商因违法经营受到刑事处罚或者责令停产停业、吊销许可证或者执照、较大数额罚款等行政处罚）。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lang w:val="af-Z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14:textFill>
            <w14:solidFill>
              <w14:schemeClr w14:val="tx1"/>
            </w14:solidFill>
          </w14:textFill>
        </w:rPr>
        <w:t>保证，</w:t>
      </w:r>
      <w:r>
        <w:rPr>
          <w:rFonts w:hint="eastAsia" w:ascii="宋体" w:hAnsi="宋体" w:eastAsia="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af-ZA"/>
          <w14:textFill>
            <w14:solidFill>
              <w14:schemeClr w14:val="tx1"/>
            </w14:solidFill>
          </w14:textFill>
        </w:rPr>
        <w:t>5、我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6、以上事项如有虚假或隐瞒，我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sz w:val="24"/>
          <w:highlight w:val="none"/>
          <w14:textFill>
            <w14:solidFill>
              <w14:schemeClr w14:val="tx1"/>
            </w14:solidFill>
          </w14:textFill>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法定代表人或授权委托人(</w:t>
      </w:r>
      <w:r>
        <w:rPr>
          <w:rFonts w:hint="eastAsia" w:ascii="宋体" w:hAnsi="宋体" w:cs="宋体"/>
          <w:color w:val="000000" w:themeColor="text1"/>
          <w:kern w:val="0"/>
          <w:sz w:val="24"/>
          <w:highlight w:val="none"/>
          <w:lang w:val="zh-CN"/>
          <w14:textFill>
            <w14:solidFill>
              <w14:schemeClr w14:val="tx1"/>
            </w14:solidFill>
          </w14:textFill>
        </w:rPr>
        <w:t>签字或盖章</w:t>
      </w:r>
      <w:r>
        <w:rPr>
          <w:rFonts w:hint="eastAsia" w:ascii="宋体" w:hAnsi="宋体" w:eastAsia="宋体" w:cs="宋体"/>
          <w:color w:val="000000" w:themeColor="text1"/>
          <w:kern w:val="0"/>
          <w:sz w:val="24"/>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p>
    <w:p>
      <w:pPr>
        <w:pStyle w:val="4"/>
        <w:rPr>
          <w:rFonts w:hint="eastAsia"/>
          <w:color w:val="000000" w:themeColor="text1"/>
          <w:highlight w:val="none"/>
          <w:lang w:val="zh-CN"/>
          <w14:textFill>
            <w14:solidFill>
              <w14:schemeClr w14:val="tx1"/>
            </w14:solidFill>
          </w14:textFill>
        </w:rPr>
      </w:pPr>
    </w:p>
    <w:p>
      <w:pPr>
        <w:pStyle w:val="7"/>
        <w:jc w:val="center"/>
        <w:rPr>
          <w:rFonts w:hint="eastAsia" w:ascii="宋体" w:hAnsi="宋体" w:eastAsia="宋体" w:cs="宋体"/>
          <w:b w:val="0"/>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附件3</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b w:val="0"/>
          <w:color w:val="000000" w:themeColor="text1"/>
          <w:highlight w:val="none"/>
          <w14:textFill>
            <w14:solidFill>
              <w14:schemeClr w14:val="tx1"/>
            </w14:solidFill>
          </w14:textFill>
        </w:rPr>
        <w:t>授权委托书</w:t>
      </w:r>
    </w:p>
    <w:p>
      <w:pPr>
        <w:pStyle w:val="3"/>
        <w:spacing w:line="50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u w:val="single"/>
          <w14:textFill>
            <w14:solidFill>
              <w14:schemeClr w14:val="tx1"/>
            </w14:solidFill>
          </w14:textFill>
        </w:rPr>
        <w:t>杭州华旗招标代理有限公司</w:t>
      </w:r>
      <w:r>
        <w:rPr>
          <w:rFonts w:hint="eastAsia" w:ascii="宋体" w:hAnsi="宋体" w:eastAsia="宋体" w:cs="宋体"/>
          <w:b/>
          <w:color w:val="000000" w:themeColor="text1"/>
          <w:sz w:val="24"/>
          <w:highlight w:val="none"/>
          <w14:textFill>
            <w14:solidFill>
              <w14:schemeClr w14:val="tx1"/>
            </w14:solidFill>
          </w14:textFill>
        </w:rPr>
        <w:t>：</w:t>
      </w:r>
    </w:p>
    <w:p>
      <w:pPr>
        <w:pStyle w:val="3"/>
        <w:spacing w:line="500" w:lineRule="exact"/>
        <w:ind w:left="240" w:hanging="240" w:hanging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（供应商全称）  </w:t>
      </w:r>
      <w:r>
        <w:rPr>
          <w:rFonts w:hint="eastAsia" w:ascii="宋体" w:hAnsi="宋体" w:eastAsia="宋体" w:cs="宋体"/>
          <w:color w:val="000000" w:themeColor="text1"/>
          <w:sz w:val="24"/>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u w:val="single"/>
          <w14:textFill>
            <w14:solidFill>
              <w14:schemeClr w14:val="tx1"/>
            </w14:solidFill>
          </w14:textFill>
        </w:rPr>
        <w:t xml:space="preserve">   （全权代表姓名） </w:t>
      </w:r>
      <w:r>
        <w:rPr>
          <w:rFonts w:hint="eastAsia" w:ascii="宋体" w:hAnsi="宋体" w:eastAsia="宋体" w:cs="宋体"/>
          <w:color w:val="000000" w:themeColor="text1"/>
          <w:sz w:val="24"/>
          <w:highlight w:val="none"/>
          <w14:textFill>
            <w14:solidFill>
              <w14:schemeClr w14:val="tx1"/>
            </w14:solidFill>
          </w14:textFill>
        </w:rPr>
        <w:t>为全权代表，参加贵单位组织的</w:t>
      </w:r>
      <w:r>
        <w:rPr>
          <w:rFonts w:hint="eastAsia" w:ascii="宋体" w:hAnsi="宋体" w:eastAsia="宋体" w:cs="宋体"/>
          <w:color w:val="000000" w:themeColor="text1"/>
          <w:sz w:val="24"/>
          <w:highlight w:val="none"/>
          <w:u w:val="single"/>
          <w14:textFill>
            <w14:solidFill>
              <w14:schemeClr w14:val="tx1"/>
            </w14:solidFill>
          </w14:textFill>
        </w:rPr>
        <w:t>新能源汽车橡胶零件行业中小企业轻量级数字化改造项目</w:t>
      </w:r>
      <w:r>
        <w:rPr>
          <w:rFonts w:hint="eastAsia" w:ascii="宋体" w:hAnsi="宋体" w:eastAsia="宋体" w:cs="宋体"/>
          <w:color w:val="000000" w:themeColor="text1"/>
          <w:sz w:val="24"/>
          <w:highlight w:val="none"/>
          <w14:textFill>
            <w14:solidFill>
              <w14:schemeClr w14:val="tx1"/>
            </w14:solidFill>
          </w14:textFill>
        </w:rPr>
        <w:t>项目</w:t>
      </w:r>
      <w:r>
        <w:rPr>
          <w:rFonts w:hint="eastAsia" w:hAnsi="宋体" w:cs="宋体"/>
          <w:color w:val="000000" w:themeColor="text1"/>
          <w:sz w:val="24"/>
          <w:highlight w:val="none"/>
          <w:lang w:eastAsia="zh-CN"/>
          <w14:textFill>
            <w14:solidFill>
              <w14:schemeClr w14:val="tx1"/>
            </w14:solidFill>
          </w14:textFill>
        </w:rPr>
        <w:t>（</w:t>
      </w:r>
      <w:r>
        <w:rPr>
          <w:rFonts w:hint="eastAsia" w:hAnsi="宋体" w:cs="宋体"/>
          <w:color w:val="000000" w:themeColor="text1"/>
          <w:sz w:val="24"/>
          <w:highlight w:val="none"/>
          <w:lang w:val="en-US" w:eastAsia="zh-CN"/>
          <w14:textFill>
            <w14:solidFill>
              <w14:schemeClr w14:val="tx1"/>
            </w14:solidFill>
          </w14:textFill>
        </w:rPr>
        <w:t>项目编号：HQ-YHZFCG-2024-0502</w:t>
      </w:r>
      <w:r>
        <w:rPr>
          <w:rFonts w:hint="eastAsia"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的采购活动，并代表我方全权办理针对上述项目的磋商、签约等具体事务和签署相关文件。我方对全权代表的签字事项负全部责任。</w:t>
      </w:r>
    </w:p>
    <w:p>
      <w:pPr>
        <w:pStyle w:val="3"/>
        <w:spacing w:line="500" w:lineRule="exact"/>
        <w:ind w:left="139" w:leftChars="66"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3"/>
        <w:spacing w:line="500" w:lineRule="exact"/>
        <w:ind w:left="139" w:leftChars="66"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全权代表无转委托权，特此委托。</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供应商全称（公章）：                              日期：</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w:t>
      </w:r>
    </w:p>
    <w:tbl>
      <w:tblPr>
        <w:tblStyle w:val="3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361" w:firstLineChars="1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法定代表人姓名：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3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361" w:firstLineChars="1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全权代表身份证复印件粘帖处</w:t>
            </w:r>
          </w:p>
        </w:tc>
      </w:tr>
    </w:tbl>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全权代表姓名：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职务：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pPr>
        <w:pStyle w:val="4"/>
        <w:rPr>
          <w:rFonts w:hint="eastAsia" w:ascii="宋体" w:hAnsi="宋体" w:eastAsia="宋体" w:cs="宋体"/>
          <w:color w:val="000000" w:themeColor="text1"/>
          <w:sz w:val="24"/>
          <w:highlight w:val="none"/>
          <w14:textFill>
            <w14:solidFill>
              <w14:schemeClr w14:val="tx1"/>
            </w14:solidFill>
          </w14:textFill>
        </w:rPr>
      </w:pPr>
    </w:p>
    <w:p>
      <w:pPr>
        <w:pStyle w:val="4"/>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附件3（2）</w:t>
      </w:r>
    </w:p>
    <w:p>
      <w:pPr>
        <w:ind w:firstLine="643" w:firstLineChars="2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pPr>
        <w:spacing w:line="440" w:lineRule="exact"/>
        <w:ind w:firstLine="720" w:firstLineChars="3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新能源汽车橡胶零件行业中小企业轻量级数字化改造项目（编号为HQ-YHZFCG-2024-0502）</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w:t>
      </w: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pPr>
        <w:pStyle w:val="9"/>
        <w:rPr>
          <w:rFonts w:hint="eastAsia"/>
          <w:color w:val="000000" w:themeColor="text1"/>
          <w:highlight w:val="none"/>
          <w:lang w:val="zh-CN"/>
          <w14:textFill>
            <w14:solidFill>
              <w14:schemeClr w14:val="tx1"/>
            </w14:solidFill>
          </w14:textFill>
        </w:rPr>
      </w:pPr>
    </w:p>
    <w:p>
      <w:pPr>
        <w:pStyle w:val="5"/>
        <w:rPr>
          <w:rFonts w:hint="eastAsia"/>
          <w:color w:val="000000" w:themeColor="text1"/>
          <w:highlight w:val="none"/>
          <w14:textFill>
            <w14:solidFill>
              <w14:schemeClr w14:val="tx1"/>
            </w14:solidFill>
          </w14:textFill>
        </w:rPr>
      </w:pPr>
    </w:p>
    <w:p>
      <w:pPr>
        <w:pStyle w:val="7"/>
        <w:jc w:val="center"/>
        <w:rPr>
          <w:rFonts w:hint="eastAsia" w:ascii="宋体" w:hAnsi="宋体" w:eastAsia="宋体" w:cs="宋体"/>
          <w:b w:val="0"/>
          <w:bCs w:val="0"/>
          <w:color w:val="000000" w:themeColor="text1"/>
          <w:spacing w:val="2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附件4：</w:t>
      </w:r>
      <w:r>
        <w:rPr>
          <w:rFonts w:hint="eastAsia" w:ascii="宋体" w:hAnsi="宋体" w:eastAsia="宋体" w:cs="宋体"/>
          <w:b w:val="0"/>
          <w:color w:val="000000" w:themeColor="text1"/>
          <w:highlight w:val="none"/>
          <w14:textFill>
            <w14:solidFill>
              <w14:schemeClr w14:val="tx1"/>
            </w14:solidFill>
          </w14:textFill>
        </w:rPr>
        <w:t>供应商</w:t>
      </w:r>
      <w:r>
        <w:rPr>
          <w:rFonts w:hint="eastAsia" w:ascii="宋体" w:hAnsi="宋体" w:eastAsia="宋体" w:cs="宋体"/>
          <w:b w:val="0"/>
          <w:bCs w:val="0"/>
          <w:color w:val="000000" w:themeColor="text1"/>
          <w:spacing w:val="21"/>
          <w:highlight w:val="none"/>
          <w14:textFill>
            <w14:solidFill>
              <w14:schemeClr w14:val="tx1"/>
            </w14:solidFill>
          </w14:textFill>
        </w:rPr>
        <w:t>基本情况表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979" w:type="dxa"/>
            <w:gridSpan w:val="6"/>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2001" w:type="dxa"/>
            <w:gridSpan w:val="3"/>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151" w:type="dxa"/>
            <w:gridSpan w:val="2"/>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151" w:type="dxa"/>
            <w:gridSpan w:val="2"/>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701" w:type="dxa"/>
            <w:tcBorders>
              <w:bottom w:val="single" w:color="auto" w:sz="4" w:space="0"/>
            </w:tcBorders>
            <w:noWrap w:val="0"/>
            <w:vAlign w:val="top"/>
          </w:tcPr>
          <w:p>
            <w:pPr>
              <w:pStyle w:val="81"/>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noWrap w:val="0"/>
            <w:vAlign w:val="top"/>
          </w:tcPr>
          <w:p>
            <w:pPr>
              <w:pStyle w:val="81"/>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151" w:type="dxa"/>
            <w:gridSpan w:val="2"/>
            <w:noWrap w:val="0"/>
            <w:vAlign w:val="top"/>
          </w:tcPr>
          <w:p>
            <w:pPr>
              <w:pStyle w:val="81"/>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701" w:type="dxa"/>
            <w:vMerge w:val="restart"/>
            <w:tcBorders>
              <w:top w:val="nil"/>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vMerge w:val="restart"/>
            <w:noWrap w:val="0"/>
            <w:vAlign w:val="top"/>
          </w:tcPr>
          <w:p>
            <w:pPr>
              <w:pStyle w:val="81"/>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151" w:type="dxa"/>
            <w:gridSpan w:val="2"/>
            <w:vMerge w:val="restart"/>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vMerge w:val="continue"/>
            <w:tcBorders>
              <w:bottom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pPr>
              <w:pStyle w:val="81"/>
              <w:shd w:val="clear" w:color="auto" w:fill="FFFFFF"/>
              <w:spacing w:line="360" w:lineRule="auto"/>
              <w:ind w:left="107"/>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701" w:type="dxa"/>
            <w:tcBorders>
              <w:top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1163" w:type="dxa"/>
            <w:tcBorders>
              <w:top w:val="single" w:color="auto" w:sz="4" w:space="0"/>
            </w:tcBorders>
            <w:noWrap w:val="0"/>
            <w:vAlign w:val="top"/>
          </w:tcPr>
          <w:p>
            <w:pPr>
              <w:pStyle w:val="81"/>
              <w:shd w:val="clear" w:color="auto" w:fill="FFFFFF"/>
              <w:spacing w:before="0" w:beforeAutospacing="0" w:after="0" w:afterAutospacing="0"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tcBorders>
              <w:top w:val="single" w:color="auto" w:sz="4" w:space="0"/>
            </w:tcBorders>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noWrap w:val="0"/>
            <w:vAlign w:val="top"/>
          </w:tcPr>
          <w:p>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10" w:type="dxa"/>
            <w:gridSpan w:val="2"/>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163" w:type="dxa"/>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205" w:type="dxa"/>
            <w:gridSpan w:val="2"/>
            <w:noWrap w:val="0"/>
            <w:vAlign w:val="top"/>
          </w:tcPr>
          <w:p>
            <w:pPr>
              <w:pStyle w:val="81"/>
              <w:shd w:val="clear" w:color="auto" w:fill="FFFFFF"/>
              <w:spacing w:line="360" w:lineRule="auto"/>
              <w:ind w:firstLine="48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平方米 </w:t>
            </w:r>
          </w:p>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□自有□租賃</w:t>
            </w:r>
          </w:p>
        </w:tc>
        <w:tc>
          <w:tcPr>
            <w:tcW w:w="2001" w:type="dxa"/>
            <w:gridSpan w:val="3"/>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151" w:type="dxa"/>
            <w:gridSpan w:val="2"/>
            <w:noWrap w:val="0"/>
            <w:vAlign w:val="top"/>
          </w:tcPr>
          <w:p>
            <w:pPr>
              <w:pStyle w:val="81"/>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pPr>
              <w:pStyle w:val="81"/>
              <w:shd w:val="clear" w:color="auto" w:fill="FFFFFF"/>
              <w:spacing w:line="360" w:lineRule="auto"/>
              <w:ind w:left="2"/>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10" w:type="dxa"/>
            <w:gridSpan w:val="2"/>
            <w:noWrap w:val="0"/>
            <w:vAlign w:val="top"/>
          </w:tcPr>
          <w:p>
            <w:pPr>
              <w:pStyle w:val="81"/>
              <w:shd w:val="clear" w:color="auto" w:fill="FFFFFF"/>
              <w:spacing w:line="360" w:lineRule="auto"/>
              <w:ind w:left="2"/>
              <w:rPr>
                <w:rFonts w:hint="eastAsia" w:ascii="宋体" w:hAnsi="宋体" w:eastAsia="宋体" w:cs="宋体"/>
                <w:bCs/>
                <w:color w:val="000000" w:themeColor="text1"/>
                <w:highlight w:val="none"/>
                <w14:textFill>
                  <w14:solidFill>
                    <w14:schemeClr w14:val="tx1"/>
                  </w14:solidFill>
                </w14:textFill>
              </w:rPr>
            </w:pPr>
          </w:p>
        </w:tc>
        <w:tc>
          <w:tcPr>
            <w:tcW w:w="1163" w:type="dxa"/>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3206" w:type="dxa"/>
            <w:gridSpan w:val="5"/>
            <w:noWrap w:val="0"/>
            <w:vAlign w:val="top"/>
          </w:tcPr>
          <w:p>
            <w:pPr>
              <w:widowControl/>
              <w:spacing w:line="360" w:lineRule="auto"/>
              <w:jc w:val="left"/>
              <w:rPr>
                <w:rFonts w:hint="eastAsia" w:ascii="宋体" w:hAnsi="宋体" w:eastAsia="宋体" w:cs="宋体"/>
                <w:bCs/>
                <w:color w:val="000000" w:themeColor="text1"/>
                <w:kern w:val="0"/>
                <w:sz w:val="24"/>
                <w:highlight w:val="none"/>
                <w14:textFill>
                  <w14:solidFill>
                    <w14:schemeClr w14:val="tx1"/>
                  </w14:solidFill>
                </w14:textFill>
              </w:rPr>
            </w:pPr>
          </w:p>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1218" w:type="dxa"/>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pPr>
              <w:pStyle w:val="81"/>
              <w:shd w:val="clear" w:color="auto" w:fill="FFFFFF"/>
              <w:spacing w:line="360" w:lineRule="auto"/>
              <w:ind w:left="2"/>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430" w:type="dxa"/>
            <w:gridSpan w:val="10"/>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8131" w:type="dxa"/>
            <w:gridSpan w:val="11"/>
            <w:noWrap w:val="0"/>
            <w:vAlign w:val="top"/>
          </w:tcPr>
          <w:p>
            <w:pPr>
              <w:pStyle w:val="81"/>
              <w:shd w:val="clear" w:color="auto" w:fill="FFFFFF"/>
              <w:spacing w:line="360" w:lineRule="auto"/>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pPr>
              <w:pStyle w:val="81"/>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553" w:type="dxa"/>
            <w:gridSpan w:val="2"/>
            <w:vMerge w:val="restart"/>
            <w:noWrap w:val="0"/>
            <w:vAlign w:val="top"/>
          </w:tcPr>
          <w:p>
            <w:pPr>
              <w:pStyle w:val="81"/>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noWrap w:val="0"/>
            <w:vAlign w:val="top"/>
          </w:tcPr>
          <w:p>
            <w:pPr>
              <w:pStyle w:val="81"/>
              <w:shd w:val="clear" w:color="auto" w:fill="FFFFFF"/>
              <w:spacing w:line="360" w:lineRule="auto"/>
              <w:ind w:right="-78" w:rightChars="-3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418" w:type="dxa"/>
            <w:gridSpan w:val="2"/>
            <w:noWrap w:val="0"/>
            <w:vAlign w:val="top"/>
          </w:tcPr>
          <w:p>
            <w:pPr>
              <w:pStyle w:val="81"/>
              <w:shd w:val="clear" w:color="auto" w:fill="FFFFFF"/>
              <w:spacing w:before="0" w:beforeAutospacing="0" w:after="0" w:afterAutospacing="0"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276" w:type="dxa"/>
            <w:noWrap w:val="0"/>
            <w:vAlign w:val="top"/>
          </w:tcPr>
          <w:p>
            <w:pPr>
              <w:pStyle w:val="81"/>
              <w:shd w:val="clear" w:color="auto" w:fill="FFFFFF"/>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gridSpan w:val="2"/>
            <w:noWrap w:val="0"/>
            <w:vAlign w:val="top"/>
          </w:tcPr>
          <w:p>
            <w:pPr>
              <w:pStyle w:val="81"/>
              <w:shd w:val="clear" w:color="auto" w:fill="FFFFFF"/>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noWrap w:val="0"/>
            <w:vAlign w:val="top"/>
          </w:tcPr>
          <w:p>
            <w:pPr>
              <w:pStyle w:val="81"/>
              <w:shd w:val="clear" w:color="auto" w:fill="FFFFFF"/>
              <w:spacing w:before="0" w:beforeAutospacing="0" w:after="0" w:afterAutospacing="0"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0"/>
            <w:vAlign w:val="top"/>
          </w:tcPr>
          <w:p>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1553" w:type="dxa"/>
            <w:gridSpan w:val="2"/>
            <w:vMerge w:val="continue"/>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333" w:type="dxa"/>
            <w:gridSpan w:val="3"/>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418" w:type="dxa"/>
            <w:gridSpan w:val="2"/>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276" w:type="dxa"/>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2551" w:type="dxa"/>
            <w:gridSpan w:val="3"/>
            <w:noWrap w:val="0"/>
            <w:vAlign w:val="top"/>
          </w:tcPr>
          <w:p>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0"/>
            <w:vAlign w:val="top"/>
          </w:tcPr>
          <w:p>
            <w:pPr>
              <w:pStyle w:val="81"/>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p>
        </w:tc>
        <w:tc>
          <w:tcPr>
            <w:tcW w:w="1553" w:type="dxa"/>
            <w:gridSpan w:val="2"/>
            <w:noWrap w:val="0"/>
            <w:vAlign w:val="top"/>
          </w:tcPr>
          <w:p>
            <w:pPr>
              <w:pStyle w:val="81"/>
              <w:shd w:val="clear" w:color="auto" w:fill="FFFFFF"/>
              <w:spacing w:before="0" w:beforeAutospacing="0" w:after="0" w:afterAutospacing="0" w:line="360" w:lineRule="auto"/>
              <w:ind w:right="-107" w:rightChars="-51"/>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9"/>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0"/>
            <w:vAlign w:val="top"/>
          </w:tcPr>
          <w:p>
            <w:pPr>
              <w:pStyle w:val="81"/>
              <w:shd w:val="clear" w:color="auto" w:fill="FFFFFF"/>
              <w:spacing w:line="360" w:lineRule="auto"/>
              <w:ind w:left="107"/>
              <w:rPr>
                <w:rFonts w:hint="eastAsia" w:ascii="宋体" w:hAnsi="宋体" w:eastAsia="宋体" w:cs="宋体"/>
                <w:bCs/>
                <w:color w:val="000000" w:themeColor="text1"/>
                <w:spacing w:val="27"/>
                <w:highlight w:val="none"/>
                <w14:textFill>
                  <w14:solidFill>
                    <w14:schemeClr w14:val="tx1"/>
                  </w14:solidFill>
                </w14:textFill>
              </w:rPr>
            </w:pPr>
          </w:p>
        </w:tc>
        <w:tc>
          <w:tcPr>
            <w:tcW w:w="1553" w:type="dxa"/>
            <w:gridSpan w:val="2"/>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9"/>
            <w:noWrap w:val="0"/>
            <w:vAlign w:val="top"/>
          </w:tcPr>
          <w:p>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bl>
    <w:p>
      <w:pPr>
        <w:pStyle w:val="81"/>
        <w:shd w:val="clear" w:color="auto" w:fill="FFFFFF"/>
        <w:spacing w:before="0" w:beforeAutospacing="0" w:after="0" w:afterAutospacing="0" w:line="360" w:lineRule="auto"/>
        <w:rPr>
          <w:rFonts w:hint="eastAsia" w:ascii="宋体" w:hAnsi="宋体" w:eastAsia="宋体" w:cs="宋体"/>
          <w:color w:val="000000" w:themeColor="text1"/>
          <w:highlight w:val="none"/>
          <w14:textFill>
            <w14:solidFill>
              <w14:schemeClr w14:val="tx1"/>
            </w14:solidFill>
          </w14:textFill>
        </w:rPr>
      </w:pPr>
    </w:p>
    <w:p>
      <w:pPr>
        <w:pStyle w:val="81"/>
        <w:shd w:val="clear" w:color="auto" w:fill="FFFFFF"/>
        <w:spacing w:before="0" w:beforeAutospacing="0" w:after="0" w:afterAutospacing="0"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p>
    <w:p>
      <w:pPr>
        <w:pStyle w:val="81"/>
        <w:shd w:val="clear" w:color="auto" w:fill="FFFFFF"/>
        <w:spacing w:before="0" w:beforeAutospacing="0" w:after="0" w:afterAutospacing="0" w:line="360" w:lineRule="auto"/>
        <w:ind w:firstLine="42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1.姓名栏必须将所有股东都统计在内，若非股份公司此行（第三行）无需填写；</w:t>
      </w:r>
    </w:p>
    <w:p>
      <w:pPr>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left="420"/>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firstLine="435"/>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rPr>
          <w:rFonts w:hint="eastAsia" w:ascii="宋体" w:hAnsi="宋体" w:eastAsia="宋体" w:cs="宋体"/>
          <w:color w:val="000000" w:themeColor="text1"/>
          <w:sz w:val="24"/>
          <w:highlight w:val="none"/>
          <w14:textFill>
            <w14:solidFill>
              <w14:schemeClr w14:val="tx1"/>
            </w14:solidFill>
          </w14:textFill>
        </w:rPr>
      </w:pPr>
    </w:p>
    <w:p>
      <w:pPr>
        <w:pStyle w:val="81"/>
        <w:shd w:val="clear" w:color="auto" w:fill="FFFFFF"/>
        <w:spacing w:before="0" w:beforeAutospacing="0" w:after="0" w:afterAutospacing="0"/>
        <w:ind w:firstLine="424" w:firstLineChars="177"/>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7"/>
        <w:jc w:val="center"/>
        <w:rPr>
          <w:rFonts w:hint="eastAsia" w:ascii="宋体" w:hAnsi="宋体" w:eastAsia="宋体" w:cs="宋体"/>
          <w:b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附件5：</w:t>
      </w:r>
      <w:r>
        <w:rPr>
          <w:rFonts w:hint="eastAsia" w:ascii="宋体" w:hAnsi="宋体" w:eastAsia="宋体" w:cs="宋体"/>
          <w:b w:val="0"/>
          <w:color w:val="000000" w:themeColor="text1"/>
          <w:highlight w:val="none"/>
          <w14:textFill>
            <w14:solidFill>
              <w14:schemeClr w14:val="tx1"/>
            </w14:solidFill>
          </w14:textFill>
        </w:rPr>
        <w:t>项目实施人员一览表</w:t>
      </w:r>
    </w:p>
    <w:p>
      <w:pPr>
        <w:snapToGrid w:val="0"/>
        <w:spacing w:before="156" w:beforeLines="50" w:after="50" w:line="360" w:lineRule="auto"/>
        <w:ind w:firstLine="2400" w:firstLineChars="10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（主要从业人员及其技术资格）</w:t>
      </w:r>
    </w:p>
    <w:tbl>
      <w:tblPr>
        <w:tblStyle w:val="36"/>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20"/>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0"/>
              <w:spacing w:line="360" w:lineRule="auto"/>
              <w:ind w:left="5250"/>
              <w:rPr>
                <w:rFonts w:hint="eastAsia" w:ascii="宋体" w:hAnsi="宋体" w:eastAsia="宋体" w:cs="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spacing w:line="360" w:lineRule="auto"/>
        <w:ind w:left="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在填写时，如本表格不适合供应商的实际情况，可根据本表格式自行划表填写。</w:t>
      </w:r>
    </w:p>
    <w:p>
      <w:pPr>
        <w:pStyle w:val="63"/>
        <w:spacing w:line="360" w:lineRule="auto"/>
        <w:ind w:left="424" w:left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2.附人员证书复印件；</w:t>
      </w:r>
    </w:p>
    <w:p>
      <w:pPr>
        <w:pStyle w:val="63"/>
        <w:spacing w:line="360" w:lineRule="auto"/>
        <w:ind w:left="424" w:hanging="424" w:hanging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3.出具上述人员在本单位服务的外部证明，如：磋商截止日之前六个月以内的代缴个税税单、参加社会保险的《投保单》或《社会保险参保人员证明》等。</w:t>
      </w:r>
    </w:p>
    <w:p>
      <w:pPr>
        <w:snapToGrid w:val="0"/>
        <w:spacing w:before="50" w:after="156" w:afterLines="50" w:line="360" w:lineRule="auto"/>
        <w:jc w:val="left"/>
        <w:rPr>
          <w:rFonts w:hint="eastAsia" w:ascii="宋体" w:hAnsi="宋体" w:eastAsia="宋体" w:cs="宋体"/>
          <w:color w:val="000000" w:themeColor="text1"/>
          <w:sz w:val="24"/>
          <w:szCs w:val="20"/>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7"/>
        <w:jc w:val="center"/>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附件6：</w:t>
      </w:r>
      <w:r>
        <w:rPr>
          <w:rFonts w:hint="eastAsia" w:ascii="宋体" w:hAnsi="宋体" w:eastAsia="宋体" w:cs="宋体"/>
          <w:b w:val="0"/>
          <w:bCs w:val="0"/>
          <w:color w:val="000000" w:themeColor="text1"/>
          <w:highlight w:val="none"/>
          <w14:textFill>
            <w14:solidFill>
              <w14:schemeClr w14:val="tx1"/>
            </w14:solidFill>
          </w14:textFill>
        </w:rPr>
        <w:t>项目负责人资格情况表</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采购项目：                                            采购编号：</w:t>
      </w:r>
    </w:p>
    <w:tbl>
      <w:tblPr>
        <w:tblStyle w:val="3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（供货合同或成交通知书）。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bl>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7"/>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附件7：</w:t>
      </w:r>
      <w:r>
        <w:rPr>
          <w:rFonts w:hint="eastAsia" w:ascii="宋体" w:hAnsi="宋体" w:eastAsia="宋体" w:cs="宋体"/>
          <w:b w:val="0"/>
          <w:color w:val="000000" w:themeColor="text1"/>
          <w:highlight w:val="none"/>
          <w14:textFill>
            <w14:solidFill>
              <w14:schemeClr w14:val="tx1"/>
            </w14:solidFill>
          </w14:textFill>
        </w:rPr>
        <w:t>商务及技术响应表</w:t>
      </w:r>
    </w:p>
    <w:p>
      <w:pPr>
        <w:pStyle w:val="3"/>
        <w:adjustRightInd w:val="0"/>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项目名称及编号：新能源汽车橡胶零件行业中小企业轻量级数字化改造项目（编号为HQ-YHZFCG-2024-0502）</w:t>
      </w:r>
    </w:p>
    <w:tbl>
      <w:tblPr>
        <w:tblStyle w:val="36"/>
        <w:tblW w:w="9190" w:type="dxa"/>
        <w:tblInd w:w="-439" w:type="dxa"/>
        <w:tblLayout w:type="fixed"/>
        <w:tblCellMar>
          <w:top w:w="0" w:type="dxa"/>
          <w:left w:w="108" w:type="dxa"/>
          <w:bottom w:w="0" w:type="dxa"/>
          <w:right w:w="108" w:type="dxa"/>
        </w:tblCellMar>
      </w:tblPr>
      <w:tblGrid>
        <w:gridCol w:w="1202"/>
        <w:gridCol w:w="1831"/>
        <w:gridCol w:w="2558"/>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磋商响应文件</w:t>
            </w:r>
          </w:p>
          <w:p>
            <w:pPr>
              <w:pStyle w:val="3"/>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磋商响应文件服务技术响应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00" w:lineRule="exact"/>
              <w:ind w:right="25"/>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00" w:lineRule="exact"/>
              <w:ind w:right="25"/>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autoSpaceDE w:val="0"/>
              <w:autoSpaceDN w:val="0"/>
              <w:adjustRightInd w:val="0"/>
              <w:spacing w:line="300" w:lineRule="exact"/>
              <w:ind w:right="25"/>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tabs>
                <w:tab w:val="left" w:pos="8280"/>
              </w:tabs>
              <w:autoSpaceDE w:val="0"/>
              <w:autoSpaceDN w:val="0"/>
              <w:adjustRightInd w:val="0"/>
              <w:spacing w:line="300" w:lineRule="exact"/>
              <w:ind w:right="25"/>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pStyle w:val="3"/>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pPr>
              <w:pStyle w:val="3"/>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pPr>
              <w:pStyle w:val="3"/>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bl>
    <w:p>
      <w:pPr>
        <w:pStyle w:val="3"/>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备注：供应商在填写其中的“磋商响应文件</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技术响应”内容时，必须对照本磋商文件“</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技术要求”中各指标项逐条说明，写出各磋商</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的具体参数响应内容，不得以“符合”或“满足”等词语作简单回答或者完全复制本项目采购需求中参数内容，否则磋商小组有权视其磋商响应文件未响应磋商文件要求。</w:t>
      </w: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left="420"/>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ind w:firstLine="435"/>
        <w:rPr>
          <w:rFonts w:hint="eastAsia" w:ascii="宋体" w:hAnsi="宋体" w:eastAsia="宋体" w:cs="宋体"/>
          <w:color w:val="000000" w:themeColor="text1"/>
          <w:sz w:val="24"/>
          <w:highlight w:val="none"/>
          <w14:textFill>
            <w14:solidFill>
              <w14:schemeClr w14:val="tx1"/>
            </w14:solidFill>
          </w14:textFill>
        </w:rPr>
      </w:pPr>
    </w:p>
    <w:p>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rPr>
          <w:rFonts w:hint="eastAsia" w:ascii="宋体" w:hAnsi="宋体" w:eastAsia="宋体" w:cs="宋体"/>
          <w:color w:val="000000" w:themeColor="text1"/>
          <w:sz w:val="24"/>
          <w:highlight w:val="none"/>
          <w14:textFill>
            <w14:solidFill>
              <w14:schemeClr w14:val="tx1"/>
            </w14:solidFill>
          </w14:textFill>
        </w:rPr>
      </w:pPr>
    </w:p>
    <w:p>
      <w:pPr>
        <w:pStyle w:val="81"/>
        <w:shd w:val="clear" w:color="auto" w:fill="FFFFFF"/>
        <w:spacing w:before="0" w:beforeAutospacing="0" w:after="0" w:afterAutospacing="0"/>
        <w:ind w:firstLine="424" w:firstLineChars="177"/>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27"/>
        <w:rPr>
          <w:rFonts w:hint="eastAsia" w:ascii="宋体" w:hAnsi="宋体" w:eastAsia="宋体" w:cs="宋体"/>
          <w:b/>
          <w:color w:val="000000" w:themeColor="text1"/>
          <w:sz w:val="28"/>
          <w:highlight w:val="none"/>
          <w14:textFill>
            <w14:solidFill>
              <w14:schemeClr w14:val="tx1"/>
            </w14:solidFill>
          </w14:textFill>
        </w:rPr>
      </w:pPr>
    </w:p>
    <w:p>
      <w:pPr>
        <w:rPr>
          <w:rFonts w:hint="eastAsia" w:ascii="宋体" w:hAnsi="宋体" w:eastAsia="宋体" w:cs="宋体"/>
          <w:b/>
          <w:color w:val="000000" w:themeColor="text1"/>
          <w:sz w:val="28"/>
          <w:highlight w:val="none"/>
          <w14:textFill>
            <w14:solidFill>
              <w14:schemeClr w14:val="tx1"/>
            </w14:solidFill>
          </w14:textFill>
        </w:rPr>
      </w:pPr>
    </w:p>
    <w:p>
      <w:pPr>
        <w:pStyle w:val="7"/>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附件8：</w:t>
      </w:r>
      <w:r>
        <w:rPr>
          <w:rFonts w:hint="eastAsia" w:ascii="宋体" w:hAnsi="宋体" w:eastAsia="宋体" w:cs="宋体"/>
          <w:b w:val="0"/>
          <w:color w:val="000000" w:themeColor="text1"/>
          <w:highlight w:val="none"/>
          <w14:textFill>
            <w14:solidFill>
              <w14:schemeClr w14:val="tx1"/>
            </w14:solidFill>
          </w14:textFill>
        </w:rPr>
        <w:t>证书一览表</w:t>
      </w:r>
    </w:p>
    <w:p>
      <w:pPr>
        <w:pStyle w:val="7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bl>
      <w:tblPr>
        <w:tblStyle w:val="3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pPr>
              <w:pStyle w:val="7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noWrap w:val="0"/>
            <w:vAlign w:val="top"/>
          </w:tcPr>
          <w:p>
            <w:pPr>
              <w:pStyle w:val="7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noWrap w:val="0"/>
            <w:vAlign w:val="top"/>
          </w:tcPr>
          <w:p>
            <w:pPr>
              <w:pStyle w:val="7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noWrap w:val="0"/>
            <w:vAlign w:val="top"/>
          </w:tcPr>
          <w:p>
            <w:pPr>
              <w:pStyle w:val="7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top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top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noWrap w:val="0"/>
            <w:vAlign w:val="top"/>
          </w:tcPr>
          <w:p>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pPr>
        <w:pStyle w:val="74"/>
        <w:tabs>
          <w:tab w:val="left" w:pos="1050"/>
        </w:tabs>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74"/>
        <w:tabs>
          <w:tab w:val="left" w:pos="105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pStyle w:val="74"/>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1.填写磋商供应商获得资质、认证或企业信誉证书。</w:t>
      </w:r>
    </w:p>
    <w:p>
      <w:pPr>
        <w:pStyle w:val="74"/>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2.附所列证书复印件或其他证明材料。</w:t>
      </w:r>
    </w:p>
    <w:p>
      <w:pPr>
        <w:pStyle w:val="74"/>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p>
    <w:p>
      <w:pPr>
        <w:pStyle w:val="74"/>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pPr>
        <w:pStyle w:val="74"/>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pPr>
        <w:pStyle w:val="74"/>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81"/>
        <w:shd w:val="clear" w:color="auto" w:fill="FFFFFF"/>
        <w:spacing w:before="0" w:beforeAutospacing="0" w:after="0" w:afterAutospacing="0" w:line="360" w:lineRule="auto"/>
        <w:ind w:firstLine="424" w:firstLineChars="177"/>
        <w:rPr>
          <w:rFonts w:hint="eastAsia"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pPr>
        <w:spacing w:line="360" w:lineRule="auto"/>
        <w:rPr>
          <w:rFonts w:hint="eastAsia" w:ascii="宋体" w:hAnsi="宋体" w:eastAsia="宋体" w:cs="宋体"/>
          <w:b/>
          <w:color w:val="000000" w:themeColor="text1"/>
          <w:sz w:val="28"/>
          <w:highlight w:val="none"/>
          <w14:textFill>
            <w14:solidFill>
              <w14:schemeClr w14:val="tx1"/>
            </w14:solidFill>
          </w14:textFill>
        </w:rPr>
      </w:pPr>
    </w:p>
    <w:p>
      <w:pPr>
        <w:spacing w:line="360" w:lineRule="auto"/>
        <w:rPr>
          <w:rFonts w:hint="eastAsia" w:ascii="宋体" w:hAnsi="宋体" w:eastAsia="宋体" w:cs="宋体"/>
          <w:b/>
          <w:color w:val="000000" w:themeColor="text1"/>
          <w:sz w:val="28"/>
          <w:highlight w:val="none"/>
          <w14:textFill>
            <w14:solidFill>
              <w14:schemeClr w14:val="tx1"/>
            </w14:solidFill>
          </w14:textFill>
        </w:rPr>
      </w:pPr>
    </w:p>
    <w:p>
      <w:pPr>
        <w:pStyle w:val="7"/>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附件9：</w:t>
      </w:r>
      <w:r>
        <w:rPr>
          <w:rFonts w:hint="eastAsia" w:ascii="宋体" w:hAnsi="宋体" w:eastAsia="宋体" w:cs="宋体"/>
          <w:b w:val="0"/>
          <w:color w:val="000000" w:themeColor="text1"/>
          <w:highlight w:val="none"/>
          <w14:textFill>
            <w14:solidFill>
              <w14:schemeClr w14:val="tx1"/>
            </w14:solidFill>
          </w14:textFill>
        </w:rPr>
        <w:t>类似项目业绩一览表</w:t>
      </w:r>
    </w:p>
    <w:p>
      <w:pPr>
        <w:pStyle w:val="68"/>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pPr>
        <w:autoSpaceDE w:val="0"/>
        <w:autoSpaceDN w:val="0"/>
        <w:adjustRightInd w:val="0"/>
        <w:spacing w:before="156" w:beforeLines="50" w:line="360" w:lineRule="auto"/>
        <w:ind w:firstLine="424" w:firstLineChars="20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1.业绩证明应提供证明材料（合同复印件可只提供首页、含金额页、盖章页并加盖磋商供应商公章）；</w:t>
      </w:r>
    </w:p>
    <w:p>
      <w:pPr>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2.磋商供应商可按此表格式复制。</w:t>
      </w:r>
    </w:p>
    <w:p>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jc w:val="center"/>
        <w:rPr>
          <w:rFonts w:hint="eastAsia" w:ascii="宋体" w:hAnsi="宋体" w:eastAsia="宋体" w:cs="宋体"/>
          <w:snapToGrid w:val="0"/>
          <w:color w:val="000000" w:themeColor="text1"/>
          <w:kern w:val="0"/>
          <w:sz w:val="24"/>
          <w:highlight w:val="none"/>
          <w14:textFill>
            <w14:solidFill>
              <w14:schemeClr w14:val="tx1"/>
            </w14:solidFill>
          </w14:textFill>
        </w:rPr>
      </w:pPr>
    </w:p>
    <w:p>
      <w:pPr>
        <w:pStyle w:val="7"/>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附件10：</w:t>
      </w:r>
      <w:r>
        <w:rPr>
          <w:rFonts w:hint="eastAsia" w:ascii="宋体" w:hAnsi="宋体" w:eastAsia="宋体" w:cs="宋体"/>
          <w:b w:val="0"/>
          <w:color w:val="000000" w:themeColor="text1"/>
          <w:highlight w:val="none"/>
          <w14:textFill>
            <w14:solidFill>
              <w14:schemeClr w14:val="tx1"/>
            </w14:solidFill>
          </w14:textFill>
        </w:rPr>
        <w:t>售后服务措施及承诺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pPr>
              <w:pStyle w:val="65"/>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noWrap w:val="0"/>
            <w:vAlign w:val="center"/>
          </w:tcPr>
          <w:p>
            <w:pPr>
              <w:pStyle w:val="65"/>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noWrap w:val="0"/>
            <w:vAlign w:val="center"/>
          </w:tcPr>
          <w:p>
            <w:pPr>
              <w:pStyle w:val="65"/>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磋商供应商承诺</w:t>
            </w:r>
          </w:p>
        </w:tc>
        <w:tc>
          <w:tcPr>
            <w:tcW w:w="1373" w:type="dxa"/>
            <w:noWrap w:val="0"/>
            <w:vAlign w:val="center"/>
          </w:tcPr>
          <w:p>
            <w:pPr>
              <w:pStyle w:val="65"/>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pPr>
              <w:pStyle w:val="65"/>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noWrap w:val="0"/>
            <w:vAlign w:val="center"/>
          </w:tcPr>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noWrap w:val="0"/>
            <w:vAlign w:val="top"/>
          </w:tcPr>
          <w:p>
            <w:pPr>
              <w:pStyle w:val="65"/>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磋商供应商售后服务情况：</w:t>
            </w:r>
          </w:p>
        </w:tc>
        <w:tc>
          <w:tcPr>
            <w:tcW w:w="1373" w:type="dxa"/>
            <w:noWrap w:val="0"/>
            <w:vAlign w:val="top"/>
          </w:tcPr>
          <w:p>
            <w:pPr>
              <w:pStyle w:val="65"/>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pPr>
              <w:pStyle w:val="65"/>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noWrap w:val="0"/>
            <w:vAlign w:val="center"/>
          </w:tcPr>
          <w:p>
            <w:pPr>
              <w:pStyle w:val="65"/>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服务期后售后服务</w:t>
            </w:r>
          </w:p>
        </w:tc>
        <w:tc>
          <w:tcPr>
            <w:tcW w:w="4061" w:type="dxa"/>
            <w:noWrap w:val="0"/>
            <w:vAlign w:val="top"/>
          </w:tcPr>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5"/>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noWrap w:val="0"/>
            <w:vAlign w:val="top"/>
          </w:tcPr>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pPr>
              <w:pStyle w:val="65"/>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noWrap w:val="0"/>
            <w:vAlign w:val="center"/>
          </w:tcPr>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noWrap w:val="0"/>
            <w:vAlign w:val="top"/>
          </w:tcPr>
          <w:p>
            <w:pPr>
              <w:pStyle w:val="65"/>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5"/>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noWrap w:val="0"/>
            <w:vAlign w:val="top"/>
          </w:tcPr>
          <w:p>
            <w:pPr>
              <w:pStyle w:val="65"/>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5"/>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pPr>
              <w:pStyle w:val="65"/>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noWrap w:val="0"/>
            <w:vAlign w:val="center"/>
          </w:tcPr>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noWrap w:val="0"/>
            <w:vAlign w:val="top"/>
          </w:tcPr>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noWrap w:val="0"/>
            <w:vAlign w:val="top"/>
          </w:tcPr>
          <w:p>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p>
    <w:p>
      <w:pPr>
        <w:spacing w:line="360" w:lineRule="auto"/>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7"/>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附件11：</w:t>
      </w:r>
      <w:r>
        <w:rPr>
          <w:rFonts w:hint="eastAsia" w:ascii="宋体" w:hAnsi="宋体" w:eastAsia="宋体" w:cs="宋体"/>
          <w:b w:val="0"/>
          <w:color w:val="000000" w:themeColor="text1"/>
          <w:highlight w:val="none"/>
          <w14:textFill>
            <w14:solidFill>
              <w14:schemeClr w14:val="tx1"/>
            </w14:solidFill>
          </w14:textFill>
        </w:rPr>
        <w:t>首次报价一览表</w:t>
      </w:r>
    </w:p>
    <w:p>
      <w:pPr>
        <w:pStyle w:val="3"/>
        <w:spacing w:line="320" w:lineRule="exact"/>
        <w:rPr>
          <w:rFonts w:hint="eastAsia" w:ascii="宋体" w:hAnsi="宋体" w:eastAsia="宋体" w:cs="宋体"/>
          <w:b/>
          <w:color w:val="000000" w:themeColor="text1"/>
          <w:sz w:val="24"/>
          <w:highlight w:val="none"/>
          <w14:textFill>
            <w14:solidFill>
              <w14:schemeClr w14:val="tx1"/>
            </w14:solidFill>
          </w14:textFill>
        </w:rPr>
      </w:pPr>
    </w:p>
    <w:p>
      <w:pPr>
        <w:pStyle w:val="3"/>
        <w:spacing w:line="320" w:lineRule="exact"/>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b/>
          <w:color w:val="000000" w:themeColor="text1"/>
          <w:sz w:val="24"/>
          <w:highlight w:val="none"/>
          <w:u w:val="single"/>
          <w14:textFill>
            <w14:solidFill>
              <w14:schemeClr w14:val="tx1"/>
            </w14:solidFill>
          </w14:textFill>
        </w:rPr>
        <w:t>HQ-YHZFCG-2024-0502</w:t>
      </w:r>
    </w:p>
    <w:p>
      <w:pPr>
        <w:pStyle w:val="61"/>
        <w:spacing w:line="360" w:lineRule="auto"/>
        <w:ind w:right="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eastAsia="宋体" w:cs="宋体"/>
          <w:b/>
          <w:color w:val="000000" w:themeColor="text1"/>
          <w:sz w:val="24"/>
          <w:highlight w:val="none"/>
          <w:u w:val="single"/>
          <w14:textFill>
            <w14:solidFill>
              <w14:schemeClr w14:val="tx1"/>
            </w14:solidFill>
          </w14:textFill>
        </w:rPr>
        <w:t>新能源汽车橡胶零件行业中小企业轻量级数字化改造项目</w:t>
      </w:r>
      <w:r>
        <w:rPr>
          <w:rFonts w:hint="eastAsia" w:ascii="宋体" w:hAnsi="宋体" w:eastAsia="宋体" w:cs="宋体"/>
          <w:color w:val="000000" w:themeColor="text1"/>
          <w:sz w:val="24"/>
          <w:highlight w:val="none"/>
          <w14:textFill>
            <w14:solidFill>
              <w14:schemeClr w14:val="tx1"/>
            </w14:solidFill>
          </w14:textFill>
        </w:rPr>
        <w:t xml:space="preserve">                  </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tcBorders>
              <w:tl2br w:val="nil"/>
              <w:tr2bl w:val="nil"/>
            </w:tcBorders>
            <w:noWrap w:val="0"/>
            <w:vAlign w:val="center"/>
          </w:tcPr>
          <w:p>
            <w:pPr>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投标报价(元)</w:t>
            </w:r>
          </w:p>
        </w:tc>
        <w:tc>
          <w:tcPr>
            <w:tcW w:w="1349" w:type="dxa"/>
            <w:tcBorders>
              <w:tl2br w:val="nil"/>
              <w:tr2bl w:val="nil"/>
            </w:tcBorders>
            <w:noWrap w:val="0"/>
            <w:vAlign w:val="center"/>
          </w:tcPr>
          <w:p>
            <w:pPr>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29" w:type="dxa"/>
            <w:tcBorders>
              <w:tl2br w:val="nil"/>
              <w:tr2bl w:val="nil"/>
            </w:tcBorders>
            <w:noWrap w:val="0"/>
            <w:vAlign w:val="center"/>
          </w:tcPr>
          <w:p>
            <w:pPr>
              <w:autoSpaceDE w:val="0"/>
              <w:autoSpaceDN w:val="0"/>
              <w:spacing w:line="450" w:lineRule="exact"/>
              <w:jc w:val="center"/>
              <w:textAlignment w:val="bottom"/>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贰佰万元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noWrap w:val="0"/>
            <w:vAlign w:val="center"/>
          </w:tcPr>
          <w:p>
            <w:pPr>
              <w:rPr>
                <w:rFonts w:hint="eastAsia" w:ascii="宋体" w:hAnsi="宋体" w:cs="宋体"/>
                <w:color w:val="000000" w:themeColor="text1"/>
                <w:sz w:val="24"/>
                <w:highlight w:val="none"/>
                <w14:textFill>
                  <w14:solidFill>
                    <w14:schemeClr w14:val="tx1"/>
                  </w14:solidFill>
                </w14:textFill>
              </w:rPr>
            </w:pPr>
          </w:p>
        </w:tc>
        <w:tc>
          <w:tcPr>
            <w:tcW w:w="1349" w:type="dxa"/>
            <w:tcBorders>
              <w:tl2br w:val="nil"/>
              <w:tr2bl w:val="nil"/>
            </w:tcBorders>
            <w:noWrap w:val="0"/>
            <w:vAlign w:val="center"/>
          </w:tcPr>
          <w:p>
            <w:pPr>
              <w:autoSpaceDE w:val="0"/>
              <w:autoSpaceDN w:val="0"/>
              <w:spacing w:line="450" w:lineRule="exact"/>
              <w:jc w:val="center"/>
              <w:textAlignment w:val="bottom"/>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29" w:type="dxa"/>
            <w:tcBorders>
              <w:tl2br w:val="nil"/>
              <w:tr2bl w:val="nil"/>
            </w:tcBorders>
            <w:noWrap w:val="0"/>
            <w:vAlign w:val="center"/>
          </w:tcPr>
          <w:p>
            <w:pPr>
              <w:autoSpaceDE w:val="0"/>
              <w:autoSpaceDN w:val="0"/>
              <w:spacing w:line="450" w:lineRule="exact"/>
              <w:jc w:val="center"/>
              <w:textAlignment w:val="bottom"/>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2000000元</w:t>
            </w:r>
          </w:p>
        </w:tc>
      </w:tr>
    </w:tbl>
    <w:p>
      <w:pPr>
        <w:spacing w:line="360" w:lineRule="auto"/>
        <w:ind w:left="480"/>
        <w:rPr>
          <w:rFonts w:hint="eastAsia" w:ascii="宋体" w:hAnsi="宋体" w:eastAsia="宋体" w:cs="宋体"/>
          <w:b/>
          <w:color w:val="000000" w:themeColor="text1"/>
          <w:sz w:val="30"/>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填报要求：</w:t>
      </w:r>
    </w:p>
    <w:p>
      <w:pPr>
        <w:pStyle w:val="13"/>
        <w:spacing w:line="360" w:lineRule="auto"/>
        <w:ind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1.总报价是包括劳务费、人员工资、技术服务、合同包含的所有风险责任等各项费用及不可预见费等所需的全部费用。</w:t>
      </w:r>
    </w:p>
    <w:p>
      <w:pPr>
        <w:pStyle w:val="13"/>
        <w:spacing w:line="360" w:lineRule="auto"/>
        <w:ind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2.报价一经涂改，应在涂改处加盖单位公章，或者由法定代表人或全权代表签字或盖章，否则作无效标处理。</w:t>
      </w:r>
    </w:p>
    <w:p>
      <w:pPr>
        <w:pStyle w:val="13"/>
        <w:spacing w:line="360" w:lineRule="auto"/>
        <w:ind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3.本项目执行统一价格标准，其价格不列为评分因素，即报价统一为人民币贰佰万元（￥2000000元）。</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p>
    <w:p>
      <w:pPr>
        <w:pStyle w:val="13"/>
        <w:rPr>
          <w:rFonts w:hint="eastAsia" w:ascii="宋体" w:hAnsi="宋体" w:eastAsia="宋体" w:cs="宋体"/>
          <w:color w:val="000000" w:themeColor="text1"/>
          <w:highlight w:val="none"/>
          <w14:textFill>
            <w14:solidFill>
              <w14:schemeClr w14:val="tx1"/>
            </w14:solidFill>
          </w14:textFill>
        </w:rPr>
      </w:pPr>
    </w:p>
    <w:p>
      <w:pPr>
        <w:spacing w:line="320" w:lineRule="exact"/>
        <w:ind w:left="420"/>
        <w:rPr>
          <w:rFonts w:hint="eastAsia" w:ascii="宋体" w:hAnsi="宋体" w:eastAsia="宋体" w:cs="宋体"/>
          <w:color w:val="000000" w:themeColor="text1"/>
          <w:sz w:val="24"/>
          <w:highlight w:val="none"/>
          <w14:textFill>
            <w14:solidFill>
              <w14:schemeClr w14:val="tx1"/>
            </w14:solidFill>
          </w14:textFill>
        </w:rPr>
      </w:pPr>
    </w:p>
    <w:p>
      <w:pPr>
        <w:spacing w:line="320" w:lineRule="exact"/>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20" w:lineRule="exact"/>
        <w:ind w:left="420"/>
        <w:rPr>
          <w:rFonts w:hint="eastAsia" w:ascii="宋体" w:hAnsi="宋体" w:eastAsia="宋体" w:cs="宋体"/>
          <w:color w:val="000000" w:themeColor="text1"/>
          <w:sz w:val="24"/>
          <w:highlight w:val="none"/>
          <w14:textFill>
            <w14:solidFill>
              <w14:schemeClr w14:val="tx1"/>
            </w14:solidFill>
          </w14:textFill>
        </w:rPr>
      </w:pPr>
    </w:p>
    <w:p>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p>
    <w:p>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p>
    <w:p>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adjustRightInd w:val="0"/>
        <w:snapToGrid w:val="0"/>
        <w:spacing w:line="360" w:lineRule="auto"/>
        <w:ind w:right="480"/>
        <w:jc w:val="center"/>
        <w:rPr>
          <w:rFonts w:hint="eastAsia" w:ascii="宋体" w:hAnsi="宋体" w:eastAsia="宋体" w:cs="宋体"/>
          <w:color w:val="000000" w:themeColor="text1"/>
          <w:kern w:val="0"/>
          <w:sz w:val="24"/>
          <w:highlight w:val="none"/>
          <w:lang w:val="zh-CN"/>
          <w14:textFill>
            <w14:solidFill>
              <w14:schemeClr w14:val="tx1"/>
            </w14:solidFill>
          </w14:textFill>
        </w:rPr>
      </w:pPr>
    </w:p>
    <w:p>
      <w:pPr>
        <w:spacing w:line="360" w:lineRule="atLeast"/>
        <w:ind w:left="480"/>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7"/>
        <w:jc w:val="center"/>
        <w:rPr>
          <w:rFonts w:hint="eastAsia" w:ascii="宋体" w:hAnsi="宋体" w:eastAsia="宋体"/>
          <w:color w:val="000000" w:themeColor="text1"/>
          <w:highlight w:val="none"/>
          <w:lang w:eastAsia="zh-CN"/>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附件1</w:t>
      </w:r>
      <w:r>
        <w:rPr>
          <w:rFonts w:hint="eastAsia"/>
          <w:color w:val="000000" w:themeColor="text1"/>
          <w:kern w:val="0"/>
          <w:sz w:val="28"/>
          <w:szCs w:val="28"/>
          <w:highlight w:val="none"/>
          <w:lang w:val="en-US" w:eastAsia="zh-CN"/>
          <w14:textFill>
            <w14:solidFill>
              <w14:schemeClr w14:val="tx1"/>
            </w14:solidFill>
          </w14:textFill>
        </w:rPr>
        <w:t>2</w:t>
      </w:r>
      <w:r>
        <w:rPr>
          <w:rFonts w:hint="eastAsia"/>
          <w:color w:val="000000" w:themeColor="text1"/>
          <w:kern w:val="0"/>
          <w:sz w:val="28"/>
          <w:szCs w:val="28"/>
          <w:highlight w:val="none"/>
          <w14:textFill>
            <w14:solidFill>
              <w14:schemeClr w14:val="tx1"/>
            </w14:solidFill>
          </w14:textFill>
        </w:rPr>
        <w:t>:</w:t>
      </w:r>
      <w:r>
        <w:rPr>
          <w:rFonts w:hint="eastAsia" w:ascii="宋体" w:hAnsi="宋体"/>
          <w:bCs w:val="0"/>
          <w:color w:val="000000" w:themeColor="text1"/>
          <w:highlight w:val="none"/>
          <w14:textFill>
            <w14:solidFill>
              <w14:schemeClr w14:val="tx1"/>
            </w14:solidFill>
          </w14:textFill>
        </w:rPr>
        <w:t xml:space="preserve"> </w:t>
      </w:r>
      <w:r>
        <w:rPr>
          <w:rFonts w:hint="eastAsia" w:ascii="宋体" w:hAnsi="宋体"/>
          <w:b w:val="0"/>
          <w:color w:val="000000" w:themeColor="text1"/>
          <w:highlight w:val="none"/>
          <w14:textFill>
            <w14:solidFill>
              <w14:schemeClr w14:val="tx1"/>
            </w14:solidFill>
          </w14:textFill>
        </w:rPr>
        <w:t>报价明细表</w:t>
      </w:r>
    </w:p>
    <w:p>
      <w:pPr>
        <w:pStyle w:val="3"/>
        <w:spacing w:line="320" w:lineRule="exact"/>
        <w:rPr>
          <w:rFonts w:hint="eastAsia" w:ascii="宋体" w:hAnsi="宋体" w:eastAsia="宋体" w:cs="宋体"/>
          <w:b w:val="0"/>
          <w:bCs/>
          <w:color w:val="000000" w:themeColor="text1"/>
          <w:sz w:val="24"/>
          <w:highlight w:val="none"/>
          <w:u w:val="singl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项目编号：</w:t>
      </w:r>
      <w:r>
        <w:rPr>
          <w:rFonts w:hint="eastAsia" w:ascii="宋体" w:hAnsi="宋体" w:eastAsia="宋体" w:cs="宋体"/>
          <w:b w:val="0"/>
          <w:bCs/>
          <w:color w:val="000000" w:themeColor="text1"/>
          <w:sz w:val="24"/>
          <w:highlight w:val="none"/>
          <w:u w:val="single"/>
          <w14:textFill>
            <w14:solidFill>
              <w14:schemeClr w14:val="tx1"/>
            </w14:solidFill>
          </w14:textFill>
        </w:rPr>
        <w:t>HQ-YHZFCG-2024-0502</w:t>
      </w:r>
    </w:p>
    <w:p>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14:textFill>
            <w14:solidFill>
              <w14:schemeClr w14:val="tx1"/>
            </w14:solidFill>
          </w14:textFill>
        </w:rPr>
        <w:t>项目名称：</w:t>
      </w:r>
      <w:r>
        <w:rPr>
          <w:rFonts w:hint="eastAsia" w:ascii="宋体" w:hAnsi="宋体" w:eastAsia="宋体" w:cs="宋体"/>
          <w:b w:val="0"/>
          <w:bCs/>
          <w:color w:val="000000" w:themeColor="text1"/>
          <w:sz w:val="24"/>
          <w:highlight w:val="none"/>
          <w:u w:val="single"/>
          <w14:textFill>
            <w14:solidFill>
              <w14:schemeClr w14:val="tx1"/>
            </w14:solidFill>
          </w14:textFill>
        </w:rPr>
        <w:t>新能源汽车橡胶零件行业中小企业轻量级数字化改造项目</w:t>
      </w:r>
      <w:r>
        <w:rPr>
          <w:rFonts w:hint="eastAsia" w:ascii="宋体" w:hAnsi="宋体" w:eastAsia="宋体" w:cs="宋体"/>
          <w:b w:val="0"/>
          <w:bCs/>
          <w:color w:val="000000" w:themeColor="text1"/>
          <w:sz w:val="24"/>
          <w:highlight w:val="none"/>
          <w14:textFill>
            <w14:solidFill>
              <w14:schemeClr w14:val="tx1"/>
            </w14:solidFill>
          </w14:textFill>
        </w:rPr>
        <w:t xml:space="preserve">  </w:t>
      </w:r>
      <w:r>
        <w:rPr>
          <w:rFonts w:hint="eastAsia" w:ascii="宋体" w:hAnsi="宋体" w:cs="宋体"/>
          <w:b w:val="0"/>
          <w:bCs/>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p>
      <w:pPr>
        <w:pStyle w:val="4"/>
        <w:rPr>
          <w:rFonts w:hint="eastAsia"/>
          <w:color w:val="000000" w:themeColor="text1"/>
          <w:highlight w:val="none"/>
          <w14:textFill>
            <w14:solidFill>
              <w14:schemeClr w14:val="tx1"/>
            </w14:solidFill>
          </w14:textFill>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809"/>
        <w:gridCol w:w="5"/>
        <w:gridCol w:w="1258"/>
        <w:gridCol w:w="1023"/>
        <w:gridCol w:w="1025"/>
        <w:gridCol w:w="125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393" w:type="pct"/>
            <w:noWrap w:val="0"/>
            <w:vAlign w:val="top"/>
          </w:tcPr>
          <w:p>
            <w:pPr>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1061" w:type="pct"/>
            <w:noWrap w:val="0"/>
            <w:vAlign w:val="top"/>
          </w:tcPr>
          <w:p>
            <w:pPr>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报价项</w:t>
            </w:r>
          </w:p>
        </w:tc>
        <w:tc>
          <w:tcPr>
            <w:tcW w:w="741" w:type="pct"/>
            <w:gridSpan w:val="2"/>
            <w:noWrap w:val="0"/>
            <w:vAlign w:val="top"/>
          </w:tcPr>
          <w:p>
            <w:pPr>
              <w:spacing w:line="480" w:lineRule="auto"/>
              <w:jc w:val="center"/>
              <w:rPr>
                <w:rFonts w:hint="eastAsia"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数量</w:t>
            </w:r>
          </w:p>
        </w:tc>
        <w:tc>
          <w:tcPr>
            <w:tcW w:w="600" w:type="pct"/>
            <w:noWrap w:val="0"/>
            <w:vAlign w:val="top"/>
          </w:tcPr>
          <w:p>
            <w:pPr>
              <w:spacing w:line="480" w:lineRule="auto"/>
              <w:jc w:val="center"/>
              <w:rPr>
                <w:rFonts w:hint="eastAsia"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单位</w:t>
            </w:r>
          </w:p>
        </w:tc>
        <w:tc>
          <w:tcPr>
            <w:tcW w:w="601" w:type="pct"/>
            <w:noWrap w:val="0"/>
            <w:vAlign w:val="top"/>
          </w:tcPr>
          <w:p>
            <w:pPr>
              <w:spacing w:line="480" w:lineRule="auto"/>
              <w:jc w:val="center"/>
              <w:rPr>
                <w:rFonts w:hint="eastAsia"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单价（元）</w:t>
            </w:r>
          </w:p>
        </w:tc>
        <w:tc>
          <w:tcPr>
            <w:tcW w:w="733" w:type="pct"/>
            <w:noWrap w:val="0"/>
            <w:vAlign w:val="top"/>
          </w:tcPr>
          <w:p>
            <w:pPr>
              <w:spacing w:line="480" w:lineRule="auto"/>
              <w:jc w:val="center"/>
              <w:rPr>
                <w:rFonts w:hint="eastAsia" w:ascii="宋体" w:hAnsi="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合计（元）</w:t>
            </w:r>
          </w:p>
        </w:tc>
        <w:tc>
          <w:tcPr>
            <w:tcW w:w="868" w:type="pct"/>
            <w:noWrap w:val="0"/>
            <w:vAlign w:val="top"/>
          </w:tcPr>
          <w:p>
            <w:pPr>
              <w:spacing w:line="480" w:lineRule="auto"/>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93" w:type="pct"/>
            <w:noWrap w:val="0"/>
            <w:vAlign w:val="center"/>
          </w:tcPr>
          <w:p>
            <w:pPr>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w:t>
            </w:r>
          </w:p>
        </w:tc>
        <w:tc>
          <w:tcPr>
            <w:tcW w:w="1061" w:type="pct"/>
            <w:noWrap w:val="0"/>
            <w:vAlign w:val="center"/>
          </w:tcPr>
          <w:p>
            <w:pPr>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新能源汽车橡胶零件行业中小企业轻量级数字化改造项目</w:t>
            </w:r>
          </w:p>
        </w:tc>
        <w:tc>
          <w:tcPr>
            <w:tcW w:w="741" w:type="pct"/>
            <w:gridSpan w:val="2"/>
            <w:noWrap w:val="0"/>
            <w:vAlign w:val="center"/>
          </w:tcPr>
          <w:p>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20</w:t>
            </w:r>
          </w:p>
        </w:tc>
        <w:tc>
          <w:tcPr>
            <w:tcW w:w="600" w:type="pct"/>
            <w:noWrap w:val="0"/>
            <w:vAlign w:val="center"/>
          </w:tcPr>
          <w:p>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家</w:t>
            </w:r>
          </w:p>
        </w:tc>
        <w:tc>
          <w:tcPr>
            <w:tcW w:w="601" w:type="pct"/>
            <w:noWrap w:val="0"/>
            <w:vAlign w:val="center"/>
          </w:tcPr>
          <w:p>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100000</w:t>
            </w:r>
          </w:p>
        </w:tc>
        <w:tc>
          <w:tcPr>
            <w:tcW w:w="733" w:type="pct"/>
            <w:noWrap w:val="0"/>
            <w:vAlign w:val="center"/>
          </w:tcPr>
          <w:p>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2000000</w:t>
            </w:r>
          </w:p>
        </w:tc>
        <w:tc>
          <w:tcPr>
            <w:tcW w:w="868" w:type="pct"/>
            <w:noWrap w:val="0"/>
            <w:vAlign w:val="center"/>
          </w:tcPr>
          <w:p>
            <w:pPr>
              <w:jc w:val="center"/>
              <w:rPr>
                <w:rFonts w:hint="eastAsia"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57" w:type="pct"/>
            <w:gridSpan w:val="3"/>
            <w:noWrap w:val="0"/>
            <w:vAlign w:val="center"/>
          </w:tcPr>
          <w:p>
            <w:pPr>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w:t>
            </w:r>
            <w:r>
              <w:rPr>
                <w:rFonts w:hint="eastAsia" w:ascii="宋体" w:hAnsi="宋体" w:cs="宋体"/>
                <w:color w:val="000000" w:themeColor="text1"/>
                <w:sz w:val="22"/>
                <w:szCs w:val="22"/>
                <w:highlight w:val="none"/>
                <w:lang w:val="en-US" w:eastAsia="zh-CN"/>
                <w14:textFill>
                  <w14:solidFill>
                    <w14:schemeClr w14:val="tx1"/>
                  </w14:solidFill>
                </w14:textFill>
              </w:rPr>
              <w:t>总价</w:t>
            </w:r>
          </w:p>
        </w:tc>
        <w:tc>
          <w:tcPr>
            <w:tcW w:w="3542" w:type="pct"/>
            <w:gridSpan w:val="5"/>
            <w:noWrap w:val="0"/>
            <w:vAlign w:val="center"/>
          </w:tcPr>
          <w:p>
            <w:pPr>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2000000元</w:t>
            </w:r>
          </w:p>
        </w:tc>
      </w:tr>
    </w:tbl>
    <w:p>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pPr>
        <w:spacing w:line="360" w:lineRule="auto"/>
        <w:ind w:left="43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本表为《首次报价一览表》的报价明细表，如有缺项、漏项，视为磋商报价中已包含相关费用，采购人无需另外支付任何费用。</w:t>
      </w:r>
    </w:p>
    <w:p>
      <w:pPr>
        <w:spacing w:line="360" w:lineRule="auto"/>
        <w:ind w:left="435"/>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报价明细表</w:t>
      </w:r>
      <w:r>
        <w:rPr>
          <w:rFonts w:hint="eastAsia" w:ascii="宋体" w:hAnsi="宋体" w:cs="宋体"/>
          <w:color w:val="000000" w:themeColor="text1"/>
          <w:szCs w:val="21"/>
          <w:highlight w:val="none"/>
          <w:lang w:val="zh-CN"/>
          <w14:textFill>
            <w14:solidFill>
              <w14:schemeClr w14:val="tx1"/>
            </w14:solidFill>
          </w14:textFill>
        </w:rPr>
        <w:t>”中的报价合计应与“首次报价一览表”中的总报价相一致，不一致时，以首次报价一览表为准。</w:t>
      </w:r>
    </w:p>
    <w:p>
      <w:pPr>
        <w:pStyle w:val="13"/>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报价明细表所填内容按磋商文件采购设备清单要求为准。如有漏报的，视同已包含在磋商总价内或已作优惠处理。有重大缺项的将作无效标处理。</w:t>
      </w:r>
    </w:p>
    <w:p>
      <w:pPr>
        <w:pStyle w:val="13"/>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供应商名称（盖章）：</w:t>
      </w:r>
    </w:p>
    <w:p>
      <w:pPr>
        <w:pStyle w:val="13"/>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供应商代表签字或盖章：</w:t>
      </w:r>
    </w:p>
    <w:p>
      <w:pPr>
        <w:pStyle w:val="13"/>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职        务：</w:t>
      </w:r>
    </w:p>
    <w:p>
      <w:pPr>
        <w:pStyle w:val="13"/>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        期：</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pStyle w:val="4"/>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eastAsia="宋体" w:cs="宋体"/>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3</w:t>
      </w:r>
    </w:p>
    <w:p>
      <w:pPr>
        <w:spacing w:line="656" w:lineRule="exact"/>
        <w:ind w:right="21"/>
        <w:jc w:val="center"/>
        <w:rPr>
          <w:rFonts w:hint="eastAsia" w:ascii="宋体" w:hAnsi="宋体" w:eastAsia="宋体" w:cs="宋体"/>
          <w:b/>
          <w:color w:val="000000" w:themeColor="text1"/>
          <w:sz w:val="36"/>
          <w:highlight w:val="none"/>
          <w:lang w:eastAsia="zh-CN"/>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中小企业声明函</w:t>
      </w:r>
      <w:r>
        <w:rPr>
          <w:rFonts w:hint="eastAsia" w:ascii="宋体" w:hAnsi="宋体" w:cs="宋体"/>
          <w:b/>
          <w:color w:val="000000" w:themeColor="text1"/>
          <w:sz w:val="36"/>
          <w:highlight w:val="none"/>
          <w:lang w:eastAsia="zh-CN"/>
          <w14:textFill>
            <w14:solidFill>
              <w14:schemeClr w14:val="tx1"/>
            </w14:solidFill>
          </w14:textFill>
        </w:rPr>
        <w:t>（</w:t>
      </w:r>
      <w:r>
        <w:rPr>
          <w:rFonts w:hint="eastAsia" w:ascii="宋体" w:hAnsi="宋体" w:cs="宋体"/>
          <w:b/>
          <w:color w:val="000000" w:themeColor="text1"/>
          <w:sz w:val="36"/>
          <w:highlight w:val="none"/>
          <w:lang w:val="en-US" w:eastAsia="zh-CN"/>
          <w14:textFill>
            <w14:solidFill>
              <w14:schemeClr w14:val="tx1"/>
            </w14:solidFill>
          </w14:textFill>
        </w:rPr>
        <w:t>服务</w:t>
      </w:r>
      <w:r>
        <w:rPr>
          <w:rFonts w:hint="eastAsia" w:ascii="宋体" w:hAnsi="宋体" w:cs="宋体"/>
          <w:b/>
          <w:color w:val="000000" w:themeColor="text1"/>
          <w:sz w:val="36"/>
          <w:highlight w:val="none"/>
          <w:lang w:eastAsia="zh-CN"/>
          <w14:textFill>
            <w14:solidFill>
              <w14:schemeClr w14:val="tx1"/>
            </w14:solidFill>
          </w14:textFill>
        </w:rPr>
        <w:t>）</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eastAsia="宋体" w:cs="宋体"/>
          <w:color w:val="000000" w:themeColor="text1"/>
          <w:sz w:val="24"/>
          <w:highlight w:val="none"/>
          <w:u w:val="single"/>
          <w14:textFill>
            <w14:solidFill>
              <w14:schemeClr w14:val="tx1"/>
            </w14:solidFill>
          </w14:textFill>
        </w:rPr>
        <w:t>（联合体）</w:t>
      </w:r>
      <w:r>
        <w:rPr>
          <w:rFonts w:hint="eastAsia" w:ascii="宋体" w:hAnsi="宋体" w:eastAsia="宋体" w:cs="宋体"/>
          <w:color w:val="000000" w:themeColor="text1"/>
          <w:sz w:val="24"/>
          <w:highlight w:val="none"/>
          <w14:textFill>
            <w14:solidFill>
              <w14:schemeClr w14:val="tx1"/>
            </w14:solidFill>
          </w14:textFill>
        </w:rPr>
        <w:t>参加</w:t>
      </w:r>
      <w:r>
        <w:rPr>
          <w:rFonts w:hint="eastAsia" w:ascii="宋体" w:hAnsi="宋体" w:eastAsia="宋体" w:cs="宋体"/>
          <w:color w:val="000000" w:themeColor="text1"/>
          <w:sz w:val="24"/>
          <w:highlight w:val="none"/>
          <w:u w:val="single"/>
          <w14:textFill>
            <w14:solidFill>
              <w14:schemeClr w14:val="tx1"/>
            </w14:solidFill>
          </w14:textFill>
        </w:rPr>
        <w:t xml:space="preserve"> （玉环市经济和信息化局）</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（新能源汽车橡胶零件行业中小企业轻量级数字化改造项目）</w:t>
      </w:r>
      <w:r>
        <w:rPr>
          <w:rFonts w:hint="eastAsia" w:ascii="宋体" w:hAnsi="宋体" w:eastAsia="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numPr>
          <w:ilvl w:val="0"/>
          <w:numId w:val="7"/>
        </w:num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软件和信息技术服务业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人</w:t>
      </w:r>
      <w:r>
        <w:rPr>
          <w:rFonts w:hint="eastAsia" w:ascii="宋体" w:hAnsi="宋体" w:eastAsia="宋体" w:cs="宋体"/>
          <w:color w:val="000000" w:themeColor="text1"/>
          <w:sz w:val="24"/>
          <w:highlight w:val="none"/>
          <w14:textFill>
            <w14:solidFill>
              <w14:schemeClr w14:val="tx1"/>
            </w14:solidFill>
          </w14:textFill>
        </w:rPr>
        <w:t>，营业收入为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，属于（中型企业、小型企业、微型企业）；</w:t>
      </w:r>
    </w:p>
    <w:p>
      <w:pPr>
        <w:numPr>
          <w:ilvl w:val="0"/>
          <w:numId w:val="7"/>
        </w:num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人</w:t>
      </w:r>
      <w:r>
        <w:rPr>
          <w:rFonts w:hint="eastAsia" w:ascii="宋体" w:hAnsi="宋体" w:eastAsia="宋体" w:cs="宋体"/>
          <w:color w:val="000000" w:themeColor="text1"/>
          <w:sz w:val="24"/>
          <w:highlight w:val="none"/>
          <w14:textFill>
            <w14:solidFill>
              <w14:schemeClr w14:val="tx1"/>
            </w14:solidFill>
          </w14:textFill>
        </w:rPr>
        <w:t xml:space="preserve">，营业收入为 </w:t>
      </w:r>
      <w:r>
        <w:rPr>
          <w:rFonts w:hint="eastAsia" w:ascii="宋体" w:hAnsi="宋体" w:eastAsia="宋体" w:cs="宋体"/>
          <w:color w:val="000000" w:themeColor="text1"/>
          <w:sz w:val="24"/>
          <w:highlight w:val="none"/>
          <w:u w:val="single"/>
          <w14:textFill>
            <w14:solidFill>
              <w14:schemeClr w14:val="tx1"/>
            </w14:solidFill>
          </w14:textFill>
        </w:rPr>
        <w:t xml:space="preserve">   万元</w:t>
      </w:r>
      <w:r>
        <w:rPr>
          <w:rFonts w:hint="eastAsia" w:ascii="宋体" w:hAnsi="宋体" w:eastAsia="宋体" w:cs="宋体"/>
          <w:color w:val="000000" w:themeColor="text1"/>
          <w:sz w:val="24"/>
          <w:highlight w:val="none"/>
          <w14:textFill>
            <w14:solidFill>
              <w14:schemeClr w14:val="tx1"/>
            </w14:solidFill>
          </w14:textFill>
        </w:rPr>
        <w:t>，资产总额为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 属于（中型企业、小型企业、微型企业）；</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pStyle w:val="4"/>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pPr>
        <w:pStyle w:val="85"/>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85"/>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85"/>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备注：从业人员、营业收入、资产总额填报上一年度数据，无上一年度数据的新成立企业可不填报。</w:t>
      </w:r>
    </w:p>
    <w:p>
      <w:pPr>
        <w:pStyle w:val="3"/>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pPr>
        <w:pStyle w:val="31"/>
        <w:ind w:firstLine="627"/>
        <w:rPr>
          <w:rFonts w:hint="eastAsia" w:ascii="宋体" w:hAnsi="宋体" w:eastAsia="宋体" w:cs="宋体"/>
          <w:b w:val="0"/>
          <w:color w:val="000000" w:themeColor="text1"/>
          <w:sz w:val="32"/>
          <w:szCs w:val="32"/>
          <w:highlight w:val="none"/>
          <w:lang w:val="en-GB"/>
          <w14:textFill>
            <w14:solidFill>
              <w14:schemeClr w14:val="tx1"/>
            </w14:solidFill>
          </w14:textFill>
        </w:rPr>
      </w:pPr>
    </w:p>
    <w:p>
      <w:pPr>
        <w:pStyle w:val="4"/>
        <w:rPr>
          <w:rFonts w:hint="eastAsia" w:ascii="宋体" w:hAnsi="宋体" w:eastAsia="宋体" w:cs="宋体"/>
          <w:color w:val="000000" w:themeColor="text1"/>
          <w:highlight w:val="none"/>
          <w:lang w:val="en-GB"/>
          <w14:textFill>
            <w14:solidFill>
              <w14:schemeClr w14:val="tx1"/>
            </w14:solidFill>
          </w14:textFill>
        </w:rPr>
      </w:pPr>
    </w:p>
    <w:p>
      <w:pPr>
        <w:pStyle w:val="5"/>
        <w:ind w:firstLine="3240" w:firstLineChars="900"/>
        <w:rPr>
          <w:rFonts w:hint="eastAsia" w:ascii="宋体" w:hAnsi="宋体" w:eastAsia="宋体" w:cs="宋体"/>
          <w:color w:val="000000" w:themeColor="text1"/>
          <w:sz w:val="36"/>
          <w:szCs w:val="36"/>
          <w:highlight w:val="none"/>
          <w:lang w:val="en-GB"/>
          <w14:textFill>
            <w14:solidFill>
              <w14:schemeClr w14:val="tx1"/>
            </w14:solidFill>
          </w14:textFill>
        </w:rPr>
      </w:pPr>
      <w:r>
        <w:rPr>
          <w:rFonts w:hint="eastAsia" w:ascii="宋体" w:hAnsi="宋体" w:eastAsia="宋体" w:cs="宋体"/>
          <w:color w:val="000000" w:themeColor="text1"/>
          <w:sz w:val="36"/>
          <w:szCs w:val="36"/>
          <w:highlight w:val="none"/>
          <w:lang w:val="en-GB"/>
          <w14:textFill>
            <w14:solidFill>
              <w14:schemeClr w14:val="tx1"/>
            </w14:solidFill>
          </w14:textFill>
        </w:rPr>
        <w:t>中小企业划型标准规定</w:t>
      </w:r>
    </w:p>
    <w:p>
      <w:pPr>
        <w:pStyle w:val="5"/>
        <w:ind w:firstLine="3600" w:firstLineChars="15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工信部联企业【2011】300 号</w:t>
      </w:r>
    </w:p>
    <w:tbl>
      <w:tblPr>
        <w:tblStyle w:val="36"/>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noWrap w:val="0"/>
            <w:vAlign w:val="center"/>
          </w:tcPr>
          <w:p>
            <w:pPr>
              <w:pStyle w:val="78"/>
              <w:spacing w:before="68"/>
              <w:ind w:left="41" w:right="3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860" w:type="dxa"/>
            <w:noWrap w:val="0"/>
            <w:vAlign w:val="center"/>
          </w:tcPr>
          <w:p>
            <w:pPr>
              <w:pStyle w:val="78"/>
              <w:spacing w:before="68"/>
              <w:ind w:left="10" w:right="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行业</w:t>
            </w:r>
          </w:p>
        </w:tc>
        <w:tc>
          <w:tcPr>
            <w:tcW w:w="2157" w:type="dxa"/>
            <w:noWrap w:val="0"/>
            <w:vAlign w:val="center"/>
          </w:tcPr>
          <w:p>
            <w:pPr>
              <w:pStyle w:val="78"/>
              <w:spacing w:before="68"/>
              <w:ind w:left="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原则</w:t>
            </w:r>
          </w:p>
        </w:tc>
        <w:tc>
          <w:tcPr>
            <w:tcW w:w="5537" w:type="dxa"/>
            <w:gridSpan w:val="2"/>
            <w:noWrap w:val="0"/>
            <w:vAlign w:val="center"/>
          </w:tcPr>
          <w:p>
            <w:pPr>
              <w:pStyle w:val="78"/>
              <w:spacing w:before="68"/>
              <w:ind w:left="2472" w:right="1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具体规定</w:t>
            </w:r>
          </w:p>
        </w:tc>
        <w:tc>
          <w:tcPr>
            <w:tcW w:w="1099" w:type="dxa"/>
            <w:noWrap w:val="0"/>
            <w:vAlign w:val="center"/>
          </w:tcPr>
          <w:p>
            <w:pPr>
              <w:pStyle w:val="78"/>
              <w:spacing w:before="68"/>
              <w:ind w:left="3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8"/>
              <w:spacing w:before="7"/>
              <w:rPr>
                <w:rFonts w:hint="eastAsia" w:ascii="宋体" w:hAnsi="宋体" w:eastAsia="宋体" w:cs="宋体"/>
                <w:b/>
                <w:color w:val="000000" w:themeColor="text1"/>
                <w:sz w:val="24"/>
                <w:highlight w:val="none"/>
                <w14:textFill>
                  <w14:solidFill>
                    <w14:schemeClr w14:val="tx1"/>
                  </w14:solidFill>
                </w14:textFill>
              </w:rPr>
            </w:pPr>
          </w:p>
          <w:p>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1</w:t>
            </w:r>
          </w:p>
        </w:tc>
        <w:tc>
          <w:tcPr>
            <w:tcW w:w="860" w:type="dxa"/>
            <w:vMerge w:val="restart"/>
            <w:noWrap w:val="0"/>
            <w:vAlign w:val="center"/>
          </w:tcPr>
          <w:p>
            <w:pPr>
              <w:pStyle w:val="78"/>
              <w:spacing w:before="3"/>
              <w:rPr>
                <w:rFonts w:hint="eastAsia" w:ascii="宋体" w:hAnsi="宋体" w:eastAsia="宋体" w:cs="宋体"/>
                <w:b/>
                <w:color w:val="000000" w:themeColor="text1"/>
                <w:sz w:val="24"/>
                <w:highlight w:val="none"/>
                <w14:textFill>
                  <w14:solidFill>
                    <w14:schemeClr w14:val="tx1"/>
                  </w14:solidFill>
                </w14:textFill>
              </w:rPr>
            </w:pPr>
          </w:p>
          <w:p>
            <w:pPr>
              <w:pStyle w:val="78"/>
              <w:spacing w:before="1" w:line="292" w:lineRule="auto"/>
              <w:ind w:left="13" w:right="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农、林、牧、渔业</w:t>
            </w:r>
          </w:p>
        </w:tc>
        <w:tc>
          <w:tcPr>
            <w:tcW w:w="2157" w:type="dxa"/>
            <w:vMerge w:val="restart"/>
            <w:noWrap w:val="0"/>
            <w:vAlign w:val="center"/>
          </w:tcPr>
          <w:p>
            <w:pPr>
              <w:pStyle w:val="78"/>
              <w:spacing w:before="3"/>
              <w:rPr>
                <w:rFonts w:hint="eastAsia" w:ascii="宋体" w:hAnsi="宋体" w:eastAsia="宋体" w:cs="宋体"/>
                <w:b/>
                <w:color w:val="000000" w:themeColor="text1"/>
                <w:sz w:val="24"/>
                <w:highlight w:val="none"/>
                <w14:textFill>
                  <w14:solidFill>
                    <w14:schemeClr w14:val="tx1"/>
                  </w14:solidFill>
                </w14:textFill>
              </w:rPr>
            </w:pPr>
          </w:p>
          <w:p>
            <w:pPr>
              <w:pStyle w:val="78"/>
              <w:spacing w:before="1" w:line="292" w:lineRule="auto"/>
              <w:ind w:left="15" w:right="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20000 万元以下的为中小微型企业</w:t>
            </w: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500 万元及以上的</w:t>
            </w:r>
          </w:p>
        </w:tc>
        <w:tc>
          <w:tcPr>
            <w:tcW w:w="1099" w:type="dxa"/>
            <w:vMerge w:val="restart"/>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8"/>
              <w:spacing w:before="6"/>
              <w:rPr>
                <w:rFonts w:hint="eastAsia" w:ascii="宋体" w:hAnsi="宋体" w:eastAsia="宋体" w:cs="宋体"/>
                <w:b/>
                <w:color w:val="000000" w:themeColor="text1"/>
                <w:sz w:val="24"/>
                <w:highlight w:val="none"/>
                <w14:textFill>
                  <w14:solidFill>
                    <w14:schemeClr w14:val="tx1"/>
                  </w14:solidFill>
                </w14:textFill>
              </w:rPr>
            </w:pPr>
          </w:p>
          <w:p>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2</w:t>
            </w:r>
          </w:p>
        </w:tc>
        <w:tc>
          <w:tcPr>
            <w:tcW w:w="860" w:type="dxa"/>
            <w:vMerge w:val="restart"/>
            <w:noWrap w:val="0"/>
            <w:vAlign w:val="center"/>
          </w:tcPr>
          <w:p>
            <w:pPr>
              <w:pStyle w:val="78"/>
              <w:spacing w:before="11"/>
              <w:rPr>
                <w:rFonts w:hint="eastAsia" w:ascii="宋体" w:hAnsi="宋体" w:eastAsia="宋体" w:cs="宋体"/>
                <w:b/>
                <w:color w:val="000000" w:themeColor="text1"/>
                <w:sz w:val="24"/>
                <w:highlight w:val="none"/>
                <w14:textFill>
                  <w14:solidFill>
                    <w14:schemeClr w14:val="tx1"/>
                  </w14:solidFill>
                </w14:textFill>
              </w:rPr>
            </w:pPr>
          </w:p>
          <w:p>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工业</w:t>
            </w:r>
          </w:p>
        </w:tc>
        <w:tc>
          <w:tcPr>
            <w:tcW w:w="2157" w:type="dxa"/>
            <w:vMerge w:val="restart"/>
            <w:noWrap w:val="0"/>
            <w:vAlign w:val="center"/>
          </w:tcPr>
          <w:p>
            <w:pPr>
              <w:pStyle w:val="78"/>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40000 万元以下的为中小微型企业</w:t>
            </w: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8"/>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300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noWrap w:val="0"/>
            <w:vAlign w:val="center"/>
          </w:tcPr>
          <w:p>
            <w:pPr>
              <w:pStyle w:val="78"/>
              <w:rPr>
                <w:rFonts w:hint="eastAsia" w:ascii="宋体" w:hAnsi="宋体" w:eastAsia="宋体" w:cs="宋体"/>
                <w:b/>
                <w:color w:val="000000" w:themeColor="text1"/>
                <w:sz w:val="24"/>
                <w:highlight w:val="none"/>
                <w14:textFill>
                  <w14:solidFill>
                    <w14:schemeClr w14:val="tx1"/>
                  </w14:solidFill>
                </w14:textFill>
              </w:rPr>
            </w:pPr>
          </w:p>
          <w:p>
            <w:pPr>
              <w:pStyle w:val="78"/>
              <w:spacing w:before="15"/>
              <w:rPr>
                <w:rFonts w:hint="eastAsia" w:ascii="宋体" w:hAnsi="宋体" w:eastAsia="宋体" w:cs="宋体"/>
                <w:b/>
                <w:color w:val="000000" w:themeColor="text1"/>
                <w:sz w:val="24"/>
                <w:highlight w:val="none"/>
                <w14:textFill>
                  <w14:solidFill>
                    <w14:schemeClr w14:val="tx1"/>
                  </w14:solidFill>
                </w14:textFill>
              </w:rPr>
            </w:pPr>
          </w:p>
          <w:p>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3</w:t>
            </w:r>
          </w:p>
        </w:tc>
        <w:tc>
          <w:tcPr>
            <w:tcW w:w="860" w:type="dxa"/>
            <w:vMerge w:val="restart"/>
            <w:noWrap w:val="0"/>
            <w:vAlign w:val="center"/>
          </w:tcPr>
          <w:p>
            <w:pPr>
              <w:pStyle w:val="78"/>
              <w:rPr>
                <w:rFonts w:hint="eastAsia" w:ascii="宋体" w:hAnsi="宋体" w:eastAsia="宋体" w:cs="宋体"/>
                <w:b/>
                <w:color w:val="000000" w:themeColor="text1"/>
                <w:sz w:val="24"/>
                <w:highlight w:val="none"/>
                <w14:textFill>
                  <w14:solidFill>
                    <w14:schemeClr w14:val="tx1"/>
                  </w14:solidFill>
                </w14:textFill>
              </w:rPr>
            </w:pPr>
          </w:p>
          <w:p>
            <w:pPr>
              <w:pStyle w:val="78"/>
              <w:spacing w:before="2"/>
              <w:rPr>
                <w:rFonts w:hint="eastAsia" w:ascii="宋体" w:hAnsi="宋体" w:eastAsia="宋体" w:cs="宋体"/>
                <w:b/>
                <w:color w:val="000000" w:themeColor="text1"/>
                <w:sz w:val="24"/>
                <w:highlight w:val="none"/>
                <w14:textFill>
                  <w14:solidFill>
                    <w14:schemeClr w14:val="tx1"/>
                  </w14:solidFill>
                </w14:textFill>
              </w:rPr>
            </w:pPr>
          </w:p>
          <w:p>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建筑业</w:t>
            </w:r>
          </w:p>
        </w:tc>
        <w:tc>
          <w:tcPr>
            <w:tcW w:w="2157" w:type="dxa"/>
            <w:vMerge w:val="restart"/>
            <w:noWrap w:val="0"/>
            <w:vAlign w:val="center"/>
          </w:tcPr>
          <w:p>
            <w:pPr>
              <w:pStyle w:val="78"/>
              <w:ind w:left="15"/>
              <w:rPr>
                <w:rFonts w:hint="eastAsia" w:ascii="宋体" w:hAnsi="宋体" w:eastAsia="宋体" w:cs="宋体"/>
                <w:b/>
                <w:color w:val="000000" w:themeColor="text1"/>
                <w:sz w:val="24"/>
                <w:highlight w:val="none"/>
                <w14:textFill>
                  <w14:solidFill>
                    <w14:schemeClr w14:val="tx1"/>
                  </w14:solidFill>
                </w14:textFill>
              </w:rPr>
            </w:pPr>
          </w:p>
          <w:p>
            <w:pPr>
              <w:pStyle w:val="7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80000 万元以下或资产总额 80000 万元以下的为中小微型企业</w:t>
            </w:r>
          </w:p>
        </w:tc>
        <w:tc>
          <w:tcPr>
            <w:tcW w:w="1215" w:type="dxa"/>
            <w:noWrap w:val="0"/>
            <w:vAlign w:val="center"/>
          </w:tcPr>
          <w:p>
            <w:pPr>
              <w:pStyle w:val="78"/>
              <w:spacing w:before="2"/>
              <w:rPr>
                <w:rFonts w:hint="eastAsia" w:ascii="宋体" w:hAnsi="宋体" w:eastAsia="宋体" w:cs="宋体"/>
                <w:b/>
                <w:color w:val="000000" w:themeColor="text1"/>
                <w:sz w:val="24"/>
                <w:highlight w:val="none"/>
                <w14:textFill>
                  <w14:solidFill>
                    <w14:schemeClr w14:val="tx1"/>
                  </w14:solidFill>
                </w14:textFill>
              </w:rPr>
            </w:pPr>
          </w:p>
          <w:p>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4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营业收入 </w:t>
            </w:r>
            <w:r>
              <w:rPr>
                <w:rFonts w:hint="eastAsia" w:ascii="宋体" w:hAnsi="宋体" w:eastAsia="宋体" w:cs="宋体"/>
                <w:color w:val="000000" w:themeColor="text1"/>
                <w:sz w:val="24"/>
                <w:highlight w:val="none"/>
                <w14:textFill>
                  <w14:solidFill>
                    <w14:schemeClr w14:val="tx1"/>
                  </w14:solidFill>
                </w14:textFill>
              </w:rPr>
              <w:t>6000</w:t>
            </w:r>
            <w:r>
              <w:rPr>
                <w:rFonts w:hint="eastAsia" w:ascii="宋体" w:hAnsi="宋体" w:eastAsia="宋体" w:cs="宋体"/>
                <w:color w:val="000000" w:themeColor="text1"/>
                <w:spacing w:val="-6"/>
                <w:sz w:val="24"/>
                <w:highlight w:val="none"/>
                <w14:textFill>
                  <w14:solidFill>
                    <w14:schemeClr w14:val="tx1"/>
                  </w14:solidFill>
                </w14:textFill>
              </w:rPr>
              <w:t xml:space="preserve"> 万元及以上，且资产总额 </w:t>
            </w:r>
            <w:r>
              <w:rPr>
                <w:rFonts w:hint="eastAsia" w:ascii="宋体" w:hAnsi="宋体" w:eastAsia="宋体" w:cs="宋体"/>
                <w:color w:val="000000" w:themeColor="text1"/>
                <w:sz w:val="24"/>
                <w:highlight w:val="none"/>
                <w14:textFill>
                  <w14:solidFill>
                    <w14:schemeClr w14:val="tx1"/>
                  </w14:solidFill>
                </w14:textFill>
              </w:rPr>
              <w:t>5000</w:t>
            </w:r>
            <w:r>
              <w:rPr>
                <w:rFonts w:hint="eastAsia" w:ascii="宋体" w:hAnsi="宋体" w:eastAsia="宋体" w:cs="宋体"/>
                <w:color w:val="000000" w:themeColor="text1"/>
                <w:spacing w:val="-8"/>
                <w:sz w:val="24"/>
                <w:highlight w:val="none"/>
                <w14:textFill>
                  <w14:solidFill>
                    <w14:schemeClr w14:val="tx1"/>
                  </w14:solidFill>
                </w14:textFill>
              </w:rPr>
              <w:t xml:space="preserve"> 万元及以</w:t>
            </w:r>
          </w:p>
          <w:p>
            <w:pPr>
              <w:pStyle w:val="78"/>
              <w:spacing w:before="56"/>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上的</w:t>
            </w:r>
          </w:p>
        </w:tc>
        <w:tc>
          <w:tcPr>
            <w:tcW w:w="1099" w:type="dxa"/>
            <w:vMerge w:val="restart"/>
            <w:noWrap w:val="0"/>
            <w:vAlign w:val="center"/>
          </w:tcPr>
          <w:p>
            <w:pPr>
              <w:pStyle w:val="78"/>
              <w:spacing w:before="2"/>
              <w:rPr>
                <w:rFonts w:hint="eastAsia" w:ascii="宋体" w:hAnsi="宋体" w:eastAsia="宋体" w:cs="宋体"/>
                <w:b/>
                <w:color w:val="000000" w:themeColor="text1"/>
                <w:sz w:val="24"/>
                <w:highlight w:val="none"/>
                <w14:textFill>
                  <w14:solidFill>
                    <w14:schemeClr w14:val="tx1"/>
                  </w14:solidFill>
                </w14:textFill>
              </w:rPr>
            </w:pPr>
          </w:p>
          <w:p>
            <w:pPr>
              <w:pStyle w:val="78"/>
              <w:spacing w:line="61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16"/>
              <w:rPr>
                <w:rFonts w:hint="eastAsia" w:ascii="宋体" w:hAnsi="宋体" w:eastAsia="宋体" w:cs="宋体"/>
                <w:b/>
                <w:color w:val="000000" w:themeColor="text1"/>
                <w:sz w:val="24"/>
                <w:highlight w:val="none"/>
                <w14:textFill>
                  <w14:solidFill>
                    <w14:schemeClr w14:val="tx1"/>
                  </w14:solidFill>
                </w14:textFill>
              </w:rPr>
            </w:pPr>
          </w:p>
          <w:p>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8"/>
              <w:spacing w:before="45"/>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 xml:space="preserve">营业收入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7"/>
                <w:sz w:val="24"/>
                <w:highlight w:val="none"/>
                <w14:textFill>
                  <w14:solidFill>
                    <w14:schemeClr w14:val="tx1"/>
                  </w14:solidFill>
                </w14:textFill>
              </w:rPr>
              <w:t xml:space="preserve"> 万元及以上，且资产总额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8"/>
                <w:sz w:val="24"/>
                <w:highlight w:val="none"/>
                <w14:textFill>
                  <w14:solidFill>
                    <w14:schemeClr w14:val="tx1"/>
                  </w14:solidFill>
                </w14:textFill>
              </w:rPr>
              <w:t xml:space="preserve"> 万元及以上</w:t>
            </w:r>
          </w:p>
          <w:p>
            <w:pPr>
              <w:pStyle w:val="78"/>
              <w:spacing w:before="55"/>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300 万元以下或资产总额 300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8"/>
              <w:spacing w:before="7"/>
              <w:rPr>
                <w:rFonts w:hint="eastAsia" w:ascii="宋体" w:hAnsi="宋体" w:eastAsia="宋体" w:cs="宋体"/>
                <w:b/>
                <w:color w:val="000000" w:themeColor="text1"/>
                <w:sz w:val="24"/>
                <w:highlight w:val="none"/>
                <w14:textFill>
                  <w14:solidFill>
                    <w14:schemeClr w14:val="tx1"/>
                  </w14:solidFill>
                </w14:textFill>
              </w:rPr>
            </w:pPr>
          </w:p>
          <w:p>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4</w:t>
            </w:r>
          </w:p>
        </w:tc>
        <w:tc>
          <w:tcPr>
            <w:tcW w:w="860" w:type="dxa"/>
            <w:vMerge w:val="restart"/>
            <w:noWrap w:val="0"/>
            <w:vAlign w:val="center"/>
          </w:tcPr>
          <w:p>
            <w:pPr>
              <w:pStyle w:val="78"/>
              <w:spacing w:before="12"/>
              <w:rPr>
                <w:rFonts w:hint="eastAsia" w:ascii="宋体" w:hAnsi="宋体" w:eastAsia="宋体" w:cs="宋体"/>
                <w:b/>
                <w:color w:val="000000" w:themeColor="text1"/>
                <w:sz w:val="24"/>
                <w:highlight w:val="none"/>
                <w14:textFill>
                  <w14:solidFill>
                    <w14:schemeClr w14:val="tx1"/>
                  </w14:solidFill>
                </w14:textFill>
              </w:rPr>
            </w:pPr>
          </w:p>
          <w:p>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批发业</w:t>
            </w:r>
          </w:p>
        </w:tc>
        <w:tc>
          <w:tcPr>
            <w:tcW w:w="2157" w:type="dxa"/>
            <w:vMerge w:val="restart"/>
            <w:noWrap w:val="0"/>
            <w:vAlign w:val="center"/>
          </w:tcPr>
          <w:p>
            <w:pPr>
              <w:pStyle w:val="78"/>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200 人以下或营业收入 40000 万元以下的为中小微型企业</w:t>
            </w: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5000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8"/>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5 人以下或营业收入 1000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8"/>
              <w:spacing w:before="6"/>
              <w:rPr>
                <w:rFonts w:hint="eastAsia" w:ascii="宋体" w:hAnsi="宋体" w:eastAsia="宋体" w:cs="宋体"/>
                <w:b/>
                <w:color w:val="000000" w:themeColor="text1"/>
                <w:sz w:val="24"/>
                <w:highlight w:val="none"/>
                <w14:textFill>
                  <w14:solidFill>
                    <w14:schemeClr w14:val="tx1"/>
                  </w14:solidFill>
                </w14:textFill>
              </w:rPr>
            </w:pPr>
          </w:p>
          <w:p>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5</w:t>
            </w:r>
          </w:p>
        </w:tc>
        <w:tc>
          <w:tcPr>
            <w:tcW w:w="860" w:type="dxa"/>
            <w:vMerge w:val="restart"/>
            <w:noWrap w:val="0"/>
            <w:vAlign w:val="center"/>
          </w:tcPr>
          <w:p>
            <w:pPr>
              <w:pStyle w:val="78"/>
              <w:spacing w:before="11"/>
              <w:rPr>
                <w:rFonts w:hint="eastAsia" w:ascii="宋体" w:hAnsi="宋体" w:eastAsia="宋体" w:cs="宋体"/>
                <w:b/>
                <w:color w:val="000000" w:themeColor="text1"/>
                <w:sz w:val="24"/>
                <w:highlight w:val="none"/>
                <w14:textFill>
                  <w14:solidFill>
                    <w14:schemeClr w14:val="tx1"/>
                  </w14:solidFill>
                </w14:textFill>
              </w:rPr>
            </w:pPr>
          </w:p>
          <w:p>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零售业</w:t>
            </w:r>
          </w:p>
        </w:tc>
        <w:tc>
          <w:tcPr>
            <w:tcW w:w="2157" w:type="dxa"/>
            <w:vMerge w:val="restart"/>
            <w:noWrap w:val="0"/>
            <w:vAlign w:val="center"/>
          </w:tcPr>
          <w:p>
            <w:pPr>
              <w:pStyle w:val="78"/>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20000 万元以下的为中小微型企业</w:t>
            </w: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50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500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8"/>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8"/>
              <w:spacing w:before="7"/>
              <w:rPr>
                <w:rFonts w:hint="eastAsia" w:ascii="宋体" w:hAnsi="宋体" w:eastAsia="宋体" w:cs="宋体"/>
                <w:b/>
                <w:color w:val="000000" w:themeColor="text1"/>
                <w:sz w:val="24"/>
                <w:highlight w:val="none"/>
                <w14:textFill>
                  <w14:solidFill>
                    <w14:schemeClr w14:val="tx1"/>
                  </w14:solidFill>
                </w14:textFill>
              </w:rPr>
            </w:pPr>
          </w:p>
          <w:p>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6</w:t>
            </w:r>
          </w:p>
        </w:tc>
        <w:tc>
          <w:tcPr>
            <w:tcW w:w="860" w:type="dxa"/>
            <w:vMerge w:val="restart"/>
            <w:noWrap w:val="0"/>
            <w:vAlign w:val="center"/>
          </w:tcPr>
          <w:p>
            <w:pPr>
              <w:pStyle w:val="78"/>
              <w:spacing w:before="3"/>
              <w:rPr>
                <w:rFonts w:hint="eastAsia" w:ascii="宋体" w:hAnsi="宋体" w:eastAsia="宋体" w:cs="宋体"/>
                <w:b/>
                <w:color w:val="000000" w:themeColor="text1"/>
                <w:sz w:val="24"/>
                <w:highlight w:val="none"/>
                <w14:textFill>
                  <w14:solidFill>
                    <w14:schemeClr w14:val="tx1"/>
                  </w14:solidFill>
                </w14:textFill>
              </w:rPr>
            </w:pPr>
          </w:p>
          <w:p>
            <w:pPr>
              <w:pStyle w:val="78"/>
              <w:spacing w:before="1" w:line="292" w:lineRule="auto"/>
              <w:ind w:left="13" w:right="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交通运输业</w:t>
            </w:r>
          </w:p>
        </w:tc>
        <w:tc>
          <w:tcPr>
            <w:tcW w:w="2157" w:type="dxa"/>
            <w:vMerge w:val="restart"/>
            <w:noWrap w:val="0"/>
            <w:vAlign w:val="center"/>
          </w:tcPr>
          <w:p>
            <w:pPr>
              <w:pStyle w:val="78"/>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30000 万元以下的为中小微型企业</w:t>
            </w: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3000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8"/>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200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8"/>
              <w:spacing w:before="6"/>
              <w:rPr>
                <w:rFonts w:hint="eastAsia" w:ascii="宋体" w:hAnsi="宋体" w:eastAsia="宋体" w:cs="宋体"/>
                <w:b/>
                <w:color w:val="000000" w:themeColor="text1"/>
                <w:sz w:val="24"/>
                <w:highlight w:val="none"/>
                <w14:textFill>
                  <w14:solidFill>
                    <w14:schemeClr w14:val="tx1"/>
                  </w14:solidFill>
                </w14:textFill>
              </w:rPr>
            </w:pPr>
          </w:p>
          <w:p>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7</w:t>
            </w:r>
          </w:p>
        </w:tc>
        <w:tc>
          <w:tcPr>
            <w:tcW w:w="860" w:type="dxa"/>
            <w:vMerge w:val="restart"/>
            <w:noWrap w:val="0"/>
            <w:vAlign w:val="center"/>
          </w:tcPr>
          <w:p>
            <w:pPr>
              <w:pStyle w:val="78"/>
              <w:spacing w:before="11"/>
              <w:rPr>
                <w:rFonts w:hint="eastAsia" w:ascii="宋体" w:hAnsi="宋体" w:eastAsia="宋体" w:cs="宋体"/>
                <w:b/>
                <w:color w:val="000000" w:themeColor="text1"/>
                <w:sz w:val="24"/>
                <w:highlight w:val="none"/>
                <w14:textFill>
                  <w14:solidFill>
                    <w14:schemeClr w14:val="tx1"/>
                  </w14:solidFill>
                </w14:textFill>
              </w:rPr>
            </w:pPr>
          </w:p>
          <w:p>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仓储业</w:t>
            </w:r>
          </w:p>
        </w:tc>
        <w:tc>
          <w:tcPr>
            <w:tcW w:w="2157" w:type="dxa"/>
            <w:vMerge w:val="restart"/>
            <w:noWrap w:val="0"/>
            <w:vAlign w:val="center"/>
          </w:tcPr>
          <w:p>
            <w:pPr>
              <w:pStyle w:val="78"/>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200 人以下或营业收入 30000 万元以下的为中小微型企业</w:t>
            </w: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8"/>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8"/>
              <w:spacing w:before="7"/>
              <w:rPr>
                <w:rFonts w:hint="eastAsia" w:ascii="宋体" w:hAnsi="宋体" w:eastAsia="宋体" w:cs="宋体"/>
                <w:b/>
                <w:color w:val="000000" w:themeColor="text1"/>
                <w:sz w:val="24"/>
                <w:highlight w:val="none"/>
                <w14:textFill>
                  <w14:solidFill>
                    <w14:schemeClr w14:val="tx1"/>
                  </w14:solidFill>
                </w14:textFill>
              </w:rPr>
            </w:pPr>
          </w:p>
          <w:p>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8</w:t>
            </w:r>
          </w:p>
        </w:tc>
        <w:tc>
          <w:tcPr>
            <w:tcW w:w="860" w:type="dxa"/>
            <w:vMerge w:val="restart"/>
            <w:noWrap w:val="0"/>
            <w:vAlign w:val="center"/>
          </w:tcPr>
          <w:p>
            <w:pPr>
              <w:pStyle w:val="78"/>
              <w:spacing w:before="12"/>
              <w:rPr>
                <w:rFonts w:hint="eastAsia" w:ascii="宋体" w:hAnsi="宋体" w:eastAsia="宋体" w:cs="宋体"/>
                <w:b/>
                <w:color w:val="000000" w:themeColor="text1"/>
                <w:sz w:val="24"/>
                <w:highlight w:val="none"/>
                <w14:textFill>
                  <w14:solidFill>
                    <w14:schemeClr w14:val="tx1"/>
                  </w14:solidFill>
                </w14:textFill>
              </w:rPr>
            </w:pPr>
          </w:p>
          <w:p>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邮政业</w:t>
            </w:r>
          </w:p>
        </w:tc>
        <w:tc>
          <w:tcPr>
            <w:tcW w:w="2157" w:type="dxa"/>
            <w:vMerge w:val="restart"/>
            <w:noWrap w:val="0"/>
            <w:vAlign w:val="center"/>
          </w:tcPr>
          <w:p>
            <w:pPr>
              <w:pStyle w:val="78"/>
              <w:spacing w:before="143"/>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30000 万元以下的为中小微型企业</w:t>
            </w: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8"/>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pPr>
              <w:pStyle w:val="78"/>
              <w:spacing w:before="6"/>
              <w:rPr>
                <w:rFonts w:hint="eastAsia" w:ascii="宋体" w:hAnsi="宋体" w:eastAsia="宋体" w:cs="宋体"/>
                <w:b/>
                <w:color w:val="000000" w:themeColor="text1"/>
                <w:sz w:val="24"/>
                <w:highlight w:val="none"/>
                <w14:textFill>
                  <w14:solidFill>
                    <w14:schemeClr w14:val="tx1"/>
                  </w14:solidFill>
                </w14:textFill>
              </w:rPr>
            </w:pPr>
          </w:p>
          <w:p>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9</w:t>
            </w:r>
          </w:p>
        </w:tc>
        <w:tc>
          <w:tcPr>
            <w:tcW w:w="860" w:type="dxa"/>
            <w:vMerge w:val="restart"/>
            <w:noWrap w:val="0"/>
            <w:vAlign w:val="center"/>
          </w:tcPr>
          <w:p>
            <w:pPr>
              <w:pStyle w:val="78"/>
              <w:spacing w:before="11"/>
              <w:rPr>
                <w:rFonts w:hint="eastAsia" w:ascii="宋体" w:hAnsi="宋体" w:eastAsia="宋体" w:cs="宋体"/>
                <w:b/>
                <w:color w:val="000000" w:themeColor="text1"/>
                <w:sz w:val="24"/>
                <w:highlight w:val="none"/>
                <w14:textFill>
                  <w14:solidFill>
                    <w14:schemeClr w14:val="tx1"/>
                  </w14:solidFill>
                </w14:textFill>
              </w:rPr>
            </w:pPr>
          </w:p>
          <w:p>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住宿业</w:t>
            </w:r>
          </w:p>
        </w:tc>
        <w:tc>
          <w:tcPr>
            <w:tcW w:w="2157" w:type="dxa"/>
            <w:vMerge w:val="restart"/>
            <w:noWrap w:val="0"/>
            <w:vAlign w:val="center"/>
          </w:tcPr>
          <w:p>
            <w:pPr>
              <w:pStyle w:val="78"/>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10000 万元以下的为中小微型企业</w:t>
            </w: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8"/>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pPr>
              <w:pStyle w:val="78"/>
              <w:spacing w:before="7"/>
              <w:rPr>
                <w:rFonts w:hint="eastAsia" w:ascii="宋体" w:hAnsi="宋体" w:eastAsia="宋体" w:cs="宋体"/>
                <w:b/>
                <w:color w:val="000000" w:themeColor="text1"/>
                <w:sz w:val="24"/>
                <w:highlight w:val="none"/>
                <w14:textFill>
                  <w14:solidFill>
                    <w14:schemeClr w14:val="tx1"/>
                  </w14:solidFill>
                </w14:textFill>
              </w:rPr>
            </w:pPr>
          </w:p>
          <w:p>
            <w:pPr>
              <w:pStyle w:val="7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860" w:type="dxa"/>
            <w:vMerge w:val="restart"/>
            <w:noWrap w:val="0"/>
            <w:vAlign w:val="center"/>
          </w:tcPr>
          <w:p>
            <w:pPr>
              <w:pStyle w:val="78"/>
              <w:spacing w:before="12"/>
              <w:rPr>
                <w:rFonts w:hint="eastAsia" w:ascii="宋体" w:hAnsi="宋体" w:eastAsia="宋体" w:cs="宋体"/>
                <w:b/>
                <w:color w:val="000000" w:themeColor="text1"/>
                <w:sz w:val="24"/>
                <w:highlight w:val="none"/>
                <w14:textFill>
                  <w14:solidFill>
                    <w14:schemeClr w14:val="tx1"/>
                  </w14:solidFill>
                </w14:textFill>
              </w:rPr>
            </w:pPr>
          </w:p>
          <w:p>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餐饮业</w:t>
            </w:r>
          </w:p>
        </w:tc>
        <w:tc>
          <w:tcPr>
            <w:tcW w:w="2157" w:type="dxa"/>
            <w:vMerge w:val="restart"/>
            <w:noWrap w:val="0"/>
            <w:vAlign w:val="center"/>
          </w:tcPr>
          <w:p>
            <w:pPr>
              <w:pStyle w:val="78"/>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10000 万元以下的为中小微型企业</w:t>
            </w: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8"/>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860" w:type="dxa"/>
            <w:vMerge w:val="restart"/>
            <w:noWrap w:val="0"/>
            <w:vAlign w:val="center"/>
          </w:tcPr>
          <w:p>
            <w:pPr>
              <w:pStyle w:val="78"/>
              <w:spacing w:before="67"/>
              <w:ind w:left="7" w:right="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信息传输</w:t>
            </w:r>
          </w:p>
        </w:tc>
        <w:tc>
          <w:tcPr>
            <w:tcW w:w="2157" w:type="dxa"/>
            <w:vMerge w:val="restart"/>
            <w:noWrap w:val="0"/>
            <w:vAlign w:val="center"/>
          </w:tcPr>
          <w:p>
            <w:pPr>
              <w:pStyle w:val="78"/>
              <w:spacing w:before="67"/>
              <w:ind w:left="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从业人员2000人以下或营业收入100000万元以下的为中小微型企业。</w:t>
            </w: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8"/>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从业人员10人及以上，且营业收入100万元及以上的</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8"/>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从业人员10人以下或营业收入100万元以下的为</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860" w:type="dxa"/>
            <w:vMerge w:val="restart"/>
            <w:noWrap w:val="0"/>
            <w:vAlign w:val="center"/>
          </w:tcPr>
          <w:p>
            <w:pPr>
              <w:pStyle w:val="78"/>
              <w:spacing w:before="67"/>
              <w:ind w:left="7" w:right="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软件和信息技术服务业</w:t>
            </w:r>
          </w:p>
        </w:tc>
        <w:tc>
          <w:tcPr>
            <w:tcW w:w="2157" w:type="dxa"/>
            <w:vMerge w:val="restart"/>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从业人员300人以下或营业收入10000万元以下的为中小微型企业</w:t>
            </w: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8"/>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从业人员100人及以上，且营业收入1000万元及以上的</w:t>
            </w:r>
          </w:p>
        </w:tc>
        <w:tc>
          <w:tcPr>
            <w:tcW w:w="1099" w:type="dxa"/>
            <w:vMerge w:val="restart"/>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从业人员10人及以上，且营业收入50万元及以上的</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从业人员10人以下或营业收入50万元以下的</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860" w:type="dxa"/>
            <w:vMerge w:val="restart"/>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房地产开发经营</w:t>
            </w:r>
          </w:p>
        </w:tc>
        <w:tc>
          <w:tcPr>
            <w:tcW w:w="2157" w:type="dxa"/>
            <w:vMerge w:val="restart"/>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营业收入200000万元以下或资产总额10000万元以下的为中小微型企业</w:t>
            </w: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营业收入1000万元及以上，且资产总额5000万元及以上的</w:t>
            </w:r>
          </w:p>
        </w:tc>
        <w:tc>
          <w:tcPr>
            <w:tcW w:w="1099" w:type="dxa"/>
            <w:vMerge w:val="restart"/>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营业收入100万元及以上，且资产总额2000万元及以上的</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营业收入100万元以下或资产总额2000万元以下的</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860" w:type="dxa"/>
            <w:vMerge w:val="restart"/>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物业管理</w:t>
            </w:r>
          </w:p>
        </w:tc>
        <w:tc>
          <w:tcPr>
            <w:tcW w:w="2157" w:type="dxa"/>
            <w:vMerge w:val="restart"/>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从业人员1000人以下或营业收入5000万元以下的为中小微型企业</w:t>
            </w: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从业人员300人及以上，且营业收入1000万元及以上的</w:t>
            </w:r>
          </w:p>
        </w:tc>
        <w:tc>
          <w:tcPr>
            <w:tcW w:w="1099" w:type="dxa"/>
            <w:vMerge w:val="restart"/>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从业人员100人及以上，且营业收入500万元及以上的</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从业人员100人以下或营业收入500万元以下的为</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860" w:type="dxa"/>
            <w:vMerge w:val="restart"/>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租赁和商务服务业</w:t>
            </w:r>
          </w:p>
        </w:tc>
        <w:tc>
          <w:tcPr>
            <w:tcW w:w="2157" w:type="dxa"/>
            <w:vMerge w:val="restart"/>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从业人员300人以下或资产总额120000万元以下的为中小微型企业</w:t>
            </w: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从业人员100人及以上，且资产总额8000万元及以上的</w:t>
            </w:r>
          </w:p>
        </w:tc>
        <w:tc>
          <w:tcPr>
            <w:tcW w:w="1099" w:type="dxa"/>
            <w:vMerge w:val="restart"/>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从业人员10人及以上，且资产总额100万元及以上的</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从业人员10人以下或资产总额100万元以下的</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p>
        </w:tc>
        <w:tc>
          <w:tcPr>
            <w:tcW w:w="860" w:type="dxa"/>
            <w:vMerge w:val="restart"/>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其他未列明行业</w:t>
            </w:r>
          </w:p>
        </w:tc>
        <w:tc>
          <w:tcPr>
            <w:tcW w:w="2157" w:type="dxa"/>
            <w:vMerge w:val="restart"/>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从业人员300人以下的为中小微型企业。</w:t>
            </w: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从业人员10人以下的</w:t>
            </w:r>
          </w:p>
        </w:tc>
        <w:tc>
          <w:tcPr>
            <w:tcW w:w="1099" w:type="dxa"/>
            <w:vMerge w:val="continue"/>
            <w:noWrap w:val="0"/>
            <w:vAlign w:val="center"/>
          </w:tcPr>
          <w:p>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bl>
    <w:p>
      <w:pPr>
        <w:pStyle w:val="5"/>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4"/>
        <w:rPr>
          <w:rFonts w:hint="eastAsia" w:ascii="宋体" w:hAnsi="宋体" w:eastAsia="宋体" w:cs="宋体"/>
          <w:color w:val="000000" w:themeColor="text1"/>
          <w:highlight w:val="none"/>
          <w:lang w:val="en-GB"/>
          <w14:textFill>
            <w14:solidFill>
              <w14:schemeClr w14:val="tx1"/>
            </w14:solidFill>
          </w14:textFill>
        </w:rPr>
      </w:pPr>
      <w:r>
        <w:rPr>
          <w:rFonts w:hint="eastAsia" w:ascii="宋体" w:hAnsi="宋体" w:eastAsia="宋体" w:cs="宋体"/>
          <w:color w:val="000000" w:themeColor="text1"/>
          <w:highlight w:val="none"/>
          <w:lang w:val="en-GB"/>
          <w14:textFill>
            <w14:solidFill>
              <w14:schemeClr w14:val="tx1"/>
            </w14:solidFill>
          </w14:textFill>
        </w:rPr>
        <w:t>该附件可供投标人参考。</w:t>
      </w:r>
    </w:p>
    <w:p>
      <w:pPr>
        <w:pStyle w:val="5"/>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5"/>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4"/>
        <w:rPr>
          <w:rFonts w:hint="eastAsia" w:ascii="宋体" w:hAnsi="宋体" w:eastAsia="宋体" w:cs="宋体"/>
          <w:color w:val="000000" w:themeColor="text1"/>
          <w:highlight w:val="none"/>
          <w:lang w:val="en-GB"/>
          <w14:textFill>
            <w14:solidFill>
              <w14:schemeClr w14:val="tx1"/>
            </w14:solidFill>
          </w14:textFill>
        </w:rPr>
      </w:pPr>
    </w:p>
    <w:p>
      <w:pPr>
        <w:pStyle w:val="26"/>
        <w:rPr>
          <w:rFonts w:hint="eastAsia"/>
          <w:color w:val="000000" w:themeColor="text1"/>
          <w:highlight w:val="none"/>
          <w:lang w:val="en-GB"/>
          <w14:textFill>
            <w14:solidFill>
              <w14:schemeClr w14:val="tx1"/>
            </w14:solidFill>
          </w14:textFill>
        </w:rPr>
      </w:pPr>
    </w:p>
    <w:p>
      <w:pPr>
        <w:pStyle w:val="5"/>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4"/>
        <w:rPr>
          <w:rFonts w:hint="eastAsia" w:ascii="宋体" w:hAnsi="宋体" w:eastAsia="宋体" w:cs="宋体"/>
          <w:color w:val="000000" w:themeColor="text1"/>
          <w:highlight w:val="none"/>
          <w:lang w:val="en-GB"/>
          <w14:textFill>
            <w14:solidFill>
              <w14:schemeClr w14:val="tx1"/>
            </w14:solidFill>
          </w14:textFill>
        </w:rPr>
      </w:pPr>
    </w:p>
    <w:p>
      <w:pPr>
        <w:pStyle w:val="5"/>
        <w:ind w:firstLine="210"/>
        <w:rPr>
          <w:rFonts w:hint="eastAsia" w:ascii="宋体" w:hAnsi="宋体" w:eastAsia="宋体" w:cs="宋体"/>
          <w:color w:val="000000" w:themeColor="text1"/>
          <w:highlight w:val="none"/>
          <w:lang w:val="en-GB"/>
          <w14:textFill>
            <w14:solidFill>
              <w14:schemeClr w14:val="tx1"/>
            </w14:solidFill>
          </w14:textFill>
        </w:rPr>
      </w:pPr>
    </w:p>
    <w:p>
      <w:pPr>
        <w:rPr>
          <w:rFonts w:hint="eastAsia" w:ascii="宋体" w:hAnsi="宋体" w:eastAsia="宋体" w:cs="宋体"/>
          <w:color w:val="000000" w:themeColor="text1"/>
          <w:highlight w:val="none"/>
          <w:lang w:val="en-GB"/>
          <w14:textFill>
            <w14:solidFill>
              <w14:schemeClr w14:val="tx1"/>
            </w14:solidFill>
          </w14:textFill>
        </w:rPr>
      </w:pPr>
    </w:p>
    <w:p>
      <w:pPr>
        <w:pStyle w:val="3"/>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日  期：</w:t>
      </w: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4472E"/>
    <w:multiLevelType w:val="singleLevel"/>
    <w:tmpl w:val="ED54472E"/>
    <w:lvl w:ilvl="0" w:tentative="0">
      <w:start w:val="5"/>
      <w:numFmt w:val="chineseCounting"/>
      <w:suff w:val="nothing"/>
      <w:lvlText w:val="（%1）"/>
      <w:lvlJc w:val="left"/>
      <w:rPr>
        <w:rFonts w:hint="eastAsia"/>
      </w:rPr>
    </w:lvl>
  </w:abstractNum>
  <w:abstractNum w:abstractNumId="1">
    <w:nsid w:val="F0EADC9C"/>
    <w:multiLevelType w:val="singleLevel"/>
    <w:tmpl w:val="F0EADC9C"/>
    <w:lvl w:ilvl="0" w:tentative="0">
      <w:start w:val="1"/>
      <w:numFmt w:val="decimal"/>
      <w:suff w:val="space"/>
      <w:lvlText w:val="%1、"/>
      <w:lvlJc w:val="left"/>
    </w:lvl>
  </w:abstractNum>
  <w:abstractNum w:abstractNumId="2">
    <w:nsid w:val="F1391CFB"/>
    <w:multiLevelType w:val="singleLevel"/>
    <w:tmpl w:val="F1391CFB"/>
    <w:lvl w:ilvl="0" w:tentative="0">
      <w:start w:val="1"/>
      <w:numFmt w:val="decimal"/>
      <w:pStyle w:val="88"/>
      <w:lvlText w:val="%1."/>
      <w:lvlJc w:val="left"/>
      <w:pPr>
        <w:ind w:left="425" w:hanging="425"/>
      </w:pPr>
      <w:rPr>
        <w:rFonts w:hint="default"/>
      </w:rPr>
    </w:lvl>
  </w:abstractNum>
  <w:abstractNum w:abstractNumId="3">
    <w:nsid w:val="00000008"/>
    <w:multiLevelType w:val="multilevel"/>
    <w:tmpl w:val="00000008"/>
    <w:lvl w:ilvl="0" w:tentative="0">
      <w:start w:val="1"/>
      <w:numFmt w:val="decimal"/>
      <w:suff w:val="nothing"/>
      <w:lvlText w:val="%1、"/>
      <w:lvlJc w:val="left"/>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A"/>
    <w:multiLevelType w:val="singleLevel"/>
    <w:tmpl w:val="0000000A"/>
    <w:lvl w:ilvl="0" w:tentative="0">
      <w:start w:val="1"/>
      <w:numFmt w:val="japaneseCounting"/>
      <w:pStyle w:val="12"/>
      <w:lvlText w:val="%1、"/>
      <w:lvlJc w:val="left"/>
      <w:pPr>
        <w:tabs>
          <w:tab w:val="left" w:pos="960"/>
        </w:tabs>
        <w:ind w:left="960" w:hanging="600"/>
      </w:pPr>
      <w:rPr>
        <w:rFonts w:hint="eastAsia"/>
        <w:lang w:val="en-US"/>
      </w:rPr>
    </w:lvl>
  </w:abstractNum>
  <w:abstractNum w:abstractNumId="5">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3380FA00"/>
    <w:multiLevelType w:val="singleLevel"/>
    <w:tmpl w:val="3380FA00"/>
    <w:lvl w:ilvl="0" w:tentative="0">
      <w:start w:val="1"/>
      <w:numFmt w:val="decimal"/>
      <w:suff w:val="nothing"/>
      <w:lvlText w:val="%1）"/>
      <w:lvlJc w:val="left"/>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42E5A"/>
    <w:rsid w:val="00057246"/>
    <w:rsid w:val="00060AEB"/>
    <w:rsid w:val="00084834"/>
    <w:rsid w:val="00085416"/>
    <w:rsid w:val="00096373"/>
    <w:rsid w:val="000E112E"/>
    <w:rsid w:val="000E2DCE"/>
    <w:rsid w:val="0013617F"/>
    <w:rsid w:val="00195C28"/>
    <w:rsid w:val="001B4837"/>
    <w:rsid w:val="0025429C"/>
    <w:rsid w:val="00257737"/>
    <w:rsid w:val="002A7177"/>
    <w:rsid w:val="002B470D"/>
    <w:rsid w:val="002B542A"/>
    <w:rsid w:val="002C25E0"/>
    <w:rsid w:val="003513A2"/>
    <w:rsid w:val="003B064B"/>
    <w:rsid w:val="003E124B"/>
    <w:rsid w:val="003F70BD"/>
    <w:rsid w:val="00412CB2"/>
    <w:rsid w:val="0042047A"/>
    <w:rsid w:val="00450B23"/>
    <w:rsid w:val="004D1412"/>
    <w:rsid w:val="00501645"/>
    <w:rsid w:val="00506F8B"/>
    <w:rsid w:val="00510ED9"/>
    <w:rsid w:val="00521D20"/>
    <w:rsid w:val="0052569A"/>
    <w:rsid w:val="00574551"/>
    <w:rsid w:val="00585FD0"/>
    <w:rsid w:val="005875C1"/>
    <w:rsid w:val="005E752D"/>
    <w:rsid w:val="00602421"/>
    <w:rsid w:val="006209C4"/>
    <w:rsid w:val="00636698"/>
    <w:rsid w:val="00645E9C"/>
    <w:rsid w:val="00657460"/>
    <w:rsid w:val="006778C1"/>
    <w:rsid w:val="00695B46"/>
    <w:rsid w:val="006A7E1B"/>
    <w:rsid w:val="006B2CA3"/>
    <w:rsid w:val="00714CC4"/>
    <w:rsid w:val="007501B4"/>
    <w:rsid w:val="007742E7"/>
    <w:rsid w:val="007B3F33"/>
    <w:rsid w:val="00862569"/>
    <w:rsid w:val="008D5038"/>
    <w:rsid w:val="008D786D"/>
    <w:rsid w:val="008E3D5A"/>
    <w:rsid w:val="009075C4"/>
    <w:rsid w:val="00913FE0"/>
    <w:rsid w:val="00936533"/>
    <w:rsid w:val="009E0CB5"/>
    <w:rsid w:val="009F4598"/>
    <w:rsid w:val="00A422F5"/>
    <w:rsid w:val="00A91D72"/>
    <w:rsid w:val="00A92440"/>
    <w:rsid w:val="00AC2004"/>
    <w:rsid w:val="00AD3AE0"/>
    <w:rsid w:val="00AF1C6B"/>
    <w:rsid w:val="00AF1D2E"/>
    <w:rsid w:val="00BA0984"/>
    <w:rsid w:val="00BA0FCD"/>
    <w:rsid w:val="00BE5EBB"/>
    <w:rsid w:val="00C020AE"/>
    <w:rsid w:val="00C74CD7"/>
    <w:rsid w:val="00C77233"/>
    <w:rsid w:val="00C8020B"/>
    <w:rsid w:val="00C93DB2"/>
    <w:rsid w:val="00CC3574"/>
    <w:rsid w:val="00CC5B2E"/>
    <w:rsid w:val="00CD215B"/>
    <w:rsid w:val="00D27EC2"/>
    <w:rsid w:val="00D32F3E"/>
    <w:rsid w:val="00D415AD"/>
    <w:rsid w:val="00D77AF6"/>
    <w:rsid w:val="00E17442"/>
    <w:rsid w:val="00E63783"/>
    <w:rsid w:val="00E64EEB"/>
    <w:rsid w:val="00E77F2D"/>
    <w:rsid w:val="00ED1E59"/>
    <w:rsid w:val="00EF2362"/>
    <w:rsid w:val="00F6654D"/>
    <w:rsid w:val="00FD1985"/>
    <w:rsid w:val="015A1305"/>
    <w:rsid w:val="01713E00"/>
    <w:rsid w:val="01731F7D"/>
    <w:rsid w:val="01DF7235"/>
    <w:rsid w:val="02E32DF4"/>
    <w:rsid w:val="035E700F"/>
    <w:rsid w:val="04436EBB"/>
    <w:rsid w:val="04C70F47"/>
    <w:rsid w:val="04F574FF"/>
    <w:rsid w:val="05787054"/>
    <w:rsid w:val="05E31CF0"/>
    <w:rsid w:val="060D7519"/>
    <w:rsid w:val="06C23C3F"/>
    <w:rsid w:val="09356CE4"/>
    <w:rsid w:val="097E3F6A"/>
    <w:rsid w:val="09BE263C"/>
    <w:rsid w:val="0A64122F"/>
    <w:rsid w:val="0A895F5A"/>
    <w:rsid w:val="0A8E51BD"/>
    <w:rsid w:val="0C0546C8"/>
    <w:rsid w:val="0C7F345E"/>
    <w:rsid w:val="0D307C59"/>
    <w:rsid w:val="0EB43BBF"/>
    <w:rsid w:val="0F282F85"/>
    <w:rsid w:val="0F3A152F"/>
    <w:rsid w:val="12AC6286"/>
    <w:rsid w:val="154E1005"/>
    <w:rsid w:val="15BD53F5"/>
    <w:rsid w:val="15C52ACA"/>
    <w:rsid w:val="16874310"/>
    <w:rsid w:val="16AB26CE"/>
    <w:rsid w:val="16F917B8"/>
    <w:rsid w:val="17433165"/>
    <w:rsid w:val="17912B3F"/>
    <w:rsid w:val="19CB5539"/>
    <w:rsid w:val="1A8644BD"/>
    <w:rsid w:val="1B44229E"/>
    <w:rsid w:val="1B693E71"/>
    <w:rsid w:val="1BFB6CD4"/>
    <w:rsid w:val="1C79754F"/>
    <w:rsid w:val="1CBD1FC0"/>
    <w:rsid w:val="1DA869BB"/>
    <w:rsid w:val="1E9F5FDB"/>
    <w:rsid w:val="1EE052A5"/>
    <w:rsid w:val="1F6E6FF9"/>
    <w:rsid w:val="1FAF4D67"/>
    <w:rsid w:val="1FDF000F"/>
    <w:rsid w:val="20446136"/>
    <w:rsid w:val="219A3C4F"/>
    <w:rsid w:val="21D47FF9"/>
    <w:rsid w:val="222F25D4"/>
    <w:rsid w:val="224B504B"/>
    <w:rsid w:val="22A94D9E"/>
    <w:rsid w:val="22AC1C58"/>
    <w:rsid w:val="22C7390A"/>
    <w:rsid w:val="22D56919"/>
    <w:rsid w:val="23463D3E"/>
    <w:rsid w:val="23BE4E88"/>
    <w:rsid w:val="252871B3"/>
    <w:rsid w:val="255F0466"/>
    <w:rsid w:val="256D3777"/>
    <w:rsid w:val="25822815"/>
    <w:rsid w:val="26454CFF"/>
    <w:rsid w:val="266424F1"/>
    <w:rsid w:val="275E3AAA"/>
    <w:rsid w:val="277A5C23"/>
    <w:rsid w:val="27AA07AE"/>
    <w:rsid w:val="281738F2"/>
    <w:rsid w:val="2899474C"/>
    <w:rsid w:val="28E23EB1"/>
    <w:rsid w:val="29476B08"/>
    <w:rsid w:val="2A227A6A"/>
    <w:rsid w:val="2E655F96"/>
    <w:rsid w:val="2F0837F4"/>
    <w:rsid w:val="2F345C8E"/>
    <w:rsid w:val="2F3659E5"/>
    <w:rsid w:val="2F4D31F2"/>
    <w:rsid w:val="304E6E71"/>
    <w:rsid w:val="30AC16BA"/>
    <w:rsid w:val="30EF0166"/>
    <w:rsid w:val="32453068"/>
    <w:rsid w:val="325F167A"/>
    <w:rsid w:val="33BA1B1D"/>
    <w:rsid w:val="347A0CC1"/>
    <w:rsid w:val="347A36B8"/>
    <w:rsid w:val="35140239"/>
    <w:rsid w:val="351778F5"/>
    <w:rsid w:val="35981373"/>
    <w:rsid w:val="36373CE2"/>
    <w:rsid w:val="365157D2"/>
    <w:rsid w:val="36DD68E2"/>
    <w:rsid w:val="37402797"/>
    <w:rsid w:val="378F345B"/>
    <w:rsid w:val="387713A7"/>
    <w:rsid w:val="39614463"/>
    <w:rsid w:val="3A525E7B"/>
    <w:rsid w:val="3A8943B7"/>
    <w:rsid w:val="3ABE7FCD"/>
    <w:rsid w:val="3AD93B32"/>
    <w:rsid w:val="3BF62510"/>
    <w:rsid w:val="3C180E01"/>
    <w:rsid w:val="3CDE7D02"/>
    <w:rsid w:val="3D396A5F"/>
    <w:rsid w:val="3E4B54BF"/>
    <w:rsid w:val="3E51357F"/>
    <w:rsid w:val="3E8455B2"/>
    <w:rsid w:val="3EDD3310"/>
    <w:rsid w:val="3F1D59BF"/>
    <w:rsid w:val="3F5B598E"/>
    <w:rsid w:val="3FC13371"/>
    <w:rsid w:val="3FC63D24"/>
    <w:rsid w:val="40490E05"/>
    <w:rsid w:val="40974D22"/>
    <w:rsid w:val="40F33077"/>
    <w:rsid w:val="417F01B8"/>
    <w:rsid w:val="419F78C7"/>
    <w:rsid w:val="41D7007F"/>
    <w:rsid w:val="41E1532F"/>
    <w:rsid w:val="45112884"/>
    <w:rsid w:val="458406C1"/>
    <w:rsid w:val="462D194E"/>
    <w:rsid w:val="46E26868"/>
    <w:rsid w:val="46F20DA7"/>
    <w:rsid w:val="48091F41"/>
    <w:rsid w:val="48911F9D"/>
    <w:rsid w:val="48EE6122"/>
    <w:rsid w:val="48FD4805"/>
    <w:rsid w:val="49D00F6E"/>
    <w:rsid w:val="4AD267A4"/>
    <w:rsid w:val="4AE702C8"/>
    <w:rsid w:val="4AF0232E"/>
    <w:rsid w:val="4AF5558E"/>
    <w:rsid w:val="4B07665D"/>
    <w:rsid w:val="4BB31BAF"/>
    <w:rsid w:val="4C027E79"/>
    <w:rsid w:val="4C681A14"/>
    <w:rsid w:val="4C816674"/>
    <w:rsid w:val="4CE06828"/>
    <w:rsid w:val="4D3120B0"/>
    <w:rsid w:val="4D374B1A"/>
    <w:rsid w:val="4D84279B"/>
    <w:rsid w:val="4E452571"/>
    <w:rsid w:val="4EA42529"/>
    <w:rsid w:val="4EDB6B5A"/>
    <w:rsid w:val="4FDF2071"/>
    <w:rsid w:val="50407935"/>
    <w:rsid w:val="504113B7"/>
    <w:rsid w:val="50643C23"/>
    <w:rsid w:val="50F825B3"/>
    <w:rsid w:val="518C3E45"/>
    <w:rsid w:val="519D5BDA"/>
    <w:rsid w:val="52994455"/>
    <w:rsid w:val="52FD188D"/>
    <w:rsid w:val="53A20B3D"/>
    <w:rsid w:val="53F1698C"/>
    <w:rsid w:val="54770D63"/>
    <w:rsid w:val="54862B3B"/>
    <w:rsid w:val="55260C43"/>
    <w:rsid w:val="55D44648"/>
    <w:rsid w:val="56323AF5"/>
    <w:rsid w:val="574F3BDC"/>
    <w:rsid w:val="57640856"/>
    <w:rsid w:val="576B7CB8"/>
    <w:rsid w:val="580A5AE5"/>
    <w:rsid w:val="58902710"/>
    <w:rsid w:val="589675AA"/>
    <w:rsid w:val="59C75EEA"/>
    <w:rsid w:val="5A3C40AB"/>
    <w:rsid w:val="5AB55796"/>
    <w:rsid w:val="5B1C25B6"/>
    <w:rsid w:val="5B466488"/>
    <w:rsid w:val="5B654180"/>
    <w:rsid w:val="5BCD50AF"/>
    <w:rsid w:val="5BE91D34"/>
    <w:rsid w:val="5BF77A5B"/>
    <w:rsid w:val="5C123859"/>
    <w:rsid w:val="5C7656B8"/>
    <w:rsid w:val="5D083396"/>
    <w:rsid w:val="5D5E0B25"/>
    <w:rsid w:val="5E002F34"/>
    <w:rsid w:val="5E660166"/>
    <w:rsid w:val="5E8A6D0B"/>
    <w:rsid w:val="5EAF1B3A"/>
    <w:rsid w:val="5ECC3001"/>
    <w:rsid w:val="5F471947"/>
    <w:rsid w:val="5FFE3A25"/>
    <w:rsid w:val="60F65CA8"/>
    <w:rsid w:val="614378DA"/>
    <w:rsid w:val="6186668A"/>
    <w:rsid w:val="61E30428"/>
    <w:rsid w:val="61EF10C7"/>
    <w:rsid w:val="62B67D2C"/>
    <w:rsid w:val="639A4204"/>
    <w:rsid w:val="64E1270B"/>
    <w:rsid w:val="652A70DC"/>
    <w:rsid w:val="653037CD"/>
    <w:rsid w:val="653B79AE"/>
    <w:rsid w:val="65B322CE"/>
    <w:rsid w:val="65D55A85"/>
    <w:rsid w:val="666F0EF8"/>
    <w:rsid w:val="67034B7C"/>
    <w:rsid w:val="67167495"/>
    <w:rsid w:val="67206500"/>
    <w:rsid w:val="67253540"/>
    <w:rsid w:val="67B760A5"/>
    <w:rsid w:val="67D424D9"/>
    <w:rsid w:val="68866F70"/>
    <w:rsid w:val="689A152D"/>
    <w:rsid w:val="6996494C"/>
    <w:rsid w:val="6A037BC4"/>
    <w:rsid w:val="6A192242"/>
    <w:rsid w:val="6A900633"/>
    <w:rsid w:val="6AD5781A"/>
    <w:rsid w:val="6AE356DD"/>
    <w:rsid w:val="6AFE23F0"/>
    <w:rsid w:val="6B380995"/>
    <w:rsid w:val="6C6F7C07"/>
    <w:rsid w:val="6CA2193A"/>
    <w:rsid w:val="6F5757FD"/>
    <w:rsid w:val="6F7503A0"/>
    <w:rsid w:val="7006529C"/>
    <w:rsid w:val="70761FC8"/>
    <w:rsid w:val="709A5CAE"/>
    <w:rsid w:val="70EE20BC"/>
    <w:rsid w:val="72843211"/>
    <w:rsid w:val="72DF33FB"/>
    <w:rsid w:val="731A6088"/>
    <w:rsid w:val="736C56DF"/>
    <w:rsid w:val="73BB7E48"/>
    <w:rsid w:val="750F1A33"/>
    <w:rsid w:val="75190CEB"/>
    <w:rsid w:val="75472989"/>
    <w:rsid w:val="75665BE0"/>
    <w:rsid w:val="75DA7ADF"/>
    <w:rsid w:val="76362718"/>
    <w:rsid w:val="7665792F"/>
    <w:rsid w:val="76683B0F"/>
    <w:rsid w:val="76BB6B3C"/>
    <w:rsid w:val="76EE37DD"/>
    <w:rsid w:val="77C7602D"/>
    <w:rsid w:val="78CC7DE6"/>
    <w:rsid w:val="797C5C3C"/>
    <w:rsid w:val="7A0929CB"/>
    <w:rsid w:val="7A87290A"/>
    <w:rsid w:val="7AA565F7"/>
    <w:rsid w:val="7AD75C27"/>
    <w:rsid w:val="7BE3329B"/>
    <w:rsid w:val="7CBA671B"/>
    <w:rsid w:val="7CDB38D7"/>
    <w:rsid w:val="7D23590C"/>
    <w:rsid w:val="7D6E713D"/>
    <w:rsid w:val="7F2E10F5"/>
    <w:rsid w:val="7F5117E4"/>
    <w:rsid w:val="7FC21D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iPriority="39"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7"/>
    <w:autoRedefine/>
    <w:qFormat/>
    <w:uiPriority w:val="0"/>
    <w:pPr>
      <w:keepNext/>
      <w:keepLines/>
      <w:pageBreakBefore/>
      <w:spacing w:before="340" w:after="330" w:line="576" w:lineRule="auto"/>
      <w:outlineLvl w:val="0"/>
    </w:pPr>
    <w:rPr>
      <w:b/>
      <w:bCs/>
      <w:kern w:val="44"/>
      <w:sz w:val="44"/>
      <w:szCs w:val="44"/>
    </w:rPr>
  </w:style>
  <w:style w:type="paragraph" w:styleId="7">
    <w:name w:val="heading 2"/>
    <w:basedOn w:val="1"/>
    <w:next w:val="1"/>
    <w:link w:val="48"/>
    <w:autoRedefine/>
    <w:qFormat/>
    <w:uiPriority w:val="0"/>
    <w:pPr>
      <w:keepNext/>
      <w:keepLines/>
      <w:spacing w:before="260" w:beforeLines="0" w:after="260" w:afterLines="0" w:line="413" w:lineRule="auto"/>
      <w:outlineLvl w:val="1"/>
    </w:pPr>
    <w:rPr>
      <w:rFonts w:ascii="Cambria" w:hAnsi="Cambria"/>
      <w:b/>
      <w:bCs/>
      <w:kern w:val="2"/>
      <w:sz w:val="32"/>
      <w:szCs w:val="32"/>
    </w:rPr>
  </w:style>
  <w:style w:type="paragraph" w:styleId="8">
    <w:name w:val="heading 3"/>
    <w:basedOn w:val="1"/>
    <w:next w:val="1"/>
    <w:autoRedefine/>
    <w:qFormat/>
    <w:uiPriority w:val="0"/>
    <w:pPr>
      <w:keepNext/>
      <w:keepLines/>
      <w:spacing w:before="260" w:beforeLines="0" w:after="260" w:afterLines="0" w:line="360" w:lineRule="auto"/>
      <w:ind w:firstLine="602" w:firstLineChars="200"/>
      <w:outlineLvl w:val="2"/>
    </w:pPr>
    <w:rPr>
      <w:rFonts w:ascii="仿宋_GB2312" w:eastAsia="仿宋_GB2312"/>
      <w:b/>
      <w:bCs/>
      <w:sz w:val="30"/>
      <w:szCs w:val="20"/>
    </w:rPr>
  </w:style>
  <w:style w:type="paragraph" w:styleId="9">
    <w:name w:val="heading 4"/>
    <w:basedOn w:val="1"/>
    <w:next w:val="1"/>
    <w:autoRedefine/>
    <w:qFormat/>
    <w:uiPriority w:val="0"/>
    <w:pPr>
      <w:keepNext/>
      <w:keepLines/>
      <w:spacing w:before="280" w:beforeLines="0" w:after="290" w:afterLines="0" w:line="372" w:lineRule="auto"/>
      <w:outlineLvl w:val="3"/>
    </w:pPr>
    <w:rPr>
      <w:rFonts w:ascii="Cambria" w:hAnsi="Cambria"/>
      <w:b/>
      <w:bCs/>
      <w:szCs w:val="28"/>
    </w:rPr>
  </w:style>
  <w:style w:type="paragraph" w:styleId="10">
    <w:name w:val="heading 5"/>
    <w:basedOn w:val="1"/>
    <w:next w:val="1"/>
    <w:autoRedefine/>
    <w:qFormat/>
    <w:uiPriority w:val="0"/>
    <w:pPr>
      <w:keepNext/>
      <w:keepLines/>
      <w:spacing w:before="280" w:after="290" w:line="372" w:lineRule="auto"/>
      <w:outlineLvl w:val="4"/>
    </w:pPr>
    <w:rPr>
      <w:rFonts w:ascii="仿宋_GB2312" w:hAnsi="Tahoma"/>
      <w:b/>
      <w:bCs/>
      <w:sz w:val="28"/>
      <w:szCs w:val="28"/>
    </w:rPr>
  </w:style>
  <w:style w:type="character" w:default="1" w:styleId="38">
    <w:name w:val="Default Paragraph Font"/>
    <w:autoRedefine/>
    <w:qFormat/>
    <w:uiPriority w:val="0"/>
  </w:style>
  <w:style w:type="table" w:default="1" w:styleId="36">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3"/>
    <w:next w:val="4"/>
    <w:autoRedefine/>
    <w:qFormat/>
    <w:uiPriority w:val="0"/>
    <w:pPr>
      <w:tabs>
        <w:tab w:val="left" w:pos="720"/>
        <w:tab w:val="left" w:pos="1260"/>
        <w:tab w:val="left" w:pos="2160"/>
        <w:tab w:val="left" w:pos="2880"/>
        <w:tab w:val="left" w:pos="3600"/>
        <w:tab w:val="left" w:pos="4320"/>
        <w:tab w:val="left" w:pos="5040"/>
        <w:tab w:val="left" w:pos="5760"/>
      </w:tabs>
      <w:adjustRightInd w:val="0"/>
      <w:spacing w:line="420" w:lineRule="atLeast"/>
      <w:jc w:val="left"/>
      <w:textAlignment w:val="baseline"/>
    </w:pPr>
    <w:rPr>
      <w:rFonts w:ascii="Times New Roman" w:hAnsi="Times New Roman" w:cs="Times New Roman"/>
      <w:kern w:val="0"/>
      <w:szCs w:val="24"/>
    </w:rPr>
  </w:style>
  <w:style w:type="paragraph" w:styleId="3">
    <w:name w:val="Plain Text"/>
    <w:basedOn w:val="1"/>
    <w:next w:val="1"/>
    <w:link w:val="51"/>
    <w:autoRedefine/>
    <w:qFormat/>
    <w:uiPriority w:val="0"/>
    <w:rPr>
      <w:rFonts w:ascii="宋体" w:hAnsi="Courier New" w:eastAsia="宋体"/>
      <w:kern w:val="2"/>
      <w:sz w:val="21"/>
      <w:szCs w:val="24"/>
      <w:lang w:val="en-US" w:eastAsia="zh-CN" w:bidi="ar-SA"/>
    </w:rPr>
  </w:style>
  <w:style w:type="paragraph" w:styleId="4">
    <w:name w:val="Body Text"/>
    <w:basedOn w:val="1"/>
    <w:next w:val="5"/>
    <w:autoRedefine/>
    <w:qFormat/>
    <w:uiPriority w:val="0"/>
    <w:pPr>
      <w:spacing w:after="120" w:afterLines="0"/>
    </w:pPr>
  </w:style>
  <w:style w:type="paragraph" w:styleId="5">
    <w:name w:val="Body Text First Indent"/>
    <w:basedOn w:val="4"/>
    <w:autoRedefine/>
    <w:qFormat/>
    <w:uiPriority w:val="0"/>
    <w:pPr>
      <w:autoSpaceDE w:val="0"/>
      <w:autoSpaceDN w:val="0"/>
      <w:adjustRightInd w:val="0"/>
      <w:spacing w:line="360" w:lineRule="auto"/>
      <w:ind w:firstLine="420" w:firstLineChars="100"/>
    </w:pPr>
    <w:rPr>
      <w:szCs w:val="24"/>
    </w:rPr>
  </w:style>
  <w:style w:type="paragraph" w:styleId="11">
    <w:name w:val="table of authorities"/>
    <w:basedOn w:val="1"/>
    <w:next w:val="1"/>
    <w:autoRedefine/>
    <w:qFormat/>
    <w:uiPriority w:val="0"/>
    <w:pPr>
      <w:ind w:left="420" w:leftChars="200"/>
    </w:pPr>
    <w:rPr>
      <w:rFonts w:ascii="Calibri" w:hAnsi="Calibri" w:eastAsia="宋体"/>
      <w:sz w:val="24"/>
      <w:szCs w:val="22"/>
    </w:rPr>
  </w:style>
  <w:style w:type="paragraph" w:styleId="12">
    <w:name w:val="List Number"/>
    <w:basedOn w:val="1"/>
    <w:autoRedefine/>
    <w:qFormat/>
    <w:uiPriority w:val="0"/>
    <w:pPr>
      <w:widowControl/>
      <w:numPr>
        <w:ilvl w:val="0"/>
        <w:numId w:val="1"/>
      </w:numPr>
      <w:tabs>
        <w:tab w:val="left" w:pos="454"/>
        <w:tab w:val="left" w:pos="720"/>
        <w:tab w:val="left" w:pos="899"/>
        <w:tab w:val="clear" w:pos="960"/>
      </w:tabs>
      <w:spacing w:after="156" w:afterLines="50"/>
      <w:jc w:val="left"/>
    </w:pPr>
    <w:rPr>
      <w:kern w:val="0"/>
      <w:sz w:val="24"/>
      <w:szCs w:val="20"/>
    </w:rPr>
  </w:style>
  <w:style w:type="paragraph" w:styleId="13">
    <w:name w:val="Normal Indent"/>
    <w:basedOn w:val="1"/>
    <w:autoRedefine/>
    <w:qFormat/>
    <w:uiPriority w:val="0"/>
    <w:pPr>
      <w:ind w:firstLine="420"/>
    </w:pPr>
    <w:rPr>
      <w:szCs w:val="20"/>
    </w:rPr>
  </w:style>
  <w:style w:type="paragraph" w:styleId="14">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15">
    <w:name w:val="annotation text"/>
    <w:basedOn w:val="1"/>
    <w:link w:val="50"/>
    <w:autoRedefine/>
    <w:qFormat/>
    <w:uiPriority w:val="0"/>
    <w:pPr>
      <w:jc w:val="left"/>
    </w:pPr>
    <w:rPr>
      <w:kern w:val="2"/>
      <w:sz w:val="21"/>
      <w:szCs w:val="24"/>
    </w:rPr>
  </w:style>
  <w:style w:type="paragraph" w:styleId="16">
    <w:name w:val="Body Text 3"/>
    <w:basedOn w:val="1"/>
    <w:autoRedefine/>
    <w:qFormat/>
    <w:uiPriority w:val="0"/>
    <w:pPr>
      <w:spacing w:after="120" w:afterLines="0"/>
    </w:pPr>
    <w:rPr>
      <w:sz w:val="16"/>
      <w:szCs w:val="16"/>
    </w:rPr>
  </w:style>
  <w:style w:type="paragraph" w:styleId="17">
    <w:name w:val="Body Text Indent"/>
    <w:basedOn w:val="1"/>
    <w:next w:val="1"/>
    <w:link w:val="49"/>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qFormat/>
    <w:uiPriority w:val="0"/>
    <w:pPr>
      <w:ind w:left="1680" w:leftChars="800"/>
    </w:pPr>
  </w:style>
  <w:style w:type="paragraph" w:styleId="20">
    <w:name w:val="Date"/>
    <w:basedOn w:val="1"/>
    <w:next w:val="1"/>
    <w:autoRedefine/>
    <w:qFormat/>
    <w:uiPriority w:val="0"/>
    <w:pPr>
      <w:ind w:leftChars="2500"/>
    </w:pPr>
    <w:rPr>
      <w:rFonts w:eastAsia="楷体_GB2312"/>
      <w:sz w:val="32"/>
      <w:szCs w:val="20"/>
    </w:rPr>
  </w:style>
  <w:style w:type="paragraph" w:styleId="21">
    <w:name w:val="Body Text Indent 2"/>
    <w:basedOn w:val="1"/>
    <w:autoRedefine/>
    <w:qFormat/>
    <w:uiPriority w:val="0"/>
    <w:pPr>
      <w:spacing w:after="120" w:afterLines="0" w:line="480" w:lineRule="auto"/>
      <w:ind w:left="420" w:leftChars="200"/>
    </w:pPr>
  </w:style>
  <w:style w:type="paragraph" w:styleId="22">
    <w:name w:val="Balloon Text"/>
    <w:basedOn w:val="1"/>
    <w:link w:val="52"/>
    <w:autoRedefine/>
    <w:qFormat/>
    <w:uiPriority w:val="0"/>
    <w:rPr>
      <w:kern w:val="2"/>
      <w:sz w:val="18"/>
      <w:szCs w:val="18"/>
    </w:rPr>
  </w:style>
  <w:style w:type="paragraph" w:styleId="23">
    <w:name w:val="footer"/>
    <w:basedOn w:val="1"/>
    <w:link w:val="53"/>
    <w:autoRedefine/>
    <w:qFormat/>
    <w:uiPriority w:val="0"/>
    <w:pPr>
      <w:tabs>
        <w:tab w:val="center" w:pos="4153"/>
        <w:tab w:val="right" w:pos="8306"/>
      </w:tabs>
      <w:snapToGrid w:val="0"/>
      <w:jc w:val="left"/>
    </w:pPr>
    <w:rPr>
      <w:kern w:val="2"/>
      <w:sz w:val="18"/>
      <w:szCs w:val="18"/>
    </w:rPr>
  </w:style>
  <w:style w:type="paragraph" w:styleId="24">
    <w:name w:val="header"/>
    <w:basedOn w:val="1"/>
    <w:link w:val="54"/>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25">
    <w:name w:val="toc 1"/>
    <w:basedOn w:val="1"/>
    <w:next w:val="1"/>
    <w:autoRedefine/>
    <w:unhideWhenUsed/>
    <w:qFormat/>
    <w:uiPriority w:val="39"/>
    <w:pPr>
      <w:tabs>
        <w:tab w:val="right" w:leader="dot" w:pos="8835"/>
      </w:tabs>
    </w:pPr>
    <w:rPr>
      <w:rFonts w:eastAsia="仿宋_GB2312"/>
      <w:sz w:val="32"/>
    </w:rPr>
  </w:style>
  <w:style w:type="paragraph" w:styleId="26">
    <w:name w:val="toc 4"/>
    <w:basedOn w:val="1"/>
    <w:next w:val="1"/>
    <w:autoRedefine/>
    <w:unhideWhenUsed/>
    <w:qFormat/>
    <w:uiPriority w:val="39"/>
    <w:pPr>
      <w:ind w:left="1260" w:leftChars="600"/>
    </w:pPr>
    <w:rPr>
      <w:rFonts w:ascii="Calibri" w:hAnsi="Calibri"/>
      <w:szCs w:val="22"/>
    </w:rPr>
  </w:style>
  <w:style w:type="paragraph" w:styleId="27">
    <w:name w:val="Subtitle"/>
    <w:basedOn w:val="1"/>
    <w:next w:val="1"/>
    <w:autoRedefine/>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8">
    <w:name w:val="List"/>
    <w:basedOn w:val="1"/>
    <w:autoRedefine/>
    <w:qFormat/>
    <w:uiPriority w:val="0"/>
    <w:pPr>
      <w:ind w:left="200" w:hanging="200" w:hangingChars="200"/>
    </w:pPr>
    <w:rPr>
      <w:sz w:val="28"/>
    </w:rPr>
  </w:style>
  <w:style w:type="paragraph" w:styleId="29">
    <w:name w:val="toc 6"/>
    <w:basedOn w:val="1"/>
    <w:next w:val="1"/>
    <w:autoRedefine/>
    <w:qFormat/>
    <w:uiPriority w:val="99"/>
    <w:pPr>
      <w:widowControl/>
      <w:ind w:left="1000"/>
      <w:jc w:val="left"/>
    </w:pPr>
    <w:rPr>
      <w:kern w:val="0"/>
      <w:sz w:val="18"/>
      <w:szCs w:val="20"/>
    </w:rPr>
  </w:style>
  <w:style w:type="paragraph" w:styleId="30">
    <w:name w:val="Body Text Indent 3"/>
    <w:basedOn w:val="1"/>
    <w:autoRedefine/>
    <w:qFormat/>
    <w:uiPriority w:val="0"/>
    <w:pPr>
      <w:spacing w:line="500" w:lineRule="exact"/>
      <w:ind w:left="511" w:hanging="511" w:hangingChars="213"/>
    </w:pPr>
    <w:rPr>
      <w:sz w:val="24"/>
    </w:rPr>
  </w:style>
  <w:style w:type="paragraph" w:styleId="31">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32">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3">
    <w:name w:val="Title"/>
    <w:basedOn w:val="1"/>
    <w:next w:val="1"/>
    <w:autoRedefine/>
    <w:qFormat/>
    <w:uiPriority w:val="0"/>
    <w:pPr>
      <w:spacing w:before="240" w:beforeLines="0" w:after="60" w:afterLines="0"/>
      <w:jc w:val="center"/>
      <w:outlineLvl w:val="0"/>
    </w:pPr>
    <w:rPr>
      <w:rFonts w:ascii="Arial" w:hAnsi="Arial" w:cs="Arial"/>
      <w:sz w:val="32"/>
      <w:szCs w:val="32"/>
    </w:rPr>
  </w:style>
  <w:style w:type="paragraph" w:styleId="34">
    <w:name w:val="annotation subject"/>
    <w:basedOn w:val="15"/>
    <w:next w:val="15"/>
    <w:link w:val="55"/>
    <w:autoRedefine/>
    <w:qFormat/>
    <w:uiPriority w:val="0"/>
  </w:style>
  <w:style w:type="paragraph" w:styleId="35">
    <w:name w:val="Body Text First Indent 2"/>
    <w:basedOn w:val="17"/>
    <w:autoRedefine/>
    <w:qFormat/>
    <w:uiPriority w:val="99"/>
    <w:pPr>
      <w:spacing w:line="200" w:lineRule="atLeast"/>
      <w:ind w:firstLine="420"/>
    </w:pPr>
    <w:rPr>
      <w:rFonts w:ascii="宋体" w:hAnsi="Courier New"/>
      <w:spacing w:val="-4"/>
      <w:sz w:val="18"/>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rFonts w:ascii="Times New Roman" w:hAnsi="Times New Roman" w:eastAsia="宋体" w:cs="Times New Roman"/>
      <w:b/>
      <w:bCs/>
      <w:lang w:bidi="ar-SA"/>
    </w:rPr>
  </w:style>
  <w:style w:type="character" w:styleId="40">
    <w:name w:val="page number"/>
    <w:autoRedefine/>
    <w:qFormat/>
    <w:uiPriority w:val="0"/>
  </w:style>
  <w:style w:type="character" w:styleId="41">
    <w:name w:val="Emphasis"/>
    <w:autoRedefine/>
    <w:qFormat/>
    <w:uiPriority w:val="0"/>
    <w:rPr>
      <w:rFonts w:ascii="宋体" w:hAnsi="宋体" w:eastAsia="宋体"/>
      <w:i/>
      <w:kern w:val="2"/>
      <w:sz w:val="18"/>
      <w:szCs w:val="18"/>
      <w:lang w:val="en-GB" w:eastAsia="zh-CN" w:bidi="ar-SA"/>
    </w:rPr>
  </w:style>
  <w:style w:type="character" w:styleId="42">
    <w:name w:val="Hyperlink"/>
    <w:autoRedefine/>
    <w:qFormat/>
    <w:uiPriority w:val="0"/>
    <w:rPr>
      <w:color w:val="0000FF"/>
      <w:u w:val="single"/>
    </w:rPr>
  </w:style>
  <w:style w:type="character" w:styleId="43">
    <w:name w:val="annotation reference"/>
    <w:autoRedefine/>
    <w:qFormat/>
    <w:uiPriority w:val="0"/>
    <w:rPr>
      <w:sz w:val="21"/>
      <w:szCs w:val="21"/>
    </w:rPr>
  </w:style>
  <w:style w:type="paragraph" w:customStyle="1" w:styleId="44">
    <w:name w:val="sf正文"/>
    <w:basedOn w:val="1"/>
    <w:autoRedefine/>
    <w:qFormat/>
    <w:uiPriority w:val="0"/>
    <w:pPr>
      <w:adjustRightInd w:val="0"/>
      <w:snapToGrid w:val="0"/>
      <w:ind w:firstLine="200" w:firstLineChars="200"/>
      <w:jc w:val="both"/>
    </w:pPr>
    <w:rPr>
      <w:rFonts w:ascii="Arial" w:hAnsi="Arial" w:eastAsia="仿宋"/>
      <w:sz w:val="30"/>
    </w:rPr>
  </w:style>
  <w:style w:type="paragraph" w:customStyle="1" w:styleId="45">
    <w:name w:val="[Normal]"/>
    <w:autoRedefine/>
    <w:qFormat/>
    <w:uiPriority w:val="0"/>
    <w:rPr>
      <w:rFonts w:ascii="宋体" w:hAnsi="宋体" w:eastAsia="宋体" w:cs="Times New Roman"/>
      <w:sz w:val="24"/>
      <w:szCs w:val="22"/>
      <w:lang w:val="zh-CN" w:eastAsia="zh-CN" w:bidi="ar-SA"/>
    </w:rPr>
  </w:style>
  <w:style w:type="paragraph" w:customStyle="1" w:styleId="46">
    <w:name w:val="正文（首行缩进2字符）"/>
    <w:basedOn w:val="1"/>
    <w:autoRedefine/>
    <w:qFormat/>
    <w:uiPriority w:val="0"/>
    <w:pPr>
      <w:spacing w:line="360" w:lineRule="auto"/>
      <w:ind w:firstLine="420" w:firstLineChars="200"/>
    </w:pPr>
    <w:rPr>
      <w:szCs w:val="21"/>
    </w:rPr>
  </w:style>
  <w:style w:type="character" w:customStyle="1" w:styleId="47">
    <w:name w:val="标题 1 字符"/>
    <w:link w:val="6"/>
    <w:autoRedefine/>
    <w:qFormat/>
    <w:uiPriority w:val="0"/>
    <w:rPr>
      <w:b/>
      <w:bCs/>
      <w:kern w:val="44"/>
      <w:sz w:val="44"/>
      <w:szCs w:val="44"/>
    </w:rPr>
  </w:style>
  <w:style w:type="character" w:customStyle="1" w:styleId="48">
    <w:name w:val="标题 2 字符"/>
    <w:link w:val="7"/>
    <w:autoRedefine/>
    <w:qFormat/>
    <w:uiPriority w:val="0"/>
    <w:rPr>
      <w:rFonts w:ascii="Cambria" w:hAnsi="Cambria"/>
      <w:b/>
      <w:bCs/>
      <w:kern w:val="2"/>
      <w:sz w:val="32"/>
      <w:szCs w:val="32"/>
    </w:rPr>
  </w:style>
  <w:style w:type="character" w:customStyle="1" w:styleId="49">
    <w:name w:val="正文文本缩进 字符"/>
    <w:link w:val="17"/>
    <w:autoRedefine/>
    <w:qFormat/>
    <w:uiPriority w:val="0"/>
    <w:rPr>
      <w:rFonts w:ascii="宋体"/>
      <w:color w:val="000000"/>
      <w:sz w:val="24"/>
    </w:rPr>
  </w:style>
  <w:style w:type="character" w:customStyle="1" w:styleId="50">
    <w:name w:val="批注文字 字符"/>
    <w:link w:val="15"/>
    <w:autoRedefine/>
    <w:qFormat/>
    <w:uiPriority w:val="0"/>
    <w:rPr>
      <w:kern w:val="2"/>
      <w:sz w:val="21"/>
      <w:szCs w:val="24"/>
    </w:rPr>
  </w:style>
  <w:style w:type="character" w:customStyle="1" w:styleId="51">
    <w:name w:val="纯文本 字符"/>
    <w:link w:val="3"/>
    <w:autoRedefine/>
    <w:qFormat/>
    <w:uiPriority w:val="0"/>
    <w:rPr>
      <w:rFonts w:ascii="宋体" w:hAnsi="Courier New" w:eastAsia="宋体"/>
      <w:kern w:val="2"/>
      <w:sz w:val="21"/>
      <w:szCs w:val="24"/>
      <w:lang w:val="en-US" w:eastAsia="zh-CN" w:bidi="ar-SA"/>
    </w:rPr>
  </w:style>
  <w:style w:type="character" w:customStyle="1" w:styleId="52">
    <w:name w:val="批注框文本 字符"/>
    <w:link w:val="22"/>
    <w:autoRedefine/>
    <w:qFormat/>
    <w:uiPriority w:val="0"/>
    <w:rPr>
      <w:kern w:val="2"/>
      <w:sz w:val="18"/>
      <w:szCs w:val="18"/>
    </w:rPr>
  </w:style>
  <w:style w:type="character" w:customStyle="1" w:styleId="53">
    <w:name w:val="页脚 字符"/>
    <w:link w:val="23"/>
    <w:autoRedefine/>
    <w:qFormat/>
    <w:uiPriority w:val="0"/>
    <w:rPr>
      <w:kern w:val="2"/>
      <w:sz w:val="18"/>
      <w:szCs w:val="18"/>
    </w:rPr>
  </w:style>
  <w:style w:type="character" w:customStyle="1" w:styleId="54">
    <w:name w:val="页眉 字符"/>
    <w:link w:val="24"/>
    <w:autoRedefine/>
    <w:qFormat/>
    <w:uiPriority w:val="0"/>
    <w:rPr>
      <w:kern w:val="2"/>
      <w:sz w:val="18"/>
      <w:szCs w:val="18"/>
    </w:rPr>
  </w:style>
  <w:style w:type="character" w:customStyle="1" w:styleId="55">
    <w:name w:val="批注主题 字符"/>
    <w:link w:val="34"/>
    <w:autoRedefine/>
    <w:qFormat/>
    <w:uiPriority w:val="0"/>
  </w:style>
  <w:style w:type="paragraph" w:customStyle="1" w:styleId="56">
    <w:name w:val="正文首行缩进 21"/>
    <w:basedOn w:val="17"/>
    <w:next w:val="57"/>
    <w:link w:val="58"/>
    <w:autoRedefine/>
    <w:qFormat/>
    <w:uiPriority w:val="0"/>
    <w:pPr>
      <w:tabs>
        <w:tab w:val="clear" w:pos="720"/>
        <w:tab w:val="clear" w:pos="1260"/>
        <w:tab w:val="clear" w:pos="2160"/>
        <w:tab w:val="clear" w:pos="2880"/>
        <w:tab w:val="clear" w:pos="3600"/>
        <w:tab w:val="clear" w:pos="4320"/>
        <w:tab w:val="clear" w:pos="5040"/>
        <w:tab w:val="clear" w:pos="5760"/>
      </w:tabs>
      <w:autoSpaceDE/>
      <w:autoSpaceDN/>
      <w:adjustRightInd/>
      <w:spacing w:after="120" w:afterLines="0" w:line="240" w:lineRule="auto"/>
      <w:ind w:left="420" w:leftChars="200" w:right="0" w:rightChars="0" w:firstLine="420" w:firstLineChars="200"/>
      <w:jc w:val="both"/>
    </w:pPr>
    <w:rPr>
      <w:rFonts w:ascii="宋体"/>
      <w:color w:val="000000"/>
      <w:kern w:val="2"/>
      <w:sz w:val="21"/>
      <w:szCs w:val="24"/>
    </w:rPr>
  </w:style>
  <w:style w:type="paragraph" w:customStyle="1" w:styleId="57">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58">
    <w:name w:val="正文文本首行缩进 2 字符"/>
    <w:link w:val="56"/>
    <w:autoRedefine/>
    <w:qFormat/>
    <w:uiPriority w:val="0"/>
    <w:rPr>
      <w:rFonts w:ascii="宋体"/>
      <w:color w:val="000000"/>
      <w:kern w:val="2"/>
      <w:sz w:val="21"/>
      <w:szCs w:val="24"/>
    </w:rPr>
  </w:style>
  <w:style w:type="character" w:customStyle="1" w:styleId="59">
    <w:name w:val="font61"/>
    <w:basedOn w:val="38"/>
    <w:autoRedefine/>
    <w:qFormat/>
    <w:uiPriority w:val="0"/>
    <w:rPr>
      <w:rFonts w:hint="eastAsia" w:ascii="宋体" w:hAnsi="宋体" w:eastAsia="宋体"/>
      <w:b/>
      <w:bCs/>
      <w:color w:val="000000"/>
      <w:sz w:val="21"/>
      <w:szCs w:val="21"/>
      <w:u w:val="none"/>
    </w:rPr>
  </w:style>
  <w:style w:type="paragraph" w:customStyle="1" w:styleId="60">
    <w:name w:val="样式 标题 3 + (中文) 黑体 小四 非加粗 段前: 7.8 磅 段后: 0 磅 行距: 固定值 20 磅"/>
    <w:basedOn w:val="8"/>
    <w:autoRedefine/>
    <w:qFormat/>
    <w:uiPriority w:val="0"/>
    <w:pPr>
      <w:spacing w:line="400" w:lineRule="exact"/>
    </w:pPr>
    <w:rPr>
      <w:rFonts w:eastAsia="黑体" w:cs="宋体"/>
      <w:b w:val="0"/>
      <w:bCs w:val="0"/>
      <w:szCs w:val="20"/>
    </w:rPr>
  </w:style>
  <w:style w:type="paragraph" w:customStyle="1" w:styleId="6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1"/>
    <w:basedOn w:val="1"/>
    <w:autoRedefine/>
    <w:qFormat/>
    <w:uiPriority w:val="0"/>
    <w:pPr>
      <w:ind w:firstLine="600" w:firstLineChars="200"/>
      <w:jc w:val="left"/>
    </w:pPr>
    <w:rPr>
      <w:rFonts w:ascii="Times New Roman" w:hAnsi="Times New Roman" w:eastAsia="仿宋_GB2312" w:cs="Times New Roman"/>
      <w:sz w:val="30"/>
      <w:szCs w:val="30"/>
    </w:rPr>
  </w:style>
  <w:style w:type="paragraph" w:customStyle="1" w:styleId="6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Char"/>
    <w:basedOn w:val="1"/>
    <w:autoRedefine/>
    <w:qFormat/>
    <w:uiPriority w:val="0"/>
  </w:style>
  <w:style w:type="paragraph" w:customStyle="1" w:styleId="6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样式 首行缩进:  2 字符"/>
    <w:basedOn w:val="1"/>
    <w:autoRedefine/>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6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6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列出段落21"/>
    <w:basedOn w:val="1"/>
    <w:autoRedefine/>
    <w:qFormat/>
    <w:uiPriority w:val="0"/>
    <w:pPr>
      <w:ind w:firstLine="420" w:firstLineChars="200"/>
    </w:pPr>
    <w:rPr>
      <w:rFonts w:ascii="Calibri" w:hAnsi="Calibri" w:cs="黑体"/>
      <w:szCs w:val="22"/>
    </w:rPr>
  </w:style>
  <w:style w:type="paragraph" w:styleId="70">
    <w:name w:val="List Paragraph"/>
    <w:basedOn w:val="1"/>
    <w:autoRedefine/>
    <w:qFormat/>
    <w:uiPriority w:val="0"/>
    <w:pPr>
      <w:ind w:firstLine="420" w:firstLineChars="200"/>
    </w:pPr>
    <w:rPr>
      <w:rFonts w:ascii="Calibri" w:hAnsi="Calibri" w:eastAsia="宋体" w:cs="Times New Roman"/>
      <w:szCs w:val="22"/>
    </w:rPr>
  </w:style>
  <w:style w:type="paragraph" w:customStyle="1" w:styleId="71">
    <w:name w:val="正文_14"/>
    <w:autoRedefine/>
    <w:qFormat/>
    <w:uiPriority w:val="0"/>
    <w:rPr>
      <w:rFonts w:ascii="Times New Roman" w:hAnsi="Times New Roman" w:eastAsia="宋体" w:cs="Times New Roman"/>
      <w:sz w:val="21"/>
      <w:lang w:val="en-US" w:eastAsia="zh-CN" w:bidi="ar-SA"/>
    </w:rPr>
  </w:style>
  <w:style w:type="paragraph" w:customStyle="1" w:styleId="72">
    <w:name w:val="p0"/>
    <w:basedOn w:val="1"/>
    <w:autoRedefine/>
    <w:qFormat/>
    <w:uiPriority w:val="0"/>
    <w:pPr>
      <w:widowControl/>
    </w:pPr>
    <w:rPr>
      <w:rFonts w:ascii="仿宋_GB2312" w:hAnsi="宋体" w:eastAsia="仿宋_GB2312" w:cs="宋体"/>
      <w:b/>
      <w:bCs/>
      <w:color w:val="000000"/>
      <w:kern w:val="0"/>
      <w:szCs w:val="21"/>
    </w:rPr>
  </w:style>
  <w:style w:type="paragraph" w:customStyle="1" w:styleId="73">
    <w:name w:val="默认段落字体 Para Char Char Char Char Char Char Char Char Char1 Char Char Char Char"/>
    <w:basedOn w:val="1"/>
    <w:autoRedefine/>
    <w:qFormat/>
    <w:uiPriority w:val="0"/>
    <w:rPr>
      <w:rFonts w:ascii="Tahoma" w:hAnsi="Tahoma"/>
      <w:sz w:val="24"/>
      <w:szCs w:val="20"/>
    </w:rPr>
  </w:style>
  <w:style w:type="paragraph" w:customStyle="1" w:styleId="7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 Char"/>
    <w:basedOn w:val="1"/>
    <w:autoRedefine/>
    <w:qFormat/>
    <w:uiPriority w:val="0"/>
  </w:style>
  <w:style w:type="paragraph" w:customStyle="1" w:styleId="76">
    <w:name w:val="正文文本缩进1"/>
    <w:basedOn w:val="1"/>
    <w:autoRedefine/>
    <w:qFormat/>
    <w:uiPriority w:val="0"/>
    <w:pPr>
      <w:spacing w:line="360" w:lineRule="auto"/>
      <w:ind w:firstLine="435"/>
    </w:pPr>
    <w:rPr>
      <w:sz w:val="28"/>
      <w:szCs w:val="24"/>
    </w:rPr>
  </w:style>
  <w:style w:type="paragraph" w:customStyle="1" w:styleId="77">
    <w:name w:val="No Spacing"/>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78">
    <w:name w:val="Table Paragraph"/>
    <w:basedOn w:val="1"/>
    <w:autoRedefine/>
    <w:qFormat/>
    <w:uiPriority w:val="1"/>
    <w:rPr>
      <w:rFonts w:ascii="宋体" w:hAnsi="宋体" w:eastAsia="宋体" w:cs="宋体"/>
      <w:lang w:val="zh-CN" w:eastAsia="zh-CN" w:bidi="zh-CN"/>
    </w:rPr>
  </w:style>
  <w:style w:type="paragraph" w:customStyle="1" w:styleId="79">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zw"/>
    <w:basedOn w:val="1"/>
    <w:autoRedefine/>
    <w:qFormat/>
    <w:uiPriority w:val="0"/>
    <w:pPr>
      <w:widowControl/>
      <w:spacing w:before="30" w:beforeLines="0"/>
      <w:ind w:left="100" w:right="100"/>
    </w:pPr>
    <w:rPr>
      <w:rFonts w:ascii="方正书宋简体" w:hAnsi="宋体" w:eastAsia="方正书宋简体"/>
      <w:color w:val="000000"/>
      <w:kern w:val="0"/>
      <w:szCs w:val="21"/>
    </w:rPr>
  </w:style>
  <w:style w:type="paragraph" w:customStyle="1" w:styleId="81">
    <w:name w:val="reader-word-layer"/>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2">
    <w:name w:val="列出段落1"/>
    <w:basedOn w:val="1"/>
    <w:autoRedefine/>
    <w:qFormat/>
    <w:uiPriority w:val="0"/>
    <w:pPr>
      <w:ind w:firstLine="420" w:firstLineChars="200"/>
    </w:pPr>
    <w:rPr>
      <w:rFonts w:ascii="Calibri" w:hAnsi="Calibri"/>
      <w:kern w:val="0"/>
      <w:szCs w:val="20"/>
    </w:rPr>
  </w:style>
  <w:style w:type="paragraph" w:customStyle="1" w:styleId="83">
    <w:name w:val="无间隔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84">
    <w:name w:val="列出段落3"/>
    <w:basedOn w:val="1"/>
    <w:autoRedefine/>
    <w:qFormat/>
    <w:uiPriority w:val="0"/>
    <w:pPr>
      <w:ind w:firstLine="420" w:firstLineChars="200"/>
    </w:pPr>
    <w:rPr>
      <w:rFonts w:ascii="Calibri" w:hAnsi="Calibri"/>
    </w:rPr>
  </w:style>
  <w:style w:type="paragraph" w:customStyle="1" w:styleId="8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img"/>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7">
    <w:name w:val="文章正文"/>
    <w:basedOn w:val="1"/>
    <w:autoRedefine/>
    <w:qFormat/>
    <w:uiPriority w:val="0"/>
    <w:pPr>
      <w:spacing w:line="360" w:lineRule="auto"/>
      <w:ind w:firstLine="560" w:firstLineChars="200"/>
    </w:pPr>
    <w:rPr>
      <w:rFonts w:eastAsia="仿宋_GB2312"/>
      <w:kern w:val="0"/>
      <w:sz w:val="28"/>
      <w:szCs w:val="24"/>
    </w:rPr>
  </w:style>
  <w:style w:type="paragraph" w:customStyle="1" w:styleId="88">
    <w:name w:val="样式3"/>
    <w:basedOn w:val="1"/>
    <w:autoRedefine/>
    <w:qFormat/>
    <w:uiPriority w:val="0"/>
    <w:pPr>
      <w:widowControl/>
      <w:numPr>
        <w:ilvl w:val="0"/>
        <w:numId w:val="2"/>
      </w:numPr>
      <w:jc w:val="center"/>
      <w:textAlignment w:val="center"/>
    </w:pPr>
    <w:rPr>
      <w:rFonts w:hint="eastAsia" w:ascii="宋体" w:hAnsi="宋体" w:eastAsia="宋体" w:cs="宋体"/>
      <w:color w:val="auto"/>
      <w:kern w:val="0"/>
      <w:szCs w:val="21"/>
      <w:lang w:bidi="ar"/>
    </w:rPr>
  </w:style>
  <w:style w:type="paragraph" w:customStyle="1" w:styleId="89">
    <w:name w:val="DAS正文"/>
    <w:basedOn w:val="1"/>
    <w:autoRedefine/>
    <w:qFormat/>
    <w:uiPriority w:val="0"/>
    <w:pPr>
      <w:spacing w:line="360" w:lineRule="auto"/>
      <w:ind w:right="181" w:firstLine="480" w:firstLineChars="200"/>
    </w:pPr>
    <w:rPr>
      <w:rFonts w:ascii="Verdana" w:hAnsi="Verdana"/>
    </w:rPr>
  </w:style>
  <w:style w:type="paragraph" w:customStyle="1" w:styleId="90">
    <w:name w:val="一级标题"/>
    <w:basedOn w:val="1"/>
    <w:next w:val="4"/>
    <w:autoRedefine/>
    <w:qFormat/>
    <w:uiPriority w:val="0"/>
    <w:pPr>
      <w:outlineLvl w:val="0"/>
    </w:pPr>
    <w:rPr>
      <w:b/>
      <w:bCs/>
      <w:sz w:val="32"/>
    </w:rPr>
  </w:style>
  <w:style w:type="paragraph" w:customStyle="1" w:styleId="91">
    <w:name w:val="Other|1"/>
    <w:basedOn w:val="1"/>
    <w:autoRedefine/>
    <w:qFormat/>
    <w:uiPriority w:val="0"/>
    <w:pPr>
      <w:widowControl w:val="0"/>
      <w:shd w:val="clear" w:color="auto" w:fill="auto"/>
    </w:pPr>
    <w:rPr>
      <w:sz w:val="10"/>
      <w:szCs w:val="10"/>
      <w:u w:val="none"/>
      <w:shd w:val="clear" w:color="auto" w:fill="auto"/>
      <w:lang w:val="zh-TW" w:eastAsia="zh-TW" w:bidi="zh-TW"/>
    </w:rPr>
  </w:style>
  <w:style w:type="paragraph" w:customStyle="1" w:styleId="92">
    <w:name w:val="sf表格标题"/>
    <w:basedOn w:val="1"/>
    <w:next w:val="1"/>
    <w:autoRedefine/>
    <w:qFormat/>
    <w:uiPriority w:val="0"/>
    <w:pPr>
      <w:widowControl w:val="0"/>
      <w:adjustRightInd w:val="0"/>
      <w:snapToGrid w:val="0"/>
      <w:spacing w:line="240" w:lineRule="auto"/>
      <w:jc w:val="center"/>
    </w:pPr>
    <w:rPr>
      <w:rFonts w:ascii="Arial" w:hAnsi="Arial" w:eastAsia="仿宋"/>
      <w:sz w:val="28"/>
    </w:rPr>
  </w:style>
  <w:style w:type="character" w:customStyle="1" w:styleId="93">
    <w:name w:val="font71"/>
    <w:basedOn w:val="38"/>
    <w:autoRedefine/>
    <w:qFormat/>
    <w:uiPriority w:val="0"/>
    <w:rPr>
      <w:rFonts w:hint="eastAsia" w:ascii="宋体" w:hAnsi="宋体" w:eastAsia="宋体" w:cs="宋体"/>
      <w:b/>
      <w:bCs/>
      <w:color w:val="000000"/>
      <w:sz w:val="21"/>
      <w:szCs w:val="21"/>
      <w:u w:val="none"/>
    </w:rPr>
  </w:style>
  <w:style w:type="character" w:customStyle="1" w:styleId="94">
    <w:name w:val="font11"/>
    <w:basedOn w:val="38"/>
    <w:autoRedefine/>
    <w:qFormat/>
    <w:uiPriority w:val="0"/>
    <w:rPr>
      <w:rFonts w:hint="eastAsia" w:ascii="宋体" w:hAnsi="宋体" w:eastAsia="宋体" w:cs="宋体"/>
      <w:color w:val="000000"/>
      <w:sz w:val="21"/>
      <w:szCs w:val="21"/>
      <w:u w:val="none"/>
    </w:rPr>
  </w:style>
  <w:style w:type="character" w:customStyle="1" w:styleId="95">
    <w:name w:val="font31"/>
    <w:basedOn w:val="38"/>
    <w:autoRedefine/>
    <w:qFormat/>
    <w:uiPriority w:val="0"/>
    <w:rPr>
      <w:rFonts w:hint="eastAsia" w:ascii="宋体" w:hAnsi="宋体" w:eastAsia="宋体" w:cs="宋体"/>
      <w:b/>
      <w:bCs/>
      <w:color w:val="000000"/>
      <w:sz w:val="21"/>
      <w:szCs w:val="21"/>
      <w:u w:val="none"/>
    </w:rPr>
  </w:style>
  <w:style w:type="character" w:customStyle="1" w:styleId="96">
    <w:name w:val="font01"/>
    <w:basedOn w:val="38"/>
    <w:autoRedefine/>
    <w:qFormat/>
    <w:uiPriority w:val="0"/>
    <w:rPr>
      <w:rFonts w:hint="eastAsia" w:ascii="宋体" w:hAnsi="宋体" w:eastAsia="宋体" w:cs="宋体"/>
      <w:b/>
      <w:bCs/>
      <w:color w:val="000000"/>
      <w:sz w:val="21"/>
      <w:szCs w:val="21"/>
      <w:u w:val="none"/>
    </w:rPr>
  </w:style>
  <w:style w:type="character" w:customStyle="1" w:styleId="97">
    <w:name w:val="NormalCharacter"/>
    <w:autoRedefine/>
    <w:qFormat/>
    <w:uiPriority w:val="0"/>
    <w:rPr>
      <w:kern w:val="2"/>
      <w:sz w:val="21"/>
      <w:szCs w:val="24"/>
      <w:lang w:val="en-US" w:eastAsia="zh-CN" w:bidi="ar-SA"/>
    </w:rPr>
  </w:style>
  <w:style w:type="paragraph" w:customStyle="1" w:styleId="98">
    <w:name w:val="首行缩进"/>
    <w:basedOn w:val="1"/>
    <w:qFormat/>
    <w:uiPriority w:val="0"/>
    <w:pPr>
      <w:spacing w:line="360" w:lineRule="auto"/>
      <w:ind w:firstLine="480" w:firstLineChars="200"/>
    </w:pPr>
    <w:rPr>
      <w:sz w:val="24"/>
      <w:lang w:val="zh-CN"/>
    </w:rPr>
  </w:style>
  <w:style w:type="paragraph" w:customStyle="1" w:styleId="99">
    <w:name w:val="列出段落2"/>
    <w:autoRedefine/>
    <w:qFormat/>
    <w:uiPriority w:val="0"/>
    <w:pPr>
      <w:widowControl w:val="0"/>
      <w:ind w:firstLine="420"/>
      <w:jc w:val="both"/>
    </w:pPr>
    <w:rPr>
      <w:rFonts w:ascii="Times New Roman" w:hAnsi="Times New Roman" w:eastAsia="Calibri" w:cs="Calibri"/>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53</Pages>
  <Words>26120</Words>
  <Characters>27796</Characters>
  <Lines>218</Lines>
  <Paragraphs>61</Paragraphs>
  <TotalTime>1</TotalTime>
  <ScaleCrop>false</ScaleCrop>
  <LinksUpToDate>false</LinksUpToDate>
  <CharactersWithSpaces>30142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2021-12-01T03:17:00Z</dcterms:created>
  <dc:creator>dell</dc:creator>
  <cp:lastModifiedBy>Le.YonG.</cp:lastModifiedBy>
  <cp:lastPrinted>2021-11-30T02:20:00Z</cp:lastPrinted>
  <dcterms:modified xsi:type="dcterms:W3CDTF">2024-05-10T09:03:33Z</dcterms:modified>
  <dc:title>玉环市政府采购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1C7F2786A8B948C7B39C4F4DE1C1F3D7_13</vt:lpwstr>
  </property>
</Properties>
</file>