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color w:val="000000" w:themeColor="text1"/>
          <w:kern w:val="0"/>
          <w:sz w:val="52"/>
          <w:szCs w:val="52"/>
          <w:highlight w:val="none"/>
          <w14:textFill>
            <w14:solidFill>
              <w14:schemeClr w14:val="tx1"/>
            </w14:solidFill>
          </w14:textFill>
        </w:rPr>
      </w:pPr>
      <w:r>
        <w:rPr>
          <w:rFonts w:hint="eastAsia" w:ascii="宋体" w:hAnsi="宋体"/>
          <w:b/>
          <w:bCs/>
          <w:color w:val="000000" w:themeColor="text1"/>
          <w:kern w:val="0"/>
          <w:sz w:val="52"/>
          <w:szCs w:val="52"/>
          <w:highlight w:val="none"/>
          <w14:textFill>
            <w14:solidFill>
              <w14:schemeClr w14:val="tx1"/>
            </w14:solidFill>
          </w14:textFill>
        </w:rPr>
        <w:t xml:space="preserve"> </w:t>
      </w:r>
      <w:bookmarkStart w:id="38" w:name="_GoBack"/>
      <w:bookmarkEnd w:id="38"/>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玉环市政府</w:t>
      </w:r>
      <w:r>
        <w:rPr>
          <w:rFonts w:hint="eastAsia" w:ascii="宋体"/>
          <w:b/>
          <w:color w:val="000000" w:themeColor="text1"/>
          <w:kern w:val="0"/>
          <w:sz w:val="52"/>
          <w:highlight w:val="none"/>
          <w14:textFill>
            <w14:solidFill>
              <w14:schemeClr w14:val="tx1"/>
            </w14:solidFill>
          </w14:textFill>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　　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18"/>
        <w:rPr>
          <w:color w:val="000000" w:themeColor="text1"/>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b/>
          <w:bCs/>
          <w:color w:val="000000" w:themeColor="text1"/>
          <w:kern w:val="0"/>
          <w:sz w:val="32"/>
          <w:szCs w:val="32"/>
          <w:highlight w:val="none"/>
          <w:lang w:eastAsia="zh-CN"/>
          <w14:textFill>
            <w14:solidFill>
              <w14:schemeClr w14:val="tx1"/>
            </w14:solidFill>
          </w14:textFill>
        </w:rPr>
      </w:pPr>
      <w:r>
        <w:rPr>
          <w:rFonts w:hint="eastAsia" w:ascii="宋体" w:hAnsi="宋体"/>
          <w:b/>
          <w:bCs/>
          <w:color w:val="000000" w:themeColor="text1"/>
          <w:sz w:val="32"/>
          <w:szCs w:val="32"/>
          <w:highlight w:val="none"/>
          <w:lang w:eastAsia="zh-CN"/>
          <w14:textFill>
            <w14:solidFill>
              <w14:schemeClr w14:val="tx1"/>
            </w14:solidFill>
          </w14:textFill>
        </w:rPr>
        <w:t>HQ-YHZFCG-2021-93</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860" w:rightChars="0" w:firstLine="480"/>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color w:val="000000" w:themeColor="text1"/>
          <w:kern w:val="0"/>
          <w:sz w:val="28"/>
          <w:highlight w:val="none"/>
          <w:lang w:eastAsia="zh-CN"/>
          <w14:textFill>
            <w14:solidFill>
              <w14:schemeClr w14:val="tx1"/>
            </w14:solidFill>
          </w14:textFill>
        </w:rPr>
        <w:t>玉环市纳规及养殖船舶监控系统</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640" w:firstLine="480"/>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采购人：玉环市港航口岸和渔业管理局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2021</w:t>
      </w:r>
      <w:r>
        <w:rPr>
          <w:rFonts w:hint="eastAsia" w:ascii="宋体" w:hAnsi="宋体" w:cs="宋体"/>
          <w:color w:val="000000" w:themeColor="text1"/>
          <w:kern w:val="0"/>
          <w:sz w:val="28"/>
          <w:szCs w:val="28"/>
          <w:highlight w:val="none"/>
          <w14:textFill>
            <w14:solidFill>
              <w14:schemeClr w14:val="tx1"/>
            </w14:solidFill>
          </w14:textFill>
        </w:rPr>
        <w:t>年09月2</w:t>
      </w:r>
      <w:r>
        <w:rPr>
          <w:rFonts w:hint="eastAsia" w:ascii="宋体" w:hAnsi="宋体" w:cs="宋体"/>
          <w:color w:val="000000" w:themeColor="text1"/>
          <w:kern w:val="0"/>
          <w:sz w:val="28"/>
          <w:szCs w:val="28"/>
          <w:highlight w:val="none"/>
          <w:lang w:val="en-US" w:eastAsia="zh-CN"/>
          <w14:textFill>
            <w14:solidFill>
              <w14:schemeClr w14:val="tx1"/>
            </w14:solidFill>
          </w14:textFill>
        </w:rPr>
        <w:t>7</w:t>
      </w:r>
      <w:r>
        <w:rPr>
          <w:rFonts w:hint="eastAsia" w:ascii="宋体" w:hAnsi="宋体" w:cs="宋体"/>
          <w:color w:val="000000" w:themeColor="text1"/>
          <w:kern w:val="0"/>
          <w:sz w:val="28"/>
          <w:szCs w:val="28"/>
          <w:highlight w:val="none"/>
          <w14:textFill>
            <w14:solidFill>
              <w14:schemeClr w14:val="tx1"/>
            </w14:solidFill>
          </w14:textFill>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p>
    <w:p>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第一章  竞争性谈判采购邀请</w:t>
      </w:r>
    </w:p>
    <w:p>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第二章　供应商须知</w:t>
      </w:r>
    </w:p>
    <w:p>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第三章　评审办法及评审标准</w:t>
      </w:r>
    </w:p>
    <w:p>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第四章　谈判内容   </w:t>
      </w:r>
    </w:p>
    <w:p>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第五章  政府采购合同主要条款指引</w:t>
      </w:r>
    </w:p>
    <w:p>
      <w:pPr>
        <w:ind w:firstLine="703" w:firstLineChars="2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第六章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r>
        <w:rPr>
          <w:rFonts w:hint="eastAsia" w:ascii="宋体"/>
          <w:b/>
          <w:color w:val="000000" w:themeColor="text1"/>
          <w:kern w:val="0"/>
          <w:sz w:val="36"/>
          <w:highlight w:val="none"/>
          <w14:textFill>
            <w14:solidFill>
              <w14:schemeClr w14:val="tx1"/>
            </w14:solidFill>
          </w14:textFill>
        </w:rPr>
        <w:br w:type="page"/>
      </w:r>
    </w:p>
    <w:p>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kern w:val="0"/>
          <w:sz w:val="36"/>
          <w:szCs w:val="36"/>
          <w:highlight w:val="none"/>
          <w14:textFill>
            <w14:solidFill>
              <w14:schemeClr w14:val="tx1"/>
            </w14:solidFill>
          </w14:textFill>
        </w:rPr>
      </w:pPr>
      <w:r>
        <w:rPr>
          <w:rFonts w:hint="eastAsia" w:ascii="宋体" w:hAnsi="宋体"/>
          <w:b/>
          <w:color w:val="000000" w:themeColor="text1"/>
          <w:kern w:val="0"/>
          <w:sz w:val="36"/>
          <w:szCs w:val="36"/>
          <w:highlight w:val="none"/>
          <w14:textFill>
            <w14:solidFill>
              <w14:schemeClr w14:val="tx1"/>
            </w14:solidFill>
          </w14:textFill>
        </w:rPr>
        <w:t>第一章 竞争性谈判采购邀请</w:t>
      </w:r>
    </w:p>
    <w:p>
      <w:pPr>
        <w:pBdr>
          <w:top w:val="single" w:color="auto" w:sz="4" w:space="1"/>
          <w:left w:val="single" w:color="auto" w:sz="4" w:space="4"/>
          <w:bottom w:val="single" w:color="auto" w:sz="4" w:space="1"/>
          <w:right w:val="single" w:color="auto" w:sz="4" w:space="4"/>
        </w:pBd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玉环市纳规及养殖船舶监控系统</w:t>
      </w:r>
      <w:r>
        <w:rPr>
          <w:rFonts w:hint="eastAsia" w:ascii="宋体" w:hAnsi="宋体" w:cs="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u w:val="single"/>
          <w14:textFill>
            <w14:solidFill>
              <w14:schemeClr w14:val="tx1"/>
            </w14:solidFill>
          </w14:textFill>
        </w:rPr>
        <w:t>政府采购云平台（www.zcygov.cn）</w:t>
      </w:r>
      <w:r>
        <w:rPr>
          <w:rFonts w:hint="eastAsia" w:ascii="宋体" w:hAnsi="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14:textFill>
            <w14:solidFill>
              <w14:schemeClr w14:val="tx1"/>
            </w14:solidFill>
          </w14:textFill>
        </w:rPr>
        <w:t xml:space="preserve"> 2021年</w:t>
      </w:r>
      <w:r>
        <w:rPr>
          <w:rFonts w:hint="eastAsia" w:ascii="宋体" w:hAnsi="宋体" w:cs="宋体"/>
          <w:color w:val="000000" w:themeColor="text1"/>
          <w:sz w:val="24"/>
          <w:highlight w:val="none"/>
          <w:u w:val="single"/>
          <w:lang w:eastAsia="zh-CN"/>
          <w14:textFill>
            <w14:solidFill>
              <w14:schemeClr w14:val="tx1"/>
            </w14:solidFill>
          </w14:textFill>
        </w:rPr>
        <w:t>09月30日14点00分</w:t>
      </w:r>
      <w:r>
        <w:rPr>
          <w:rFonts w:hint="eastAsia" w:ascii="宋体" w:hAnsi="宋体" w:cs="宋体"/>
          <w:bCs/>
          <w:color w:val="000000" w:themeColor="text1"/>
          <w:sz w:val="24"/>
          <w:highlight w:val="none"/>
          <w14:textFill>
            <w14:solidFill>
              <w14:schemeClr w14:val="tx1"/>
            </w14:solidFill>
          </w14:textFill>
        </w:rPr>
        <w:t>（北京时间）前提交响应文件</w:t>
      </w:r>
      <w:r>
        <w:rPr>
          <w:rFonts w:hint="eastAsia" w:ascii="宋体" w:hAnsi="宋体" w:cs="宋体"/>
          <w:color w:val="000000" w:themeColor="text1"/>
          <w:sz w:val="24"/>
          <w:highlight w:val="none"/>
          <w14:textFill>
            <w14:solidFill>
              <w14:schemeClr w14:val="tx1"/>
            </w14:solidFill>
          </w14:textFill>
        </w:rPr>
        <w:t>。</w:t>
      </w:r>
    </w:p>
    <w:p>
      <w:pPr>
        <w:pStyle w:val="4"/>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0" w:name="_Toc35393798"/>
      <w:bookmarkStart w:id="1" w:name="_Toc28359089"/>
      <w:bookmarkStart w:id="2" w:name="_Toc35393629"/>
      <w:bookmarkStart w:id="3" w:name="_Toc28359012"/>
      <w:r>
        <w:rPr>
          <w:rFonts w:hint="eastAsia" w:ascii="宋体" w:hAnsi="宋体" w:cs="宋体"/>
          <w:b w:val="0"/>
          <w:color w:val="000000" w:themeColor="text1"/>
          <w:sz w:val="24"/>
          <w:szCs w:val="24"/>
          <w:highlight w:val="none"/>
          <w14:textFill>
            <w14:solidFill>
              <w14:schemeClr w14:val="tx1"/>
            </w14:solidFill>
          </w14:textFill>
        </w:rPr>
        <w:t>一、项目基本情况</w:t>
      </w:r>
      <w:bookmarkEnd w:id="0"/>
      <w:bookmarkEnd w:id="1"/>
      <w:bookmarkEnd w:id="2"/>
      <w:bookmarkEnd w:id="3"/>
    </w:p>
    <w:p>
      <w:pPr>
        <w:spacing w:line="40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HQ-YHZFCG-2021-93</w:t>
      </w:r>
    </w:p>
    <w:p>
      <w:pPr>
        <w:spacing w:line="400" w:lineRule="exact"/>
        <w:ind w:firstLine="480" w:firstLineChars="20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玉环市纳规及养殖船舶监控系统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采购方式：竞争性谈判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lang w:eastAsia="zh-CN"/>
          <w14:textFill>
            <w14:solidFill>
              <w14:schemeClr w14:val="tx1"/>
            </w14:solidFill>
          </w14:textFill>
        </w:rPr>
        <w:t>1500000</w:t>
      </w:r>
      <w:r>
        <w:rPr>
          <w:rFonts w:hint="eastAsia" w:ascii="宋体" w:hAnsi="宋体" w:cs="宋体"/>
          <w:color w:val="000000" w:themeColor="text1"/>
          <w:sz w:val="24"/>
          <w:highlight w:val="none"/>
          <w14:textFill>
            <w14:solidFill>
              <w14:schemeClr w14:val="tx1"/>
            </w14:solidFill>
          </w14:textFill>
        </w:rPr>
        <w:t>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lang w:eastAsia="zh-CN"/>
          <w14:textFill>
            <w14:solidFill>
              <w14:schemeClr w14:val="tx1"/>
            </w14:solidFill>
          </w14:textFill>
        </w:rPr>
        <w:t>1500000</w:t>
      </w:r>
      <w:r>
        <w:rPr>
          <w:rFonts w:hint="eastAsia" w:ascii="宋体" w:hAnsi="宋体" w:cs="宋体"/>
          <w:color w:val="000000" w:themeColor="text1"/>
          <w:sz w:val="24"/>
          <w:highlight w:val="none"/>
          <w14:textFill>
            <w14:solidFill>
              <w14:schemeClr w14:val="tx1"/>
            </w14:solidFill>
          </w14:textFill>
        </w:rPr>
        <w:t>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采购需求：详见采购文件</w:t>
      </w:r>
    </w:p>
    <w:p>
      <w:pPr>
        <w:spacing w:line="4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合同履行期限：详见采购文件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本项目不接受联合体。</w:t>
      </w:r>
    </w:p>
    <w:p>
      <w:pPr>
        <w:pStyle w:val="4"/>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4" w:name="_Toc28359090"/>
      <w:bookmarkStart w:id="5" w:name="_Toc28359013"/>
      <w:bookmarkStart w:id="6" w:name="_Toc35393799"/>
      <w:bookmarkStart w:id="7" w:name="_Toc35393630"/>
      <w:r>
        <w:rPr>
          <w:rFonts w:hint="eastAsia" w:ascii="宋体" w:hAnsi="宋体" w:cs="宋体"/>
          <w:b w:val="0"/>
          <w:color w:val="000000" w:themeColor="text1"/>
          <w:sz w:val="24"/>
          <w:szCs w:val="24"/>
          <w:highlight w:val="none"/>
          <w14:textFill>
            <w14:solidFill>
              <w14:schemeClr w14:val="tx1"/>
            </w14:solidFill>
          </w14:textFill>
        </w:rPr>
        <w:t>二、申请人的资格要求：</w:t>
      </w:r>
      <w:bookmarkEnd w:id="4"/>
      <w:bookmarkEnd w:id="5"/>
      <w:bookmarkEnd w:id="6"/>
      <w:bookmarkEnd w:id="7"/>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w:t>
      </w:r>
    </w:p>
    <w:p>
      <w:pPr>
        <w:pStyle w:val="2"/>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2.本项目不接受联合体。</w:t>
      </w:r>
    </w:p>
    <w:p>
      <w:pPr>
        <w:pStyle w:val="4"/>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8" w:name="_Toc28359014"/>
      <w:bookmarkStart w:id="9" w:name="_Toc35393800"/>
      <w:bookmarkStart w:id="10" w:name="_Toc35393631"/>
      <w:bookmarkStart w:id="11" w:name="_Toc28359091"/>
      <w:r>
        <w:rPr>
          <w:rFonts w:hint="eastAsia" w:ascii="宋体" w:hAnsi="宋体" w:cs="宋体"/>
          <w:b w:val="0"/>
          <w:color w:val="000000" w:themeColor="text1"/>
          <w:sz w:val="24"/>
          <w:szCs w:val="24"/>
          <w:highlight w:val="none"/>
          <w14:textFill>
            <w14:solidFill>
              <w14:schemeClr w14:val="tx1"/>
            </w14:solidFill>
          </w14:textFill>
        </w:rPr>
        <w:t>三、获取采购文件</w:t>
      </w:r>
      <w:bookmarkEnd w:id="8"/>
      <w:bookmarkEnd w:id="9"/>
      <w:bookmarkEnd w:id="10"/>
      <w:bookmarkEnd w:id="11"/>
    </w:p>
    <w:p>
      <w:pPr>
        <w:spacing w:line="400" w:lineRule="exact"/>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时间：公告发布之日起至投标文件递交截止时间</w:t>
      </w:r>
    </w:p>
    <w:p>
      <w:pPr>
        <w:spacing w:line="400" w:lineRule="exact"/>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地点：政府采购云平台（www.zcygov.cn）  </w:t>
      </w:r>
    </w:p>
    <w:p>
      <w:pPr>
        <w:spacing w:line="400" w:lineRule="exact"/>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方式：在线获取</w:t>
      </w:r>
    </w:p>
    <w:p>
      <w:pPr>
        <w:spacing w:line="400" w:lineRule="exact"/>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售价：0元</w:t>
      </w:r>
    </w:p>
    <w:p>
      <w:pPr>
        <w:pStyle w:val="4"/>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12" w:name="_Toc28359092"/>
      <w:bookmarkStart w:id="13" w:name="_Toc35393632"/>
      <w:bookmarkStart w:id="14" w:name="_Toc28359015"/>
      <w:bookmarkStart w:id="15" w:name="_Toc35393801"/>
      <w:r>
        <w:rPr>
          <w:rFonts w:hint="eastAsia" w:ascii="宋体" w:hAnsi="宋体" w:cs="宋体"/>
          <w:b w:val="0"/>
          <w:color w:val="000000" w:themeColor="text1"/>
          <w:sz w:val="24"/>
          <w:szCs w:val="24"/>
          <w:highlight w:val="none"/>
          <w14:textFill>
            <w14:solidFill>
              <w14:schemeClr w14:val="tx1"/>
            </w14:solidFill>
          </w14:textFill>
        </w:rPr>
        <w:t>四、响应文件提交</w:t>
      </w:r>
      <w:bookmarkEnd w:id="12"/>
      <w:bookmarkEnd w:id="13"/>
      <w:bookmarkEnd w:id="14"/>
      <w:bookmarkEnd w:id="15"/>
    </w:p>
    <w:p>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2021年</w:t>
      </w:r>
      <w:r>
        <w:rPr>
          <w:rFonts w:hint="eastAsia" w:ascii="宋体" w:hAnsi="宋体" w:cs="宋体"/>
          <w:bCs/>
          <w:color w:val="000000" w:themeColor="text1"/>
          <w:sz w:val="24"/>
          <w:highlight w:val="none"/>
          <w:u w:val="single"/>
          <w:lang w:eastAsia="zh-CN"/>
          <w14:textFill>
            <w14:solidFill>
              <w14:schemeClr w14:val="tx1"/>
            </w14:solidFill>
          </w14:textFill>
        </w:rPr>
        <w:t>09月30日14点00分</w:t>
      </w:r>
      <w:r>
        <w:rPr>
          <w:rFonts w:hint="eastAsia" w:ascii="宋体" w:hAnsi="宋体" w:cs="宋体"/>
          <w:bCs/>
          <w:color w:val="000000" w:themeColor="text1"/>
          <w:sz w:val="24"/>
          <w:highlight w:val="none"/>
          <w14:textFill>
            <w14:solidFill>
              <w14:schemeClr w14:val="tx1"/>
            </w14:solidFill>
          </w14:textFill>
        </w:rPr>
        <w:t>（北京时间）</w:t>
      </w:r>
    </w:p>
    <w:p>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 </w:t>
      </w:r>
      <w:r>
        <w:rPr>
          <w:rFonts w:hint="eastAsia" w:ascii="宋体" w:hAnsi="宋体" w:cs="宋体"/>
          <w:color w:val="000000" w:themeColor="text1"/>
          <w:sz w:val="24"/>
          <w:highlight w:val="none"/>
          <w:u w:val="single"/>
          <w14:textFill>
            <w14:solidFill>
              <w14:schemeClr w14:val="tx1"/>
            </w14:solidFill>
          </w14:textFill>
        </w:rPr>
        <w:t>“政采云”平台（线上）</w:t>
      </w:r>
    </w:p>
    <w:p>
      <w:pPr>
        <w:pStyle w:val="4"/>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16" w:name="_Toc28359093"/>
      <w:bookmarkStart w:id="17" w:name="_Toc35393802"/>
      <w:bookmarkStart w:id="18" w:name="_Toc35393633"/>
      <w:bookmarkStart w:id="19" w:name="_Toc28359016"/>
      <w:r>
        <w:rPr>
          <w:rFonts w:hint="eastAsia" w:ascii="宋体" w:hAnsi="宋体" w:cs="宋体"/>
          <w:b w:val="0"/>
          <w:color w:val="000000" w:themeColor="text1"/>
          <w:sz w:val="24"/>
          <w:szCs w:val="24"/>
          <w:highlight w:val="none"/>
          <w14:textFill>
            <w14:solidFill>
              <w14:schemeClr w14:val="tx1"/>
            </w14:solidFill>
          </w14:textFill>
        </w:rPr>
        <w:t>五、开启</w:t>
      </w:r>
      <w:bookmarkEnd w:id="16"/>
      <w:bookmarkEnd w:id="17"/>
      <w:bookmarkEnd w:id="18"/>
      <w:bookmarkEnd w:id="19"/>
    </w:p>
    <w:p>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2021年</w:t>
      </w:r>
      <w:r>
        <w:rPr>
          <w:rFonts w:hint="eastAsia" w:ascii="宋体" w:hAnsi="宋体" w:cs="宋体"/>
          <w:bCs/>
          <w:color w:val="000000" w:themeColor="text1"/>
          <w:sz w:val="24"/>
          <w:highlight w:val="none"/>
          <w:u w:val="single"/>
          <w:lang w:eastAsia="zh-CN"/>
          <w14:textFill>
            <w14:solidFill>
              <w14:schemeClr w14:val="tx1"/>
            </w14:solidFill>
          </w14:textFill>
        </w:rPr>
        <w:t>09月30日14点00分</w:t>
      </w:r>
      <w:r>
        <w:rPr>
          <w:rFonts w:hint="eastAsia" w:ascii="宋体" w:hAnsi="宋体" w:cs="宋体"/>
          <w:bCs/>
          <w:color w:val="000000" w:themeColor="text1"/>
          <w:sz w:val="24"/>
          <w:highlight w:val="none"/>
          <w14:textFill>
            <w14:solidFill>
              <w14:schemeClr w14:val="tx1"/>
            </w14:solidFill>
          </w14:textFill>
        </w:rPr>
        <w:t>（北京时间）</w:t>
      </w:r>
    </w:p>
    <w:p>
      <w:pPr>
        <w:spacing w:line="400" w:lineRule="exact"/>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 </w:t>
      </w:r>
      <w:r>
        <w:rPr>
          <w:rFonts w:hint="eastAsia" w:ascii="宋体" w:hAnsi="宋体" w:cs="宋体"/>
          <w:color w:val="000000" w:themeColor="text1"/>
          <w:sz w:val="24"/>
          <w:highlight w:val="none"/>
          <w:u w:val="single"/>
          <w14:textFill>
            <w14:solidFill>
              <w14:schemeClr w14:val="tx1"/>
            </w14:solidFill>
          </w14:textFill>
        </w:rPr>
        <w:t>“政采云”平台（线上）</w:t>
      </w:r>
    </w:p>
    <w:p>
      <w:pPr>
        <w:pStyle w:val="4"/>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20" w:name="_Toc35393634"/>
      <w:bookmarkStart w:id="21" w:name="_Toc28359017"/>
      <w:bookmarkStart w:id="22" w:name="_Toc28359094"/>
      <w:bookmarkStart w:id="23" w:name="_Toc35393803"/>
      <w:r>
        <w:rPr>
          <w:rFonts w:hint="eastAsia" w:ascii="宋体" w:hAnsi="宋体" w:cs="宋体"/>
          <w:b w:val="0"/>
          <w:color w:val="000000" w:themeColor="text1"/>
          <w:sz w:val="24"/>
          <w:szCs w:val="24"/>
          <w:highlight w:val="none"/>
          <w14:textFill>
            <w14:solidFill>
              <w14:schemeClr w14:val="tx1"/>
            </w14:solidFill>
          </w14:textFill>
        </w:rPr>
        <w:t>六、公告期限</w:t>
      </w:r>
      <w:bookmarkEnd w:id="20"/>
      <w:bookmarkEnd w:id="21"/>
      <w:bookmarkEnd w:id="22"/>
      <w:bookmarkEnd w:id="23"/>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pPr>
        <w:pStyle w:val="4"/>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24" w:name="_Toc35393804"/>
      <w:bookmarkStart w:id="25" w:name="_Toc35393635"/>
      <w:r>
        <w:rPr>
          <w:rFonts w:hint="eastAsia" w:ascii="宋体" w:hAnsi="宋体" w:cs="宋体"/>
          <w:b w:val="0"/>
          <w:color w:val="000000" w:themeColor="text1"/>
          <w:sz w:val="24"/>
          <w:szCs w:val="24"/>
          <w:highlight w:val="none"/>
          <w14:textFill>
            <w14:solidFill>
              <w14:schemeClr w14:val="tx1"/>
            </w14:solidFill>
          </w14:textFill>
        </w:rPr>
        <w:t>七、其他补充事宜</w:t>
      </w:r>
      <w:bookmarkEnd w:id="24"/>
      <w:bookmarkEnd w:id="25"/>
    </w:p>
    <w:p>
      <w:pPr>
        <w:spacing w:line="400" w:lineRule="exact"/>
        <w:ind w:firstLine="420" w:firstLineChars="1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2.其他事项：详见采购文件要求 </w:t>
      </w:r>
    </w:p>
    <w:p>
      <w:pPr>
        <w:spacing w:line="400" w:lineRule="exact"/>
        <w:rPr>
          <w:rFonts w:ascii="宋体" w:hAnsi="宋体" w:cs="宋体"/>
          <w:color w:val="000000" w:themeColor="text1"/>
          <w:sz w:val="24"/>
          <w:highlight w:val="none"/>
          <w14:textFill>
            <w14:solidFill>
              <w14:schemeClr w14:val="tx1"/>
            </w14:solidFill>
          </w14:textFill>
        </w:rPr>
      </w:pPr>
    </w:p>
    <w:p>
      <w:pPr>
        <w:pStyle w:val="4"/>
        <w:spacing w:before="0" w:after="0" w:line="400" w:lineRule="exact"/>
        <w:rPr>
          <w:rFonts w:ascii="宋体" w:hAnsi="宋体" w:cs="宋体"/>
          <w:b w:val="0"/>
          <w:color w:val="000000" w:themeColor="text1"/>
          <w:sz w:val="24"/>
          <w:szCs w:val="24"/>
          <w:highlight w:val="none"/>
          <w14:textFill>
            <w14:solidFill>
              <w14:schemeClr w14:val="tx1"/>
            </w14:solidFill>
          </w14:textFill>
        </w:rPr>
      </w:pPr>
      <w:bookmarkStart w:id="26" w:name="_Toc35393636"/>
      <w:bookmarkStart w:id="27" w:name="_Toc35393805"/>
      <w:bookmarkStart w:id="28" w:name="_Toc28359018"/>
      <w:bookmarkStart w:id="29" w:name="_Toc28359095"/>
      <w:r>
        <w:rPr>
          <w:rFonts w:hint="eastAsia" w:ascii="宋体" w:hAnsi="宋体" w:cs="宋体"/>
          <w:b w:val="0"/>
          <w:color w:val="000000" w:themeColor="text1"/>
          <w:sz w:val="24"/>
          <w:szCs w:val="24"/>
          <w:highlight w:val="none"/>
          <w14:textFill>
            <w14:solidFill>
              <w14:schemeClr w14:val="tx1"/>
            </w14:solidFill>
          </w14:textFill>
        </w:rPr>
        <w:t>八、凡对本次采购提出询问，请按以下方式联系。</w:t>
      </w:r>
      <w:bookmarkEnd w:id="26"/>
      <w:bookmarkEnd w:id="27"/>
      <w:bookmarkEnd w:id="28"/>
      <w:bookmarkEnd w:id="29"/>
    </w:p>
    <w:p>
      <w:pPr>
        <w:pStyle w:val="4"/>
        <w:spacing w:before="0" w:after="0" w:line="400" w:lineRule="exact"/>
        <w:ind w:firstLine="720" w:firstLineChars="300"/>
        <w:rPr>
          <w:rFonts w:ascii="宋体" w:hAnsi="宋体" w:cs="宋体"/>
          <w:b w:val="0"/>
          <w:color w:val="000000" w:themeColor="text1"/>
          <w:sz w:val="24"/>
          <w:szCs w:val="24"/>
          <w:highlight w:val="none"/>
          <w14:textFill>
            <w14:solidFill>
              <w14:schemeClr w14:val="tx1"/>
            </w14:solidFill>
          </w14:textFill>
        </w:rPr>
      </w:pPr>
      <w:bookmarkStart w:id="30" w:name="_Toc28359096"/>
      <w:bookmarkStart w:id="31" w:name="_Toc35393637"/>
      <w:bookmarkStart w:id="32" w:name="_Toc28359019"/>
      <w:bookmarkStart w:id="33" w:name="_Toc35393806"/>
      <w:r>
        <w:rPr>
          <w:rFonts w:hint="eastAsia" w:ascii="宋体" w:hAnsi="宋体" w:cs="宋体"/>
          <w:b w:val="0"/>
          <w:color w:val="000000" w:themeColor="text1"/>
          <w:sz w:val="24"/>
          <w:szCs w:val="24"/>
          <w:highlight w:val="none"/>
          <w14:textFill>
            <w14:solidFill>
              <w14:schemeClr w14:val="tx1"/>
            </w14:solidFill>
          </w14:textFill>
        </w:rPr>
        <w:t>1.采购人信息</w:t>
      </w:r>
      <w:bookmarkEnd w:id="30"/>
      <w:bookmarkEnd w:id="31"/>
      <w:bookmarkEnd w:id="32"/>
      <w:bookmarkEnd w:id="33"/>
    </w:p>
    <w:p>
      <w:pPr>
        <w:spacing w:line="400" w:lineRule="exact"/>
        <w:ind w:left="1079" w:leftChars="371" w:hanging="300" w:hangingChars="125"/>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玉环市港航口岸和渔业管理局</w:t>
      </w:r>
    </w:p>
    <w:p>
      <w:pPr>
        <w:spacing w:line="400" w:lineRule="exact"/>
        <w:ind w:left="1079" w:leftChars="371" w:hanging="300" w:hangingChars="12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浙江省玉环市玉城街道珠城西路5号</w:t>
      </w:r>
    </w:p>
    <w:p>
      <w:pPr>
        <w:spacing w:line="400" w:lineRule="exact"/>
        <w:ind w:left="1079" w:leftChars="371" w:hanging="300" w:hangingChars="125"/>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  </w:t>
      </w:r>
      <w:r>
        <w:rPr>
          <w:rFonts w:hint="eastAsia" w:ascii="宋体" w:hAnsi="宋体" w:cs="宋体"/>
          <w:color w:val="000000" w:themeColor="text1"/>
          <w:sz w:val="24"/>
          <w:highlight w:val="none"/>
          <w:u w:val="single"/>
          <w:lang w:val="en-US" w:eastAsia="zh-CN"/>
          <w14:textFill>
            <w14:solidFill>
              <w14:schemeClr w14:val="tx1"/>
            </w14:solidFill>
          </w14:textFill>
        </w:rPr>
        <w:t>张</w:t>
      </w:r>
      <w:r>
        <w:rPr>
          <w:rFonts w:hint="eastAsia" w:ascii="宋体" w:hAnsi="宋体" w:cs="宋体"/>
          <w:color w:val="000000" w:themeColor="text1"/>
          <w:sz w:val="24"/>
          <w:highlight w:val="none"/>
          <w:u w:val="single"/>
          <w14:textFill>
            <w14:solidFill>
              <w14:schemeClr w14:val="tx1"/>
            </w14:solidFill>
          </w14:textFill>
        </w:rPr>
        <w:t>先生</w:t>
      </w:r>
    </w:p>
    <w:p>
      <w:pPr>
        <w:spacing w:line="400" w:lineRule="exact"/>
        <w:ind w:left="1079" w:leftChars="371" w:hanging="300" w:hangingChars="125"/>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0576-87221978</w:t>
      </w:r>
    </w:p>
    <w:p>
      <w:pPr>
        <w:pStyle w:val="4"/>
        <w:spacing w:before="0" w:after="0" w:line="400" w:lineRule="exact"/>
        <w:ind w:firstLine="720" w:firstLineChars="300"/>
        <w:rPr>
          <w:rFonts w:ascii="宋体" w:hAnsi="宋体" w:cs="宋体"/>
          <w:b w:val="0"/>
          <w:color w:val="000000" w:themeColor="text1"/>
          <w:sz w:val="24"/>
          <w:szCs w:val="24"/>
          <w:highlight w:val="none"/>
          <w14:textFill>
            <w14:solidFill>
              <w14:schemeClr w14:val="tx1"/>
            </w14:solidFill>
          </w14:textFill>
        </w:rPr>
      </w:pPr>
      <w:bookmarkStart w:id="34" w:name="_Toc35393638"/>
      <w:bookmarkStart w:id="35" w:name="_Toc28359097"/>
      <w:bookmarkStart w:id="36" w:name="_Toc28359020"/>
      <w:bookmarkStart w:id="37" w:name="_Toc35393807"/>
      <w:r>
        <w:rPr>
          <w:rFonts w:hint="eastAsia" w:ascii="宋体" w:hAnsi="宋体" w:cs="宋体"/>
          <w:b w:val="0"/>
          <w:color w:val="000000" w:themeColor="text1"/>
          <w:sz w:val="24"/>
          <w:szCs w:val="24"/>
          <w:highlight w:val="none"/>
          <w14:textFill>
            <w14:solidFill>
              <w14:schemeClr w14:val="tx1"/>
            </w14:solidFill>
          </w14:textFill>
        </w:rPr>
        <w:t>2.采购代理机构信息</w:t>
      </w:r>
      <w:bookmarkEnd w:id="34"/>
      <w:bookmarkEnd w:id="35"/>
      <w:bookmarkEnd w:id="36"/>
      <w:bookmarkEnd w:id="37"/>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杭州华旗招标代理有限公司</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台州市玉环市李家小区二期3号楼1502室</w:t>
      </w:r>
    </w:p>
    <w:p>
      <w:pPr>
        <w:spacing w:line="400" w:lineRule="exact"/>
        <w:ind w:firstLine="720" w:firstLineChars="3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胡先生</w:t>
      </w:r>
    </w:p>
    <w:p>
      <w:pPr>
        <w:spacing w:line="400" w:lineRule="exact"/>
        <w:ind w:firstLine="720" w:firstLineChars="3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15967041020</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 </w:t>
      </w:r>
      <w:r>
        <w:rPr>
          <w:rFonts w:hint="eastAsia" w:ascii="宋体" w:hAnsi="宋体" w:cs="宋体"/>
          <w:color w:val="000000" w:themeColor="text1"/>
          <w:sz w:val="24"/>
          <w:highlight w:val="none"/>
          <w:u w:val="single"/>
          <w14:textFill>
            <w14:solidFill>
              <w14:schemeClr w14:val="tx1"/>
            </w14:solidFill>
          </w14:textFill>
        </w:rPr>
        <w:t>玉环市财政局政府采购监督管理科</w:t>
      </w:r>
      <w:r>
        <w:rPr>
          <w:rFonts w:hint="eastAsia" w:ascii="宋体" w:hAnsi="宋体" w:cs="宋体"/>
          <w:color w:val="000000" w:themeColor="text1"/>
          <w:sz w:val="24"/>
          <w:highlight w:val="none"/>
          <w14:textFill>
            <w14:solidFill>
              <w14:schemeClr w14:val="tx1"/>
            </w14:solidFill>
          </w14:textFill>
        </w:rPr>
        <w:t>　　　　　　　　</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w:t>
      </w:r>
      <w:r>
        <w:rPr>
          <w:rFonts w:hint="eastAsia" w:ascii="宋体" w:hAnsi="宋体" w:cs="宋体"/>
          <w:color w:val="000000" w:themeColor="text1"/>
          <w:sz w:val="24"/>
          <w:highlight w:val="none"/>
          <w:u w:val="single"/>
          <w14:textFill>
            <w14:solidFill>
              <w14:schemeClr w14:val="tx1"/>
            </w14:solidFill>
          </w14:textFill>
        </w:rPr>
        <w:t>玉环市广陵路130号财政大楼5楼</w:t>
      </w:r>
      <w:r>
        <w:rPr>
          <w:rFonts w:hint="eastAsia" w:ascii="宋体" w:hAnsi="宋体" w:cs="宋体"/>
          <w:color w:val="000000" w:themeColor="text1"/>
          <w:sz w:val="24"/>
          <w:highlight w:val="none"/>
          <w14:textFill>
            <w14:solidFill>
              <w14:schemeClr w14:val="tx1"/>
            </w14:solidFill>
          </w14:textFill>
        </w:rPr>
        <w:t>　　　　　　　　　　　</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 </w:t>
      </w:r>
      <w:r>
        <w:rPr>
          <w:rFonts w:hint="eastAsia" w:ascii="宋体" w:hAnsi="宋体" w:cs="宋体"/>
          <w:color w:val="000000" w:themeColor="text1"/>
          <w:sz w:val="24"/>
          <w:highlight w:val="none"/>
          <w:u w:val="single"/>
          <w14:textFill>
            <w14:solidFill>
              <w14:schemeClr w14:val="tx1"/>
            </w14:solidFill>
          </w14:textFill>
        </w:rPr>
        <w:t>谢主任</w:t>
      </w:r>
      <w:r>
        <w:rPr>
          <w:rFonts w:hint="eastAsia" w:ascii="宋体" w:hAnsi="宋体" w:cs="宋体"/>
          <w:color w:val="000000" w:themeColor="text1"/>
          <w:sz w:val="24"/>
          <w:highlight w:val="none"/>
          <w14:textFill>
            <w14:solidFill>
              <w14:schemeClr w14:val="tx1"/>
            </w14:solidFill>
          </w14:textFill>
        </w:rPr>
        <w:t>  　　　　　　　　　　　</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cs="宋体"/>
          <w:color w:val="000000" w:themeColor="text1"/>
          <w:sz w:val="24"/>
          <w:highlight w:val="none"/>
          <w:u w:val="single"/>
          <w14:textFill>
            <w14:solidFill>
              <w14:schemeClr w14:val="tx1"/>
            </w14:solidFill>
          </w14:textFill>
        </w:rPr>
        <w:t>0576-87250185</w:t>
      </w:r>
      <w:r>
        <w:rPr>
          <w:rFonts w:hint="eastAsia" w:ascii="宋体" w:hAnsi="宋体" w:cs="宋体"/>
          <w:color w:val="000000" w:themeColor="text1"/>
          <w:sz w:val="24"/>
          <w:highlight w:val="none"/>
          <w14:textFill>
            <w14:solidFill>
              <w14:schemeClr w14:val="tx1"/>
            </w14:solidFill>
          </w14:textFill>
        </w:rPr>
        <w:t>　　　　　　</w:t>
      </w:r>
    </w:p>
    <w:p>
      <w:pPr>
        <w:spacing w:line="400" w:lineRule="exact"/>
        <w:ind w:firstLine="564"/>
        <w:jc w:val="left"/>
        <w:rPr>
          <w:rFonts w:ascii="宋体" w:hAnsi="宋体" w:cs="宋体"/>
          <w:color w:val="000000" w:themeColor="text1"/>
          <w:sz w:val="24"/>
          <w:highlight w:val="none"/>
          <w:shd w:val="clear" w:color="auto" w:fill="FFFFFF"/>
          <w14:textFill>
            <w14:solidFill>
              <w14:schemeClr w14:val="tx1"/>
            </w14:solidFill>
          </w14:textFill>
        </w:rPr>
      </w:pPr>
    </w:p>
    <w:p>
      <w:pPr>
        <w:spacing w:line="400" w:lineRule="exact"/>
        <w:ind w:firstLine="564"/>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400" w:lineRule="exact"/>
        <w:ind w:firstLine="564"/>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CA问题联系电话（人工）：汇信CA 400-888-4636；天谷CA 400-087-8198。</w:t>
      </w:r>
    </w:p>
    <w:p>
      <w:pPr>
        <w:tabs>
          <w:tab w:val="left" w:pos="180"/>
          <w:tab w:val="left" w:pos="360"/>
          <w:tab w:val="left" w:pos="540"/>
          <w:tab w:val="left" w:pos="8280"/>
        </w:tabs>
        <w:autoSpaceDE w:val="0"/>
        <w:autoSpaceDN w:val="0"/>
        <w:adjustRightInd w:val="0"/>
        <w:spacing w:before="312" w:beforeLines="100" w:line="400" w:lineRule="exact"/>
        <w:ind w:right="23" w:firstLine="539"/>
        <w:jc w:val="left"/>
        <w:rPr>
          <w:rFonts w:ascii="宋体"/>
          <w:color w:val="000000" w:themeColor="text1"/>
          <w:kern w:val="0"/>
          <w:sz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themeColor="text1"/>
          <w:kern w:val="0"/>
          <w:sz w:val="24"/>
          <w:highlight w:val="none"/>
          <w14:textFill>
            <w14:solidFill>
              <w14:schemeClr w14:val="tx1"/>
            </w14:solidFill>
          </w14:textFill>
        </w:rPr>
      </w:pPr>
    </w:p>
    <w:p>
      <w:pPr>
        <w:pStyle w:val="2"/>
        <w:rPr>
          <w:rFonts w:ascii="宋体"/>
          <w:color w:val="000000" w:themeColor="text1"/>
          <w:kern w:val="0"/>
          <w:highlight w:val="none"/>
          <w14:textFill>
            <w14:solidFill>
              <w14:schemeClr w14:val="tx1"/>
            </w14:solidFill>
          </w14:textFill>
        </w:rPr>
      </w:pPr>
    </w:p>
    <w:p>
      <w:pPr>
        <w:pStyle w:val="3"/>
        <w:ind w:firstLine="240"/>
        <w:rPr>
          <w:rFonts w:ascii="宋体"/>
          <w:color w:val="000000" w:themeColor="text1"/>
          <w:kern w:val="0"/>
          <w:highlight w:val="none"/>
          <w14:textFill>
            <w14:solidFill>
              <w14:schemeClr w14:val="tx1"/>
            </w14:solidFill>
          </w14:textFill>
        </w:rPr>
      </w:pPr>
    </w:p>
    <w:p>
      <w:pPr>
        <w:pStyle w:val="3"/>
        <w:ind w:firstLine="240"/>
        <w:rPr>
          <w:rFonts w:ascii="宋体"/>
          <w:color w:val="000000" w:themeColor="text1"/>
          <w:kern w:val="0"/>
          <w:highlight w:val="none"/>
          <w14:textFill>
            <w14:solidFill>
              <w14:schemeClr w14:val="tx1"/>
            </w14:solidFill>
          </w14:textFill>
        </w:rPr>
      </w:pPr>
    </w:p>
    <w:p>
      <w:pPr>
        <w:pStyle w:val="3"/>
        <w:ind w:firstLine="240"/>
        <w:rPr>
          <w:rFonts w:ascii="宋体"/>
          <w:color w:val="000000" w:themeColor="text1"/>
          <w:kern w:val="0"/>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第二章　供应商须知</w:t>
      </w:r>
    </w:p>
    <w:p>
      <w:pPr>
        <w:pStyle w:val="4"/>
        <w:spacing w:before="0"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前附表</w:t>
      </w:r>
    </w:p>
    <w:tbl>
      <w:tblPr>
        <w:tblStyle w:val="23"/>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spacing w:line="400" w:lineRule="exact"/>
              <w:ind w:left="235" w:leftChars="103" w:right="199" w:rightChars="95" w:hanging="19" w:hangingChars="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1740" w:type="dxa"/>
            <w:tcBorders>
              <w:top w:val="single" w:color="auto" w:sz="12" w:space="0"/>
            </w:tcBorders>
            <w:vAlign w:val="center"/>
          </w:tcPr>
          <w:p>
            <w:pPr>
              <w:spacing w:line="400" w:lineRule="exact"/>
              <w:ind w:left="12" w:right="199" w:rightChars="95" w:hanging="12" w:hangingChars="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577" w:type="dxa"/>
            <w:tcBorders>
              <w:top w:val="single" w:color="auto" w:sz="12" w:space="0"/>
            </w:tcBorders>
            <w:vAlign w:val="center"/>
          </w:tcPr>
          <w:p>
            <w:pPr>
              <w:spacing w:line="400" w:lineRule="exact"/>
              <w:ind w:left="19" w:right="199" w:rightChars="95" w:hanging="19" w:hangingChars="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77" w:type="dxa"/>
            <w:vAlign w:val="center"/>
          </w:tcPr>
          <w:p>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玉环市纳规及养殖船舶监控系统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577" w:type="dxa"/>
            <w:vAlign w:val="center"/>
          </w:tcPr>
          <w:p>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HQ-YHZFCG-2021-93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竞争性谈判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w:t>
            </w:r>
          </w:p>
        </w:tc>
        <w:tc>
          <w:tcPr>
            <w:tcW w:w="6577" w:type="dxa"/>
            <w:vAlign w:val="center"/>
          </w:tcPr>
          <w:p>
            <w:pPr>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1500000</w:t>
            </w:r>
            <w:r>
              <w:rPr>
                <w:rFonts w:hint="eastAsia" w:ascii="宋体" w:hAnsi="宋体" w:cs="宋体"/>
                <w:color w:val="000000" w:themeColor="text1"/>
                <w:sz w:val="24"/>
                <w:highlight w:val="none"/>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p>
        </w:tc>
        <w:tc>
          <w:tcPr>
            <w:tcW w:w="6577" w:type="dxa"/>
            <w:vAlign w:val="center"/>
          </w:tcPr>
          <w:p>
            <w:pPr>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1500000</w:t>
            </w:r>
            <w:r>
              <w:rPr>
                <w:rFonts w:hint="eastAsia" w:ascii="宋体" w:hAnsi="宋体" w:cs="宋体"/>
                <w:color w:val="000000" w:themeColor="text1"/>
                <w:sz w:val="24"/>
                <w:highlight w:val="none"/>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6577" w:type="dxa"/>
            <w:vAlign w:val="center"/>
          </w:tcPr>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玉环市港航口岸和渔业管理局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p>
        </w:tc>
        <w:tc>
          <w:tcPr>
            <w:tcW w:w="6577" w:type="dxa"/>
            <w:vAlign w:val="center"/>
          </w:tcPr>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6577" w:type="dxa"/>
            <w:vAlign w:val="center"/>
          </w:tcPr>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招标内容</w:t>
            </w:r>
          </w:p>
        </w:tc>
        <w:tc>
          <w:tcPr>
            <w:tcW w:w="6577" w:type="dxa"/>
            <w:vAlign w:val="center"/>
          </w:tcPr>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w:t>
            </w:r>
          </w:p>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资格要求</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（一）、符合《中华人民共和国政府采购法》第二十二条规定的谈判供应商资格条件。</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（二）、本项目不接受联合体谈判；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是否接受联合体投标</w:t>
            </w:r>
          </w:p>
        </w:tc>
        <w:tc>
          <w:tcPr>
            <w:tcW w:w="6577" w:type="dxa"/>
            <w:vAlign w:val="center"/>
          </w:tcPr>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不接受</w:t>
            </w:r>
          </w:p>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w:t>
            </w:r>
          </w:p>
        </w:tc>
        <w:tc>
          <w:tcPr>
            <w:tcW w:w="6577" w:type="dxa"/>
            <w:vAlign w:val="center"/>
          </w:tcPr>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eq \o\ac(</w:instrText>
            </w:r>
            <w:r>
              <w:rPr>
                <w:rFonts w:hint="eastAsia" w:ascii="宋体" w:hAnsi="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不组织</w:t>
            </w:r>
          </w:p>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是否允许递交备选投标方案</w:t>
            </w:r>
          </w:p>
        </w:tc>
        <w:tc>
          <w:tcPr>
            <w:tcW w:w="6577" w:type="dxa"/>
            <w:vAlign w:val="center"/>
          </w:tcPr>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 eq \o\ac(</w:instrText>
            </w:r>
            <w:r>
              <w:rPr>
                <w:rFonts w:hint="eastAsia" w:ascii="宋体" w:hAnsi="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不允许</w:t>
            </w:r>
          </w:p>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投标货币</w:t>
            </w:r>
          </w:p>
        </w:tc>
        <w:tc>
          <w:tcPr>
            <w:tcW w:w="6577" w:type="dxa"/>
            <w:vAlign w:val="center"/>
          </w:tcPr>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投标语言</w:t>
            </w:r>
          </w:p>
        </w:tc>
        <w:tc>
          <w:tcPr>
            <w:tcW w:w="6577" w:type="dxa"/>
            <w:vAlign w:val="center"/>
          </w:tcPr>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谈判文件说明</w:t>
            </w:r>
          </w:p>
        </w:tc>
        <w:tc>
          <w:tcPr>
            <w:tcW w:w="6577" w:type="dxa"/>
            <w:vAlign w:val="center"/>
          </w:tcPr>
          <w:p>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谈判文件组成：</w:t>
            </w:r>
            <w:r>
              <w:rPr>
                <w:rFonts w:hint="eastAsia" w:ascii="宋体" w:hAnsi="宋体" w:cs="宋体"/>
                <w:color w:val="000000" w:themeColor="text1"/>
                <w:sz w:val="24"/>
                <w:highlight w:val="none"/>
                <w:lang w:val="zh-CN"/>
                <w14:textFill>
                  <w14:solidFill>
                    <w14:schemeClr w14:val="tx1"/>
                  </w14:solidFill>
                </w14:textFill>
              </w:rPr>
              <w:t>《资格文件》及《商务技术文件》和《报价文件》。</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谈判文件编制：</w:t>
            </w:r>
            <w:r>
              <w:rPr>
                <w:rFonts w:hint="eastAsia" w:ascii="宋体" w:hAnsi="宋体" w:cs="宋体"/>
                <w:color w:val="000000" w:themeColor="text1"/>
                <w:sz w:val="24"/>
                <w:highlight w:val="none"/>
                <w14:textFill>
                  <w14:solidFill>
                    <w14:schemeClr w14:val="tx1"/>
                  </w14:solidFill>
                </w14:textFill>
              </w:rPr>
              <w:t>供应商应先安装“政采云电子交易客户端”，并按照本采购文件和“政府采购云平台”的要求，通过“政采云电子交易客户端”编制并加密谈判文件。</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谈判文件的签章：</w:t>
            </w:r>
            <w:r>
              <w:rPr>
                <w:rFonts w:hint="eastAsia" w:ascii="宋体" w:hAnsi="宋体" w:cs="宋体"/>
                <w:color w:val="000000" w:themeColor="text1"/>
                <w:sz w:val="24"/>
                <w:highlight w:val="none"/>
                <w14:textFill>
                  <w14:solidFill>
                    <w14:schemeClr w14:val="tx1"/>
                  </w14:solidFill>
                </w14:textFill>
              </w:rPr>
              <w:t>电子签章。</w:t>
            </w:r>
          </w:p>
          <w:p>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谈判文件的形式：</w:t>
            </w:r>
            <w:r>
              <w:rPr>
                <w:rFonts w:hint="eastAsia" w:ascii="宋体" w:hAnsi="宋体" w:cs="宋体"/>
                <w:color w:val="000000" w:themeColor="text1"/>
                <w:sz w:val="24"/>
                <w:highlight w:val="none"/>
                <w14:textFill>
                  <w14:solidFill>
                    <w14:schemeClr w14:val="tx1"/>
                  </w14:solidFill>
                </w14:textFill>
              </w:rPr>
              <w:t>☑电子谈判文件（包括“</w:t>
            </w:r>
            <w:r>
              <w:rPr>
                <w:rFonts w:hint="eastAsia" w:ascii="宋体" w:hAnsi="宋体" w:cs="宋体"/>
                <w:color w:val="000000" w:themeColor="text1"/>
                <w:sz w:val="24"/>
                <w:highlight w:val="none"/>
                <w:lang w:bidi="ar"/>
                <w14:textFill>
                  <w14:solidFill>
                    <w14:schemeClr w14:val="tx1"/>
                  </w14:solidFill>
                </w14:textFill>
              </w:rPr>
              <w:t>电子加密谈判文件”和“备份谈判文件”，在谈判文件编制完成后同时生成）；</w:t>
            </w:r>
          </w:p>
          <w:p>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（1）“电子加密谈判文件”是指通过“政采云电子交易客户端”完成谈判文件编制后生成并加密的数据电文形式的谈判文件。</w:t>
            </w:r>
          </w:p>
          <w:p>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（2）“备份谈判文件”是指与“电子加密谈判文件”同时生成的数据电文形式的电子文件（备份标书），其他方式编制的备份谈判文件视为无效备份谈判文件。</w:t>
            </w:r>
          </w:p>
          <w:p>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bidi="ar"/>
                <w14:textFill>
                  <w14:solidFill>
                    <w14:schemeClr w14:val="tx1"/>
                  </w14:solidFill>
                </w14:textFill>
              </w:rPr>
              <w:t>5、谈判文件份数：</w:t>
            </w:r>
            <w:r>
              <w:rPr>
                <w:rFonts w:hint="eastAsia" w:ascii="宋体" w:hAnsi="宋体" w:cs="宋体"/>
                <w:color w:val="000000" w:themeColor="text1"/>
                <w:sz w:val="24"/>
                <w:highlight w:val="none"/>
                <w:lang w:bidi="ar"/>
                <w14:textFill>
                  <w14:solidFill>
                    <w14:schemeClr w14:val="tx1"/>
                  </w14:solidFill>
                </w14:textFill>
              </w:rPr>
              <w:t>（1）“电子加密谈判文件”：在线上传递交。按政采云平台供应商项目采购-电子招投标操作指南https://help.zcygov.cn/web/site_2/2018/12-28/2573.html及本谈判文件要求提交。</w:t>
            </w:r>
          </w:p>
          <w:p>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（2）“备份谈判文件”：密封包装后投标截止时间前递交、一份</w:t>
            </w:r>
          </w:p>
          <w:p>
            <w:pPr>
              <w:spacing w:line="400" w:lineRule="exact"/>
              <w:ind w:left="19" w:right="199" w:rightChars="95" w:hanging="19" w:hangingChars="8"/>
              <w:rPr>
                <w:rFonts w:ascii="宋体" w:hAnsi="宋体" w:cs="宋体"/>
                <w:b/>
                <w:bCs/>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6、</w:t>
            </w:r>
            <w:r>
              <w:rPr>
                <w:rFonts w:hint="eastAsia" w:ascii="宋体" w:hAnsi="宋体" w:cs="宋体"/>
                <w:b/>
                <w:bCs/>
                <w:color w:val="000000" w:themeColor="text1"/>
                <w:sz w:val="24"/>
                <w:highlight w:val="none"/>
                <w:lang w:bidi="ar"/>
                <w14:textFill>
                  <w14:solidFill>
                    <w14:schemeClr w14:val="tx1"/>
                  </w14:solidFill>
                </w14:textFill>
              </w:rPr>
              <w:t>谈判文件的上传和递交：</w:t>
            </w:r>
          </w:p>
          <w:p>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（1）“电子加密谈判文件”的上传、递交：</w:t>
            </w:r>
          </w:p>
          <w:p>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a.供应商应在投标截止时间前将“电子加密谈判文件”成功上传递交至“政府采购云平台”，否则投标无效。</w:t>
            </w:r>
          </w:p>
          <w:p>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b.“电子加密谈判文件”成功上传递交后，供应商可自行打印谈判文件接收回执。</w:t>
            </w:r>
          </w:p>
          <w:p>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（2）“备份谈判文件”的密封包装、递交：</w:t>
            </w:r>
          </w:p>
          <w:p>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a.供应商在“政府采购云平台”完成“电子加密谈判文件”的上传递交后， 投标供应商如需递交“备份谈判文件”的，应在投标截止时间前递交一份以介质（U盘）存储的“备份谈判文件”到杭州华旗招标代理有限公司（地址玉环市李家小区二期三号楼1502室，胡先生15967041020）或后缀名为BFBS的加密文件发送至153997632@qq.com。</w:t>
            </w:r>
          </w:p>
          <w:p>
            <w:pPr>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b.“备份谈判文件”应当密封包装，并在包装上标注投标项目名称、投标单位名称并加盖公章。没有密封包装或者逾期邮寄送达至投标地点的“备份谈判文件”将不予接收；</w:t>
            </w:r>
          </w:p>
          <w:p>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c.通过“政府采购云平台”成功上传递交的“电子加密谈判文件”已按时解密的，“备份谈判文件”自动失效。投标截止时间前，供应商仅递交了“备份谈判文件”而未将“电子加密谈判文件”成功上传至“政府采购云平台”的，投标无效。</w:t>
            </w:r>
          </w:p>
          <w:p>
            <w:pPr>
              <w:spacing w:line="400" w:lineRule="exact"/>
              <w:ind w:left="19" w:right="199" w:rightChars="95" w:hanging="19" w:hangingChars="8"/>
              <w:rPr>
                <w:rFonts w:ascii="宋体" w:hAnsi="宋体" w:cs="宋体"/>
                <w:b/>
                <w:bCs/>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bidi="ar"/>
                <w14:textFill>
                  <w14:solidFill>
                    <w14:schemeClr w14:val="tx1"/>
                  </w14:solidFill>
                </w14:textFill>
              </w:rPr>
              <w:t>7、电子加密谈判文件的解密和异常情况处理：</w:t>
            </w:r>
          </w:p>
          <w:p>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（1）开标后，采购组织机构将向各供应商发出“电子加密谈判文件”的解密通知，各供应商代表应当在接到解密通知后30分钟内自行完成“电子加密谈判文件”的在线解密。</w:t>
            </w:r>
          </w:p>
          <w:p>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通过“政府采购云平台”成功上传递交的“电子加密谈判文件”无法按时解密，供应商如按规定递交了“备份谈判文件”的，以“备份谈判文件”为依据（由采购组织机构按“政府采购云平台”操作规范将“备份谈判文件”上传至“政府采购云平台”，上传成功后，“电子加密谈判文件”自动失效），否则视为谈判文件撤回。</w:t>
            </w:r>
          </w:p>
          <w:p>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（3）投标截止时间前，供应商仅递交了“备份谈判文件”而未将电子加密谈判文件上传至“政府采购云平台”的，投标无效。</w:t>
            </w:r>
          </w:p>
          <w:p>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（4）投标截止后，在投标有效期内，供应商不能撤销谈判文件。</w:t>
            </w:r>
          </w:p>
          <w:p>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8、投标截止后，在投标有效期内，供应商不能撤销谈判文件</w:t>
            </w:r>
          </w:p>
          <w:p>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9、成交后，供应商拒绝签订合同的，采购人可以按照评审报告推荐的成交候选人名单排序，确定下一候选人为成交供应商，也可以重新开展政府采购活动。</w:t>
            </w:r>
          </w:p>
          <w:p>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pPr>
              <w:snapToGrid w:val="0"/>
              <w:spacing w:line="400" w:lineRule="exact"/>
              <w:ind w:left="19" w:right="199" w:rightChars="95" w:hanging="19" w:hangingChars="8"/>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（1）中标或者成交后，拒绝签订政府采购合同的；</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（2）投标有效期内撤销谈判文件的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投标样品</w:t>
            </w:r>
          </w:p>
        </w:tc>
        <w:tc>
          <w:tcPr>
            <w:tcW w:w="6577" w:type="dxa"/>
            <w:vAlign w:val="center"/>
          </w:tcPr>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eq \o\ac(</w:instrText>
            </w:r>
            <w:r>
              <w:rPr>
                <w:rFonts w:hint="eastAsia" w:ascii="宋体" w:hAnsi="宋体" w:cs="宋体"/>
                <w:color w:val="000000" w:themeColor="text1"/>
                <w:position w:val="-4"/>
                <w:sz w:val="36"/>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instrText xml:space="preserve">,√)</w:instrTex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不需要</w:t>
            </w:r>
          </w:p>
          <w:p>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577" w:type="dxa"/>
            <w:vAlign w:val="center"/>
          </w:tcPr>
          <w:p>
            <w:pPr>
              <w:widowControl/>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不需要</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需要   签订合同前，成交供应商应缴纳合同金额</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%作为履约保证金。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谈判文件获取方式</w:t>
            </w:r>
          </w:p>
        </w:tc>
        <w:tc>
          <w:tcPr>
            <w:tcW w:w="6577" w:type="dxa"/>
            <w:vAlign w:val="center"/>
          </w:tcPr>
          <w:p>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登录浙江省政府采购网（网址：</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http://www.zjzfcg.gov.cn）查找本项目并获取采购文件，获取采购文件时应填写正确的电子邮箱（开标时文件传输均发至此邮箱）。</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谈判截止时间</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2021年</w:t>
            </w:r>
            <w:r>
              <w:rPr>
                <w:rFonts w:hint="eastAsia" w:ascii="宋体" w:hAnsi="宋体" w:cs="宋体"/>
                <w:b/>
                <w:color w:val="000000" w:themeColor="text1"/>
                <w:sz w:val="24"/>
                <w:highlight w:val="none"/>
                <w:lang w:eastAsia="zh-CN"/>
                <w14:textFill>
                  <w14:solidFill>
                    <w14:schemeClr w14:val="tx1"/>
                  </w14:solidFill>
                </w14:textFill>
              </w:rPr>
              <w:t>09月30日</w:t>
            </w:r>
            <w:r>
              <w:rPr>
                <w:rFonts w:hint="eastAsia" w:ascii="宋体" w:hAnsi="宋体" w:cs="宋体"/>
                <w:b/>
                <w:color w:val="000000" w:themeColor="text1"/>
                <w:sz w:val="24"/>
                <w:highlight w:val="none"/>
                <w:lang w:val="en-US" w:eastAsia="zh-CN"/>
                <w14:textFill>
                  <w14:solidFill>
                    <w14:schemeClr w14:val="tx1"/>
                  </w14:solidFill>
                </w14:textFill>
              </w:rPr>
              <w:t>14</w:t>
            </w:r>
            <w:r>
              <w:rPr>
                <w:rFonts w:hint="eastAsia" w:ascii="宋体" w:hAnsi="宋体" w:cs="宋体"/>
                <w:b/>
                <w:color w:val="000000" w:themeColor="text1"/>
                <w:sz w:val="24"/>
                <w:highlight w:val="none"/>
                <w:lang w:eastAsia="zh-CN"/>
                <w14:textFill>
                  <w14:solidFill>
                    <w14:schemeClr w14:val="tx1"/>
                  </w14:solidFill>
                </w14:textFill>
              </w:rPr>
              <w:t>点00</w:t>
            </w:r>
            <w:r>
              <w:rPr>
                <w:rFonts w:hint="eastAsia" w:ascii="宋体" w:hAnsi="宋体" w:cs="宋体"/>
                <w:b/>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谈判文件递交地点</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谈判时间</w:t>
            </w:r>
          </w:p>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谈判地点</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
                <w:color w:val="000000" w:themeColor="text1"/>
                <w:sz w:val="24"/>
                <w:highlight w:val="none"/>
                <w14:textFill>
                  <w14:solidFill>
                    <w14:schemeClr w14:val="tx1"/>
                  </w14:solidFill>
                </w14:textFill>
              </w:rPr>
              <w:t>2021年</w:t>
            </w:r>
            <w:r>
              <w:rPr>
                <w:rFonts w:hint="eastAsia" w:ascii="宋体" w:hAnsi="宋体" w:cs="宋体"/>
                <w:b/>
                <w:color w:val="000000" w:themeColor="text1"/>
                <w:sz w:val="24"/>
                <w:highlight w:val="none"/>
                <w:lang w:eastAsia="zh-CN"/>
                <w14:textFill>
                  <w14:solidFill>
                    <w14:schemeClr w14:val="tx1"/>
                  </w14:solidFill>
                </w14:textFill>
              </w:rPr>
              <w:t>09月30日</w:t>
            </w:r>
            <w:r>
              <w:rPr>
                <w:rFonts w:hint="eastAsia" w:ascii="宋体" w:hAnsi="宋体" w:cs="宋体"/>
                <w:b/>
                <w:color w:val="000000" w:themeColor="text1"/>
                <w:sz w:val="24"/>
                <w:highlight w:val="none"/>
                <w:lang w:val="en-US" w:eastAsia="zh-CN"/>
                <w14:textFill>
                  <w14:solidFill>
                    <w14:schemeClr w14:val="tx1"/>
                  </w14:solidFill>
                </w14:textFill>
              </w:rPr>
              <w:t>14</w:t>
            </w:r>
            <w:r>
              <w:rPr>
                <w:rFonts w:hint="eastAsia" w:ascii="宋体" w:hAnsi="宋体" w:cs="宋体"/>
                <w:b/>
                <w:color w:val="000000" w:themeColor="text1"/>
                <w:sz w:val="24"/>
                <w:highlight w:val="none"/>
                <w:lang w:eastAsia="zh-CN"/>
                <w14:textFill>
                  <w14:solidFill>
                    <w14:schemeClr w14:val="tx1"/>
                  </w14:solidFill>
                </w14:textFill>
              </w:rPr>
              <w:t>点00分</w:t>
            </w:r>
            <w:r>
              <w:rPr>
                <w:rFonts w:hint="eastAsia" w:ascii="宋体" w:hAnsi="宋体" w:cs="宋体"/>
                <w:color w:val="000000" w:themeColor="text1"/>
                <w:sz w:val="24"/>
                <w:highlight w:val="none"/>
                <w14:textFill>
                  <w14:solidFill>
                    <w14:schemeClr w14:val="tx1"/>
                  </w14:solidFill>
                </w14:textFill>
              </w:rPr>
              <w:t>(北京时间)</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竞争性谈判小组的组建</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评审委员会构成： 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w:t>
            </w:r>
          </w:p>
          <w:p>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扶持政策</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1、对符合财政扶持政策的小微企业（或监狱企业、或残疾人福利性单位）给予评标价格折扣。供应商企业属于以上多种性质的，不重复享受扶持政策。</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供应商信用查询</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)；“中国政府采购网”（http://www.ccgp.gov.cn/）；</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2、投标供应商信用信息查询截止时点：本项目投标截止时间。</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3、投标供应商信用信息查询记录和证据留存的具体方式：网页截图打印；</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谈判文件备案</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成交单位需在成交确认后7个工作日内，邮寄1套纸质投标资料至招标代理处。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合同备案</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1、成交方须在发出成交通知书之日起30日历天内与采购人签订合同。</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2、成交方与采购人签订合同后，2日历天内将合同原件交给招标代理机构备案。</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合同履约管理</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合同签订后，采购人依法加强对合同履约进行管理，并在成交单位供货、项目验收等重要关节，如实填写《合同验收报告》（表附合同条款中），并及时向同级财政部门报告验收过程中遇到的问题。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16"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免责声明</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1、投标供应商自行承担投标过程中产生的费用。无论何种因素导致采购项目延期开标、废标（流标）、投标供应商未成交、项目终止采购的，采购人与代理机构均不承担供应商投标费用。</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2、投标供应商在投标、合同履行过程中必须做好安全保障工作，不因项目实施而危及自身及第三方人员、财产安全。若发生任何安全事故，由成交方自行承担一切责任并赔偿损失。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577" w:type="dxa"/>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谈判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widowControl/>
              <w:numPr>
                <w:ilvl w:val="0"/>
                <w:numId w:val="2"/>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740" w:type="dxa"/>
            <w:tcBorders>
              <w:bottom w:val="single" w:color="auto" w:sz="12" w:space="0"/>
            </w:tcBorders>
            <w:vAlign w:val="center"/>
          </w:tcPr>
          <w:p>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577" w:type="dxa"/>
            <w:tcBorders>
              <w:bottom w:val="single" w:color="auto" w:sz="12" w:space="0"/>
            </w:tcBorders>
            <w:vAlign w:val="center"/>
          </w:tcPr>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1.请务必确保谈判文件制作客户端为最新版本，旧版本可能导致谈判文件解密失败。</w:t>
            </w:r>
          </w:p>
          <w:p>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2.请务必确保谈判文件制作时所用的 CA 锁与谈判文件解密时的 CA 锁为同一把，否则可能导致谈判文件解密失败。</w:t>
            </w:r>
          </w:p>
        </w:tc>
      </w:tr>
    </w:tbl>
    <w:p>
      <w:pPr>
        <w:pStyle w:val="12"/>
        <w:spacing w:line="360" w:lineRule="auto"/>
        <w:jc w:val="center"/>
        <w:outlineLvl w:val="1"/>
        <w:rPr>
          <w:rFonts w:hAnsi="宋体" w:cs="宋体"/>
          <w:b/>
          <w:color w:val="000000" w:themeColor="text1"/>
          <w:sz w:val="24"/>
          <w:highlight w:val="none"/>
          <w14:textFill>
            <w14:solidFill>
              <w14:schemeClr w14:val="tx1"/>
            </w14:solidFill>
          </w14:textFill>
        </w:rPr>
      </w:pPr>
    </w:p>
    <w:p>
      <w:pPr>
        <w:pStyle w:val="12"/>
        <w:spacing w:line="360" w:lineRule="auto"/>
        <w:jc w:val="center"/>
        <w:outlineLvl w:val="1"/>
        <w:rPr>
          <w:rFonts w:hAnsi="宋体" w:cs="宋体"/>
          <w:b/>
          <w:color w:val="000000" w:themeColor="text1"/>
          <w:sz w:val="24"/>
          <w:highlight w:val="none"/>
          <w:lang w:val="en-GB"/>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前附表2.</w:t>
      </w:r>
      <w:r>
        <w:rPr>
          <w:rFonts w:hint="eastAsia" w:hAnsi="宋体" w:cs="宋体"/>
          <w:b/>
          <w:color w:val="000000" w:themeColor="text1"/>
          <w:sz w:val="24"/>
          <w:highlight w:val="none"/>
          <w:lang w:val="en-GB"/>
          <w14:textFill>
            <w14:solidFill>
              <w14:schemeClr w14:val="tx1"/>
            </w14:solidFill>
          </w14:textFill>
        </w:rPr>
        <w:t>关于支持中小企业政府采购信用融资</w:t>
      </w:r>
    </w:p>
    <w:p>
      <w:pPr>
        <w:pStyle w:val="12"/>
        <w:adjustRightInd w:val="0"/>
        <w:snapToGrid w:val="0"/>
        <w:spacing w:line="400" w:lineRule="exact"/>
        <w:ind w:firstLine="560" w:firstLineChars="200"/>
        <w:outlineLvl w:val="1"/>
        <w:rPr>
          <w:rFonts w:hAnsi="宋体" w:cs="宋体"/>
          <w:bCs/>
          <w:color w:val="000000" w:themeColor="text1"/>
          <w:spacing w:val="20"/>
          <w:sz w:val="24"/>
          <w:highlight w:val="none"/>
          <w14:textFill>
            <w14:solidFill>
              <w14:schemeClr w14:val="tx1"/>
            </w14:solidFill>
          </w14:textFill>
        </w:rPr>
      </w:pPr>
      <w:r>
        <w:rPr>
          <w:rFonts w:hint="eastAsia" w:hAnsi="宋体" w:cs="宋体"/>
          <w:bCs/>
          <w:color w:val="000000" w:themeColor="text1"/>
          <w:spacing w:val="20"/>
          <w:sz w:val="24"/>
          <w:highlight w:val="none"/>
          <w14:textFill>
            <w14:solidFill>
              <w14:schemeClr w14:val="tx1"/>
            </w14:solidFill>
          </w14:textFill>
        </w:rPr>
        <w:t xml:space="preserve">为优化营商环境，缓解供应商资金难题，成交供应商如有融资需求，可使用以下银行的政采贷服务。 </w:t>
      </w:r>
    </w:p>
    <w:tbl>
      <w:tblPr>
        <w:tblStyle w:val="2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0"/>
        <w:gridCol w:w="1324"/>
        <w:gridCol w:w="1663"/>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银行</w:t>
            </w:r>
          </w:p>
        </w:tc>
        <w:tc>
          <w:tcPr>
            <w:tcW w:w="1324"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贷款年利率</w:t>
            </w:r>
          </w:p>
        </w:tc>
        <w:tc>
          <w:tcPr>
            <w:tcW w:w="1663"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联系人</w:t>
            </w:r>
          </w:p>
        </w:tc>
        <w:tc>
          <w:tcPr>
            <w:tcW w:w="2119"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中国工商银行</w:t>
            </w:r>
          </w:p>
        </w:tc>
        <w:tc>
          <w:tcPr>
            <w:tcW w:w="1324"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3.8%起</w:t>
            </w:r>
          </w:p>
        </w:tc>
        <w:tc>
          <w:tcPr>
            <w:tcW w:w="1663"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谢美珍</w:t>
            </w:r>
          </w:p>
        </w:tc>
        <w:tc>
          <w:tcPr>
            <w:tcW w:w="2119"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中国农业银行</w:t>
            </w:r>
          </w:p>
        </w:tc>
        <w:tc>
          <w:tcPr>
            <w:tcW w:w="1324"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3.8%起</w:t>
            </w:r>
          </w:p>
        </w:tc>
        <w:tc>
          <w:tcPr>
            <w:tcW w:w="1663"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吴佳怡</w:t>
            </w:r>
          </w:p>
        </w:tc>
        <w:tc>
          <w:tcPr>
            <w:tcW w:w="2119"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中国建设银行</w:t>
            </w:r>
          </w:p>
        </w:tc>
        <w:tc>
          <w:tcPr>
            <w:tcW w:w="1324"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3.85%起</w:t>
            </w:r>
          </w:p>
        </w:tc>
        <w:tc>
          <w:tcPr>
            <w:tcW w:w="1663"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刘伟</w:t>
            </w:r>
          </w:p>
        </w:tc>
        <w:tc>
          <w:tcPr>
            <w:tcW w:w="2119"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中国银行</w:t>
            </w:r>
          </w:p>
        </w:tc>
        <w:tc>
          <w:tcPr>
            <w:tcW w:w="1324"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3.8%起</w:t>
            </w:r>
          </w:p>
        </w:tc>
        <w:tc>
          <w:tcPr>
            <w:tcW w:w="1663"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张才国</w:t>
            </w:r>
          </w:p>
        </w:tc>
        <w:tc>
          <w:tcPr>
            <w:tcW w:w="2119"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浙商银行</w:t>
            </w:r>
          </w:p>
        </w:tc>
        <w:tc>
          <w:tcPr>
            <w:tcW w:w="1324"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6.01%起</w:t>
            </w:r>
          </w:p>
        </w:tc>
        <w:tc>
          <w:tcPr>
            <w:tcW w:w="1663"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梅淑华</w:t>
            </w:r>
          </w:p>
        </w:tc>
        <w:tc>
          <w:tcPr>
            <w:tcW w:w="2119"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农商银行</w:t>
            </w:r>
          </w:p>
        </w:tc>
        <w:tc>
          <w:tcPr>
            <w:tcW w:w="1324"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4.35%起</w:t>
            </w:r>
          </w:p>
        </w:tc>
        <w:tc>
          <w:tcPr>
            <w:tcW w:w="1663"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陈辉</w:t>
            </w:r>
          </w:p>
        </w:tc>
        <w:tc>
          <w:tcPr>
            <w:tcW w:w="2119"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泰隆银行</w:t>
            </w:r>
          </w:p>
        </w:tc>
        <w:tc>
          <w:tcPr>
            <w:tcW w:w="1324"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6.00%起</w:t>
            </w:r>
          </w:p>
        </w:tc>
        <w:tc>
          <w:tcPr>
            <w:tcW w:w="1663"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许超</w:t>
            </w:r>
          </w:p>
        </w:tc>
        <w:tc>
          <w:tcPr>
            <w:tcW w:w="2119"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17858683351</w:t>
            </w:r>
          </w:p>
        </w:tc>
      </w:tr>
    </w:tbl>
    <w:p>
      <w:pPr>
        <w:pStyle w:val="4"/>
        <w:spacing w:before="0" w:after="0" w:line="400" w:lineRule="exact"/>
        <w:jc w:val="left"/>
        <w:rPr>
          <w:rFonts w:ascii="宋体" w:hAnsi="宋体" w:cs="宋体"/>
          <w:color w:val="000000" w:themeColor="text1"/>
          <w:sz w:val="24"/>
          <w:szCs w:val="24"/>
          <w:highlight w:val="none"/>
          <w14:textFill>
            <w14:solidFill>
              <w14:schemeClr w14:val="tx1"/>
            </w14:solidFill>
          </w14:textFill>
        </w:rPr>
      </w:pP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政采保联系方式:</w:t>
      </w:r>
    </w:p>
    <w:tbl>
      <w:tblPr>
        <w:tblStyle w:val="2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173"/>
        <w:gridCol w:w="132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保险机构</w:t>
            </w:r>
          </w:p>
        </w:tc>
        <w:tc>
          <w:tcPr>
            <w:tcW w:w="3173" w:type="dxa"/>
            <w:vAlign w:val="center"/>
          </w:tcPr>
          <w:p>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承保方案</w:t>
            </w:r>
          </w:p>
        </w:tc>
        <w:tc>
          <w:tcPr>
            <w:tcW w:w="1327" w:type="dxa"/>
            <w:vAlign w:val="center"/>
          </w:tcPr>
          <w:p>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980" w:type="dxa"/>
            <w:vAlign w:val="center"/>
          </w:tcPr>
          <w:p>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阳光财产保险股份有限公司玉环支公司</w:t>
            </w:r>
          </w:p>
        </w:tc>
        <w:tc>
          <w:tcPr>
            <w:tcW w:w="3173" w:type="dxa"/>
            <w:vAlign w:val="center"/>
          </w:tcPr>
          <w:p>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合同（质量）履约按履约保证金年费率1%（1.5%），每单保函最低保险费为500元（300元）</w:t>
            </w:r>
          </w:p>
        </w:tc>
        <w:tc>
          <w:tcPr>
            <w:tcW w:w="1327" w:type="dxa"/>
            <w:vAlign w:val="center"/>
          </w:tcPr>
          <w:p>
            <w:pP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梁英超</w:t>
            </w:r>
          </w:p>
        </w:tc>
        <w:tc>
          <w:tcPr>
            <w:tcW w:w="1980" w:type="dxa"/>
            <w:vAlign w:val="center"/>
          </w:tcPr>
          <w:p>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18067723172（微信同号）</w:t>
            </w:r>
          </w:p>
        </w:tc>
      </w:tr>
    </w:tbl>
    <w:p>
      <w:pPr>
        <w:rPr>
          <w:color w:val="000000" w:themeColor="text1"/>
          <w:highlight w:val="none"/>
          <w14:textFill>
            <w14:solidFill>
              <w14:schemeClr w14:val="tx1"/>
            </w14:solidFill>
          </w14:textFill>
        </w:rPr>
      </w:pPr>
    </w:p>
    <w:p>
      <w:pPr>
        <w:pStyle w:val="4"/>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 、总  则</w:t>
      </w:r>
    </w:p>
    <w:p>
      <w:pPr>
        <w:pStyle w:val="5"/>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 适用范围</w:t>
      </w:r>
    </w:p>
    <w:p>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w:t>
      </w:r>
      <w:r>
        <w:rPr>
          <w:rFonts w:hint="eastAsia" w:ascii="宋体" w:hAnsi="宋体" w:cs="宋体"/>
          <w:bCs/>
          <w:color w:val="000000" w:themeColor="text1"/>
          <w:sz w:val="24"/>
          <w:highlight w:val="none"/>
          <w14:textFill>
            <w14:solidFill>
              <w14:schemeClr w14:val="tx1"/>
            </w14:solidFill>
          </w14:textFill>
        </w:rPr>
        <w:t>谈判文件</w:t>
      </w:r>
      <w:r>
        <w:rPr>
          <w:rFonts w:hint="eastAsia" w:ascii="宋体" w:hAnsi="宋体" w:cs="宋体"/>
          <w:color w:val="000000" w:themeColor="text1"/>
          <w:sz w:val="24"/>
          <w:highlight w:val="none"/>
          <w14:textFill>
            <w14:solidFill>
              <w14:schemeClr w14:val="tx1"/>
            </w14:solidFill>
          </w14:textFill>
        </w:rPr>
        <w:t>适用于</w:t>
      </w:r>
      <w:r>
        <w:rPr>
          <w:rFonts w:hint="eastAsia" w:ascii="宋体" w:hAnsi="宋体" w:cs="宋体"/>
          <w:bCs/>
          <w:color w:val="000000" w:themeColor="text1"/>
          <w:sz w:val="24"/>
          <w:highlight w:val="none"/>
          <w14:textFill>
            <w14:solidFill>
              <w14:schemeClr w14:val="tx1"/>
            </w14:solidFill>
          </w14:textFill>
        </w:rPr>
        <w:t>本次</w:t>
      </w:r>
      <w:r>
        <w:rPr>
          <w:rFonts w:hint="eastAsia" w:ascii="宋体" w:hAnsi="宋体" w:cs="宋体"/>
          <w:color w:val="000000" w:themeColor="text1"/>
          <w:sz w:val="24"/>
          <w:highlight w:val="none"/>
          <w14:textFill>
            <w14:solidFill>
              <w14:schemeClr w14:val="tx1"/>
            </w14:solidFill>
          </w14:textFill>
        </w:rPr>
        <w:t>项目的谈判、</w:t>
      </w:r>
      <w:r>
        <w:rPr>
          <w:rFonts w:hint="eastAsia" w:ascii="宋体" w:hAnsi="宋体" w:cs="宋体"/>
          <w:bCs/>
          <w:color w:val="000000" w:themeColor="text1"/>
          <w:sz w:val="24"/>
          <w:highlight w:val="none"/>
          <w14:textFill>
            <w14:solidFill>
              <w14:schemeClr w14:val="tx1"/>
            </w14:solidFill>
          </w14:textFill>
        </w:rPr>
        <w:t>评审、确定成交供应商</w:t>
      </w:r>
      <w:r>
        <w:rPr>
          <w:rFonts w:hint="eastAsia" w:ascii="宋体" w:hAnsi="宋体" w:cs="宋体"/>
          <w:color w:val="000000" w:themeColor="text1"/>
          <w:sz w:val="24"/>
          <w:highlight w:val="none"/>
          <w14:textFill>
            <w14:solidFill>
              <w14:schemeClr w14:val="tx1"/>
            </w14:solidFill>
          </w14:textFill>
        </w:rPr>
        <w:t>、验收、合同履约、付款等行为（法律、法规另有规定的，从其规定）。</w:t>
      </w:r>
    </w:p>
    <w:p>
      <w:pPr>
        <w:pStyle w:val="5"/>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（二）定义</w:t>
      </w:r>
    </w:p>
    <w:p>
      <w:pPr>
        <w:pStyle w:val="12"/>
        <w:spacing w:line="400" w:lineRule="exact"/>
        <w:ind w:firstLine="566" w:firstLineChars="23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1、“采购组织机构”指采购人委托组织谈判的集中采购机构或采购代理机构。</w:t>
      </w:r>
    </w:p>
    <w:p>
      <w:pPr>
        <w:snapToGrid w:val="0"/>
        <w:spacing w:line="400" w:lineRule="exact"/>
        <w:ind w:firstLine="566" w:firstLine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2、采购人：是指委托</w:t>
      </w:r>
      <w:r>
        <w:rPr>
          <w:rFonts w:hint="eastAsia" w:ascii="宋体" w:hAnsi="宋体" w:cs="宋体"/>
          <w:color w:val="000000" w:themeColor="text1"/>
          <w:sz w:val="24"/>
          <w:highlight w:val="none"/>
          <w:lang w:val="zh-CN"/>
          <w14:textFill>
            <w14:solidFill>
              <w14:schemeClr w14:val="tx1"/>
            </w14:solidFill>
          </w14:textFill>
        </w:rPr>
        <w:t>集中采购机构或</w:t>
      </w:r>
      <w:r>
        <w:rPr>
          <w:rFonts w:hint="eastAsia" w:ascii="宋体" w:hAnsi="宋体" w:cs="宋体"/>
          <w:color w:val="000000" w:themeColor="text1"/>
          <w:sz w:val="24"/>
          <w:highlight w:val="none"/>
          <w14:textFill>
            <w14:solidFill>
              <w14:schemeClr w14:val="tx1"/>
            </w14:solidFill>
          </w14:textFill>
        </w:rPr>
        <w:t>采购代理机构采购本次项目的国家机关、事业单位和团体组织。</w:t>
      </w:r>
    </w:p>
    <w:p>
      <w:pPr>
        <w:snapToGrid w:val="0"/>
        <w:spacing w:line="400" w:lineRule="exact"/>
        <w:ind w:left="424" w:leftChars="202" w:firstLine="141" w:firstLineChars="59"/>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3、谈判供应商：是指向</w:t>
      </w:r>
      <w:r>
        <w:rPr>
          <w:rFonts w:hint="eastAsia" w:ascii="宋体" w:hAnsi="宋体" w:cs="宋体"/>
          <w:color w:val="000000" w:themeColor="text1"/>
          <w:sz w:val="24"/>
          <w:highlight w:val="none"/>
          <w:lang w:val="zh-CN"/>
          <w14:textFill>
            <w14:solidFill>
              <w14:schemeClr w14:val="tx1"/>
            </w14:solidFill>
          </w14:textFill>
        </w:rPr>
        <w:t>采购组织机构</w:t>
      </w:r>
      <w:r>
        <w:rPr>
          <w:rFonts w:hint="eastAsia" w:ascii="宋体" w:hAnsi="宋体" w:cs="宋体"/>
          <w:color w:val="000000" w:themeColor="text1"/>
          <w:sz w:val="24"/>
          <w:highlight w:val="none"/>
          <w14:textFill>
            <w14:solidFill>
              <w14:schemeClr w14:val="tx1"/>
            </w14:solidFill>
          </w14:textFill>
        </w:rPr>
        <w:t>提交谈判响应文件的单位或个人。</w:t>
      </w:r>
    </w:p>
    <w:p>
      <w:pPr>
        <w:snapToGrid w:val="0"/>
        <w:spacing w:line="400" w:lineRule="exact"/>
        <w:ind w:left="424" w:leftChars="202" w:firstLine="143"/>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4、货物：是指各种形态和种类的物品，包括原材料、燃料、设备、产品等。</w:t>
      </w:r>
    </w:p>
    <w:p>
      <w:pPr>
        <w:snapToGrid w:val="0"/>
        <w:spacing w:line="400" w:lineRule="exact"/>
        <w:ind w:firstLine="566" w:firstLineChars="23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napToGrid w:val="0"/>
        <w:spacing w:line="400" w:lineRule="exact"/>
        <w:ind w:firstLine="566" w:firstLineChars="23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6、“书面形式”包括信函、传真等。</w:t>
      </w:r>
    </w:p>
    <w:p>
      <w:pPr>
        <w:snapToGrid w:val="0"/>
        <w:spacing w:line="400" w:lineRule="exact"/>
        <w:ind w:firstLine="566" w:firstLineChars="23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7、“★”不可偏离。</w:t>
      </w:r>
    </w:p>
    <w:p>
      <w:pPr>
        <w:pStyle w:val="5"/>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（三）谈判费用</w:t>
      </w:r>
    </w:p>
    <w:p>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不论谈判结果如何，供应商均应自行承担所有与谈判有关的全部费用（</w:t>
      </w:r>
      <w:r>
        <w:rPr>
          <w:rFonts w:hint="eastAsia" w:ascii="宋体" w:hAnsi="宋体" w:cs="宋体"/>
          <w:bCs/>
          <w:color w:val="000000" w:themeColor="text1"/>
          <w:sz w:val="24"/>
          <w:highlight w:val="none"/>
          <w14:textFill>
            <w14:solidFill>
              <w14:schemeClr w14:val="tx1"/>
            </w14:solidFill>
          </w14:textFill>
        </w:rPr>
        <w:t>谈判文件</w:t>
      </w:r>
      <w:r>
        <w:rPr>
          <w:rFonts w:hint="eastAsia" w:ascii="宋体" w:hAnsi="宋体" w:cs="宋体"/>
          <w:color w:val="000000" w:themeColor="text1"/>
          <w:sz w:val="24"/>
          <w:highlight w:val="none"/>
          <w14:textFill>
            <w14:solidFill>
              <w14:schemeClr w14:val="tx1"/>
            </w14:solidFill>
          </w14:textFill>
        </w:rPr>
        <w:t>有相关规定除外）。</w:t>
      </w:r>
    </w:p>
    <w:p>
      <w:pPr>
        <w:pStyle w:val="5"/>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（四）特别说明</w:t>
      </w:r>
    </w:p>
    <w:p>
      <w:pPr>
        <w:pStyle w:val="12"/>
        <w:snapToGrid w:val="0"/>
        <w:spacing w:line="400" w:lineRule="exact"/>
        <w:ind w:left="2"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1、供应商谈判所使用的资格、信誉、荣誉、业绩与企业认证必须为本法人所拥有。供应商谈判所使用的采购项目实施人员必须为本法人员工（指必须为本法人或控股公司正式员工）。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2、供应商所标产品除</w:t>
      </w:r>
      <w:r>
        <w:rPr>
          <w:rFonts w:hint="eastAsia" w:ascii="宋体" w:hAnsi="宋体" w:cs="宋体"/>
          <w:bCs/>
          <w:color w:val="000000" w:themeColor="text1"/>
          <w:sz w:val="24"/>
          <w:highlight w:val="none"/>
          <w14:textFill>
            <w14:solidFill>
              <w14:schemeClr w14:val="tx1"/>
            </w14:solidFill>
          </w14:textFill>
        </w:rPr>
        <w:t>谈判文件</w:t>
      </w:r>
      <w:r>
        <w:rPr>
          <w:rFonts w:hint="eastAsia" w:ascii="宋体" w:hAnsi="宋体" w:cs="宋体"/>
          <w:color w:val="000000" w:themeColor="text1"/>
          <w:sz w:val="24"/>
          <w:highlight w:val="none"/>
          <w14:textFill>
            <w14:solidFill>
              <w14:schemeClr w14:val="tx1"/>
            </w14:solidFill>
          </w14:textFill>
        </w:rPr>
        <w:t>中明确规定要求“提供官网截图或相应检测报告的证明材料”以外，所有技术参数描述均以谈判响应文件为准。</w:t>
      </w:r>
      <w:r>
        <w:rPr>
          <w:rFonts w:hint="eastAsia" w:ascii="宋体" w:hAnsi="宋体" w:cs="宋体"/>
          <w:b/>
          <w:color w:val="000000" w:themeColor="text1"/>
          <w:sz w:val="24"/>
          <w:highlight w:val="none"/>
          <w14:textFill>
            <w14:solidFill>
              <w14:schemeClr w14:val="tx1"/>
            </w14:solidFill>
          </w14:textFill>
        </w:rPr>
        <w:t>谈判供应商对所标产品技术参数的真实性承担法律责任。</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bCs/>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结束后、质疑期限内，如有质疑供应商认为成交供应商所标产品、谈判响应文件技术参数与采购需求存在重大偏离、错误、甚至造假的情况，应提供具体有效的证明材料。</w:t>
      </w:r>
      <w:r>
        <w:rPr>
          <w:rFonts w:hint="eastAsia" w:ascii="宋体" w:hAnsi="宋体" w:cs="宋体"/>
          <w:color w:val="000000" w:themeColor="text1"/>
          <w:sz w:val="24"/>
          <w:highlight w:val="none"/>
          <w14:textFill>
            <w14:solidFill>
              <w14:schemeClr w14:val="tx1"/>
            </w14:solidFill>
          </w14:textFill>
        </w:rPr>
        <w:tab/>
      </w:r>
    </w:p>
    <w:p>
      <w:pPr>
        <w:pStyle w:val="2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3、供应商在</w:t>
      </w:r>
      <w:r>
        <w:rPr>
          <w:rFonts w:hint="eastAsia" w:ascii="宋体" w:hAnsi="宋体" w:cs="宋体"/>
          <w:bCs/>
          <w:color w:val="000000" w:themeColor="text1"/>
          <w:sz w:val="24"/>
          <w:szCs w:val="24"/>
          <w:highlight w:val="none"/>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4、供应商不得相互串通谈判报价，不得妨碍其他供应商的公平竞争，不得损害采购人或其他供应商的合法权益，供应商不得以向采购人、谈判小组成员行贿或者采取其他不正当手段谋取成交。</w:t>
      </w:r>
    </w:p>
    <w:p>
      <w:pPr>
        <w:pStyle w:val="2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2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6、谈判响应文件格式中的表格式样可以根据项目差别做适当调整,但应当保持表格样式基本形态不变。</w:t>
      </w:r>
    </w:p>
    <w:p>
      <w:pPr>
        <w:pStyle w:val="2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29"/>
        <w:snapToGrid w:val="0"/>
        <w:spacing w:line="40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8、本项目不允许分包。</w:t>
      </w:r>
    </w:p>
    <w:p>
      <w:pPr>
        <w:pStyle w:val="4"/>
        <w:spacing w:before="0" w:after="0"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二、谈判响应文件</w:t>
      </w:r>
    </w:p>
    <w:p>
      <w:pPr>
        <w:pStyle w:val="5"/>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（一）谈判响应文件的组成</w:t>
      </w:r>
    </w:p>
    <w:p>
      <w:pPr>
        <w:snapToGrid w:val="0"/>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供应商应仔细阅读谈判采购文件的所有内容，按谈判采购文件的要求，详细编制谈判响应文件</w:t>
      </w:r>
      <w:r>
        <w:rPr>
          <w:rFonts w:hint="eastAsia" w:ascii="宋体" w:hAnsi="宋体" w:cs="宋体"/>
          <w:color w:val="000000" w:themeColor="text1"/>
          <w:sz w:val="24"/>
          <w:highlight w:val="none"/>
          <w14:textFill>
            <w14:solidFill>
              <w14:schemeClr w14:val="tx1"/>
            </w14:solidFill>
          </w14:textFill>
        </w:rPr>
        <w:t>。</w:t>
      </w:r>
    </w:p>
    <w:p>
      <w:pPr>
        <w:snapToGrid w:val="0"/>
        <w:spacing w:line="400" w:lineRule="exact"/>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▲1、资格证明内容的组成：</w:t>
      </w:r>
    </w:p>
    <w:p>
      <w:pPr>
        <w:pStyle w:val="13"/>
        <w:spacing w:line="400" w:lineRule="exact"/>
        <w:ind w:left="0" w:leftChars="0" w:firstLine="470"/>
        <w:rPr>
          <w:rStyle w:val="26"/>
          <w:rFonts w:cs="宋体"/>
          <w:b w:val="0"/>
          <w:color w:val="000000" w:themeColor="text1"/>
          <w:highlight w:val="none"/>
          <w:u w:val="none"/>
          <w14:textFill>
            <w14:solidFill>
              <w14:schemeClr w14:val="tx1"/>
            </w14:solidFill>
          </w14:textFill>
        </w:rPr>
      </w:pPr>
      <w:r>
        <w:rPr>
          <w:rStyle w:val="26"/>
          <w:rFonts w:hint="eastAsia" w:cs="宋体"/>
          <w:b w:val="0"/>
          <w:color w:val="000000" w:themeColor="text1"/>
          <w:highlight w:val="none"/>
          <w:u w:val="none"/>
          <w14:textFill>
            <w14:solidFill>
              <w14:schemeClr w14:val="tx1"/>
            </w14:solidFill>
          </w14:textFill>
        </w:rPr>
        <w:t>（1）谈判声明书</w:t>
      </w:r>
    </w:p>
    <w:p>
      <w:pPr>
        <w:pStyle w:val="13"/>
        <w:spacing w:line="400" w:lineRule="exact"/>
        <w:ind w:left="0" w:leftChars="0" w:firstLine="470"/>
        <w:rPr>
          <w:rStyle w:val="26"/>
          <w:rFonts w:cs="宋体"/>
          <w:b w:val="0"/>
          <w:color w:val="000000" w:themeColor="text1"/>
          <w:highlight w:val="none"/>
          <w:u w:val="none"/>
          <w14:textFill>
            <w14:solidFill>
              <w14:schemeClr w14:val="tx1"/>
            </w14:solidFill>
          </w14:textFill>
        </w:rPr>
      </w:pPr>
      <w:r>
        <w:rPr>
          <w:rStyle w:val="26"/>
          <w:rFonts w:hint="eastAsia" w:cs="宋体"/>
          <w:b w:val="0"/>
          <w:color w:val="000000" w:themeColor="text1"/>
          <w:highlight w:val="none"/>
          <w:u w:val="none"/>
          <w14:textFill>
            <w14:solidFill>
              <w14:schemeClr w14:val="tx1"/>
            </w14:solidFill>
          </w14:textFill>
        </w:rPr>
        <w:t>（2）授权委托书（法定代表人亲自办理谈判响应事宜的，则无需提交)；</w:t>
      </w:r>
    </w:p>
    <w:p>
      <w:pPr>
        <w:pStyle w:val="13"/>
        <w:spacing w:line="400" w:lineRule="exact"/>
        <w:ind w:left="0" w:leftChars="0" w:firstLine="470"/>
        <w:rPr>
          <w:rStyle w:val="26"/>
          <w:rFonts w:cs="宋体"/>
          <w:b w:val="0"/>
          <w:color w:val="000000" w:themeColor="text1"/>
          <w:highlight w:val="none"/>
          <w:u w:val="none"/>
          <w14:textFill>
            <w14:solidFill>
              <w14:schemeClr w14:val="tx1"/>
            </w14:solidFill>
          </w14:textFill>
        </w:rPr>
      </w:pPr>
      <w:r>
        <w:rPr>
          <w:rStyle w:val="26"/>
          <w:rFonts w:hint="eastAsia" w:cs="宋体"/>
          <w:b w:val="0"/>
          <w:color w:val="000000" w:themeColor="text1"/>
          <w:highlight w:val="none"/>
          <w:u w:val="none"/>
          <w14:textFill>
            <w14:solidFill>
              <w14:schemeClr w14:val="tx1"/>
            </w14:solidFill>
          </w14:textFill>
        </w:rPr>
        <w:t>（3）法人或者其他组织的营业执照等证明文件，自然人的身份证明；</w:t>
      </w:r>
    </w:p>
    <w:p>
      <w:pPr>
        <w:pStyle w:val="13"/>
        <w:spacing w:line="400" w:lineRule="exact"/>
        <w:ind w:left="0" w:leftChars="0" w:firstLine="470"/>
        <w:rPr>
          <w:rStyle w:val="26"/>
          <w:rFonts w:cs="宋体"/>
          <w:b w:val="0"/>
          <w:color w:val="000000" w:themeColor="text1"/>
          <w:highlight w:val="none"/>
          <w:u w:val="none"/>
          <w14:textFill>
            <w14:solidFill>
              <w14:schemeClr w14:val="tx1"/>
            </w14:solidFill>
          </w14:textFill>
        </w:rPr>
      </w:pPr>
      <w:r>
        <w:rPr>
          <w:rStyle w:val="26"/>
          <w:rFonts w:hint="eastAsia" w:cs="宋体"/>
          <w:b w:val="0"/>
          <w:color w:val="000000" w:themeColor="text1"/>
          <w:highlight w:val="none"/>
          <w:u w:val="none"/>
          <w14:textFill>
            <w14:solidFill>
              <w14:schemeClr w14:val="tx1"/>
            </w14:solidFill>
          </w14:textFill>
        </w:rPr>
        <w:t>（4）财务状况报告，依法缴纳税收和社会保障资金的相关材料；</w:t>
      </w:r>
    </w:p>
    <w:p>
      <w:pPr>
        <w:pStyle w:val="13"/>
        <w:spacing w:line="400" w:lineRule="exact"/>
        <w:ind w:left="0" w:leftChars="0" w:firstLine="470"/>
        <w:rPr>
          <w:rStyle w:val="26"/>
          <w:rFonts w:cs="宋体"/>
          <w:b w:val="0"/>
          <w:color w:val="000000" w:themeColor="text1"/>
          <w:highlight w:val="none"/>
          <w:u w:val="none"/>
          <w14:textFill>
            <w14:solidFill>
              <w14:schemeClr w14:val="tx1"/>
            </w14:solidFill>
          </w14:textFill>
        </w:rPr>
      </w:pPr>
      <w:r>
        <w:rPr>
          <w:rStyle w:val="26"/>
          <w:rFonts w:hint="eastAsia" w:cs="宋体"/>
          <w:b w:val="0"/>
          <w:color w:val="000000" w:themeColor="text1"/>
          <w:highlight w:val="none"/>
          <w:u w:val="none"/>
          <w14:textFill>
            <w14:solidFill>
              <w14:schemeClr w14:val="tx1"/>
            </w14:solidFill>
          </w14:textFill>
        </w:rPr>
        <w:t>（5）具备履行合同所必需的设备和专业技术能力的证明材料(根据项目性质提供)；</w:t>
      </w:r>
    </w:p>
    <w:p>
      <w:pPr>
        <w:pStyle w:val="13"/>
        <w:spacing w:line="400" w:lineRule="exact"/>
        <w:ind w:left="0" w:leftChars="0" w:firstLine="470"/>
        <w:rPr>
          <w:rStyle w:val="26"/>
          <w:rFonts w:cs="宋体"/>
          <w:b w:val="0"/>
          <w:color w:val="000000" w:themeColor="text1"/>
          <w:highlight w:val="none"/>
          <w:u w:val="none"/>
          <w14:textFill>
            <w14:solidFill>
              <w14:schemeClr w14:val="tx1"/>
            </w14:solidFill>
          </w14:textFill>
        </w:rPr>
      </w:pPr>
      <w:r>
        <w:rPr>
          <w:rStyle w:val="26"/>
          <w:rFonts w:hint="eastAsia" w:cs="宋体"/>
          <w:b w:val="0"/>
          <w:color w:val="000000" w:themeColor="text1"/>
          <w:highlight w:val="none"/>
          <w:u w:val="none"/>
          <w14:textFill>
            <w14:solidFill>
              <w14:schemeClr w14:val="tx1"/>
            </w14:solidFill>
          </w14:textFill>
        </w:rPr>
        <w:t>（6）提供采购公告中符合供应商特定条件的有效资质证书复印件（谈判供应商特定条件中有要求的必须提供），以及需要说明的其他资料；</w:t>
      </w:r>
    </w:p>
    <w:p>
      <w:pPr>
        <w:snapToGrid w:val="0"/>
        <w:spacing w:line="400" w:lineRule="exact"/>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2、商务与技术内容的组成：</w:t>
      </w:r>
    </w:p>
    <w:p>
      <w:pPr>
        <w:pStyle w:val="7"/>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（1）供应商情况介绍（人员与技术力量、企业规模、经营业绩等）。</w:t>
      </w:r>
    </w:p>
    <w:p>
      <w:pPr>
        <w:pStyle w:val="7"/>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（2）谈判响应方案描述：</w:t>
      </w:r>
    </w:p>
    <w:p>
      <w:pPr>
        <w:pStyle w:val="7"/>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A.项目需求的理解与分析(供应商对项目现状及需求的理解情况，对项目现状和需求描述的全面性、准确性、针对性，对项目重点、难点的把握，解决方案及合理化建议)。</w:t>
      </w:r>
    </w:p>
    <w:p>
      <w:pPr>
        <w:pStyle w:val="7"/>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autoSpaceDE w:val="0"/>
        <w:autoSpaceDN w:val="0"/>
        <w:adjustRightInd w:val="0"/>
        <w:spacing w:line="400" w:lineRule="exact"/>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（3）供应商通过的</w:t>
      </w:r>
      <w:r>
        <w:rPr>
          <w:rFonts w:hint="eastAsia" w:ascii="宋体" w:hAnsi="宋体" w:cs="宋体"/>
          <w:color w:val="000000" w:themeColor="text1"/>
          <w:sz w:val="24"/>
          <w:highlight w:val="none"/>
          <w14:textFill>
            <w14:solidFill>
              <w14:schemeClr w14:val="tx1"/>
            </w14:solidFill>
          </w14:textFill>
        </w:rPr>
        <w:t>自主创新相关证书、软件著作权证等等与本项目相关</w:t>
      </w:r>
      <w:r>
        <w:rPr>
          <w:rFonts w:hint="eastAsia" w:ascii="宋体" w:hAnsi="宋体" w:cs="宋体"/>
          <w:color w:val="000000" w:themeColor="text1"/>
          <w:kern w:val="0"/>
          <w:sz w:val="24"/>
          <w:highlight w:val="none"/>
          <w14:textFill>
            <w14:solidFill>
              <w14:schemeClr w14:val="tx1"/>
            </w14:solidFill>
          </w14:textFill>
        </w:rPr>
        <w:t>的认证证书或文件（如有则提供）；</w:t>
      </w:r>
    </w:p>
    <w:p>
      <w:pPr>
        <w:pStyle w:val="7"/>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（4）近三年来类似项目的成功案例（供应商类似项目实施情况一览表、合同复印件等；</w:t>
      </w:r>
    </w:p>
    <w:p>
      <w:pPr>
        <w:snapToGrid w:val="0"/>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（5）供应商认为需要提供的其他资料（包括可能影响供应商商务与技术内容评分的各类证明材料）。</w:t>
      </w:r>
    </w:p>
    <w:p>
      <w:pPr>
        <w:pStyle w:val="7"/>
        <w:widowControl/>
        <w:adjustRightInd w:val="0"/>
        <w:snapToGrid w:val="0"/>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（6）售后服务描述及承诺：</w:t>
      </w:r>
    </w:p>
    <w:p>
      <w:pPr>
        <w:pStyle w:val="7"/>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7"/>
        <w:widowControl/>
        <w:adjustRightInd w:val="0"/>
        <w:snapToGrid w:val="0"/>
        <w:spacing w:line="400" w:lineRule="exact"/>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400" w:lineRule="exact"/>
        <w:ind w:left="426" w:firstLine="65" w:firstLineChars="27"/>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3、报价内容的组成</w:t>
      </w:r>
    </w:p>
    <w:p>
      <w:pPr>
        <w:pStyle w:val="13"/>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（1）报价内容由首次报价一览表、报价明细表，以及供应商认为其他需要说明的内容组成。</w:t>
      </w:r>
    </w:p>
    <w:p>
      <w:pPr>
        <w:pStyle w:val="13"/>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（2）此报价为供应商针对本项目报出的唯一的首次报价，包含其它一切所要涉及到的费用，有选择的报价将被拒绝。</w:t>
      </w:r>
    </w:p>
    <w:p>
      <w:pPr>
        <w:pStyle w:val="13"/>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（3）</w:t>
      </w:r>
      <w:r>
        <w:rPr>
          <w:rFonts w:hint="eastAsia" w:cs="宋体"/>
          <w:b w:val="0"/>
          <w:color w:val="000000" w:themeColor="text1"/>
          <w:kern w:val="0"/>
          <w:highlight w:val="none"/>
          <w:lang w:val="zh-CN"/>
          <w14:textFill>
            <w14:solidFill>
              <w14:schemeClr w14:val="tx1"/>
            </w14:solidFill>
          </w14:textFill>
        </w:rPr>
        <w:t>报价包括</w:t>
      </w:r>
      <w:r>
        <w:rPr>
          <w:rFonts w:hint="eastAsia" w:cs="宋体"/>
          <w:b w:val="0"/>
          <w:color w:val="000000" w:themeColor="text1"/>
          <w:kern w:val="0"/>
          <w:highlight w:val="none"/>
          <w14:textFill>
            <w14:solidFill>
              <w14:schemeClr w14:val="tx1"/>
            </w14:solidFill>
          </w14:textFill>
        </w:rPr>
        <w:t>相关</w:t>
      </w:r>
      <w:r>
        <w:rPr>
          <w:rFonts w:hint="eastAsia" w:cs="宋体"/>
          <w:b w:val="0"/>
          <w:color w:val="000000" w:themeColor="text1"/>
          <w:kern w:val="0"/>
          <w:highlight w:val="none"/>
          <w:lang w:val="zh-CN"/>
          <w14:textFill>
            <w14:solidFill>
              <w14:schemeClr w14:val="tx1"/>
            </w14:solidFill>
          </w14:textFill>
        </w:rPr>
        <w:t>人工费、材料费、设备使用费、人员来往的交通、通信、食宿、企业管理费、利润、税金、售后服务费、技术服务费、技术培训费、</w:t>
      </w:r>
      <w:r>
        <w:rPr>
          <w:rFonts w:hint="eastAsia" w:cs="宋体"/>
          <w:b w:val="0"/>
          <w:color w:val="000000" w:themeColor="text1"/>
          <w:kern w:val="0"/>
          <w:highlight w:val="none"/>
          <w14:textFill>
            <w14:solidFill>
              <w14:schemeClr w14:val="tx1"/>
            </w14:solidFill>
          </w14:textFill>
        </w:rPr>
        <w:t>招标代理服务费、</w:t>
      </w:r>
      <w:r>
        <w:rPr>
          <w:rFonts w:hint="eastAsia" w:cs="宋体"/>
          <w:b w:val="0"/>
          <w:color w:val="000000" w:themeColor="text1"/>
          <w:kern w:val="0"/>
          <w:highlight w:val="none"/>
          <w:lang w:val="zh-CN"/>
          <w14:textFill>
            <w14:solidFill>
              <w14:schemeClr w14:val="tx1"/>
            </w14:solidFill>
          </w14:textFill>
        </w:rPr>
        <w:t>政策性文件规定及合同包含的所有风险、责任、成果验收以及采购文件约定工作内容所包含的等一切费用。供应商应列入而未列入其中的费用，均视为已包含在内，不得再要求追加任何费用</w:t>
      </w:r>
      <w:r>
        <w:rPr>
          <w:rFonts w:hint="eastAsia" w:cs="宋体"/>
          <w:b w:val="0"/>
          <w:color w:val="000000" w:themeColor="text1"/>
          <w:kern w:val="0"/>
          <w:highlight w:val="none"/>
          <w14:textFill>
            <w14:solidFill>
              <w14:schemeClr w14:val="tx1"/>
            </w14:solidFill>
          </w14:textFill>
        </w:rPr>
        <w:t>。</w:t>
      </w:r>
    </w:p>
    <w:p>
      <w:pPr>
        <w:pStyle w:val="13"/>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（4）政府采购优惠政策相关资料、产品适用政府采购政策情况表（如有）。</w:t>
      </w:r>
    </w:p>
    <w:p>
      <w:pPr>
        <w:pStyle w:val="13"/>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（5）相关报价表需打印或用不退色的墨水填写， 谈判响应报价表不得涂改和增删，如有错漏必须修改，修改处须由同一签署人签字或盖章。由于字迹模糊或表达不清引起的后果由供应商负责。</w:t>
      </w:r>
    </w:p>
    <w:p>
      <w:pPr>
        <w:pStyle w:val="13"/>
        <w:spacing w:line="400" w:lineRule="exact"/>
        <w:ind w:left="0" w:leftChars="0" w:firstLine="470"/>
        <w:rPr>
          <w:rFonts w:cs="宋体"/>
          <w:b w:val="0"/>
          <w:color w:val="000000" w:themeColor="text1"/>
          <w:kern w:val="0"/>
          <w:highlight w:val="none"/>
          <w14:textFill>
            <w14:solidFill>
              <w14:schemeClr w14:val="tx1"/>
            </w14:solidFill>
          </w14:textFill>
        </w:rPr>
      </w:pPr>
      <w:r>
        <w:rPr>
          <w:rFonts w:hint="eastAsia" w:cs="宋体"/>
          <w:b w:val="0"/>
          <w:color w:val="000000" w:themeColor="text1"/>
          <w:kern w:val="0"/>
          <w:highlight w:val="none"/>
          <w14:textFill>
            <w14:solidFill>
              <w14:schemeClr w14:val="tx1"/>
            </w14:solidFill>
          </w14:textFill>
        </w:rPr>
        <w:t>报价有关表格应按谈判采购文件中相关附表格式填写。</w:t>
      </w:r>
    </w:p>
    <w:p>
      <w:pPr>
        <w:pStyle w:val="5"/>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（二）谈判响应文件的制作、封装及递交要求</w:t>
      </w:r>
    </w:p>
    <w:p>
      <w:pPr>
        <w:autoSpaceDE w:val="0"/>
        <w:autoSpaceDN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kern w:val="0"/>
          <w:sz w:val="24"/>
          <w:highlight w:val="none"/>
          <w14:textFill>
            <w14:solidFill>
              <w14:schemeClr w14:val="tx1"/>
            </w14:solidFill>
          </w14:textFill>
        </w:rPr>
        <w:t>谈判响应</w:t>
      </w:r>
      <w:r>
        <w:rPr>
          <w:rFonts w:hint="eastAsia" w:ascii="宋体" w:hAnsi="宋体" w:cs="宋体"/>
          <w:b/>
          <w:bCs/>
          <w:color w:val="000000" w:themeColor="text1"/>
          <w:sz w:val="24"/>
          <w:highlight w:val="none"/>
          <w14:textFill>
            <w14:solidFill>
              <w14:schemeClr w14:val="tx1"/>
            </w14:solidFill>
          </w14:textFill>
        </w:rPr>
        <w:t>文件的制作要求</w:t>
      </w:r>
    </w:p>
    <w:p>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（1）谈判人应按照谈判文件组成内容及项目采购需求制作谈判响应文件，</w:t>
      </w:r>
      <w:r>
        <w:rPr>
          <w:rFonts w:hint="eastAsia" w:ascii="宋体" w:hAnsi="宋体" w:cs="宋体"/>
          <w:color w:val="000000" w:themeColor="text1"/>
          <w:kern w:val="0"/>
          <w:sz w:val="24"/>
          <w:highlight w:val="none"/>
          <w14:textFill>
            <w14:solidFill>
              <w14:schemeClr w14:val="tx1"/>
            </w14:solidFill>
          </w14:textFill>
        </w:rPr>
        <w:t>不按谈判采购文件要求制作谈判响应文件的将视情处理（拒收、扣分等），由此产生的责任由谈判人自行承担。</w:t>
      </w:r>
    </w:p>
    <w:p>
      <w:pPr>
        <w:autoSpaceDE w:val="0"/>
        <w:autoSpaceDN w:val="0"/>
        <w:adjustRightInd w:val="0"/>
        <w:spacing w:line="4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（2）谈判人应对所提供的全部资料的真实性承担法律责任，谈判响应</w:t>
      </w:r>
      <w:r>
        <w:rPr>
          <w:rFonts w:hint="eastAsia" w:ascii="宋体" w:hAnsi="宋体" w:cs="宋体"/>
          <w:color w:val="000000" w:themeColor="text1"/>
          <w:kern w:val="0"/>
          <w:sz w:val="24"/>
          <w:highlight w:val="none"/>
          <w:lang w:val="zh-CN"/>
          <w14:textFill>
            <w14:solidFill>
              <w14:schemeClr w14:val="tx1"/>
            </w14:solidFill>
          </w14:textFill>
        </w:rPr>
        <w:t>文件内容中有要求盖章或签字的地方必须加盖谈判人的公章以及法定代表人或全权代表的盖章或签字。</w:t>
      </w:r>
    </w:p>
    <w:p>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）谈判响应</w:t>
      </w:r>
      <w:r>
        <w:rPr>
          <w:rFonts w:hint="eastAsia" w:ascii="宋体" w:hAnsi="宋体" w:cs="宋体"/>
          <w:color w:val="000000" w:themeColor="text1"/>
          <w:sz w:val="24"/>
          <w:highlight w:val="none"/>
          <w14:textFill>
            <w14:solidFill>
              <w14:schemeClr w14:val="tx1"/>
            </w14:solidFill>
          </w14:textFill>
        </w:rPr>
        <w:t>文件以及谈判供应商与采购组织机构就有关谈判响应事宜的所有来往函电，均应以中文汉语书写。除签字、盖章、专用名称等特殊情形外，以中文汉语以外的文字表述的谈判响应文件视同未提供。</w:t>
      </w:r>
    </w:p>
    <w:p>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（4）谈判计量单位，谈判文件已有明确规定的，使用谈判文件规定的计量单位；谈判文件没有规定的，应采用中华人民共和国法定计量单位（货币单位：人民币元）。</w:t>
      </w:r>
    </w:p>
    <w:p>
      <w:pPr>
        <w:autoSpaceDE w:val="0"/>
        <w:autoSpaceDN w:val="0"/>
        <w:adjustRightIn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（5）若供应商不按谈判文件的要求提供资格审查材料，其风险由供应商自行承担。</w:t>
      </w:r>
    </w:p>
    <w:p>
      <w:pPr>
        <w:autoSpaceDE w:val="0"/>
        <w:autoSpaceDN w:val="0"/>
        <w:adjustRightIn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与本次谈判无关的内容请不要制作在内，确保谈判文件有针对性、简洁明了。</w:t>
      </w:r>
    </w:p>
    <w:p>
      <w:pPr>
        <w:autoSpaceDE w:val="0"/>
        <w:autoSpaceDN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2、谈判响应文件的</w:t>
      </w:r>
      <w:r>
        <w:rPr>
          <w:rFonts w:hint="eastAsia" w:ascii="宋体" w:hAnsi="宋体" w:cs="宋体"/>
          <w:b/>
          <w:color w:val="000000" w:themeColor="text1"/>
          <w:sz w:val="24"/>
          <w:highlight w:val="none"/>
          <w14:textFill>
            <w14:solidFill>
              <w14:schemeClr w14:val="tx1"/>
            </w14:solidFill>
          </w14:textFill>
        </w:rPr>
        <w:t>签署及规定</w:t>
      </w:r>
    </w:p>
    <w:p>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（1）供应商应按本须知的相关要求准备谈判响应文件，注明 “项目编号”、“项目名称”、“资格文件”或“商务技术文件”或“报价文件”、 “谈判供应商”、“时间”等字样。</w:t>
      </w:r>
    </w:p>
    <w:p>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（2）谈判响应文件封面和内部有要求盖章或签字的地方必须加盖谈判供应商的单位公章（或CA电子公章）以及法定代表人或全权代表（CA电子签章或签字）。</w:t>
      </w:r>
    </w:p>
    <w:p>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（3）电子谈判响应文件：按政采云平台供应商项目采购-电子招投标操作指南https://help.zcygov.cn/web/site_2/2018/12-28/2573.html及本谈判文件要求提交。</w:t>
      </w:r>
    </w:p>
    <w:p>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（4）介质存储的数据电文形式的备份电子谈判响应文件：U盘1份，独立密封封装。</w:t>
      </w:r>
    </w:p>
    <w:p>
      <w:pPr>
        <w:autoSpaceDE w:val="0"/>
        <w:autoSpaceDN w:val="0"/>
        <w:adjustRightInd w:val="0"/>
        <w:spacing w:line="400" w:lineRule="exact"/>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（5）谈判响应文件不得涂改，若有修改错漏处，须加盖单位公章（或CA电子公章）或者法定代表人或授权委托人签字（或CA电子签章）。谈判响应文件因字迹潦草或表达不清所引起的后果由谈判供应商负责。</w:t>
      </w:r>
    </w:p>
    <w:p>
      <w:pPr>
        <w:autoSpaceDE w:val="0"/>
        <w:autoSpaceDN w:val="0"/>
        <w:adjustRightInd w:val="0"/>
        <w:spacing w:line="400" w:lineRule="exact"/>
        <w:ind w:firstLine="48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谈判响应文件的递交要求</w:t>
      </w:r>
    </w:p>
    <w:p>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（1）▲在投标截止时间前，谈判供应商应按谈判文件规定的时间、形式上传电子谈判响应文件至政采云平台采购项目中。在投标截止时间后上传提交谈判响应文件的，将被政采云平台拒绝。</w:t>
      </w:r>
    </w:p>
    <w:p>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（2）采购代理机构工作人员将做好介质存储的数据电文形式备份电子谈判响应文件签收手续，明确电子谈判响应文件的提交时间、谈判响应文件的份数、提交人等信息。</w:t>
      </w:r>
    </w:p>
    <w:p>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（3）因密封不严、标记不明而造成过早启封、失密等情况，采购代理机构概不负责。</w:t>
      </w:r>
    </w:p>
    <w:p>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（4）如因故推迟谈判响应文件提交截止时间的，招标采购单位和谈判供应商的权利和义务将受到新的截止时间约束。</w:t>
      </w:r>
    </w:p>
    <w:p>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（5）已提交谈判响应文件的供应商，在提交最后报价之前，可以根据谈判情况退出谈判。</w:t>
      </w:r>
    </w:p>
    <w:p>
      <w:pPr>
        <w:pStyle w:val="5"/>
        <w:spacing w:before="0" w:after="0" w:line="40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（三）谈判响应文件的有效期</w:t>
      </w:r>
    </w:p>
    <w:p>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lang w:val="en-GB"/>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GB"/>
          <w14:textFill>
            <w14:solidFill>
              <w14:schemeClr w14:val="tx1"/>
            </w14:solidFill>
          </w14:textFill>
        </w:rPr>
        <w:t>自谈判响应截止日起90天谈判响应文件应保持有效。有效期不足的谈判响应文件将被拒绝。</w:t>
      </w:r>
    </w:p>
    <w:p>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2、在特殊情况下，采购人可与谈判供应商协商延长谈判响应文件的有效期，这种要求和答复均以书面形式进行。</w:t>
      </w:r>
    </w:p>
    <w:p>
      <w:pPr>
        <w:tabs>
          <w:tab w:val="left" w:pos="1898"/>
        </w:tabs>
        <w:autoSpaceDE w:val="0"/>
        <w:autoSpaceDN w:val="0"/>
        <w:adjustRightIn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3.成交供应商的谈判响应文件自谈判之日起至合同履行完毕均应保持有效。</w:t>
      </w:r>
    </w:p>
    <w:p>
      <w:pPr>
        <w:pStyle w:val="4"/>
        <w:spacing w:before="0" w:after="0" w:line="38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三、谈判</w:t>
      </w:r>
    </w:p>
    <w:p>
      <w:pPr>
        <w:pStyle w:val="5"/>
        <w:spacing w:before="0" w:after="0" w:line="38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（一）谈判程序</w:t>
      </w:r>
    </w:p>
    <w:p>
      <w:pPr>
        <w:spacing w:line="38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开标程序</w:t>
      </w:r>
    </w:p>
    <w:p>
      <w:pPr>
        <w:numPr>
          <w:ilvl w:val="0"/>
          <w:numId w:val="3"/>
        </w:numPr>
        <w:spacing w:line="38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到开标时间后，供应商登录政采云平台，用“项目采购-开标评标”功能对电子谈判响应文件进行在线解密。在线解密电子谈判文件时间为开标时间起半个小时内；</w:t>
      </w:r>
    </w:p>
    <w:p>
      <w:pPr>
        <w:numPr>
          <w:ilvl w:val="0"/>
          <w:numId w:val="3"/>
        </w:numPr>
        <w:spacing w:line="38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开标结束后，采购人或采购代理机构依法对供应商的资格进行审查。</w:t>
      </w:r>
      <w:r>
        <w:rPr>
          <w:rFonts w:hint="eastAsia" w:ascii="宋体" w:hAnsi="宋体" w:cs="宋体"/>
          <w:color w:val="000000" w:themeColor="text1"/>
          <w:kern w:val="0"/>
          <w:sz w:val="24"/>
          <w:highlight w:val="none"/>
          <w14:textFill>
            <w14:solidFill>
              <w14:schemeClr w14:val="tx1"/>
            </w14:solidFill>
          </w14:textFill>
        </w:rPr>
        <w:t>审查内容见。</w:t>
      </w:r>
    </w:p>
    <w:p>
      <w:pPr>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2、通过资格审查视作具备谈判资格，审查不合格的谈判响应文件将不进入后续详细评审。</w:t>
      </w:r>
    </w:p>
    <w:p>
      <w:pPr>
        <w:spacing w:line="380" w:lineRule="exact"/>
        <w:ind w:firstLine="456" w:firstLineChars="19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谈判小组根据谈判文件的规定，对谈判响应文件的有效性、完整性和对谈判文件的响应程度进行审查，以确定其是否对谈判文件作出了实质性响应。实质上没有响应谈判文件要求的谈判响应文件将被否决。</w:t>
      </w:r>
    </w:p>
    <w:p>
      <w:pPr>
        <w:spacing w:line="38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评审过程中谈判供应商有义务对谈判小组提出就谈判响应文件中含义不明确、同类问题表述不</w:t>
      </w:r>
      <w:r>
        <w:rPr>
          <w:rFonts w:hint="eastAsia" w:ascii="宋体" w:hAnsi="宋体" w:cs="宋体"/>
          <w:color w:val="000000" w:themeColor="text1"/>
          <w:sz w:val="24"/>
          <w:highlight w:val="none"/>
          <w14:textFill>
            <w14:solidFill>
              <w14:schemeClr w14:val="tx1"/>
            </w14:solidFill>
          </w14:textFill>
        </w:rPr>
        <w:t>一致或者有明显的文字和计算错误的内容进行澄清、说明、或者纠正。并在谈判结束前，对澄清、说明或者纠正的相关内容在政采云平台以书面形式进行最终确认承诺，并由谈判供应商代表签字（签章），但不得改变谈判响应文件的实质性内容。供应商的澄清、说明或者更正应当由法定代表人或其授权代表签字或者加盖公章（CA电子公章）。</w:t>
      </w:r>
    </w:p>
    <w:p>
      <w:pPr>
        <w:spacing w:line="38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b/>
          <w:bCs/>
          <w:color w:val="000000" w:themeColor="text1"/>
          <w:sz w:val="24"/>
          <w:highlight w:val="none"/>
          <w:u w:val="single"/>
          <w14:textFill>
            <w14:solidFill>
              <w14:schemeClr w14:val="tx1"/>
            </w14:solidFill>
          </w14:textFill>
        </w:rPr>
        <w:t>经澄清后，若偏差仍存在，且不可接受，谈判供应商则被认为是“没有实质性响应竞争性谈判文件要求”，其谈判不进入下一步评审</w:t>
      </w:r>
      <w:r>
        <w:rPr>
          <w:rFonts w:hint="eastAsia" w:ascii="宋体" w:hAnsi="宋体" w:cs="宋体"/>
          <w:color w:val="000000" w:themeColor="text1"/>
          <w:sz w:val="24"/>
          <w:highlight w:val="none"/>
          <w14:textFill>
            <w14:solidFill>
              <w14:schemeClr w14:val="tx1"/>
            </w14:solidFill>
          </w14:textFill>
        </w:rPr>
        <w:t>。</w:t>
      </w:r>
    </w:p>
    <w:p>
      <w:pPr>
        <w:spacing w:line="38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谈判小组所有成员将遵循“公开、公平、公正”的原则，采用相同的程序和标准。如有必要，所有成员按顺序与单一供应商分别进行单独封闭式谈判。谈判内容包括服务价格、服务质量水平和保障措施、服务期限、服务方案、履约能力、培训计划、付款方式等方面进行谈判和综合分析考评，以确定是否满足采购要求。在谈判过程中，谈判的任何一方都不得透露与谈判有关的其他供应商的技术资料、价格和其他信息。谈判供应商在谈判过程中所作出的各种承诺都必须用书面形式（或经电子签章的政采云平台上传文件，下同），并由谈判供应商代表签字。谈判轮次最多不超过3轮。</w:t>
      </w:r>
    </w:p>
    <w:p>
      <w:pPr>
        <w:spacing w:line="38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供应商代表签字或者加盖公章。由授权代表签字的，应当附法定代表人授权书。供应商为自然人的，应当由本人签字并附身份证明。</w:t>
      </w:r>
    </w:p>
    <w:p>
      <w:pPr>
        <w:spacing w:line="38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8、在谈判过程中，谈判供应商不得向谈判小组成员询问谈判情况，不得进行旨在影响谈判结果的活动，否则将取消其谈判资格。</w:t>
      </w:r>
    </w:p>
    <w:p>
      <w:pPr>
        <w:spacing w:line="38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9、在谈判过程中，谈判小组成员不得与谈判供应商私下交换意见，在竞争性谈判结束后，凡与谈判情况有接触的人不得将谈判情况扩散出谈判小组成员外。</w:t>
      </w:r>
    </w:p>
    <w:p>
      <w:pPr>
        <w:spacing w:line="380" w:lineRule="exact"/>
        <w:ind w:firstLine="458"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10、谈判结束后，谈判小组将要求谈判供应商在规定的时间内，统一进行最后报价，最后报价不得高于首次报价（谈判小组另有决议的除外）。</w:t>
      </w:r>
    </w:p>
    <w:p>
      <w:pPr>
        <w:spacing w:line="38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11、宣布评分结果以及最终报价</w:t>
      </w:r>
    </w:p>
    <w:p>
      <w:pPr>
        <w:spacing w:line="380" w:lineRule="exact"/>
        <w:ind w:firstLine="456" w:firstLineChars="1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宣布评分结果以及最终报价在政采云电子招投标开标及评审程序中进行。</w:t>
      </w:r>
    </w:p>
    <w:p>
      <w:pPr>
        <w:pStyle w:val="5"/>
        <w:spacing w:before="0" w:after="0" w:line="38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（二）澄清问题的形式</w:t>
      </w:r>
    </w:p>
    <w:p>
      <w:pPr>
        <w:snapToGrid w:val="0"/>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谈判供应商的澄清、说明或者补正应当采用书面形式，并加盖公章，或者由法定代理人或其授权的代表签字，并不得超出谈判响应文件的范围或者改变谈判响应文件的实质性内容。</w:t>
      </w:r>
    </w:p>
    <w:p>
      <w:pPr>
        <w:pStyle w:val="5"/>
        <w:spacing w:before="0" w:after="0" w:line="38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（三）错误修正</w:t>
      </w:r>
    </w:p>
    <w:p>
      <w:pPr>
        <w:pStyle w:val="20"/>
        <w:spacing w:before="0" w:beforeAutospacing="0" w:after="0" w:afterAutospacing="0" w:line="380" w:lineRule="exact"/>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谈判响应文件报价出现前后不一致的，除</w:t>
      </w:r>
      <w:r>
        <w:rPr>
          <w:rFonts w:cs="宋体"/>
          <w:bCs/>
          <w:color w:val="000000" w:themeColor="text1"/>
          <w:highlight w:val="none"/>
          <w14:textFill>
            <w14:solidFill>
              <w14:schemeClr w14:val="tx1"/>
            </w14:solidFill>
          </w14:textFill>
        </w:rPr>
        <w:t>谈判采购文件</w:t>
      </w:r>
      <w:r>
        <w:rPr>
          <w:rFonts w:cs="宋体"/>
          <w:color w:val="000000" w:themeColor="text1"/>
          <w:highlight w:val="none"/>
          <w14:textFill>
            <w14:solidFill>
              <w14:schemeClr w14:val="tx1"/>
            </w14:solidFill>
          </w14:textFill>
        </w:rPr>
        <w:t>另有规定外，按照下列规定修正：</w:t>
      </w:r>
    </w:p>
    <w:p>
      <w:pPr>
        <w:pStyle w:val="20"/>
        <w:spacing w:before="0" w:beforeAutospacing="0" w:after="0" w:afterAutospacing="0" w:line="38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1、谈判响应文件中首次报价一览表内容与谈判响应文件中相应内容不一致的，以首次报价一览表为准；</w:t>
      </w:r>
    </w:p>
    <w:p>
      <w:pPr>
        <w:pStyle w:val="20"/>
        <w:spacing w:before="0" w:beforeAutospacing="0" w:after="0" w:afterAutospacing="0" w:line="38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2、大写金额和小写金额不一致的，以大写金额为准；</w:t>
      </w:r>
    </w:p>
    <w:p>
      <w:pPr>
        <w:pStyle w:val="20"/>
        <w:spacing w:before="0" w:beforeAutospacing="0" w:after="0" w:afterAutospacing="0" w:line="38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3、单价金额小数点或者百分比有明显错位的，以首次报价一览表的总价为准，并修改单价；</w:t>
      </w:r>
    </w:p>
    <w:p>
      <w:pPr>
        <w:pStyle w:val="20"/>
        <w:spacing w:before="0" w:beforeAutospacing="0" w:after="0" w:afterAutospacing="0" w:line="380" w:lineRule="exact"/>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4、总价金额与按单价汇总金额不一致的，以单价金额计算结果为准。</w:t>
      </w:r>
    </w:p>
    <w:p>
      <w:pPr>
        <w:pStyle w:val="20"/>
        <w:spacing w:before="0" w:beforeAutospacing="0" w:after="0" w:afterAutospacing="0" w:line="380" w:lineRule="exact"/>
        <w:ind w:firstLine="48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谈判供应商确认后产生约束力，谈判供应商不确认的，将终止谈判。</w:t>
      </w:r>
    </w:p>
    <w:p>
      <w:pPr>
        <w:pStyle w:val="5"/>
        <w:spacing w:before="0" w:after="0" w:line="38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（四）谈判供应商存在下列情况之一的，响应无效，终止谈判</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1、实质上没有响应谈判文件要求的谈判响应文件将被视为无效谈判。供应商不得通过修正或撤消不合要求的偏离或保留从而使其谈判成为实质上响应的谈判。如发生下列情况之一的，其谈判响应文件视为无效：</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2、未提交电子谈判响应文件的；</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3、供应商仅提交备份电子谈判响应文件的；</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4、采用电子投标的，电子谈判响应文件未在规定时间内解密的（出现特殊情况，采用介质存储的数据电文形式的备份响应文件开标、评标的情形除外）；</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5、谈判响应文件未有效授权的；</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6、供应商未按谈判文件规定参加谈判的；</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7、未按规定要求盖章和签字（包括CA签章）的；</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8、谈判小组认为供应商的报价明显低于其他通过符合性审查供应商的报价，有可能影响产品质量或者不能诚信履约的，应当要求其在谈判合理的时间内提供书面说明，必要时提交相关证明材料；关于不能证明其报价合理性的，谈判小组应当将其作为无效投标处理；</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9、未按规定要求递交资格文件、商务技术文件、报价文件的谈判响应文件的；</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10、同一供应商最终报价具有选择性（即出现二个及以上投标总报价的）；</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11、符合竞争性谈判文件中明确作无效标处理或被拒绝的条款；</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12、报价超出谈判文件中规定的预算金额或者最高限价的；</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13、提供虚假材料谋取成交的；</w:t>
      </w:r>
    </w:p>
    <w:p>
      <w:pPr>
        <w:autoSpaceDE w:val="0"/>
        <w:autoSpaceDN w:val="0"/>
        <w:adjustRightInd w:val="0"/>
        <w:spacing w:line="38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14、不符合法律、法规和谈判文件规定的其他实质性要求的。</w:t>
      </w:r>
    </w:p>
    <w:p>
      <w:pPr>
        <w:pStyle w:val="5"/>
        <w:spacing w:before="0" w:after="0" w:line="38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（五）有下列情况之一的，本次谈判终止。</w:t>
      </w:r>
    </w:p>
    <w:p>
      <w:pPr>
        <w:pStyle w:val="2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1、出现影响采购公正的违法、违规行为的；</w:t>
      </w:r>
    </w:p>
    <w:p>
      <w:pPr>
        <w:pStyle w:val="2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2、谈判小组发现谈判文件存在歧义、重大缺陷导致评审工作无法进行，或者谈判文件内容违反国家有关强制性规定的； </w:t>
      </w:r>
    </w:p>
    <w:p>
      <w:pPr>
        <w:pStyle w:val="2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3、因重大变故，采购任务取消的；</w:t>
      </w:r>
    </w:p>
    <w:p>
      <w:pPr>
        <w:pStyle w:val="2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4、法律、法规和谈判文件规定的其他导致评审结果无效的。</w:t>
      </w:r>
    </w:p>
    <w:p>
      <w:pPr>
        <w:pStyle w:val="5"/>
        <w:spacing w:before="0" w:after="0" w:line="38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（六）谈判原则和方法</w:t>
      </w:r>
    </w:p>
    <w:p>
      <w:pPr>
        <w:pStyle w:val="5"/>
        <w:spacing w:before="0" w:after="0" w:line="380" w:lineRule="exact"/>
        <w:ind w:firstLine="482"/>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1、谈判原则。谈判小组必须公平、公正、客观，不带任何倾向性和启发性；不得向外界透露任何与评审有关的内容；任何单位和个人不得干扰、影响评审的正常进行；评审委员会及有关工作人员不得私下与供应商接触。</w:t>
      </w:r>
    </w:p>
    <w:p>
      <w:pPr>
        <w:pStyle w:val="5"/>
        <w:spacing w:before="0" w:after="0" w:line="380" w:lineRule="exact"/>
        <w:ind w:firstLine="482"/>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2、谈判办法：（1）谈判小组应当从质量和服务均能满足谈判文件实质性响应要求的供应商中，按照报价由低到高的顺序确定成交候选人。</w:t>
      </w:r>
    </w:p>
    <w:p>
      <w:pPr>
        <w:pStyle w:val="5"/>
        <w:spacing w:before="0" w:after="0" w:line="380" w:lineRule="exact"/>
        <w:ind w:firstLine="482"/>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（2）如遇相同最低报价，取交货期短者为成交单位；如两者均相同，则在相同最低报价中重新报价，直至产生最低报价者为成交单位。</w:t>
      </w:r>
    </w:p>
    <w:p>
      <w:pPr>
        <w:pStyle w:val="5"/>
        <w:spacing w:before="0" w:after="0" w:line="38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（七）评审过程的监控</w:t>
      </w:r>
    </w:p>
    <w:p>
      <w:pPr>
        <w:pStyle w:val="20"/>
        <w:spacing w:before="0" w:beforeAutospacing="0" w:after="0" w:afterAutospacing="0" w:line="380" w:lineRule="exact"/>
        <w:ind w:firstLine="480" w:firstLineChars="20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本项目评审过程实行全程录音、录像监控，政府采购监管部门视情进行现场监督，供应商在评审过程中所进行的试图影响评审结果的不公正活动，可能导致其被拒绝谈判。</w:t>
      </w:r>
    </w:p>
    <w:p>
      <w:pPr>
        <w:pStyle w:val="4"/>
        <w:spacing w:before="0" w:after="0" w:line="38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四、谈判结果确定</w:t>
      </w:r>
    </w:p>
    <w:p>
      <w:pPr>
        <w:pStyle w:val="2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确定成交供应商。谈判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2、发布成交结果公告。采购组织机构应当在成交供应商确定后2个工作日内，在省级以上财政部门指定的政府采购信息发布媒体及相关网站上公告成交结果，并将谈判文件随同公告。</w:t>
      </w:r>
    </w:p>
    <w:p>
      <w:pPr>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pPr>
        <w:pStyle w:val="4"/>
        <w:spacing w:before="0" w:after="0" w:line="38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五、合同签订及公告</w:t>
      </w:r>
    </w:p>
    <w:p>
      <w:pPr>
        <w:pStyle w:val="5"/>
        <w:spacing w:before="0" w:after="0" w:line="38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（一）签订合同</w:t>
      </w:r>
    </w:p>
    <w:p>
      <w:pPr>
        <w:pStyle w:val="10"/>
        <w:spacing w:line="38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1．采购人应当自成交通知书发出之日起30日内，按照谈判采购文件确定的合同文本以及采购标的、规格型号、采购金额、采购数量和服务要求等事项签订政府采购合同。</w:t>
      </w:r>
    </w:p>
    <w:p>
      <w:pPr>
        <w:pStyle w:val="2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3．成交供应商无故拖延、拒签合同的,取消成交资格。</w:t>
      </w:r>
    </w:p>
    <w:p>
      <w:pPr>
        <w:pStyle w:val="20"/>
        <w:spacing w:before="0" w:beforeAutospacing="0" w:after="0" w:afterAutospacing="0" w:line="380" w:lineRule="exact"/>
        <w:ind w:firstLine="600" w:firstLineChars="250"/>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0"/>
        <w:spacing w:before="0" w:beforeAutospacing="0" w:after="0" w:afterAutospacing="0" w:line="380" w:lineRule="exact"/>
        <w:ind w:firstLine="600" w:firstLineChars="250"/>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5"/>
        <w:spacing w:before="0" w:after="0" w:line="380" w:lineRule="exac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（二）合同公告及备案</w:t>
      </w:r>
    </w:p>
    <w:p>
      <w:pPr>
        <w:pStyle w:val="10"/>
        <w:spacing w:line="38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pPr>
        <w:pStyle w:val="10"/>
        <w:spacing w:line="38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4"/>
        <w:spacing w:before="0" w:after="0" w:line="38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六、采购代理费</w:t>
      </w:r>
    </w:p>
    <w:p>
      <w:pPr>
        <w:autoSpaceDE w:val="0"/>
        <w:autoSpaceDN w:val="0"/>
        <w:adjustRightInd w:val="0"/>
        <w:spacing w:line="38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在领取成交通知书同时向招标代理机构支付招标代理服务费（招标代理服务费收费根据国家计委印发的《采购代理服务收费管理暂行办法》(计价格【2002】1980号文)货物类收费标准），招标代理服务费包含在投标总价中。招标代理服务费汇入以下帐号：</w:t>
      </w:r>
    </w:p>
    <w:p>
      <w:pPr>
        <w:adjustRightInd w:val="0"/>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开户银行：浙江玉环农村商业银行股份有限公司珠港支行</w:t>
      </w:r>
    </w:p>
    <w:p>
      <w:pPr>
        <w:adjustRightInd w:val="0"/>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开户名称：玉环华旗招标代理有限公司</w:t>
      </w:r>
    </w:p>
    <w:p>
      <w:pPr>
        <w:adjustRightInd w:val="0"/>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开户帐号：201000242892573</w:t>
      </w:r>
    </w:p>
    <w:p>
      <w:pPr>
        <w:snapToGrid w:val="0"/>
        <w:spacing w:before="156" w:beforeLines="50" w:after="156" w:afterLines="50" w:line="360" w:lineRule="auto"/>
        <w:jc w:val="center"/>
        <w:rPr>
          <w:rFonts w:asciiTheme="majorEastAsia" w:hAnsiTheme="majorEastAsia" w:eastAsiaTheme="majorEastAsia"/>
          <w:b/>
          <w:bCs/>
          <w:color w:val="000000" w:themeColor="text1"/>
          <w:sz w:val="24"/>
          <w:highlight w:val="none"/>
          <w14:textFill>
            <w14:solidFill>
              <w14:schemeClr w14:val="tx1"/>
            </w14:solidFill>
          </w14:textFill>
        </w:rPr>
      </w:pPr>
      <w:r>
        <w:rPr>
          <w:rFonts w:hint="eastAsia" w:asciiTheme="majorEastAsia" w:hAnsiTheme="majorEastAsia" w:eastAsiaTheme="majorEastAsia"/>
          <w:b/>
          <w:bCs/>
          <w:color w:val="000000" w:themeColor="text1"/>
          <w:sz w:val="24"/>
          <w:highlight w:val="none"/>
          <w14:textFill>
            <w14:solidFill>
              <w14:schemeClr w14:val="tx1"/>
            </w14:solidFill>
          </w14:textFill>
        </w:rPr>
        <w:br w:type="page"/>
      </w:r>
    </w:p>
    <w:p>
      <w:pPr>
        <w:spacing w:line="360" w:lineRule="auto"/>
        <w:jc w:val="center"/>
        <w:rPr>
          <w:rFonts w:ascii="宋体" w:hAnsi="宋体" w:cs="宋体"/>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第三章　评审办法及评审标准</w:t>
      </w:r>
    </w:p>
    <w:p>
      <w:pPr>
        <w:snapToGrid w:val="0"/>
        <w:spacing w:line="380" w:lineRule="exact"/>
        <w:ind w:left="-420" w:leftChars="-200" w:right="-313" w:rightChars="-149" w:firstLine="900" w:firstLineChars="3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根据《中华人民共和国政府采购法》等有关政府采购法规，结合本次所要采购货物的实际，按照公平、公正、科学、择优的原则选择成交单位，特制定本评审办法。</w:t>
      </w:r>
    </w:p>
    <w:p>
      <w:pPr>
        <w:adjustRightInd w:val="0"/>
        <w:snapToGrid w:val="0"/>
        <w:spacing w:before="100" w:after="50" w:line="380" w:lineRule="exact"/>
        <w:ind w:left="-420" w:leftChars="-200" w:right="-313" w:rightChars="-149" w:firstLine="900" w:firstLineChars="375"/>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一、总则</w:t>
      </w:r>
    </w:p>
    <w:p>
      <w:pPr>
        <w:snapToGrid w:val="0"/>
        <w:spacing w:line="380" w:lineRule="exact"/>
        <w:ind w:left="-420" w:leftChars="-200" w:right="-313" w:rightChars="-149" w:firstLine="900" w:firstLineChars="3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评审工作遵循公平、公正、民主、科学的原则和诚实、信誉、效率的服务原则。本着科学、严谨的态度，认真进行评审。择优选定设备的供货单位，确保设备质量、交货期，节约投资，最大限度的保护当事人权益，严格按照采购文件的商务、技术要求，对报价文件进行综合评定，提出优选方案，编写成交报告。谈判小组必须严格遵守保密规定，不得泄漏评审的有关情况，不得索贿受贿，不得接受吃请和礼品，不得参加影响公正评审的有关活动。对落标单位，谈判小组不作任何落标解释。供应商不得以任何方式干扰报价工作的进行，一经发现其报价文件将被拒绝。</w:t>
      </w:r>
    </w:p>
    <w:p>
      <w:pPr>
        <w:adjustRightInd w:val="0"/>
        <w:snapToGrid w:val="0"/>
        <w:spacing w:before="100" w:after="50" w:line="380" w:lineRule="exact"/>
        <w:ind w:left="-420" w:leftChars="-200" w:right="-313" w:rightChars="-149" w:firstLine="900" w:firstLineChars="375"/>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二．评审组织</w:t>
      </w:r>
    </w:p>
    <w:p>
      <w:pPr>
        <w:snapToGrid w:val="0"/>
        <w:spacing w:line="380" w:lineRule="exact"/>
        <w:ind w:left="-420" w:leftChars="-200" w:right="-313" w:rightChars="-149" w:firstLine="900" w:firstLineChars="3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评审工作由采购人依法组建的谈判小组负责，谈判小组由采购人代表以及评审专家库中随机抽取的有关技术、经济专家共同组成。评审全过程由采购管理部门监督整个报价、评审和成交过程。</w:t>
      </w:r>
    </w:p>
    <w:p>
      <w:pPr>
        <w:pStyle w:val="44"/>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ind w:left="-420" w:leftChars="-200" w:right="-313" w:rightChars="-149" w:firstLine="900" w:firstLineChars="375"/>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三、评审程序</w:t>
      </w:r>
    </w:p>
    <w:p>
      <w:pPr>
        <w:snapToGrid w:val="0"/>
        <w:spacing w:line="380" w:lineRule="exact"/>
        <w:ind w:left="-420" w:leftChars="-200" w:right="-313" w:rightChars="-149" w:firstLine="900" w:firstLineChars="375"/>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本次报价，技术资信标和商务标分别开启，报价程序如下：</w:t>
      </w:r>
    </w:p>
    <w:p>
      <w:pPr>
        <w:snapToGrid w:val="0"/>
        <w:spacing w:line="380" w:lineRule="exact"/>
        <w:ind w:left="-420" w:leftChars="-200" w:right="-313" w:rightChars="-149" w:firstLine="900" w:firstLineChars="375"/>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第一步：首先开启技术资信标，</w:t>
      </w:r>
      <w:r>
        <w:rPr>
          <w:rFonts w:hint="eastAsia" w:ascii="宋体"/>
          <w:color w:val="000000" w:themeColor="text1"/>
          <w:sz w:val="24"/>
          <w:highlight w:val="none"/>
          <w14:textFill>
            <w14:solidFill>
              <w14:schemeClr w14:val="tx1"/>
            </w14:solidFill>
          </w14:textFill>
        </w:rPr>
        <w:t>竞争性谈判采购</w:t>
      </w:r>
      <w:r>
        <w:rPr>
          <w:rFonts w:ascii="宋体"/>
          <w:color w:val="000000" w:themeColor="text1"/>
          <w:sz w:val="24"/>
          <w:highlight w:val="none"/>
          <w14:textFill>
            <w14:solidFill>
              <w14:schemeClr w14:val="tx1"/>
            </w14:solidFill>
          </w14:textFill>
        </w:rPr>
        <w:t>小组根据评审原则和评审办法，对各供应商的资信、技术部分报价进行评审，技术资信标不合格的供应商做无效标处理，不进入商务标评审。</w:t>
      </w:r>
    </w:p>
    <w:p>
      <w:pPr>
        <w:snapToGrid w:val="0"/>
        <w:spacing w:line="380" w:lineRule="exact"/>
        <w:ind w:left="-420" w:leftChars="-200" w:right="-313" w:rightChars="-149" w:firstLine="900" w:firstLineChars="375"/>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第二步：开启技术资信标部分符合采购文件要求的有效供应商的商务报价标。</w:t>
      </w:r>
    </w:p>
    <w:p>
      <w:pPr>
        <w:pStyle w:val="44"/>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ind w:left="-420" w:leftChars="-200" w:right="-313" w:rightChars="-149" w:firstLine="900" w:firstLineChars="375"/>
        <w:jc w:val="both"/>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四、确定供应商办法</w:t>
      </w:r>
    </w:p>
    <w:p>
      <w:pPr>
        <w:adjustRightInd w:val="0"/>
        <w:snapToGrid w:val="0"/>
        <w:spacing w:before="100" w:after="50" w:line="380" w:lineRule="exact"/>
        <w:ind w:left="-420" w:leftChars="-200" w:right="-313" w:rightChars="-149" w:firstLine="900" w:firstLineChars="3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本次评审采用</w:t>
      </w:r>
      <w:r>
        <w:rPr>
          <w:rFonts w:hint="eastAsia" w:ascii="宋体"/>
          <w:color w:val="000000" w:themeColor="text1"/>
          <w:sz w:val="24"/>
          <w:highlight w:val="none"/>
          <w:u w:val="single"/>
          <w14:textFill>
            <w14:solidFill>
              <w14:schemeClr w14:val="tx1"/>
            </w14:solidFill>
          </w14:textFill>
        </w:rPr>
        <w:t>最低价法</w:t>
      </w:r>
      <w:r>
        <w:rPr>
          <w:rFonts w:hint="eastAsia" w:ascii="宋体"/>
          <w:color w:val="000000" w:themeColor="text1"/>
          <w:sz w:val="24"/>
          <w:highlight w:val="none"/>
          <w14:textFill>
            <w14:solidFill>
              <w14:schemeClr w14:val="tx1"/>
            </w14:solidFill>
          </w14:textFill>
        </w:rPr>
        <w:t>。竞争性谈判采购小组根据采购人的授权，按符合采购需求、质量和服务相等且报价最低的原则，确定最低报价的供应商即为成交供应商，并将结果通知所有参加报价的未成交的供应商。(如果供应商最低报价相同，则抽签决定），并编写采购报告。</w:t>
      </w:r>
    </w:p>
    <w:p>
      <w:pPr>
        <w:adjustRightInd w:val="0"/>
        <w:snapToGrid w:val="0"/>
        <w:spacing w:before="100" w:after="50" w:line="380" w:lineRule="exact"/>
        <w:ind w:left="-420" w:leftChars="-200" w:right="-313" w:rightChars="-149" w:firstLine="900" w:firstLineChars="3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五、说明</w:t>
      </w:r>
    </w:p>
    <w:p>
      <w:pPr>
        <w:adjustRightInd w:val="0"/>
        <w:snapToGrid w:val="0"/>
        <w:spacing w:before="100" w:after="50" w:line="380" w:lineRule="exact"/>
        <w:ind w:left="-420" w:leftChars="-200" w:right="-313" w:rightChars="-149" w:firstLine="900" w:firstLineChars="3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1、竞争性谈判采购小组</w:t>
      </w:r>
      <w:r>
        <w:rPr>
          <w:rFonts w:hint="eastAsia" w:ascii="宋体" w:cs="Arial"/>
          <w:color w:val="000000" w:themeColor="text1"/>
          <w:sz w:val="24"/>
          <w:highlight w:val="none"/>
          <w14:textFill>
            <w14:solidFill>
              <w14:schemeClr w14:val="tx1"/>
            </w14:solidFill>
          </w14:textFill>
        </w:rPr>
        <w:t>推荐</w:t>
      </w:r>
      <w:r>
        <w:rPr>
          <w:rFonts w:hint="eastAsia" w:ascii="宋体" w:cs="Arial"/>
          <w:color w:val="000000" w:themeColor="text1"/>
          <w:sz w:val="24"/>
          <w:highlight w:val="none"/>
          <w:u w:val="single"/>
          <w14:textFill>
            <w14:solidFill>
              <w14:schemeClr w14:val="tx1"/>
            </w14:solidFill>
          </w14:textFill>
        </w:rPr>
        <w:t>有效供应商中报价最低的供应商为成交供应商</w:t>
      </w:r>
      <w:r>
        <w:rPr>
          <w:rFonts w:hint="eastAsia" w:ascii="宋体"/>
          <w:color w:val="000000" w:themeColor="text1"/>
          <w:sz w:val="24"/>
          <w:highlight w:val="none"/>
          <w14:textFill>
            <w14:solidFill>
              <w14:schemeClr w14:val="tx1"/>
            </w14:solidFill>
          </w14:textFill>
        </w:rPr>
        <w:t>(如遇相同最低报价，取交货期短者为成交单位；如两者均相同，则在相同最低报价中重新报价，直至产生最低报价者为成交单位。），并编写评审报告。</w:t>
      </w:r>
    </w:p>
    <w:p>
      <w:pPr>
        <w:snapToGrid w:val="0"/>
        <w:spacing w:line="380" w:lineRule="exact"/>
        <w:ind w:left="-420" w:leftChars="-200" w:right="-313" w:rightChars="-149" w:firstLine="900" w:firstLineChars="375"/>
        <w:outlineLvl w:val="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参见本采购文件第三部分：“供应商须知”中的相关内容，未尽事宜按有关法律规定处理。</w:t>
      </w:r>
    </w:p>
    <w:p>
      <w:pPr>
        <w:numPr>
          <w:ilvl w:val="0"/>
          <w:numId w:val="4"/>
        </w:numPr>
        <w:tabs>
          <w:tab w:val="left" w:pos="8280"/>
          <w:tab w:val="clear" w:pos="0"/>
        </w:tabs>
        <w:autoSpaceDE w:val="0"/>
        <w:autoSpaceDN w:val="0"/>
        <w:adjustRightInd w:val="0"/>
        <w:spacing w:line="360" w:lineRule="auto"/>
        <w:ind w:right="25"/>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谈判内容</w:t>
      </w:r>
    </w:p>
    <w:p>
      <w:pPr>
        <w:numPr>
          <w:ilvl w:val="0"/>
          <w:numId w:val="5"/>
        </w:numPr>
        <w:adjustRightInd w:val="0"/>
        <w:snapToGrid w:val="0"/>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采购内容及数量： </w:t>
      </w:r>
    </w:p>
    <w:tbl>
      <w:tblPr>
        <w:tblStyle w:val="23"/>
        <w:tblW w:w="46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4021"/>
        <w:gridCol w:w="1493"/>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3" w:type="pct"/>
            <w:vAlign w:val="center"/>
          </w:tcPr>
          <w:p>
            <w:pPr>
              <w:snapToGrid w:val="0"/>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内容</w:t>
            </w:r>
          </w:p>
        </w:tc>
        <w:tc>
          <w:tcPr>
            <w:tcW w:w="2553" w:type="pct"/>
            <w:vAlign w:val="center"/>
          </w:tcPr>
          <w:p>
            <w:pPr>
              <w:snapToGrid w:val="0"/>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采购内容</w:t>
            </w:r>
          </w:p>
        </w:tc>
        <w:tc>
          <w:tcPr>
            <w:tcW w:w="948" w:type="pct"/>
            <w:vAlign w:val="center"/>
          </w:tcPr>
          <w:p>
            <w:pPr>
              <w:snapToGrid w:val="0"/>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采购数量</w:t>
            </w:r>
          </w:p>
        </w:tc>
        <w:tc>
          <w:tcPr>
            <w:tcW w:w="864" w:type="pct"/>
            <w:vAlign w:val="center"/>
          </w:tcPr>
          <w:p>
            <w:pPr>
              <w:snapToGrid w:val="0"/>
              <w:spacing w:line="400" w:lineRule="exact"/>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3" w:type="pct"/>
            <w:vAlign w:val="center"/>
          </w:tcPr>
          <w:p>
            <w:pPr>
              <w:snapToGrid w:val="0"/>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553" w:type="pct"/>
            <w:vAlign w:val="center"/>
          </w:tcPr>
          <w:p>
            <w:pPr>
              <w:spacing w:line="400" w:lineRule="exact"/>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玉环市纳规及养殖船舶监控系统</w:t>
            </w:r>
          </w:p>
        </w:tc>
        <w:tc>
          <w:tcPr>
            <w:tcW w:w="948" w:type="pct"/>
            <w:vAlign w:val="center"/>
          </w:tcPr>
          <w:p>
            <w:pPr>
              <w:snapToGrid w:val="0"/>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1套</w:t>
            </w:r>
          </w:p>
        </w:tc>
        <w:tc>
          <w:tcPr>
            <w:tcW w:w="864" w:type="pct"/>
            <w:vAlign w:val="center"/>
          </w:tcPr>
          <w:p>
            <w:pPr>
              <w:snapToGrid w:val="0"/>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150</w:t>
            </w:r>
            <w:r>
              <w:rPr>
                <w:rFonts w:hint="eastAsia" w:ascii="宋体" w:hAnsi="宋体" w:cs="宋体"/>
                <w:bCs/>
                <w:color w:val="000000" w:themeColor="text1"/>
                <w:sz w:val="24"/>
                <w:highlight w:val="none"/>
                <w14:textFill>
                  <w14:solidFill>
                    <w14:schemeClr w14:val="tx1"/>
                  </w14:solidFill>
                </w14:textFill>
              </w:rPr>
              <w:t>万元</w:t>
            </w:r>
          </w:p>
        </w:tc>
      </w:tr>
    </w:tbl>
    <w:p>
      <w:pPr>
        <w:spacing w:line="400" w:lineRule="exact"/>
        <w:rPr>
          <w:rFonts w:ascii="宋体" w:hAnsi="宋体" w:cs="宋体"/>
          <w:b/>
          <w:bCs/>
          <w:color w:val="000000" w:themeColor="text1"/>
          <w:sz w:val="24"/>
          <w:highlight w:val="none"/>
          <w14:textFill>
            <w14:solidFill>
              <w14:schemeClr w14:val="tx1"/>
            </w14:solidFill>
          </w14:textFill>
        </w:rPr>
      </w:pPr>
    </w:p>
    <w:p>
      <w:pPr>
        <w:numPr>
          <w:ilvl w:val="0"/>
          <w:numId w:val="5"/>
        </w:numPr>
        <w:adjustRightInd w:val="0"/>
        <w:snapToGrid w:val="0"/>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采购货物一览表及技术要求：</w:t>
      </w:r>
    </w:p>
    <w:tbl>
      <w:tblPr>
        <w:tblStyle w:val="23"/>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5760"/>
        <w:gridCol w:w="720"/>
        <w:gridCol w:w="780"/>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55"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服务内容</w:t>
            </w:r>
          </w:p>
        </w:tc>
        <w:tc>
          <w:tcPr>
            <w:tcW w:w="5760"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技术参数</w:t>
            </w:r>
          </w:p>
        </w:tc>
        <w:tc>
          <w:tcPr>
            <w:tcW w:w="720"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780"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用途功能</w:t>
            </w:r>
          </w:p>
        </w:tc>
        <w:tc>
          <w:tcPr>
            <w:tcW w:w="682"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55"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智能AIS/4G/G</w:t>
            </w:r>
            <w:r>
              <w:rPr>
                <w:rFonts w:hint="eastAsia" w:ascii="宋体" w:hAnsi="宋体" w:eastAsia="宋体" w:cs="宋体"/>
                <w:color w:val="000000" w:themeColor="text1"/>
                <w:sz w:val="24"/>
                <w:szCs w:val="24"/>
                <w:highlight w:val="none"/>
                <w:lang w:val="en-US" w:eastAsia="zh-CN"/>
                <w14:textFill>
                  <w14:solidFill>
                    <w14:schemeClr w14:val="tx1"/>
                  </w14:solidFill>
                </w14:textFill>
              </w:rPr>
              <w:t>PRS船</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载终端设备服务</w:t>
            </w:r>
          </w:p>
        </w:tc>
        <w:tc>
          <w:tcPr>
            <w:tcW w:w="5760" w:type="dxa"/>
            <w:vAlign w:val="center"/>
          </w:tcPr>
          <w:p>
            <w:pPr>
              <w:pStyle w:val="48"/>
              <w:keepNext w:val="0"/>
              <w:keepLines w:val="0"/>
              <w:pageBreakBefore w:val="0"/>
              <w:numPr>
                <w:ilvl w:val="0"/>
                <w:numId w:val="6"/>
              </w:numPr>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智能AIS/4G</w:t>
            </w:r>
            <w:r>
              <w:rPr>
                <w:rFonts w:hint="eastAsia" w:ascii="宋体" w:hAnsi="宋体" w:eastAsia="宋体" w:cs="宋体"/>
                <w:color w:val="000000" w:themeColor="text1"/>
                <w:sz w:val="24"/>
                <w:szCs w:val="24"/>
                <w:highlight w:val="none"/>
                <w:lang w:val="en-US" w:eastAsia="zh-CN"/>
                <w14:textFill>
                  <w14:solidFill>
                    <w14:schemeClr w14:val="tx1"/>
                  </w14:solidFill>
                </w14:textFill>
              </w:rPr>
              <w:t>/GPRS</w:t>
            </w:r>
            <w:r>
              <w:rPr>
                <w:rFonts w:hint="eastAsia" w:ascii="宋体" w:hAnsi="宋体" w:eastAsia="宋体" w:cs="宋体"/>
                <w:color w:val="000000" w:themeColor="text1"/>
                <w:sz w:val="24"/>
                <w:szCs w:val="24"/>
                <w:highlight w:val="none"/>
                <w14:textFill>
                  <w14:solidFill>
                    <w14:schemeClr w14:val="tx1"/>
                  </w14:solidFill>
                </w14:textFill>
              </w:rPr>
              <w:t>船载终端硬件参数：</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严格按照GD22-2015、</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GB/T 35552.1-2017</w:t>
            </w:r>
            <w:r>
              <w:rPr>
                <w:rFonts w:hint="eastAsia" w:ascii="宋体" w:hAnsi="宋体" w:eastAsia="宋体" w:cs="宋体"/>
                <w:color w:val="000000" w:themeColor="text1"/>
                <w:sz w:val="24"/>
                <w:szCs w:val="24"/>
                <w:highlight w:val="none"/>
                <w14:textFill>
                  <w14:solidFill>
                    <w14:schemeClr w14:val="tx1"/>
                  </w14:solidFill>
                </w14:textFill>
              </w:rPr>
              <w:t>、IEC60945、SC/T7002.x等规范标准设计。</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整机参数：</w:t>
            </w:r>
          </w:p>
          <w:p>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400" w:lineRule="exact"/>
              <w:ind w:left="0"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电池容量：59.2Wh；</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2.电池寿命：5年以上；</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3.通讯网络：AIS+LTE-FDD/LTE-TDD</w:t>
            </w:r>
            <w:r>
              <w:rPr>
                <w:rFonts w:hint="eastAsia" w:ascii="宋体" w:hAnsi="宋体" w:eastAsia="宋体" w:cs="宋体"/>
                <w:color w:val="000000" w:themeColor="text1"/>
                <w:sz w:val="24"/>
                <w:szCs w:val="24"/>
                <w:highlight w:val="none"/>
                <w:lang w:val="en-US" w:eastAsia="zh-CN"/>
                <w14:textFill>
                  <w14:solidFill>
                    <w14:schemeClr w14:val="tx1"/>
                  </w14:solidFill>
                </w14:textFill>
              </w:rPr>
              <w:t>+GPRS</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4.通讯频段：</w:t>
            </w:r>
            <w:r>
              <w:rPr>
                <w:rFonts w:hint="eastAsia" w:ascii="宋体" w:hAnsi="宋体" w:eastAsia="宋体" w:cs="宋体"/>
                <w:color w:val="000000" w:themeColor="text1"/>
                <w:sz w:val="24"/>
                <w:szCs w:val="24"/>
                <w:highlight w:val="none"/>
                <w:lang w:bidi="ar"/>
                <w14:textFill>
                  <w14:solidFill>
                    <w14:schemeClr w14:val="tx1"/>
                  </w14:solidFill>
                </w14:textFill>
              </w:rPr>
              <w:t>LTE-FDD:B1,B3,B5,B8;</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1440" w:firstLineChars="600"/>
              <w:jc w:val="left"/>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LTE-TDD：B34,B38,B39,B40,B41；</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 xml:space="preserve">        GPRS：900/1800MHz；</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5.防护等级：IP67；B类AIS收发器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6.频率范围 ：156.025 ~ 162.025MHz；</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7.信道带宽 ：25KHz/50KHz；</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8.调制方式：GMSK/FM；</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9.调制速率：9600bps；</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10.AIS发射信道 ：1个；</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11.AIS接收信道 ：2 个；（A信道频率: CH87B(161.975MHz)，B信道频率: CH88B(162.025MHz)）；</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12.发射功率：2W；</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13.接收灵敏度：&lt;-107dBm@误码率&lt;20%；</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14.工作模式：CSTDMA；</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15.频率误差：±500Hz；</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16.调制限制：≤±5KHz；</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GNSS参数</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17.频率：北斗 B1:1561.098MHz；GPS L1:1575.42MHz；</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18.定位模式：支持北斗和 GPS双模定位；</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定位精度：北斗和GPS双模定位：2.5m(CEP50%,开阔地)，北斗：5m(CEP50%,开阔地)，GPS：5m(CEP50%,开阔地)；</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19.速度精度：≤0.1m/s(50%@10m/s)；</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二、远程配置：可根据监管平台的指令调整</w:t>
            </w:r>
            <w:r>
              <w:rPr>
                <w:rFonts w:hint="eastAsia" w:ascii="宋体" w:hAnsi="宋体" w:eastAsia="宋体" w:cs="宋体"/>
                <w:color w:val="000000" w:themeColor="text1"/>
                <w:sz w:val="24"/>
                <w:szCs w:val="24"/>
                <w:highlight w:val="none"/>
                <w:lang w:val="en-US" w:eastAsia="zh-CN"/>
                <w14:textFill>
                  <w14:solidFill>
                    <w14:schemeClr w14:val="tx1"/>
                  </w14:solidFill>
                </w14:textFill>
              </w:rPr>
              <w:t>AIS和网络发射间隔以及数据上报频率等。</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三、不间断供电连续工作：具备自主供电系统，内置太阳能充电板和磷酸锂电池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充满电</w:t>
            </w:r>
            <w:r>
              <w:rPr>
                <w:rFonts w:hint="eastAsia" w:ascii="宋体" w:hAnsi="宋体" w:eastAsia="宋体" w:cs="宋体"/>
                <w:color w:val="000000" w:themeColor="text1"/>
                <w:sz w:val="24"/>
                <w:szCs w:val="24"/>
                <w:highlight w:val="none"/>
                <w:lang w:val="en-US" w:eastAsia="zh-CN"/>
                <w14:textFill>
                  <w14:solidFill>
                    <w14:schemeClr w14:val="tx1"/>
                  </w14:solidFill>
                </w14:textFill>
              </w:rPr>
              <w:t>在不外接电源且完全无太阳</w:t>
            </w:r>
            <w:r>
              <w:rPr>
                <w:rFonts w:hint="eastAsia" w:ascii="宋体" w:hAnsi="宋体" w:eastAsia="宋体" w:cs="宋体"/>
                <w:color w:val="000000" w:themeColor="text1"/>
                <w:sz w:val="24"/>
                <w:szCs w:val="24"/>
                <w:highlight w:val="none"/>
                <w:lang w:eastAsia="zh-CN"/>
                <w14:textFill>
                  <w14:solidFill>
                    <w14:schemeClr w14:val="tx1"/>
                  </w14:solidFill>
                </w14:textFill>
              </w:rPr>
              <w:t>照射的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情况下可连续工作不少于20天，电池使用寿命不低于5年。</w:t>
            </w:r>
          </w:p>
          <w:p>
            <w:pPr>
              <w:pStyle w:val="48"/>
              <w:keepNext w:val="0"/>
              <w:keepLines w:val="0"/>
              <w:pageBreakBefore w:val="0"/>
              <w:numPr>
                <w:ilvl w:val="0"/>
                <w:numId w:val="0"/>
              </w:numPr>
              <w:suppressLineNumbers w:val="0"/>
              <w:kinsoku/>
              <w:wordWrap/>
              <w:overflowPunct/>
              <w:topLinePunct w:val="0"/>
              <w:autoSpaceDE w:val="0"/>
              <w:autoSpaceDN w:val="0"/>
              <w:bidi w:val="0"/>
              <w:adjustRightInd/>
              <w:spacing w:before="0" w:beforeAutospacing="0" w:after="0" w:afterAutospacing="0" w:line="400" w:lineRule="exact"/>
              <w:ind w:right="0" w:right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终端为一体式结构：方便使用、安装便捷。</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五、报警</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(1)拆卸报警</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终端被违规拆卸时，即触发报警，并自动上报平台。</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（2）倾斜报警</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若设备倾角超过90°即触发报警，并自动上报平台;</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（3）低电量报警</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具备低电报警功能，将自动发送低电量预警信息至手机APP和监管平台，便于渔民和监管部门及时查看设备状态；</w:t>
            </w:r>
          </w:p>
          <w:p>
            <w:pPr>
              <w:pStyle w:val="48"/>
              <w:keepNext w:val="0"/>
              <w:keepLines w:val="0"/>
              <w:pageBreakBefore w:val="0"/>
              <w:numPr>
                <w:ilvl w:val="0"/>
                <w:numId w:val="7"/>
              </w:numPr>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故障报警</w:t>
            </w:r>
          </w:p>
          <w:p>
            <w:pPr>
              <w:pStyle w:val="48"/>
              <w:keepNext w:val="0"/>
              <w:keepLines w:val="0"/>
              <w:pageBreakBefore w:val="0"/>
              <w:numPr>
                <w:ilvl w:val="0"/>
                <w:numId w:val="0"/>
              </w:numPr>
              <w:suppressLineNumbers w:val="0"/>
              <w:kinsoku/>
              <w:wordWrap/>
              <w:overflowPunct/>
              <w:topLinePunct w:val="0"/>
              <w:autoSpaceDE w:val="0"/>
              <w:autoSpaceDN w:val="0"/>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具备故障报警功能。当设备出现故障时，设备上的LED指示灯</w:t>
            </w:r>
            <w:r>
              <w:rPr>
                <w:rFonts w:hint="eastAsia" w:ascii="宋体" w:hAnsi="宋体" w:eastAsia="宋体" w:cs="宋体"/>
                <w:color w:val="000000" w:themeColor="text1"/>
                <w:sz w:val="24"/>
                <w:szCs w:val="24"/>
                <w:highlight w:val="none"/>
                <w:lang w:eastAsia="zh-CN"/>
                <w14:textFill>
                  <w14:solidFill>
                    <w14:schemeClr w14:val="tx1"/>
                  </w14:solidFill>
                </w14:textFill>
              </w:rPr>
              <w:t>将会</w:t>
            </w:r>
            <w:r>
              <w:rPr>
                <w:rFonts w:hint="eastAsia" w:ascii="宋体" w:hAnsi="宋体" w:eastAsia="宋体" w:cs="宋体"/>
                <w:color w:val="000000" w:themeColor="text1"/>
                <w:sz w:val="24"/>
                <w:szCs w:val="24"/>
                <w:highlight w:val="none"/>
                <w:lang w:val="en-US" w:eastAsia="zh-CN"/>
                <w14:textFill>
                  <w14:solidFill>
                    <w14:schemeClr w14:val="tx1"/>
                  </w14:solidFill>
                </w14:textFill>
              </w:rPr>
              <w:t>闪烁</w:t>
            </w:r>
            <w:r>
              <w:rPr>
                <w:rFonts w:hint="eastAsia" w:ascii="宋体" w:hAnsi="宋体" w:eastAsia="宋体" w:cs="宋体"/>
                <w:color w:val="000000" w:themeColor="text1"/>
                <w:sz w:val="24"/>
                <w:szCs w:val="24"/>
                <w:highlight w:val="none"/>
                <w:lang w:eastAsia="zh-CN"/>
                <w14:textFill>
                  <w14:solidFill>
                    <w14:schemeClr w14:val="tx1"/>
                  </w14:solidFill>
                </w14:textFill>
              </w:rPr>
              <w:t>以示提醒</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48"/>
              <w:keepNext w:val="0"/>
              <w:keepLines w:val="0"/>
              <w:pageBreakBefore w:val="0"/>
              <w:numPr>
                <w:ilvl w:val="0"/>
                <w:numId w:val="7"/>
              </w:numPr>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一键报警</w:t>
            </w:r>
          </w:p>
          <w:p>
            <w:pPr>
              <w:pStyle w:val="48"/>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终端具有独立按键，支持一键报警</w:t>
            </w:r>
            <w:r>
              <w:rPr>
                <w:rFonts w:hint="eastAsia" w:ascii="宋体" w:hAnsi="宋体" w:eastAsia="宋体" w:cs="宋体"/>
                <w:color w:val="000000" w:themeColor="text1"/>
                <w:sz w:val="24"/>
                <w:szCs w:val="24"/>
                <w:highlight w:val="none"/>
                <w:lang w:val="en-US" w:eastAsia="zh-CN"/>
                <w14:textFill>
                  <w14:solidFill>
                    <w14:schemeClr w14:val="tx1"/>
                  </w14:solidFill>
                </w14:textFill>
              </w:rPr>
              <w:t>向管理平台发送报警信息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六、电磁兼容要求</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符合GD22-2015的有关规定。</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电磁兼容包括：外壳端口辐射发射、静电放电抗扰度、射频电磁场辐射抗扰度。</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七、环境适应性</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(1)总体要求。符合SC/T7002.1或GD22-2015的有关规定。</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(2)高低温。符合SC/T7002.2和SC/T7002.3或GD22-2015的有关规定。</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(3)振动。符合SC/T7002.8或GD22-2015的有关规定。</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)外壳防护。符合SC/T7002.10或GD22-2015的有关规定。</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)湿热。符合SC/T7002.5或GD22-2015的有关规定。</w:t>
            </w:r>
          </w:p>
        </w:tc>
        <w:tc>
          <w:tcPr>
            <w:tcW w:w="720"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510台</w:t>
            </w:r>
          </w:p>
        </w:tc>
        <w:tc>
          <w:tcPr>
            <w:tcW w:w="780"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AIS避碰</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船位监控</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轨迹回放</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2"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渔船安全生产管理平台系统</w:t>
            </w:r>
          </w:p>
        </w:tc>
        <w:tc>
          <w:tcPr>
            <w:tcW w:w="5760" w:type="dxa"/>
          </w:tcPr>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系统应基于B/S架构设计开发，需兼容主流浏览器。并可提供SaaS可配置化服务，实现个性化需求。</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）平台应具备数据看板功能，在海图上显示所管辖的船舶当前位置，并包含在线船舶数量、报警数量统计、船舶在线率曲线图等；</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）应具备海图、卫星影像图切换显示功能；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）应具备用鼠标滚轮缩放海图功能；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）应支持在海图上进行测距、绘制区域等操作；</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）须可设置海图坐标格式（度分、度分秒），设置后所有的坐标信息将直接转换；</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）应可接收终端设备上报的船舶航行动态、静态参数，在海图上显示船舶位置；</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）应可对船舶进行分组管理，养殖渔船需要关联至对应养殖证，并支持模糊搜索，可根据MMSI、中文船名、英文船名或养殖证号码进行船舶搜索；</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）应支持在海图中选中船舶，可显示当前船舶详细信息，内容包括航行参数、航速、航向、艏向、状态、经纬度、报警状态、静态信息、数据来源、更新时间、船载终端设备信息等；</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支持自定义区查船，框定某区域可获取此区域的所有船舶列表；</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）应可对终端设备与监管平台的连接状态进行监测，终端设备与监管平台断开连接时，可触发失联报警提醒，并进行数据统计和图表显示；</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）应可对船舶设置重点监控。</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（a）应可对某条船舶进行重点监控，设置跟踪持续时长和时间间隔;</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（b）在监控期间，被重点监控的船舶在海图上需醒目显示，能与普通船舶快速区分；</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（c）被重点监控船舶在被监控期间，航行轨迹需在海图上显示并实时更新，详细显示与航行相关的参数信息。</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）监管平台可推送预警短信息至渔民手机，并通知管理端手机APP，以提醒船舶及时回港规避；</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支持潮汐信息查询与显示功能；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）支持台风信息查询与显示功能；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）具备船舶轨迹查询功能。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（a）可查看船舶在特定时间段内的航行轨迹，最长可查看船舶六个月的航行轨迹；</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（b）可进行动态回放,可控制轨迹回放速度;</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（c）回放期间，支持暂停和继续播放。</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）具备船队管理功能。船队以列表的形式显示,并支持船队的新建、编辑、删除功能。</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）具备养殖证管理功能，养殖证以列表形式展示，并支持养殖证的新建、编辑、删除和搜索功能。</w:t>
            </w:r>
            <w:r>
              <w:rPr>
                <w:rFonts w:hint="eastAsia" w:ascii="宋体" w:hAnsi="宋体" w:eastAsia="宋体" w:cs="宋体"/>
                <w:color w:val="000000" w:themeColor="text1"/>
                <w:sz w:val="24"/>
                <w:szCs w:val="24"/>
                <w:highlight w:val="none"/>
                <w:lang w:val="en-US" w:eastAsia="zh-CN"/>
                <w14:textFill>
                  <w14:solidFill>
                    <w14:schemeClr w14:val="tx1"/>
                  </w14:solidFill>
                </w14:textFill>
              </w:rPr>
              <w:t>同时支持</w:t>
            </w:r>
            <w:r>
              <w:rPr>
                <w:rFonts w:hint="eastAsia" w:ascii="宋体" w:hAnsi="宋体" w:eastAsia="宋体" w:cs="宋体"/>
                <w:color w:val="000000" w:themeColor="text1"/>
                <w:sz w:val="24"/>
                <w:szCs w:val="24"/>
                <w:highlight w:val="none"/>
                <w14:textFill>
                  <w14:solidFill>
                    <w14:schemeClr w14:val="tx1"/>
                  </w14:solidFill>
                </w14:textFill>
              </w:rPr>
              <w:t>养殖证与对应</w:t>
            </w:r>
            <w:r>
              <w:rPr>
                <w:rFonts w:hint="eastAsia" w:ascii="宋体" w:hAnsi="宋体" w:eastAsia="宋体" w:cs="宋体"/>
                <w:color w:val="000000" w:themeColor="text1"/>
                <w:sz w:val="24"/>
                <w:szCs w:val="24"/>
                <w:highlight w:val="none"/>
                <w:lang w:val="en-US" w:eastAsia="zh-CN"/>
                <w14:textFill>
                  <w14:solidFill>
                    <w14:schemeClr w14:val="tx1"/>
                  </w14:solidFill>
                </w14:textFill>
              </w:rPr>
              <w:t>养殖</w:t>
            </w:r>
            <w:r>
              <w:rPr>
                <w:rFonts w:hint="eastAsia" w:ascii="宋体" w:hAnsi="宋体" w:eastAsia="宋体" w:cs="宋体"/>
                <w:color w:val="000000" w:themeColor="text1"/>
                <w:sz w:val="24"/>
                <w:szCs w:val="24"/>
                <w:highlight w:val="none"/>
                <w14:textFill>
                  <w14:solidFill>
                    <w14:schemeClr w14:val="tx1"/>
                  </w14:solidFill>
                </w14:textFill>
              </w:rPr>
              <w:t>船关联。</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 养殖区域管理功能</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（a）支持查看养殖证对应养殖区域，且点击养殖证会在海图上显示该养殖证的养殖区域；</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（b）支持一键查看所有养殖证所覆盖的全部养殖区域；</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（c）支持修改养殖证对应的养殖区域；</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（d）支持通过养殖船查看该船对应养殖区域，并在海图上显示；</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）具备养殖证到期提醒功能，到期前一个月向养殖证的办证方和申办方发送手机短信提醒功能；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）具备船舶信息管理功能。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（a）显示已导入平台的所有船舶信息，并以列表的形式展示；</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（b）支持船舶信息查看、新建、编辑、删除；</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（c）支持批量导入/导出船舶信息；</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（d）支持根据船舶部分信息查询搜索对应船舶；</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（e）支持养殖渔船绑定所属养殖证；</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）支持渔民管理功能。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（a）可显示已添加的渔民信息，并以列表形式展示；</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（b）支持渔民信息的查看、新建、编辑、删除；</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（c）支持批量导入/导出数据；</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（d）根据渔民姓名可查询搜索对应人员，并支持模糊搜索。</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）支持设备管理功能。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（a）可显示已添加设备信息，并以列表形式展示所管理的设备信息；</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（b）支持设备信息的新建，编辑和删除；</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（c）支持自动记录历史配置日志，可根据设备编号查询该设备历史配置参数；</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（d）支持设备投标人信息管理及设备型号的管理；</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（e）支持设备信息批量导入和导出；</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（f）支持模糊搜索设备。</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）支持限速区域管理。</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（a）可显示已添加的所有限速区域，并以列表的形式展示；</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（b）可在海图上显示限速区域的区域名称、限速值等信息；</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（c）可对限速区域进行新建、编辑、删除等操作；</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（d）当船舶在限速区域超速时，监管平台将自动报警，提醒监管人员及时采取措施。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）支持电子围栏管理。</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（a）可显示已添加的所有电子围栏，并以列表的形式展示；</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（b）可在海图上显示设定的电子围栏；</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（c）可直接在海图上或者在电子围栏列表里对电子围栏数据进行新建、编辑、删除等操作；</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（d）当船舶进入电子围栏时，监管平台将会立即触发报警提醒，提醒监管人员及时采取措施。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）具备报警管理功能。</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（a）能对报警信息进行接收处理，并可在地图上直观显示报警目标位置，并醒目显示；</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（b）触发报警时监控中心电脑可以进行声音和弹窗警示;</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（c）可对超速报警、越界报警、低电量报警、拆卸报警、倾斜报警、掉线报警等报警数据进行统计分析，并以图表的形式展示；</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210" w:leftChars="10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（d）报警信息自动记录存储，支持查看和导出。</w:t>
            </w:r>
          </w:p>
          <w:p>
            <w:pPr>
              <w:keepNext w:val="0"/>
              <w:keepLines w:val="0"/>
              <w:pageBreakBefore w:val="0"/>
              <w:suppressLineNumbers w:val="0"/>
              <w:kinsoku/>
              <w:wordWrap/>
              <w:overflowPunct/>
              <w:topLinePunct w:val="0"/>
              <w:bidi w:val="0"/>
              <w:adjustRightInd/>
              <w:snapToGrid w:val="0"/>
              <w:spacing w:before="0" w:beforeAutospacing="0" w:after="0" w:afterAutospacing="0" w:line="4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）具备船舶状态统计功能，可统计当前时间所管辖船舶在线数量，显示船舶在线率；</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）应支持系统字段字典管理，可自定义选项内容信息，便于维护更新。</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）应支持账户管理模块，支持新建、编辑、修改密码、删除账户等功能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）应支持用户权限分配功能，根据不同机构可分配至对应人员管理，用户仅查看管理有权限的船舶列表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7"/>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（标有“★”的条款</w:t>
            </w:r>
            <w:r>
              <w:rPr>
                <w:rFonts w:hint="eastAsia" w:ascii="宋体" w:hAnsi="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时需演示，若有一项带“★”的要求未演示或不满足者按无效投标处理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720"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w:t>
            </w:r>
          </w:p>
        </w:tc>
        <w:tc>
          <w:tcPr>
            <w:tcW w:w="780"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渔船安全生产管理</w:t>
            </w:r>
          </w:p>
        </w:tc>
        <w:tc>
          <w:tcPr>
            <w:tcW w:w="682"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云平台</w:t>
            </w:r>
            <w:r>
              <w:rPr>
                <w:rFonts w:hint="eastAsia" w:ascii="宋体" w:hAnsi="宋体" w:eastAsia="宋体" w:cs="宋体"/>
                <w:color w:val="000000" w:themeColor="text1"/>
                <w:sz w:val="24"/>
                <w:szCs w:val="24"/>
                <w:highlight w:val="none"/>
                <w14:textFill>
                  <w14:solidFill>
                    <w14:schemeClr w14:val="tx1"/>
                  </w14:solidFill>
                </w14:textFill>
              </w:rPr>
              <w:t>配置</w:t>
            </w:r>
          </w:p>
        </w:tc>
        <w:tc>
          <w:tcPr>
            <w:tcW w:w="5760"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★投标人所投产品厂家的云平台需部署</w:t>
            </w:r>
            <w:r>
              <w:rPr>
                <w:rFonts w:hint="eastAsia" w:ascii="宋体" w:hAnsi="宋体" w:eastAsia="宋体" w:cs="宋体"/>
                <w:color w:val="000000" w:themeColor="text1"/>
                <w:sz w:val="24"/>
                <w:szCs w:val="24"/>
                <w:highlight w:val="none"/>
                <w14:textFill>
                  <w14:solidFill>
                    <w14:schemeClr w14:val="tx1"/>
                  </w14:solidFill>
                </w14:textFill>
              </w:rPr>
              <w:t>于台州市</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本地</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本地</w:t>
            </w:r>
            <w:r>
              <w:rPr>
                <w:rFonts w:hint="eastAsia" w:ascii="宋体" w:hAnsi="宋体" w:eastAsia="宋体" w:cs="宋体"/>
                <w:color w:val="000000" w:themeColor="text1"/>
                <w:sz w:val="24"/>
                <w:szCs w:val="24"/>
                <w:highlight w:val="none"/>
                <w14:textFill>
                  <w14:solidFill>
                    <w14:schemeClr w14:val="tx1"/>
                  </w14:solidFill>
                </w14:textFill>
              </w:rPr>
              <w:t>云</w:t>
            </w:r>
            <w:r>
              <w:rPr>
                <w:rFonts w:hint="eastAsia" w:ascii="宋体" w:hAnsi="宋体" w:eastAsia="宋体" w:cs="宋体"/>
                <w:color w:val="000000" w:themeColor="text1"/>
                <w:sz w:val="24"/>
                <w:szCs w:val="24"/>
                <w:highlight w:val="none"/>
                <w:lang w:val="en-US" w:eastAsia="zh-CN"/>
                <w14:textFill>
                  <w14:solidFill>
                    <w14:schemeClr w14:val="tx1"/>
                  </w14:solidFill>
                </w14:textFill>
              </w:rPr>
              <w:t>上；</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需提供</w:t>
            </w:r>
            <w:r>
              <w:rPr>
                <w:rFonts w:hint="eastAsia" w:ascii="宋体" w:hAnsi="宋体" w:cs="宋体"/>
                <w:color w:val="000000" w:themeColor="text1"/>
                <w:sz w:val="24"/>
                <w:szCs w:val="24"/>
                <w:highlight w:val="none"/>
                <w:lang w:val="en-US" w:eastAsia="zh-CN"/>
                <w14:textFill>
                  <w14:solidFill>
                    <w14:schemeClr w14:val="tx1"/>
                  </w14:solidFill>
                </w14:textFill>
              </w:rPr>
              <w:t>承诺</w:t>
            </w:r>
            <w:r>
              <w:rPr>
                <w:rFonts w:hint="eastAsia" w:ascii="宋体" w:hAnsi="宋体" w:eastAsia="宋体" w:cs="宋体"/>
                <w:color w:val="000000" w:themeColor="text1"/>
                <w:sz w:val="24"/>
                <w:szCs w:val="24"/>
                <w:highlight w:val="none"/>
                <w:lang w:val="en-US" w:eastAsia="zh-CN"/>
                <w14:textFill>
                  <w14:solidFill>
                    <w14:schemeClr w14:val="tx1"/>
                  </w14:solidFill>
                </w14:textFill>
              </w:rPr>
              <w:t>云平台需部署</w:t>
            </w:r>
            <w:r>
              <w:rPr>
                <w:rFonts w:hint="eastAsia" w:ascii="宋体" w:hAnsi="宋体" w:eastAsia="宋体" w:cs="宋体"/>
                <w:color w:val="000000" w:themeColor="text1"/>
                <w:sz w:val="24"/>
                <w:szCs w:val="24"/>
                <w:highlight w:val="none"/>
                <w14:textFill>
                  <w14:solidFill>
                    <w14:schemeClr w14:val="tx1"/>
                  </w14:solidFill>
                </w14:textFill>
              </w:rPr>
              <w:t>于台州市</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本地</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本地</w:t>
            </w:r>
            <w:r>
              <w:rPr>
                <w:rFonts w:hint="eastAsia" w:ascii="宋体" w:hAnsi="宋体" w:eastAsia="宋体" w:cs="宋体"/>
                <w:color w:val="000000" w:themeColor="text1"/>
                <w:sz w:val="24"/>
                <w:szCs w:val="24"/>
                <w:highlight w:val="none"/>
                <w14:textFill>
                  <w14:solidFill>
                    <w14:schemeClr w14:val="tx1"/>
                  </w14:solidFill>
                </w14:textFill>
              </w:rPr>
              <w:t>云</w:t>
            </w:r>
            <w:r>
              <w:rPr>
                <w:rFonts w:hint="eastAsia" w:ascii="宋体" w:hAnsi="宋体" w:eastAsia="宋体" w:cs="宋体"/>
                <w:color w:val="000000" w:themeColor="text1"/>
                <w:sz w:val="24"/>
                <w:szCs w:val="24"/>
                <w:highlight w:val="none"/>
                <w:lang w:val="en-US" w:eastAsia="zh-CN"/>
                <w14:textFill>
                  <w14:solidFill>
                    <w14:schemeClr w14:val="tx1"/>
                  </w14:solidFill>
                </w14:textFill>
              </w:rPr>
              <w:t>上</w:t>
            </w:r>
            <w:r>
              <w:rPr>
                <w:rFonts w:hint="eastAsia" w:ascii="宋体" w:hAnsi="宋体" w:cs="宋体"/>
                <w:color w:val="000000" w:themeColor="text1"/>
                <w:sz w:val="24"/>
                <w:szCs w:val="24"/>
                <w:highlight w:val="none"/>
                <w:lang w:val="en-US" w:eastAsia="zh-CN"/>
                <w14:textFill>
                  <w14:solidFill>
                    <w14:schemeClr w14:val="tx1"/>
                  </w14:solidFill>
                </w14:textFill>
              </w:rPr>
              <w:t>，成交后需进行测试，七个工作日内保证接入完成，</w:t>
            </w:r>
            <w:r>
              <w:rPr>
                <w:rFonts w:hint="eastAsia" w:ascii="宋体" w:hAnsi="宋体" w:cs="宋体"/>
                <w:color w:val="000000" w:themeColor="text1"/>
                <w:sz w:val="24"/>
                <w:szCs w:val="24"/>
                <w:highlight w:val="none"/>
                <w:u w:val="none"/>
                <w:lang w:val="en-US" w:eastAsia="zh-CN"/>
                <w14:textFill>
                  <w14:solidFill>
                    <w14:schemeClr w14:val="tx1"/>
                  </w14:solidFill>
                </w14:textFill>
              </w:rPr>
              <w:t>否则视为放弃成交资格，由排名次之的中标（成交）候选供应商替补，以此类推。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720"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1套</w:t>
            </w:r>
          </w:p>
        </w:tc>
        <w:tc>
          <w:tcPr>
            <w:tcW w:w="780"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平台服务器</w:t>
            </w:r>
          </w:p>
        </w:tc>
        <w:tc>
          <w:tcPr>
            <w:tcW w:w="682"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455"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手机APP</w:t>
            </w:r>
          </w:p>
        </w:tc>
        <w:tc>
          <w:tcPr>
            <w:tcW w:w="5760"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（1）具备海图显示功能；</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（2）具备船舶信息查询功能；</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（3）具备船舶轨迹查询功能，可</w:t>
            </w:r>
            <w:r>
              <w:rPr>
                <w:rFonts w:hint="eastAsia" w:ascii="宋体" w:hAnsi="宋体" w:eastAsia="宋体" w:cs="宋体"/>
                <w:color w:val="000000" w:themeColor="text1"/>
                <w:kern w:val="2"/>
                <w:sz w:val="24"/>
                <w:szCs w:val="24"/>
                <w:highlight w:val="none"/>
                <w14:textFill>
                  <w14:solidFill>
                    <w14:schemeClr w14:val="tx1"/>
                  </w14:solidFill>
                </w14:textFill>
              </w:rPr>
              <w:t>查看船舶在特定时间段内的航行轨迹，最长可查看船舶六个月的航行轨迹；</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（4）具备测距功能；</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（5）具备图层设置功能，养殖证区域、船舶等图层可配置是否显示；</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（6）具备船舶过滤功能，可根据船舶类型、船舶长度、船舶状态进行过滤显示；</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（7）具备潮汐信息查询功能；</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（8）具备在海图上显示台风路径与台风信息查询功能；</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）app可安装于国产手机，不得出现兼容性问题。</w:t>
            </w:r>
          </w:p>
        </w:tc>
        <w:tc>
          <w:tcPr>
            <w:tcW w:w="720"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1套</w:t>
            </w:r>
          </w:p>
        </w:tc>
        <w:tc>
          <w:tcPr>
            <w:tcW w:w="780"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渔船安全生产管理</w:t>
            </w:r>
          </w:p>
        </w:tc>
        <w:tc>
          <w:tcPr>
            <w:tcW w:w="682"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455"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培训服务要求</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760"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1.登船现场培训：安装人员安装好AIS船载终端后，现场进行开机调试及介绍设备的功能，为船东及船员开展现场培训工作。</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2.产品说明书培训：渔业从业人员可随时随地阅读船载终端附带的产品说明书自主学习产品功能。</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3.管理平台现场培训：系统实施人员部署好渔船安全生产管理平台后，应现场为管理单位使用人员开展功能演示及培训工作。</w:t>
            </w:r>
          </w:p>
        </w:tc>
        <w:tc>
          <w:tcPr>
            <w:tcW w:w="720"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80"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2"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455"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安装、调试、验收要求</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760"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1.成交投标人根据合同约定及采购人要求,将AIS船载终端交付至采购人指定地点进行验收，并根据项目要求进行安装调试。成交投标人负责安装地点与本项目有关的安装工序。</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AIS船载终端由成交投标人按要求正确安装固定在渔船的合适位置上，安装完毕后须由船舶所有人签署确认书。安装后应对设备进行效用试验，确保其各项功能正常，并拍摄有船主在侧的AIS船载终端安装位置照片以及对应船舶有关照片、船主身份证或企业法人登记证的照片作为安装与验收凭证。</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3.出厂需预先写入静态参数信息，以确保本项目的船载终端MMSI码的唯一性。</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4.成交投标人需配合采购方根据实际业务需求采购合适的服务器，并搭建和部署服务器。</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5.成交投标人需积极配合采购方安装并调试好渔船安全生产管理平台，确保其各项功能正常，调试部署完毕后须由监管单位责任人签署确认书。</w:t>
            </w:r>
          </w:p>
        </w:tc>
        <w:tc>
          <w:tcPr>
            <w:tcW w:w="720"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80"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2"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455"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售后服务要求</w:t>
            </w:r>
          </w:p>
        </w:tc>
        <w:tc>
          <w:tcPr>
            <w:tcW w:w="5760" w:type="dxa"/>
            <w:vAlign w:val="center"/>
          </w:tcPr>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投标人的服务承诺应按不低于采购文件中提出的服务要求的标准做出响应。其基本服务要求如下： </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1、投标人所提供的AIS船载终端均须符合国家有关质量标准。 </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2、投标人所提供的AIS船载终端按照国家“三包” 规定及相关行业规定实行质量保证。服务期为验收合格后 1 年（易损件按照国家三包政策执行、人为损坏除外），服务期内出现质量问题，投标人在接到通知后3小时内响应，24小时内到场完成维修或更换。 </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3、提供对设备使用人员和渔船安全生产管理平台使用人员的技术培训，让使用者了解系统的基本原理，能熟练地进行操作，了解掌握一般故障的处理。 </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4、投标人须指派专人负责与采购人联系售后服务事宜。 </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5、服务期结束后，投标人承诺零部件供应不得高于市场平均价；维修服务价格不得高于市场平均价。</w:t>
            </w:r>
          </w:p>
          <w:p>
            <w:pPr>
              <w:pStyle w:val="48"/>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在成交后需</w:t>
            </w:r>
            <w:r>
              <w:rPr>
                <w:rFonts w:hint="eastAsia" w:ascii="宋体" w:hAnsi="宋体" w:eastAsia="宋体" w:cs="宋体"/>
                <w:color w:val="000000" w:themeColor="text1"/>
                <w:sz w:val="24"/>
                <w:szCs w:val="24"/>
                <w:highlight w:val="none"/>
                <w14:textFill>
                  <w14:solidFill>
                    <w14:schemeClr w14:val="tx1"/>
                  </w14:solidFill>
                </w14:textFill>
              </w:rPr>
              <w:t>在台州本地设立</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服务机构</w:t>
            </w:r>
            <w:r>
              <w:rPr>
                <w:rFonts w:hint="eastAsia" w:ascii="宋体" w:hAnsi="宋体" w:eastAsia="宋体" w:cs="宋体"/>
                <w:color w:val="000000" w:themeColor="text1"/>
                <w:sz w:val="24"/>
                <w:szCs w:val="24"/>
                <w:highlight w:val="none"/>
                <w14:textFill>
                  <w14:solidFill>
                    <w14:schemeClr w14:val="tx1"/>
                  </w14:solidFill>
                </w14:textFill>
              </w:rPr>
              <w:t>，以便在服务期间内出现故障时，能在最短时间内及时响应。</w:t>
            </w:r>
          </w:p>
        </w:tc>
        <w:tc>
          <w:tcPr>
            <w:tcW w:w="720"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80"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2" w:type="dxa"/>
            <w:vAlign w:val="center"/>
          </w:tcPr>
          <w:p>
            <w:pPr>
              <w:keepNext w:val="0"/>
              <w:keepLines w:val="0"/>
              <w:pageBreakBefore w:val="0"/>
              <w:suppressLineNumbers w:val="0"/>
              <w:kinsoku/>
              <w:wordWrap/>
              <w:overflowPunct/>
              <w:topLinePunct w:val="0"/>
              <w:autoSpaceDE w:val="0"/>
              <w:autoSpaceDN w:val="0"/>
              <w:bidi w:val="0"/>
              <w:adjustRightIn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440" w:lineRule="exact"/>
        <w:rPr>
          <w:color w:val="000000" w:themeColor="text1"/>
          <w:highlight w:val="none"/>
          <w14:textFill>
            <w14:solidFill>
              <w14:schemeClr w14:val="tx1"/>
            </w14:solidFill>
          </w14:textFill>
        </w:rPr>
      </w:pPr>
    </w:p>
    <w:p>
      <w:pPr>
        <w:keepNext w:val="0"/>
        <w:keepLines w:val="0"/>
        <w:pageBreakBefore w:val="0"/>
        <w:suppressLineNumbers w:val="0"/>
        <w:kinsoku/>
        <w:wordWrap/>
        <w:overflowPunct/>
        <w:topLinePunct w:val="0"/>
        <w:bidi w:val="0"/>
        <w:snapToGrid w:val="0"/>
        <w:spacing w:before="0" w:beforeAutospacing="0" w:after="0" w:afterAutospacing="0" w:line="400" w:lineRule="atLeast"/>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3、其他要求：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供应商须提供</w:t>
      </w:r>
    </w:p>
    <w:p>
      <w:pPr>
        <w:keepNext w:val="0"/>
        <w:keepLines w:val="0"/>
        <w:pageBreakBefore w:val="0"/>
        <w:numPr>
          <w:ilvl w:val="0"/>
          <w:numId w:val="8"/>
        </w:numPr>
        <w:suppressLineNumbers w:val="0"/>
        <w:kinsoku/>
        <w:wordWrap/>
        <w:overflowPunct/>
        <w:topLinePunct w:val="0"/>
        <w:bidi w:val="0"/>
        <w:snapToGrid w:val="0"/>
        <w:spacing w:before="0" w:beforeAutospacing="0" w:after="0" w:afterAutospacing="0" w:line="400" w:lineRule="atLeast"/>
        <w:ind w:left="425" w:leftChars="0" w:right="0" w:hanging="425" w:firstLineChars="0"/>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质量管理体系认证</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投标人所投产品厂家应具备有效的质量管理体系认证证书</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需</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提供证书复印件）</w:t>
      </w:r>
    </w:p>
    <w:p>
      <w:pPr>
        <w:keepNext w:val="0"/>
        <w:keepLines w:val="0"/>
        <w:pageBreakBefore w:val="0"/>
        <w:numPr>
          <w:ilvl w:val="0"/>
          <w:numId w:val="8"/>
        </w:numPr>
        <w:suppressLineNumbers w:val="0"/>
        <w:kinsoku/>
        <w:wordWrap/>
        <w:overflowPunct/>
        <w:topLinePunct w:val="0"/>
        <w:bidi w:val="0"/>
        <w:snapToGrid w:val="0"/>
        <w:spacing w:before="0" w:beforeAutospacing="0" w:after="0" w:afterAutospacing="0" w:line="400" w:lineRule="atLeast"/>
        <w:ind w:left="425" w:leftChars="0" w:right="0" w:hanging="425" w:firstLineChars="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船用产品型式认可证书，投标人所投产品厂家应具备有效的中</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国船级社颁发的船用相关的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产品型式认可证书；</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需</w:t>
      </w:r>
      <w:r>
        <w:rPr>
          <w:rFonts w:hint="eastAsia" w:ascii="宋体" w:hAnsi="宋体" w:eastAsia="宋体" w:cs="宋体"/>
          <w:color w:val="000000" w:themeColor="text1"/>
          <w:sz w:val="24"/>
          <w:szCs w:val="24"/>
          <w:highlight w:val="none"/>
          <w:u w:val="none"/>
          <w14:textFill>
            <w14:solidFill>
              <w14:schemeClr w14:val="tx1"/>
            </w14:solidFill>
          </w14:textFill>
        </w:rPr>
        <w:t>提供证书复印件）</w:t>
      </w:r>
    </w:p>
    <w:p>
      <w:pPr>
        <w:keepNext w:val="0"/>
        <w:keepLines w:val="0"/>
        <w:pageBreakBefore w:val="0"/>
        <w:numPr>
          <w:ilvl w:val="0"/>
          <w:numId w:val="8"/>
        </w:numPr>
        <w:suppressLineNumbers w:val="0"/>
        <w:kinsoku/>
        <w:wordWrap/>
        <w:overflowPunct/>
        <w:topLinePunct w:val="0"/>
        <w:bidi w:val="0"/>
        <w:snapToGrid w:val="0"/>
        <w:spacing w:before="0" w:beforeAutospacing="0" w:after="0" w:afterAutospacing="0" w:line="400" w:lineRule="atLeast"/>
        <w:ind w:left="425" w:leftChars="0" w:right="0" w:hanging="425" w:firstLineChars="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b/>
          <w:bCs w:val="0"/>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软件</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著作权，</w:t>
      </w:r>
      <w:r>
        <w:rPr>
          <w:rFonts w:hint="eastAsia" w:ascii="宋体" w:hAnsi="宋体" w:eastAsia="宋体" w:cs="宋体"/>
          <w:color w:val="000000" w:themeColor="text1"/>
          <w:sz w:val="24"/>
          <w:szCs w:val="24"/>
          <w:highlight w:val="none"/>
          <w:u w:val="none"/>
          <w14:textFill>
            <w14:solidFill>
              <w14:schemeClr w14:val="tx1"/>
            </w14:solidFill>
          </w14:textFill>
        </w:rPr>
        <w:t>投标人所投产品厂家应获得过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船用相关的软件著作权；</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需</w:t>
      </w:r>
      <w:r>
        <w:rPr>
          <w:rFonts w:hint="eastAsia" w:ascii="宋体" w:hAnsi="宋体" w:eastAsia="宋体" w:cs="宋体"/>
          <w:color w:val="000000" w:themeColor="text1"/>
          <w:sz w:val="24"/>
          <w:szCs w:val="24"/>
          <w:highlight w:val="none"/>
          <w:u w:val="none"/>
          <w14:textFill>
            <w14:solidFill>
              <w14:schemeClr w14:val="tx1"/>
            </w14:solidFill>
          </w14:textFill>
        </w:rPr>
        <w:t>提供证书复印件）</w:t>
      </w:r>
    </w:p>
    <w:p>
      <w:pPr>
        <w:pStyle w:val="7"/>
        <w:keepNext w:val="0"/>
        <w:keepLines w:val="0"/>
        <w:pageBreakBefore w:val="0"/>
        <w:numPr>
          <w:ilvl w:val="0"/>
          <w:numId w:val="8"/>
        </w:numPr>
        <w:kinsoku/>
        <w:wordWrap/>
        <w:overflowPunct/>
        <w:topLinePunct w:val="0"/>
        <w:bidi w:val="0"/>
        <w:spacing w:line="400" w:lineRule="atLeast"/>
        <w:ind w:left="425" w:leftChars="0" w:hanging="425" w:firstLineChars="0"/>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本项目需要有本地化的售后服务机构作为履约保障的，如成交投标人在本地未设有售后分支服务机构的，投标人应当在成交公示后十五个工作日内在本地设立售后分支服务机构，否则视为放弃成交资格，由排名次之的中标（成交）候选供应商替补，以此类推。（成交后需提供营业执照证明）</w:t>
      </w:r>
    </w:p>
    <w:p>
      <w:pPr>
        <w:keepNext w:val="0"/>
        <w:keepLines w:val="0"/>
        <w:pageBreakBefore w:val="0"/>
        <w:kinsoku/>
        <w:wordWrap/>
        <w:overflowPunct/>
        <w:topLinePunct w:val="0"/>
        <w:bidi w:val="0"/>
        <w:spacing w:line="400" w:lineRule="atLeast"/>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400" w:lineRule="atLeas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val="0"/>
          <w:color w:val="000000" w:themeColor="text1"/>
          <w:sz w:val="24"/>
          <w:szCs w:val="24"/>
          <w:highlight w:val="none"/>
          <w:u w:val="single"/>
          <w14:textFill>
            <w14:solidFill>
              <w14:schemeClr w14:val="tx1"/>
            </w14:solidFill>
          </w14:textFill>
        </w:rPr>
        <w:t>招标文件中标有“★”的条款</w:t>
      </w:r>
      <w:r>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t>为必要条款</w:t>
      </w:r>
      <w:r>
        <w:rPr>
          <w:rFonts w:hint="eastAsia" w:ascii="宋体" w:hAnsi="宋体" w:eastAsia="宋体" w:cs="宋体"/>
          <w:b/>
          <w:bCs w:val="0"/>
          <w:color w:val="000000" w:themeColor="text1"/>
          <w:sz w:val="24"/>
          <w:szCs w:val="24"/>
          <w:highlight w:val="none"/>
          <w:u w:val="single"/>
          <w14:textFill>
            <w14:solidFill>
              <w14:schemeClr w14:val="tx1"/>
            </w14:solidFill>
          </w14:textFill>
        </w:rPr>
        <w:t>，供应商必须响应。若有一项带“★”的指标要求未响应或</w:t>
      </w:r>
      <w:r>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t>不满足要求者</w:t>
      </w:r>
      <w:r>
        <w:rPr>
          <w:rFonts w:hint="eastAsia" w:ascii="宋体" w:hAnsi="宋体" w:eastAsia="宋体" w:cs="宋体"/>
          <w:b/>
          <w:bCs w:val="0"/>
          <w:color w:val="000000" w:themeColor="text1"/>
          <w:sz w:val="24"/>
          <w:szCs w:val="24"/>
          <w:highlight w:val="none"/>
          <w:u w:val="single"/>
          <w14:textFill>
            <w14:solidFill>
              <w14:schemeClr w14:val="tx1"/>
            </w14:solidFill>
          </w14:textFill>
        </w:rPr>
        <w:t>，其投标将按无效投标处理。</w:t>
      </w:r>
    </w:p>
    <w:p>
      <w:pPr>
        <w:keepNext w:val="0"/>
        <w:keepLines w:val="0"/>
        <w:pageBreakBefore w:val="0"/>
        <w:kinsoku/>
        <w:wordWrap/>
        <w:overflowPunct/>
        <w:topLinePunct w:val="0"/>
        <w:bidi w:val="0"/>
        <w:spacing w:line="400" w:lineRule="atLeas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其他</w:t>
      </w:r>
      <w:r>
        <w:rPr>
          <w:rFonts w:hint="eastAsia" w:ascii="宋体" w:hAnsi="宋体" w:eastAsia="宋体" w:cs="宋体"/>
          <w:b/>
          <w:bCs/>
          <w:color w:val="000000" w:themeColor="text1"/>
          <w:sz w:val="24"/>
          <w:szCs w:val="24"/>
          <w:highlight w:val="none"/>
          <w14:textFill>
            <w14:solidFill>
              <w14:schemeClr w14:val="tx1"/>
            </w14:solidFill>
          </w14:textFill>
        </w:rPr>
        <w:t>参数偏离招标文件中规定的要求</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做无效标处理(是否为实质性偏离由评标委员会按少数服从多数原则认定)；</w:t>
      </w:r>
    </w:p>
    <w:p>
      <w:pPr>
        <w:keepNext w:val="0"/>
        <w:keepLines w:val="0"/>
        <w:pageBreakBefore w:val="0"/>
        <w:kinsoku/>
        <w:wordWrap/>
        <w:overflowPunct/>
        <w:topLinePunct w:val="0"/>
        <w:bidi w:val="0"/>
        <w:spacing w:line="400" w:lineRule="atLeast"/>
        <w:ind w:firstLine="723" w:firstLineChars="3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产品中带“▲”要求的参数必须提供中国计量认证（CMA）认证单位的检测报告为佐证；签订合同前需提供检测报告原件和检测报告网站链接以便备查；为保证中标供应商供货符合招标要求及质量要求，在签订合同前需招标要求参数进行现场演示测试，经采购人认定演示通过并出具签章证明后，方可签订合同，不得弄虚作假，如有虚假响应，则做无效标处理。</w:t>
      </w:r>
    </w:p>
    <w:p>
      <w:pPr>
        <w:pStyle w:val="29"/>
        <w:snapToGrid w:val="0"/>
        <w:spacing w:line="400" w:lineRule="exact"/>
        <w:ind w:firstLineChars="0"/>
        <w:rPr>
          <w:rFonts w:hint="eastAsia" w:ascii="宋体" w:hAnsi="宋体"/>
          <w:b/>
          <w:bCs/>
          <w:color w:val="000000" w:themeColor="text1"/>
          <w:sz w:val="24"/>
          <w:szCs w:val="24"/>
          <w:highlight w:val="none"/>
          <w:u w:val="single"/>
          <w:lang w:val="en-US" w:eastAsia="zh-CN"/>
          <w14:textFill>
            <w14:solidFill>
              <w14:schemeClr w14:val="tx1"/>
            </w14:solidFill>
          </w14:textFill>
        </w:rPr>
      </w:pPr>
      <w:r>
        <w:rPr>
          <w:rFonts w:hint="eastAsia" w:ascii="宋体" w:hAnsi="宋体"/>
          <w:b/>
          <w:bCs/>
          <w:color w:val="000000" w:themeColor="text1"/>
          <w:sz w:val="24"/>
          <w:szCs w:val="24"/>
          <w:highlight w:val="none"/>
          <w:u w:val="single"/>
          <w:lang w:val="en-US" w:eastAsia="zh-CN"/>
          <w14:textFill>
            <w14:solidFill>
              <w14:schemeClr w14:val="tx1"/>
            </w14:solidFill>
          </w14:textFill>
        </w:rPr>
        <w:fldChar w:fldCharType="begin"/>
      </w:r>
      <w:r>
        <w:rPr>
          <w:rFonts w:hint="eastAsia" w:ascii="宋体" w:hAnsi="宋体"/>
          <w:b/>
          <w:bCs/>
          <w:color w:val="000000" w:themeColor="text1"/>
          <w:sz w:val="24"/>
          <w:szCs w:val="24"/>
          <w:highlight w:val="none"/>
          <w:u w:val="single"/>
          <w:lang w:val="en-US" w:eastAsia="zh-CN"/>
          <w14:textFill>
            <w14:solidFill>
              <w14:schemeClr w14:val="tx1"/>
            </w14:solidFill>
          </w14:textFill>
        </w:rPr>
        <w:instrText xml:space="preserve"> HYPERLINK "mailto:▲9、演示需录制一段时长为10分钟的录像，邮寄U盘至招标代理处。开标前再发演示录像邮件至153997632@qq.com备份。开标评审以U盘内容为准。" </w:instrText>
      </w:r>
      <w:r>
        <w:rPr>
          <w:rFonts w:hint="eastAsia" w:ascii="宋体" w:hAnsi="宋体"/>
          <w:b/>
          <w:bCs/>
          <w:color w:val="000000" w:themeColor="text1"/>
          <w:sz w:val="24"/>
          <w:szCs w:val="24"/>
          <w:highlight w:val="none"/>
          <w:u w:val="single"/>
          <w:lang w:val="en-US" w:eastAsia="zh-CN"/>
          <w14:textFill>
            <w14:solidFill>
              <w14:schemeClr w14:val="tx1"/>
            </w14:solidFill>
          </w14:textFill>
        </w:rPr>
        <w:fldChar w:fldCharType="separate"/>
      </w:r>
      <w:r>
        <w:rPr>
          <w:rStyle w:val="26"/>
          <w:rFonts w:hint="eastAsia" w:ascii="宋体" w:hAnsi="宋体"/>
          <w:b/>
          <w:bCs/>
          <w:color w:val="000000" w:themeColor="text1"/>
          <w:sz w:val="24"/>
          <w:szCs w:val="24"/>
          <w:highlight w:val="none"/>
          <w:lang w:val="en-US" w:eastAsia="zh-CN"/>
          <w14:textFill>
            <w14:solidFill>
              <w14:schemeClr w14:val="tx1"/>
            </w14:solidFill>
          </w14:textFill>
        </w:rPr>
        <w:t>2、演示需录制一段时长为10分钟的录像，邮寄U盘至招标代理处。开标前再发演示录像邮件至153997632@qq.com备份。开标评审以U盘内容为准。</w:t>
      </w:r>
      <w:r>
        <w:rPr>
          <w:rFonts w:hint="eastAsia" w:ascii="宋体" w:hAnsi="宋体"/>
          <w:b/>
          <w:bCs/>
          <w:color w:val="000000" w:themeColor="text1"/>
          <w:sz w:val="24"/>
          <w:szCs w:val="24"/>
          <w:highlight w:val="none"/>
          <w:u w:val="single"/>
          <w:lang w:val="en-US" w:eastAsia="zh-CN"/>
          <w14:textFill>
            <w14:solidFill>
              <w14:schemeClr w14:val="tx1"/>
            </w14:solidFill>
          </w14:textFill>
        </w:rPr>
        <w:fldChar w:fldCharType="end"/>
      </w:r>
    </w:p>
    <w:p>
      <w:pPr>
        <w:pStyle w:val="29"/>
        <w:snapToGrid w:val="0"/>
        <w:spacing w:line="400" w:lineRule="exact"/>
        <w:ind w:firstLineChars="0"/>
        <w:rPr>
          <w:rFonts w:hint="eastAsia" w:ascii="宋体" w:hAnsi="宋体"/>
          <w:b/>
          <w:bCs/>
          <w:color w:val="000000" w:themeColor="text1"/>
          <w:sz w:val="24"/>
          <w:szCs w:val="24"/>
          <w:highlight w:val="none"/>
          <w:u w:val="single"/>
          <w:lang w:val="en-US" w:eastAsia="zh-CN"/>
          <w14:textFill>
            <w14:solidFill>
              <w14:schemeClr w14:val="tx1"/>
            </w14:solidFill>
          </w14:textFill>
        </w:rPr>
      </w:pPr>
      <w:r>
        <w:rPr>
          <w:rFonts w:hint="eastAsia" w:ascii="宋体" w:hAnsi="宋体"/>
          <w:b/>
          <w:bCs/>
          <w:color w:val="000000" w:themeColor="text1"/>
          <w:sz w:val="24"/>
          <w:szCs w:val="24"/>
          <w:highlight w:val="none"/>
          <w:u w:val="single"/>
          <w:lang w:val="en-US" w:eastAsia="zh-CN"/>
          <w14:textFill>
            <w14:solidFill>
              <w14:schemeClr w14:val="tx1"/>
            </w14:solidFill>
          </w14:textFill>
        </w:rPr>
        <w:t>U盘邮寄地址：浙江玉环市李家小区二期三号楼1502室；</w:t>
      </w:r>
    </w:p>
    <w:p>
      <w:pPr>
        <w:pStyle w:val="29"/>
        <w:snapToGrid w:val="0"/>
        <w:spacing w:line="400" w:lineRule="exact"/>
        <w:ind w:firstLineChars="0"/>
        <w:rPr>
          <w:rFonts w:hint="default" w:ascii="宋体" w:hAnsi="宋体"/>
          <w:b/>
          <w:bCs/>
          <w:color w:val="000000" w:themeColor="text1"/>
          <w:sz w:val="24"/>
          <w:szCs w:val="24"/>
          <w:highlight w:val="none"/>
          <w:u w:val="single"/>
          <w:lang w:val="en-US" w:eastAsia="zh-CN"/>
          <w14:textFill>
            <w14:solidFill>
              <w14:schemeClr w14:val="tx1"/>
            </w14:solidFill>
          </w14:textFill>
        </w:rPr>
      </w:pPr>
      <w:r>
        <w:rPr>
          <w:rFonts w:hint="eastAsia" w:ascii="宋体" w:hAnsi="宋体"/>
          <w:b/>
          <w:bCs/>
          <w:color w:val="000000" w:themeColor="text1"/>
          <w:sz w:val="24"/>
          <w:szCs w:val="24"/>
          <w:highlight w:val="none"/>
          <w:u w:val="single"/>
          <w:lang w:val="en-US" w:eastAsia="zh-CN"/>
          <w14:textFill>
            <w14:solidFill>
              <w14:schemeClr w14:val="tx1"/>
            </w14:solidFill>
          </w14:textFill>
        </w:rPr>
        <w:t>收件人：胡先生  15967041020；</w:t>
      </w:r>
    </w:p>
    <w:p>
      <w:pPr>
        <w:pStyle w:val="7"/>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bidi w:val="0"/>
        <w:adjustRightInd w:val="0"/>
        <w:snapToGrid w:val="0"/>
        <w:spacing w:line="400" w:lineRule="atLeast"/>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三、商务条款</w:t>
      </w:r>
    </w:p>
    <w:p>
      <w:pPr>
        <w:keepNext w:val="0"/>
        <w:keepLines w:val="0"/>
        <w:pageBreakBefore w:val="0"/>
        <w:widowControl/>
        <w:tabs>
          <w:tab w:val="left" w:pos="785"/>
        </w:tabs>
        <w:kinsoku/>
        <w:wordWrap/>
        <w:overflowPunct/>
        <w:topLinePunct w:val="0"/>
        <w:autoSpaceDE w:val="0"/>
        <w:autoSpaceDN w:val="0"/>
        <w:bidi w:val="0"/>
        <w:adjustRightInd w:val="0"/>
        <w:snapToGrid w:val="0"/>
        <w:spacing w:line="400" w:lineRule="atLeast"/>
        <w:ind w:firstLine="480" w:firstLineChars="200"/>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1、付款方式：</w:t>
      </w:r>
    </w:p>
    <w:p>
      <w:pPr>
        <w:keepNext w:val="0"/>
        <w:keepLines w:val="0"/>
        <w:pageBreakBefore w:val="0"/>
        <w:widowControl/>
        <w:kinsoku/>
        <w:wordWrap/>
        <w:overflowPunct/>
        <w:topLinePunct w:val="0"/>
        <w:autoSpaceDE w:val="0"/>
        <w:autoSpaceDN w:val="0"/>
        <w:bidi w:val="0"/>
        <w:adjustRightInd w:val="0"/>
        <w:snapToGrid w:val="0"/>
        <w:spacing w:line="400" w:lineRule="atLeast"/>
        <w:ind w:firstLine="482" w:firstLineChars="200"/>
        <w:textAlignment w:val="bottom"/>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合同签订前，成交供应商应缴纳合同金额5%。项目验收合格日起算，待服务期五年结束，无质量问题采购人无息一次性退还履约保证金。</w:t>
      </w:r>
    </w:p>
    <w:p>
      <w:pPr>
        <w:keepNext w:val="0"/>
        <w:keepLines w:val="0"/>
        <w:pageBreakBefore w:val="0"/>
        <w:widowControl/>
        <w:kinsoku/>
        <w:wordWrap/>
        <w:overflowPunct/>
        <w:topLinePunct w:val="0"/>
        <w:autoSpaceDE w:val="0"/>
        <w:autoSpaceDN w:val="0"/>
        <w:bidi w:val="0"/>
        <w:adjustRightInd w:val="0"/>
        <w:snapToGrid w:val="0"/>
        <w:spacing w:line="400" w:lineRule="atLeast"/>
        <w:ind w:firstLine="482" w:firstLineChars="200"/>
        <w:textAlignment w:val="bottom"/>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合同签订后，采购人支付合同总价款的</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u w:val="single"/>
          <w14:textFill>
            <w14:solidFill>
              <w14:schemeClr w14:val="tx1"/>
            </w14:solidFill>
          </w14:textFill>
        </w:rPr>
        <w:t>%，验收合格后1个月内支付合同总价款的</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70%。</w:t>
      </w:r>
    </w:p>
    <w:p>
      <w:pPr>
        <w:keepNext w:val="0"/>
        <w:keepLines w:val="0"/>
        <w:pageBreakBefore w:val="0"/>
        <w:widowControl/>
        <w:kinsoku/>
        <w:wordWrap/>
        <w:overflowPunct/>
        <w:topLinePunct w:val="0"/>
        <w:autoSpaceDE w:val="0"/>
        <w:autoSpaceDN w:val="0"/>
        <w:bidi w:val="0"/>
        <w:adjustRightInd w:val="0"/>
        <w:snapToGrid w:val="0"/>
        <w:spacing w:line="400" w:lineRule="atLeast"/>
        <w:ind w:left="437" w:leftChars="208" w:firstLine="38" w:firstLineChars="16"/>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完工</w:t>
      </w:r>
      <w:r>
        <w:rPr>
          <w:rFonts w:hint="eastAsia" w:ascii="宋体" w:hAnsi="宋体" w:eastAsia="宋体" w:cs="宋体"/>
          <w:color w:val="000000" w:themeColor="text1"/>
          <w:sz w:val="24"/>
          <w:szCs w:val="24"/>
          <w:highlight w:val="none"/>
          <w14:textFill>
            <w14:solidFill>
              <w14:schemeClr w14:val="tx1"/>
            </w14:solidFill>
          </w14:textFill>
        </w:rPr>
        <w:t>期</w:t>
      </w:r>
    </w:p>
    <w:p>
      <w:pPr>
        <w:keepNext w:val="0"/>
        <w:keepLines w:val="0"/>
        <w:pageBreakBefore w:val="0"/>
        <w:widowControl/>
        <w:kinsoku/>
        <w:wordWrap/>
        <w:overflowPunct/>
        <w:topLinePunct w:val="0"/>
        <w:autoSpaceDE w:val="0"/>
        <w:autoSpaceDN w:val="0"/>
        <w:bidi w:val="0"/>
        <w:adjustRightInd w:val="0"/>
        <w:snapToGrid w:val="0"/>
        <w:spacing w:line="400" w:lineRule="atLeast"/>
        <w:ind w:left="437" w:leftChars="208" w:firstLine="39" w:firstLineChars="16"/>
        <w:textAlignment w:val="bottom"/>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▲供应商在合同签订后15工作日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完工</w:t>
      </w:r>
      <w:r>
        <w:rPr>
          <w:rFonts w:hint="eastAsia" w:ascii="宋体" w:hAnsi="宋体" w:eastAsia="宋体" w:cs="宋体"/>
          <w:b/>
          <w:bCs/>
          <w:color w:val="000000" w:themeColor="text1"/>
          <w:sz w:val="24"/>
          <w:szCs w:val="24"/>
          <w:highlight w:val="none"/>
          <w:u w:val="single"/>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00" w:lineRule="atLeast"/>
        <w:ind w:left="437" w:leftChars="208" w:firstLine="38" w:firstLineChars="16"/>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交货地点：按采购人指定地点交货。</w:t>
      </w:r>
    </w:p>
    <w:p>
      <w:pPr>
        <w:pStyle w:val="2"/>
        <w:ind w:firstLine="482" w:firstLineChars="200"/>
        <w:rPr>
          <w:rFonts w:hint="eastAsia" w:ascii="宋体" w:hAnsi="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3.免费质保期5年自验收合格之日起计算（质保维保费用已纳入项目报价）。</w:t>
      </w:r>
    </w:p>
    <w:p>
      <w:pPr>
        <w:pStyle w:val="2"/>
        <w:ind w:firstLine="482" w:firstLineChars="200"/>
        <w:rPr>
          <w:rFonts w:hint="default" w:eastAsia="宋体"/>
          <w:b/>
          <w:bCs/>
          <w:color w:val="000000" w:themeColor="text1"/>
          <w:highlight w:val="none"/>
          <w:u w:val="single"/>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4.运维期：免费运维期5年，包括所有运维期免费提供维护、维保等工作。</w:t>
      </w:r>
    </w:p>
    <w:p>
      <w:pPr>
        <w:keepNext w:val="0"/>
        <w:keepLines w:val="0"/>
        <w:pageBreakBefore w:val="0"/>
        <w:kinsoku/>
        <w:wordWrap/>
        <w:overflowPunct/>
        <w:topLinePunct w:val="0"/>
        <w:bidi w:val="0"/>
        <w:adjustRightInd w:val="0"/>
        <w:snapToGrid w:val="0"/>
        <w:spacing w:line="400" w:lineRule="atLeast"/>
        <w:outlineLvl w:val="1"/>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adjustRightInd w:val="0"/>
        <w:snapToGrid w:val="0"/>
        <w:spacing w:line="400" w:lineRule="atLeast"/>
        <w:outlineLvl w:val="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四、工作范围：</w:t>
      </w:r>
    </w:p>
    <w:p>
      <w:pPr>
        <w:keepNext w:val="0"/>
        <w:keepLines w:val="0"/>
        <w:pageBreakBefore w:val="0"/>
        <w:kinsoku/>
        <w:wordWrap/>
        <w:overflowPunct/>
        <w:topLinePunct w:val="0"/>
        <w:bidi w:val="0"/>
        <w:adjustRightInd w:val="0"/>
        <w:snapToGrid w:val="0"/>
        <w:spacing w:line="400" w:lineRule="atLeas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根据招标文件，各供应商须按国家有关标准及规范完成下列工作：</w:t>
      </w:r>
    </w:p>
    <w:p>
      <w:pPr>
        <w:keepNext w:val="0"/>
        <w:keepLines w:val="0"/>
        <w:pageBreakBefore w:val="0"/>
        <w:tabs>
          <w:tab w:val="left" w:pos="1740"/>
        </w:tabs>
        <w:kinsoku/>
        <w:wordWrap/>
        <w:overflowPunct/>
        <w:topLinePunct w:val="0"/>
        <w:bidi w:val="0"/>
        <w:adjustRightInd w:val="0"/>
        <w:snapToGrid w:val="0"/>
        <w:spacing w:line="400" w:lineRule="atLeast"/>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1.提供完整成套的货物；</w:t>
      </w:r>
    </w:p>
    <w:p>
      <w:pPr>
        <w:keepNext w:val="0"/>
        <w:keepLines w:val="0"/>
        <w:pageBreakBefore w:val="0"/>
        <w:kinsoku/>
        <w:wordWrap/>
        <w:overflowPunct/>
        <w:topLinePunct w:val="0"/>
        <w:bidi w:val="0"/>
        <w:adjustRightInd w:val="0"/>
        <w:snapToGrid w:val="0"/>
        <w:spacing w:line="400" w:lineRule="atLeast"/>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2.产品及相关附件的提供、运输、装卸、就位、检验、通过验收；</w:t>
      </w:r>
    </w:p>
    <w:p>
      <w:pPr>
        <w:keepNext w:val="0"/>
        <w:keepLines w:val="0"/>
        <w:pageBreakBefore w:val="0"/>
        <w:tabs>
          <w:tab w:val="left" w:pos="1740"/>
        </w:tabs>
        <w:kinsoku/>
        <w:wordWrap/>
        <w:overflowPunct/>
        <w:topLinePunct w:val="0"/>
        <w:bidi w:val="0"/>
        <w:adjustRightInd w:val="0"/>
        <w:snapToGrid w:val="0"/>
        <w:spacing w:line="400" w:lineRule="atLeast"/>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3.在买方的配合下通过的验收，提供各种资料直至通过验收；</w:t>
      </w:r>
    </w:p>
    <w:p>
      <w:pPr>
        <w:keepNext w:val="0"/>
        <w:keepLines w:val="0"/>
        <w:pageBreakBefore w:val="0"/>
        <w:kinsoku/>
        <w:wordWrap/>
        <w:overflowPunct/>
        <w:topLinePunct w:val="0"/>
        <w:bidi w:val="0"/>
        <w:adjustRightInd w:val="0"/>
        <w:snapToGrid w:val="0"/>
        <w:spacing w:line="400" w:lineRule="atLeast"/>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4.质保期内维保；</w:t>
      </w:r>
    </w:p>
    <w:p>
      <w:pPr>
        <w:keepNext w:val="0"/>
        <w:keepLines w:val="0"/>
        <w:pageBreakBefore w:val="0"/>
        <w:kinsoku/>
        <w:wordWrap/>
        <w:overflowPunct/>
        <w:topLinePunct w:val="0"/>
        <w:bidi w:val="0"/>
        <w:adjustRightInd w:val="0"/>
        <w:snapToGrid w:val="0"/>
        <w:spacing w:line="400" w:lineRule="atLeast"/>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5.售后服务的措施及承诺。</w:t>
      </w: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pPr>
        <w:pStyle w:val="2"/>
        <w:rPr>
          <w:rFonts w:hint="eastAsia" w:ascii="宋体"/>
          <w:b/>
          <w:color w:val="000000" w:themeColor="text1"/>
          <w:kern w:val="0"/>
          <w:sz w:val="36"/>
          <w:highlight w:val="none"/>
          <w14:textFill>
            <w14:solidFill>
              <w14:schemeClr w14:val="tx1"/>
            </w14:solidFill>
          </w14:textFill>
        </w:rPr>
      </w:pPr>
    </w:p>
    <w:p>
      <w:pPr>
        <w:pStyle w:val="3"/>
        <w:rPr>
          <w:rFonts w:hint="eastAsia" w:ascii="宋体"/>
          <w:b/>
          <w:color w:val="000000" w:themeColor="text1"/>
          <w:kern w:val="0"/>
          <w:sz w:val="36"/>
          <w:highlight w:val="none"/>
          <w14:textFill>
            <w14:solidFill>
              <w14:schemeClr w14:val="tx1"/>
            </w14:solidFill>
          </w14:textFill>
        </w:rPr>
      </w:pPr>
    </w:p>
    <w:p>
      <w:pPr>
        <w:rPr>
          <w:rFonts w:hint="eastAsia" w:ascii="宋体"/>
          <w:b/>
          <w:color w:val="000000" w:themeColor="text1"/>
          <w:kern w:val="0"/>
          <w:sz w:val="36"/>
          <w:highlight w:val="none"/>
          <w14:textFill>
            <w14:solidFill>
              <w14:schemeClr w14:val="tx1"/>
            </w14:solidFill>
          </w14:textFill>
        </w:rPr>
      </w:pPr>
    </w:p>
    <w:p>
      <w:pPr>
        <w:pStyle w:val="2"/>
        <w:rPr>
          <w:rFonts w:hint="eastAsia" w:ascii="宋体"/>
          <w:b/>
          <w:color w:val="000000" w:themeColor="text1"/>
          <w:kern w:val="0"/>
          <w:sz w:val="36"/>
          <w:highlight w:val="none"/>
          <w14:textFill>
            <w14:solidFill>
              <w14:schemeClr w14:val="tx1"/>
            </w14:solidFill>
          </w14:textFill>
        </w:rPr>
      </w:pPr>
    </w:p>
    <w:p>
      <w:pPr>
        <w:pStyle w:val="3"/>
        <w:rPr>
          <w:rFonts w:hint="eastAsia"/>
          <w:color w:val="000000" w:themeColor="text1"/>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r>
        <w:rPr>
          <w:rFonts w:hint="eastAsia" w:ascii="宋体"/>
          <w:b/>
          <w:color w:val="000000" w:themeColor="text1"/>
          <w:kern w:val="0"/>
          <w:sz w:val="36"/>
          <w:highlight w:val="none"/>
          <w14:textFill>
            <w14:solidFill>
              <w14:schemeClr w14:val="tx1"/>
            </w14:solidFill>
          </w14:textFill>
        </w:rPr>
        <w:t>第四章  政府采购合同主要条款指引</w:t>
      </w:r>
    </w:p>
    <w:p>
      <w:pPr>
        <w:widowControl/>
        <w:shd w:val="clear" w:color="auto" w:fill="FFFFFF"/>
        <w:spacing w:after="150" w:line="40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项目名称：                                  项目编号：</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甲方：（采购人）                            所在地：                              </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乙方：（成交供应商）                        所在地：</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甲、乙双方根据××(采购组织机构名称）关于××单位××项目竞争性谈判的结果，签署本合同。</w:t>
      </w:r>
    </w:p>
    <w:p>
      <w:pPr>
        <w:spacing w:line="40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一、合同文件： </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1.合同条款。</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2.成交通知书。</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3.更正补充文件。</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4.竞争性谈判文件。</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5.成交供应商询价响应文件。</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6.其他。</w:t>
      </w:r>
    </w:p>
    <w:p>
      <w:pPr>
        <w:pStyle w:val="12"/>
        <w:snapToGrid w:val="0"/>
        <w:spacing w:line="400" w:lineRule="exact"/>
        <w:ind w:firstLine="480" w:firstLineChars="200"/>
        <w:rPr>
          <w:rFonts w:hAnsi="宋体" w:cs="宋体"/>
          <w:color w:val="000000" w:themeColor="text1"/>
          <w:sz w:val="24"/>
          <w:highlight w:val="none"/>
          <w:lang w:val="zh-CN"/>
          <w14:textFill>
            <w14:solidFill>
              <w14:schemeClr w14:val="tx1"/>
            </w14:solidFill>
          </w14:textFill>
        </w:rPr>
      </w:pPr>
      <w:r>
        <w:rPr>
          <w:rFonts w:hint="eastAsia" w:hAnsi="宋体" w:cs="宋体"/>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二、货物内容</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货物名称：</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型号规格：</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技术参数：</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数量（单位）：</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三、合同金额</w:t>
      </w:r>
    </w:p>
    <w:p>
      <w:pPr>
        <w:pStyle w:val="12"/>
        <w:snapToGrid w:val="0"/>
        <w:spacing w:before="120" w:after="120" w:line="400" w:lineRule="exact"/>
        <w:ind w:left="410" w:hanging="410" w:hangingChars="17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本合同金额为（大写）：____________________________________元（￥_______________元）人民币。</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四、技术资料</w:t>
      </w:r>
    </w:p>
    <w:p>
      <w:pPr>
        <w:pStyle w:val="12"/>
        <w:snapToGrid w:val="0"/>
        <w:spacing w:before="120" w:after="120" w:line="400" w:lineRule="exact"/>
        <w:ind w:left="410" w:hanging="410" w:hangingChars="17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1.乙方应按竞争性谈判采购文件规定的时间向甲方提供使用货物的有关技术资料。</w:t>
      </w:r>
    </w:p>
    <w:p>
      <w:pPr>
        <w:pStyle w:val="12"/>
        <w:snapToGrid w:val="0"/>
        <w:spacing w:before="120" w:after="120" w:line="400" w:lineRule="exact"/>
        <w:ind w:left="410" w:hanging="410" w:hangingChars="17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before="120" w:after="120" w:line="400" w:lineRule="exact"/>
        <w:ind w:left="412" w:hanging="412" w:hangingChars="17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五、知识产权</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1.乙方应保证所提供的货物或其任何一部分均不会侵犯任何第三方的知识产权。</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2.若侵犯,由乙方赔偿甲方因此遭受的损失（包括但不限于应对及追偿过程中所支付的律师费、差旅费、诉讼费、保全费、鉴定费、评估费等）。</w:t>
      </w:r>
    </w:p>
    <w:p>
      <w:pPr>
        <w:pStyle w:val="12"/>
        <w:snapToGrid w:val="0"/>
        <w:spacing w:before="120" w:after="120" w:line="400" w:lineRule="exact"/>
        <w:rPr>
          <w:rFonts w:hAnsi="宋体" w:cs="宋体"/>
          <w:color w:val="000000" w:themeColor="text1"/>
          <w:sz w:val="24"/>
          <w:highlight w:val="none"/>
          <w:u w:val="singl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六、产权担保</w:t>
      </w:r>
    </w:p>
    <w:p>
      <w:pPr>
        <w:pStyle w:val="12"/>
        <w:snapToGrid w:val="0"/>
        <w:spacing w:before="120" w:after="120" w:line="400" w:lineRule="exact"/>
        <w:rPr>
          <w:rFonts w:hAnsi="宋体" w:cs="宋体"/>
          <w:color w:val="000000" w:themeColor="text1"/>
          <w:sz w:val="24"/>
          <w:highlight w:val="none"/>
          <w:u w:val="singl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乙方保证所交付的货物的所有权完全属于乙方且无任何抵押、查封等产权瑕疵。</w:t>
      </w:r>
    </w:p>
    <w:p>
      <w:pPr>
        <w:pStyle w:val="12"/>
        <w:snapToGrid w:val="0"/>
        <w:spacing w:before="120" w:after="120" w:line="400" w:lineRule="exact"/>
        <w:ind w:left="410" w:hanging="410" w:hangingChars="17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七、履约保证金</w:t>
      </w:r>
    </w:p>
    <w:p>
      <w:pPr>
        <w:tabs>
          <w:tab w:val="left" w:pos="1418"/>
        </w:tabs>
        <w:autoSpaceDE w:val="0"/>
        <w:autoSpaceDN w:val="0"/>
        <w:adjustRightInd w:val="0"/>
        <w:spacing w:line="40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合同签订前，乙方缴纳合同金额5%至采购人账户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服务期5年结束，无质量问题采购人无息一次性退还履约保证金。</w:t>
      </w:r>
    </w:p>
    <w:p>
      <w:pPr>
        <w:pStyle w:val="12"/>
        <w:snapToGrid w:val="0"/>
        <w:spacing w:before="120" w:after="120" w:line="400" w:lineRule="exact"/>
        <w:ind w:left="410" w:hanging="410" w:hangingChars="17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八、转包或分包</w:t>
      </w:r>
    </w:p>
    <w:p>
      <w:pPr>
        <w:snapToGrid w:val="0"/>
        <w:spacing w:before="156" w:beforeLines="50" w:after="156" w:afterLines="5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1.本合同范围的货物，应由乙方直接供应，不得转让他人供应；</w:t>
      </w:r>
    </w:p>
    <w:p>
      <w:pPr>
        <w:snapToGrid w:val="0"/>
        <w:spacing w:before="156" w:beforeLines="50" w:after="156" w:afterLines="5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2.除非得到甲方的书面同意，乙方不得将本合同范围的货物全部或部分分包给他人供应；</w:t>
      </w:r>
    </w:p>
    <w:p>
      <w:pPr>
        <w:snapToGrid w:val="0"/>
        <w:spacing w:before="156" w:beforeLines="50" w:after="156" w:afterLines="5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九、质保期</w:t>
      </w:r>
    </w:p>
    <w:p>
      <w:pPr>
        <w:pStyle w:val="12"/>
        <w:snapToGrid w:val="0"/>
        <w:spacing w:before="120" w:after="120" w:line="400" w:lineRule="exact"/>
        <w:ind w:left="410" w:hanging="410" w:hangingChars="17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质保期___年。（自交货验收合格之日起计）</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十、交货期、交货方式及交货地点</w:t>
      </w:r>
    </w:p>
    <w:p>
      <w:pPr>
        <w:pStyle w:val="12"/>
        <w:snapToGrid w:val="0"/>
        <w:spacing w:before="120" w:after="120" w:line="400" w:lineRule="exact"/>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 交货期：</w:t>
      </w:r>
    </w:p>
    <w:p>
      <w:pPr>
        <w:pStyle w:val="12"/>
        <w:snapToGrid w:val="0"/>
        <w:spacing w:before="120" w:after="120" w:line="400" w:lineRule="exact"/>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2. 交货方式：</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3. 交货地点：</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十一、货款支付</w:t>
      </w:r>
    </w:p>
    <w:p>
      <w:pPr>
        <w:pStyle w:val="12"/>
        <w:snapToGrid w:val="0"/>
        <w:spacing w:before="120" w:after="120" w:line="400" w:lineRule="exact"/>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 付款方式：见招标文件</w:t>
      </w:r>
    </w:p>
    <w:p>
      <w:pPr>
        <w:snapToGrid w:val="0"/>
        <w:spacing w:before="156" w:beforeLines="50" w:after="156" w:afterLines="50"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十二、税费</w:t>
      </w:r>
    </w:p>
    <w:p>
      <w:pPr>
        <w:snapToGrid w:val="0"/>
        <w:spacing w:before="156" w:beforeLines="50" w:after="156" w:afterLines="50"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pPr>
        <w:pStyle w:val="12"/>
        <w:snapToGrid w:val="0"/>
        <w:spacing w:before="120" w:after="120" w:line="400" w:lineRule="exact"/>
        <w:ind w:left="412" w:hanging="412" w:hangingChars="171"/>
        <w:rPr>
          <w:rFonts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十三、质量保证及售后服务</w:t>
      </w:r>
    </w:p>
    <w:p>
      <w:pPr>
        <w:pStyle w:val="12"/>
        <w:snapToGrid w:val="0"/>
        <w:spacing w:before="120" w:after="120" w:line="400" w:lineRule="exact"/>
        <w:ind w:left="410" w:hanging="410" w:hangingChars="17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乙方应按竞争性谈判采购文件规定的货物性能、技术要求、质量标准向甲方提供未经使用的全新产品。</w:t>
      </w:r>
    </w:p>
    <w:p>
      <w:pPr>
        <w:pStyle w:val="12"/>
        <w:snapToGrid w:val="0"/>
        <w:spacing w:before="120" w:after="120" w:line="400" w:lineRule="exact"/>
        <w:ind w:left="480" w:hanging="480" w:hanging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乙方提供的货物在质保期内因货物本身的质量问题发生故障，乙方应负责免费更换。对达不到技术要求者，根据实际情况，经双方协商，可按以下办法处理：</w:t>
      </w:r>
    </w:p>
    <w:p>
      <w:pPr>
        <w:pStyle w:val="12"/>
        <w:snapToGrid w:val="0"/>
        <w:spacing w:before="120" w:after="120" w:line="400" w:lineRule="exact"/>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⑴更换：由乙方承担所发生的全部费用。</w:t>
      </w:r>
    </w:p>
    <w:p>
      <w:pPr>
        <w:pStyle w:val="12"/>
        <w:snapToGrid w:val="0"/>
        <w:spacing w:before="120" w:after="120" w:line="400" w:lineRule="exact"/>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⑵贬值处理：由甲乙双方合议定价。</w:t>
      </w:r>
    </w:p>
    <w:p>
      <w:pPr>
        <w:pStyle w:val="12"/>
        <w:snapToGrid w:val="0"/>
        <w:spacing w:before="120" w:after="120" w:line="400" w:lineRule="exact"/>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如在使用过程中发生质量问题，乙方在接到甲方通知后在</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小时内到达甲方</w:t>
      </w:r>
    </w:p>
    <w:p>
      <w:pPr>
        <w:pStyle w:val="12"/>
        <w:snapToGrid w:val="0"/>
        <w:spacing w:before="120" w:after="120" w:line="400" w:lineRule="exact"/>
        <w:ind w:firstLine="360" w:firstLineChars="1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现场。</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在质保期内，乙方应对货物出现的质量及安全问题负责处理解决并承担一切</w:t>
      </w:r>
    </w:p>
    <w:p>
      <w:pPr>
        <w:pStyle w:val="12"/>
        <w:snapToGrid w:val="0"/>
        <w:spacing w:before="120" w:after="120" w:line="400" w:lineRule="exact"/>
        <w:ind w:firstLine="360" w:firstLineChars="1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费用。</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5.上述的货物免费保修期为年，因人为因素出现的故障不在免费保修范围</w:t>
      </w:r>
    </w:p>
    <w:p>
      <w:pPr>
        <w:pStyle w:val="12"/>
        <w:snapToGrid w:val="0"/>
        <w:spacing w:before="120" w:after="120" w:line="400" w:lineRule="exact"/>
        <w:ind w:firstLine="240" w:firstLineChars="1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内。超过保修期的机器设备，终生维修，维修时只收部件成本费。</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十四、调试和验收</w:t>
      </w:r>
    </w:p>
    <w:p>
      <w:pPr>
        <w:pStyle w:val="12"/>
        <w:snapToGrid w:val="0"/>
        <w:spacing w:before="120" w:after="120" w:line="400" w:lineRule="exact"/>
        <w:ind w:left="240" w:hanging="240" w:hangingChars="1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甲方对乙方提交的货物依据竞争性谈判采购文件上的技术规格要求和国家有关质量标准进行现场初步验收，外观、说明书符合竞争性谈判采购文件技术要求的，给予签收，初步验收不合格的不予签收。货到后，甲方需在</w:t>
      </w:r>
      <w:r>
        <w:rPr>
          <w:rFonts w:hint="eastAsia" w:hAnsi="宋体" w:cs="宋体"/>
          <w:color w:val="000000" w:themeColor="text1"/>
          <w:sz w:val="24"/>
          <w:highlight w:val="none"/>
          <w:u w:val="single"/>
          <w14:textFill>
            <w14:solidFill>
              <w14:schemeClr w14:val="tx1"/>
            </w14:solidFill>
          </w14:textFill>
        </w:rPr>
        <w:t>五</w:t>
      </w:r>
      <w:r>
        <w:rPr>
          <w:rFonts w:hint="eastAsia" w:hAnsi="宋体" w:cs="宋体"/>
          <w:color w:val="000000" w:themeColor="text1"/>
          <w:sz w:val="24"/>
          <w:highlight w:val="none"/>
          <w14:textFill>
            <w14:solidFill>
              <w14:schemeClr w14:val="tx1"/>
            </w14:solidFill>
          </w14:textFill>
        </w:rPr>
        <w:t>个工作日内验收。</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乙方交货前应对产品作出全面检查和对验收文件进行整理，并列出清单，作</w:t>
      </w:r>
    </w:p>
    <w:p>
      <w:pPr>
        <w:pStyle w:val="12"/>
        <w:snapToGrid w:val="0"/>
        <w:spacing w:before="120" w:after="120" w:line="400" w:lineRule="exact"/>
        <w:ind w:firstLine="360" w:firstLineChars="1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为甲方收货验收和使用的技术条件依据，检验的结果应随货物交甲方。</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甲方对乙方提供的货物在使用前进行调试时，乙方需负责安装并培训甲方的</w:t>
      </w:r>
    </w:p>
    <w:p>
      <w:pPr>
        <w:pStyle w:val="12"/>
        <w:snapToGrid w:val="0"/>
        <w:spacing w:before="120" w:after="120" w:line="400" w:lineRule="exact"/>
        <w:ind w:firstLine="360" w:firstLineChars="1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使用操作人员，并协助甲方一起调试，直到符合技术要求，甲方才做最终验</w:t>
      </w:r>
    </w:p>
    <w:p>
      <w:pPr>
        <w:pStyle w:val="12"/>
        <w:snapToGrid w:val="0"/>
        <w:spacing w:before="120" w:after="120" w:line="400" w:lineRule="exact"/>
        <w:ind w:firstLine="360" w:firstLineChars="150"/>
        <w:rPr>
          <w:rFonts w:hAnsi="宋体" w:cs="宋体"/>
          <w:color w:val="000000" w:themeColor="text1"/>
          <w:sz w:val="24"/>
          <w:highlight w:val="none"/>
          <w:u w:val="singl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收。</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4.对技术复杂的货物，甲方应请国家认可的专业检测机构参与初步验收及最终</w:t>
      </w:r>
    </w:p>
    <w:p>
      <w:pPr>
        <w:pStyle w:val="12"/>
        <w:snapToGrid w:val="0"/>
        <w:spacing w:before="120" w:after="120" w:line="400" w:lineRule="exact"/>
        <w:ind w:firstLine="360" w:firstLineChars="1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验收，并由其出具质量检测报告。</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5.验收时乙方必须在现场，验收完毕后作出验收结果报告；验收费用由甲方负</w:t>
      </w:r>
    </w:p>
    <w:p>
      <w:pPr>
        <w:pStyle w:val="12"/>
        <w:snapToGrid w:val="0"/>
        <w:spacing w:before="120" w:after="120" w:line="400" w:lineRule="exact"/>
        <w:ind w:firstLine="360" w:firstLineChars="1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责。</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十五、货物包装、发运及运输</w:t>
      </w:r>
    </w:p>
    <w:p>
      <w:pPr>
        <w:pStyle w:val="12"/>
        <w:snapToGrid w:val="0"/>
        <w:spacing w:before="120" w:after="120" w:line="400" w:lineRule="exact"/>
        <w:ind w:left="480" w:hanging="480" w:hanging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乙方应在货物发运前对其进行满足运输距离、防潮、防震、防锈和防破损装卸等要求包装，以保证货物安全运达甲方指定地点。</w:t>
      </w:r>
    </w:p>
    <w:p>
      <w:pPr>
        <w:pStyle w:val="12"/>
        <w:snapToGrid w:val="0"/>
        <w:spacing w:before="120" w:after="120" w:line="400" w:lineRule="exact"/>
        <w:ind w:left="480" w:hanging="480" w:hanging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使用说明书、质量检验证明书、随配附件和工具以及清单一并附于货物内。</w:t>
      </w:r>
    </w:p>
    <w:p>
      <w:pPr>
        <w:pStyle w:val="12"/>
        <w:snapToGrid w:val="0"/>
        <w:spacing w:before="120" w:after="120" w:line="400" w:lineRule="exact"/>
        <w:ind w:left="480" w:hanging="480" w:hanging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乙方在货物发运手续办理完毕后24小时内或货到甲方48小时前通知甲方，以准备接货。</w:t>
      </w:r>
    </w:p>
    <w:p>
      <w:pPr>
        <w:pStyle w:val="12"/>
        <w:snapToGrid w:val="0"/>
        <w:spacing w:before="120" w:after="120" w:line="400" w:lineRule="exact"/>
        <w:ind w:left="480" w:hanging="480" w:hanging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货物在交付甲方前发生的风险均由乙方负责。</w:t>
      </w:r>
    </w:p>
    <w:p>
      <w:pPr>
        <w:pStyle w:val="12"/>
        <w:snapToGrid w:val="0"/>
        <w:spacing w:line="400" w:lineRule="exact"/>
        <w:ind w:left="480" w:right="26" w:hanging="480" w:hanging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 货物在规定的交付期限内由乙方送达甲方指定的地点视为交付，乙方同时需</w:t>
      </w:r>
    </w:p>
    <w:p>
      <w:pPr>
        <w:pStyle w:val="12"/>
        <w:snapToGrid w:val="0"/>
        <w:spacing w:line="400" w:lineRule="exact"/>
        <w:ind w:left="479" w:leftChars="171" w:right="26" w:hanging="120" w:hangingChars="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通知甲方货物已送达。</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十六、违约责任</w:t>
      </w:r>
    </w:p>
    <w:p>
      <w:pPr>
        <w:pStyle w:val="12"/>
        <w:snapToGrid w:val="0"/>
        <w:spacing w:before="120" w:after="120" w:line="400" w:lineRule="exact"/>
        <w:ind w:left="410" w:hanging="410" w:hangingChars="17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甲方无正当理由拒收货物的，甲方向乙方偿付拒收货款总值的</w:t>
      </w:r>
      <w:r>
        <w:rPr>
          <w:rFonts w:hint="eastAsia" w:hAnsi="宋体" w:cs="宋体"/>
          <w:color w:val="000000" w:themeColor="text1"/>
          <w:sz w:val="24"/>
          <w:highlight w:val="none"/>
          <w:u w:val="single"/>
          <w14:textFill>
            <w14:solidFill>
              <w14:schemeClr w14:val="tx1"/>
            </w14:solidFill>
          </w14:textFill>
        </w:rPr>
        <w:t xml:space="preserve">百分之  </w:t>
      </w:r>
      <w:r>
        <w:rPr>
          <w:rFonts w:hint="eastAsia" w:hAnsi="宋体" w:cs="宋体"/>
          <w:color w:val="000000" w:themeColor="text1"/>
          <w:sz w:val="24"/>
          <w:highlight w:val="none"/>
          <w14:textFill>
            <w14:solidFill>
              <w14:schemeClr w14:val="tx1"/>
            </w14:solidFill>
          </w14:textFill>
        </w:rPr>
        <w:t>违约金。</w:t>
      </w:r>
    </w:p>
    <w:p>
      <w:pPr>
        <w:pStyle w:val="12"/>
        <w:snapToGrid w:val="0"/>
        <w:spacing w:before="120" w:after="120" w:line="400" w:lineRule="exact"/>
        <w:ind w:left="410" w:hanging="410" w:hangingChars="17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甲方无故逾期验收和办理货款支付手续的,甲方应按逾期付款总额每日</w:t>
      </w:r>
      <w:r>
        <w:rPr>
          <w:rFonts w:hint="eastAsia" w:hAnsi="宋体" w:cs="宋体"/>
          <w:color w:val="000000" w:themeColor="text1"/>
          <w:sz w:val="24"/>
          <w:highlight w:val="none"/>
          <w:u w:val="single"/>
          <w14:textFill>
            <w14:solidFill>
              <w14:schemeClr w14:val="tx1"/>
            </w14:solidFill>
          </w14:textFill>
        </w:rPr>
        <w:t xml:space="preserve">万分之  </w:t>
      </w:r>
      <w:r>
        <w:rPr>
          <w:rFonts w:hint="eastAsia" w:hAnsi="宋体" w:cs="宋体"/>
          <w:color w:val="000000" w:themeColor="text1"/>
          <w:sz w:val="24"/>
          <w:highlight w:val="none"/>
          <w14:textFill>
            <w14:solidFill>
              <w14:schemeClr w14:val="tx1"/>
            </w14:solidFill>
          </w14:textFill>
        </w:rPr>
        <w:t>向乙方支付违约金。</w:t>
      </w:r>
    </w:p>
    <w:p>
      <w:pPr>
        <w:pStyle w:val="12"/>
        <w:snapToGrid w:val="0"/>
        <w:spacing w:before="120" w:after="120" w:line="400" w:lineRule="exact"/>
        <w:ind w:left="410" w:hanging="410" w:hangingChars="17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乙方逾期交付货物的，乙方应按逾期交货总额每日</w:t>
      </w:r>
      <w:r>
        <w:rPr>
          <w:rFonts w:hint="eastAsia" w:hAnsi="宋体" w:cs="宋体"/>
          <w:color w:val="000000" w:themeColor="text1"/>
          <w:sz w:val="24"/>
          <w:highlight w:val="none"/>
          <w:u w:val="single"/>
          <w14:textFill>
            <w14:solidFill>
              <w14:schemeClr w14:val="tx1"/>
            </w14:solidFill>
          </w14:textFill>
        </w:rPr>
        <w:t xml:space="preserve">千分之  </w:t>
      </w:r>
      <w:r>
        <w:rPr>
          <w:rFonts w:hint="eastAsia" w:hAnsi="宋体" w:cs="宋体"/>
          <w:color w:val="000000" w:themeColor="text1"/>
          <w:sz w:val="24"/>
          <w:highlight w:val="none"/>
          <w14:textFill>
            <w14:solidFill>
              <w14:schemeClr w14:val="tx1"/>
            </w14:solidFill>
          </w14:textFill>
        </w:rPr>
        <w:t>向甲方支付违约金，由甲方从待付货款中扣除。逾期超过约定日期</w:t>
      </w:r>
      <w:r>
        <w:rPr>
          <w:rFonts w:hint="eastAsia" w:hAnsi="宋体" w:cs="宋体"/>
          <w:color w:val="000000" w:themeColor="text1"/>
          <w:sz w:val="24"/>
          <w:highlight w:val="none"/>
          <w:u w:val="single"/>
          <w14:textFill>
            <w14:solidFill>
              <w14:schemeClr w14:val="tx1"/>
            </w14:solidFill>
          </w14:textFill>
        </w:rPr>
        <w:t>10</w:t>
      </w:r>
      <w:r>
        <w:rPr>
          <w:rFonts w:hint="eastAsia" w:hAnsi="宋体" w:cs="宋体"/>
          <w:color w:val="000000" w:themeColor="text1"/>
          <w:sz w:val="24"/>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hint="eastAsia" w:hAnsi="宋体" w:cs="宋体"/>
          <w:color w:val="000000" w:themeColor="text1"/>
          <w:sz w:val="24"/>
          <w:highlight w:val="none"/>
          <w:u w:val="single"/>
          <w14:textFill>
            <w14:solidFill>
              <w14:schemeClr w14:val="tx1"/>
            </w14:solidFill>
          </w14:textFill>
        </w:rPr>
        <w:t>5%</w:t>
      </w:r>
      <w:r>
        <w:rPr>
          <w:rFonts w:hint="eastAsia" w:hAnsi="宋体" w:cs="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2"/>
        <w:snapToGrid w:val="0"/>
        <w:spacing w:before="120" w:after="120" w:line="400" w:lineRule="exact"/>
        <w:ind w:left="410" w:hanging="410" w:hangingChars="17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乙方所交的货物品种、型号、规格、技术参数、质量不符合合同规定及竞争性谈判采购文件规定标准的，甲方有权拒收该货物，乙方愿意更换货物但逾期交货的，按乙方逾期交货处理。乙方拒绝更换货物的，甲方可单方面解除合同。</w:t>
      </w:r>
    </w:p>
    <w:p>
      <w:pPr>
        <w:pStyle w:val="12"/>
        <w:snapToGrid w:val="0"/>
        <w:spacing w:before="120" w:after="120" w:line="400" w:lineRule="exact"/>
        <w:ind w:left="410" w:hanging="410" w:hangingChars="17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5.若发生纠纷，由违约方赔偿守约方因纠纷所支付的费用（包括但不限于律师费、差旅费、诉讼费、保全费、鉴定费、评估费等）</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十七、不可抗力事件处理</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在合同有效期内，任何一方因不可抗力事件导致不能履行合同，则合同履行</w:t>
      </w:r>
    </w:p>
    <w:p>
      <w:pPr>
        <w:pStyle w:val="12"/>
        <w:snapToGrid w:val="0"/>
        <w:spacing w:before="120" w:after="120" w:line="400" w:lineRule="exact"/>
        <w:ind w:firstLine="360" w:firstLineChars="1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期可延长，其延长期与不可抗力影响期相同。</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不可抗力事件发生后，应立即通知对方，并寄送有关权威机构出具的证明。</w:t>
      </w:r>
    </w:p>
    <w:p>
      <w:pPr>
        <w:pStyle w:val="12"/>
        <w:snapToGrid w:val="0"/>
        <w:spacing w:before="120" w:after="120" w:line="4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不可抗力事件延续120天以上，双方应通过友好协商，确定是否继续履行合</w:t>
      </w:r>
    </w:p>
    <w:p>
      <w:pPr>
        <w:pStyle w:val="12"/>
        <w:snapToGrid w:val="0"/>
        <w:spacing w:before="120" w:after="120" w:line="400" w:lineRule="exact"/>
        <w:ind w:firstLine="360" w:firstLineChars="15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同。</w:t>
      </w:r>
    </w:p>
    <w:p>
      <w:pPr>
        <w:pStyle w:val="12"/>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十八、解决争议的方法</w:t>
      </w:r>
    </w:p>
    <w:p>
      <w:pPr>
        <w:pStyle w:val="12"/>
        <w:snapToGrid w:val="0"/>
        <w:spacing w:before="120" w:after="120" w:line="400" w:lineRule="exact"/>
        <w:rPr>
          <w:rFonts w:hAnsi="宋体" w:cs="宋体"/>
          <w:color w:val="000000" w:themeColor="text1"/>
          <w:kern w:val="0"/>
          <w:sz w:val="24"/>
          <w:highlight w:val="none"/>
          <w:lang w:bidi="ar"/>
          <w14:textFill>
            <w14:solidFill>
              <w14:schemeClr w14:val="tx1"/>
            </w14:solidFill>
          </w14:textFill>
        </w:rPr>
      </w:pPr>
      <w:r>
        <w:rPr>
          <w:rFonts w:hint="eastAsia" w:hAnsi="宋体" w:cs="宋体"/>
          <w:color w:val="000000" w:themeColor="text1"/>
          <w:kern w:val="0"/>
          <w:sz w:val="24"/>
          <w:highlight w:val="none"/>
          <w:lang w:bidi="ar"/>
          <w14:textFill>
            <w14:solidFill>
              <w14:schemeClr w14:val="tx1"/>
            </w14:solidFill>
          </w14:textFill>
        </w:rPr>
        <w:t>1. 如双方在履行合同时发生纠纷，应协商解决；协商不成时，可提请政府采购管理部门调解；调解不成的，依法向玉环市人民法院提起诉讼。</w:t>
      </w:r>
    </w:p>
    <w:p>
      <w:pPr>
        <w:pStyle w:val="12"/>
        <w:tabs>
          <w:tab w:val="left" w:pos="5790"/>
        </w:tabs>
        <w:snapToGrid w:val="0"/>
        <w:spacing w:before="120" w:after="120" w:line="400" w:lineRule="exact"/>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十九、合同生效及其它</w:t>
      </w:r>
      <w:r>
        <w:rPr>
          <w:rFonts w:hint="eastAsia" w:hAnsi="宋体" w:cs="宋体"/>
          <w:b/>
          <w:color w:val="000000" w:themeColor="text1"/>
          <w:sz w:val="24"/>
          <w:highlight w:val="none"/>
          <w14:textFill>
            <w14:solidFill>
              <w14:schemeClr w14:val="tx1"/>
            </w14:solidFill>
          </w14:textFill>
        </w:rPr>
        <w:tab/>
      </w:r>
    </w:p>
    <w:p>
      <w:pPr>
        <w:pStyle w:val="2"/>
        <w:widowControl/>
        <w:spacing w:line="400" w:lineRule="exact"/>
        <w:ind w:right="-8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合同经双方法定代表人或授权代表签字并加盖单位公章后生效。</w:t>
      </w:r>
    </w:p>
    <w:p>
      <w:pPr>
        <w:pStyle w:val="2"/>
        <w:widowControl/>
        <w:spacing w:line="400" w:lineRule="exact"/>
        <w:ind w:right="-8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本合同未尽事宜，遵照《合同法》有关条文执行。</w:t>
      </w:r>
    </w:p>
    <w:p>
      <w:pPr>
        <w:pStyle w:val="2"/>
        <w:widowControl/>
        <w:spacing w:line="400" w:lineRule="exact"/>
        <w:ind w:right="-88"/>
        <w:rPr>
          <w:rFonts w:ascii="宋体" w:hAnsi="宋体" w:cs="宋体"/>
          <w:bCs/>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3. </w:t>
      </w:r>
      <w:r>
        <w:rPr>
          <w:rFonts w:hint="eastAsia" w:ascii="宋体" w:hAnsi="宋体" w:cs="宋体"/>
          <w:bCs/>
          <w:color w:val="000000" w:themeColor="text1"/>
          <w:highlight w:val="none"/>
          <w14:textFill>
            <w14:solidFill>
              <w14:schemeClr w14:val="tx1"/>
            </w14:solidFill>
          </w14:textFill>
        </w:rPr>
        <w:t>本合同一式四份。甲、乙双方各执一份，采购组织机构及同级人民政府财政部门各执一份。本项目未尽事宜以竞争性谈判采购文件、询价响应文件及澄清文件等为准。</w:t>
      </w:r>
    </w:p>
    <w:p>
      <w:pPr>
        <w:widowControl/>
        <w:spacing w:line="400" w:lineRule="exact"/>
        <w:rPr>
          <w:rFonts w:ascii="宋体" w:hAnsi="宋体" w:cs="宋体"/>
          <w:b/>
          <w:color w:val="000000" w:themeColor="text1"/>
          <w:sz w:val="24"/>
          <w:highlight w:val="none"/>
          <w14:textFill>
            <w14:solidFill>
              <w14:schemeClr w14:val="tx1"/>
            </w14:solidFill>
          </w14:textFill>
        </w:rPr>
      </w:pP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甲方（公章）                                     乙方（公章）</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                                     委托代理人：</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联系电话：</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帐号：                                           帐号：</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地址及邮编：                                     地址及邮编：</w:t>
      </w:r>
    </w:p>
    <w:p>
      <w:pPr>
        <w:spacing w:line="400" w:lineRule="exact"/>
        <w:rPr>
          <w:rFonts w:ascii="宋体" w:hAnsi="宋体" w:cs="宋体"/>
          <w:color w:val="000000" w:themeColor="text1"/>
          <w:sz w:val="24"/>
          <w:highlight w:val="none"/>
          <w14:textFill>
            <w14:solidFill>
              <w14:schemeClr w14:val="tx1"/>
            </w14:solidFill>
          </w14:textFill>
        </w:rPr>
      </w:pPr>
    </w:p>
    <w:p>
      <w:pPr>
        <w:spacing w:line="400" w:lineRule="exact"/>
        <w:ind w:firstLine="4920" w:firstLineChars="20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年   月    日</w:t>
      </w:r>
    </w:p>
    <w:p>
      <w:pPr>
        <w:spacing w:line="420" w:lineRule="exact"/>
        <w:ind w:firstLine="4920" w:firstLineChars="2050"/>
        <w:rPr>
          <w:rFonts w:ascii="宋体" w:hAnsi="宋体"/>
          <w:color w:val="000000" w:themeColor="text1"/>
          <w:sz w:val="24"/>
          <w:highlight w:val="none"/>
          <w14:textFill>
            <w14:solidFill>
              <w14:schemeClr w14:val="tx1"/>
            </w14:solidFill>
          </w14:textFill>
        </w:rPr>
      </w:pPr>
    </w:p>
    <w:p>
      <w:pPr>
        <w:autoSpaceDE w:val="0"/>
        <w:autoSpaceDN w:val="0"/>
        <w:adjustRightInd w:val="0"/>
        <w:spacing w:line="420" w:lineRule="exact"/>
        <w:rPr>
          <w:rFonts w:ascii="宋体" w:hAnsi="宋体"/>
          <w:b/>
          <w:color w:val="000000" w:themeColor="text1"/>
          <w:kern w:val="0"/>
          <w:sz w:val="30"/>
          <w:highlight w:val="none"/>
          <w14:textFill>
            <w14:solidFill>
              <w14:schemeClr w14:val="tx1"/>
            </w14:solidFill>
          </w14:textFill>
        </w:rPr>
      </w:pPr>
    </w:p>
    <w:p>
      <w:pPr>
        <w:autoSpaceDE w:val="0"/>
        <w:autoSpaceDN w:val="0"/>
        <w:adjustRightInd w:val="0"/>
        <w:spacing w:line="360" w:lineRule="auto"/>
        <w:rPr>
          <w:rFonts w:ascii="宋体" w:hAnsi="宋体"/>
          <w:b/>
          <w:color w:val="000000" w:themeColor="text1"/>
          <w:kern w:val="0"/>
          <w:sz w:val="30"/>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36"/>
          <w:highlight w:val="none"/>
          <w14:textFill>
            <w14:solidFill>
              <w14:schemeClr w14:val="tx1"/>
            </w14:solidFill>
          </w14:textFill>
        </w:rPr>
      </w:pPr>
    </w:p>
    <w:p>
      <w:pPr>
        <w:spacing w:line="360" w:lineRule="auto"/>
        <w:jc w:val="center"/>
        <w:rPr>
          <w:rFonts w:asciiTheme="majorEastAsia" w:hAnsiTheme="majorEastAsia" w:eastAsiaTheme="majorEastAsia"/>
          <w:b/>
          <w:color w:val="000000" w:themeColor="text1"/>
          <w:sz w:val="36"/>
          <w:highlight w:val="none"/>
          <w14:textFill>
            <w14:solidFill>
              <w14:schemeClr w14:val="tx1"/>
            </w14:solidFill>
          </w14:textFill>
        </w:rPr>
      </w:pPr>
      <w:r>
        <w:rPr>
          <w:rFonts w:hint="eastAsia" w:asciiTheme="majorEastAsia" w:hAnsiTheme="majorEastAsia" w:eastAsiaTheme="majorEastAsia"/>
          <w:b/>
          <w:color w:val="000000" w:themeColor="text1"/>
          <w:sz w:val="36"/>
          <w:highlight w:val="none"/>
          <w14:textFill>
            <w14:solidFill>
              <w14:schemeClr w14:val="tx1"/>
            </w14:solidFill>
          </w14:textFill>
        </w:rPr>
        <w:br w:type="page"/>
      </w:r>
    </w:p>
    <w:p>
      <w:pPr>
        <w:spacing w:line="360" w:lineRule="auto"/>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sz w:val="36"/>
          <w:szCs w:val="36"/>
          <w:highlight w:val="none"/>
          <w14:textFill>
            <w14:solidFill>
              <w14:schemeClr w14:val="tx1"/>
            </w14:solidFill>
          </w14:textFill>
        </w:rPr>
        <w:t>第五章  谈判响应文件格式附件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 xml:space="preserve">附件1                              　　　         </w:t>
      </w:r>
    </w:p>
    <w:p>
      <w:pPr>
        <w:snapToGrid w:val="0"/>
        <w:spacing w:before="156" w:beforeLines="50" w:after="50" w:line="360" w:lineRule="auto"/>
        <w:rPr>
          <w:rFonts w:hint="eastAsia" w:ascii="宋体" w:hAnsi="宋体" w:eastAsia="宋体"/>
          <w:color w:val="000000" w:themeColor="text1"/>
          <w:spacing w:val="40"/>
          <w:sz w:val="52"/>
          <w:szCs w:val="52"/>
          <w:highlight w:val="none"/>
          <w:u w:val="single"/>
          <w:lang w:eastAsia="zh-CN"/>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r>
        <w:rPr>
          <w:rFonts w:hint="eastAsia" w:ascii="宋体" w:hAnsi="宋体"/>
          <w:color w:val="000000" w:themeColor="text1"/>
          <w:spacing w:val="40"/>
          <w:sz w:val="52"/>
          <w:szCs w:val="52"/>
          <w:highlight w:val="none"/>
          <w:u w:val="single"/>
          <w:lang w:eastAsia="zh-CN"/>
          <w14:textFill>
            <w14:solidFill>
              <w14:schemeClr w14:val="tx1"/>
            </w14:solidFill>
          </w14:textFill>
        </w:rPr>
        <w:t>玉环市纳规及养殖船舶监控系统</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14:textFill>
            <w14:solidFill>
              <w14:schemeClr w14:val="tx1"/>
            </w14:solidFill>
          </w14:textFill>
        </w:rPr>
        <w:t xml:space="preserve">  </w:t>
      </w:r>
      <w:r>
        <w:rPr>
          <w:rFonts w:hint="eastAsia" w:ascii="宋体" w:hAnsi="宋体"/>
          <w:color w:val="000000" w:themeColor="text1"/>
          <w:sz w:val="36"/>
          <w:szCs w:val="36"/>
          <w:highlight w:val="none"/>
          <w:u w:val="single"/>
          <w:lang w:eastAsia="zh-CN"/>
          <w14:textFill>
            <w14:solidFill>
              <w14:schemeClr w14:val="tx1"/>
            </w14:solidFill>
          </w14:textFill>
        </w:rPr>
        <w:t>HQ-YHZFCG-2021-93</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谈</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判</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响</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应</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文</w:t>
      </w:r>
    </w:p>
    <w:p>
      <w:pPr>
        <w:spacing w:after="100" w:afterAutospacing="1"/>
        <w:ind w:right="-108"/>
        <w:jc w:val="center"/>
        <w:rPr>
          <w:rFonts w:ascii="宋体" w:hAnsi="宋体"/>
          <w:b/>
          <w:color w:val="000000" w:themeColor="text1"/>
          <w:spacing w:val="40"/>
          <w:sz w:val="48"/>
          <w:szCs w:val="48"/>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件</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单位全称（公章）：</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jc w:val="center"/>
        <w:rPr>
          <w:rFonts w:ascii="宋体" w:hAnsi="宋体"/>
          <w:b/>
          <w:bCs/>
          <w:color w:val="000000" w:themeColor="text1"/>
          <w:sz w:val="36"/>
          <w:szCs w:val="36"/>
          <w:highlight w:val="none"/>
          <w14:textFill>
            <w14:solidFill>
              <w14:schemeClr w14:val="tx1"/>
            </w14:solidFill>
          </w14:textFill>
        </w:rPr>
      </w:pPr>
    </w:p>
    <w:p>
      <w:pPr>
        <w:snapToGrid w:val="0"/>
        <w:spacing w:before="50" w:after="50"/>
        <w:jc w:val="center"/>
        <w:rPr>
          <w:rFonts w:hint="eastAsia" w:ascii="宋体" w:hAnsi="宋体"/>
          <w:b/>
          <w:bCs/>
          <w:color w:val="000000" w:themeColor="text1"/>
          <w:sz w:val="36"/>
          <w:szCs w:val="36"/>
          <w:highlight w:val="none"/>
          <w14:textFill>
            <w14:solidFill>
              <w14:schemeClr w14:val="tx1"/>
            </w14:solidFill>
          </w14:textFill>
        </w:rPr>
      </w:pPr>
    </w:p>
    <w:p>
      <w:pPr>
        <w:snapToGrid w:val="0"/>
        <w:spacing w:before="50" w:after="50"/>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谈判响应文件目录</w:t>
      </w:r>
    </w:p>
    <w:p>
      <w:pPr>
        <w:snapToGrid w:val="0"/>
        <w:spacing w:before="50" w:after="50"/>
        <w:jc w:val="center"/>
        <w:rPr>
          <w:rFonts w:ascii="宋体" w:hAnsi="宋体"/>
          <w:b/>
          <w:bCs/>
          <w:color w:val="000000" w:themeColor="text1"/>
          <w:sz w:val="32"/>
          <w:szCs w:val="32"/>
          <w:highlight w:val="none"/>
          <w14:textFill>
            <w14:solidFill>
              <w14:schemeClr w14:val="tx1"/>
            </w14:solidFill>
          </w14:textFill>
        </w:rPr>
      </w:pPr>
    </w:p>
    <w:p>
      <w:pPr>
        <w:snapToGrid w:val="0"/>
        <w:spacing w:before="50" w:after="50" w:line="360" w:lineRule="auto"/>
        <w:ind w:firstLine="422" w:firstLineChars="15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第一部分：资格证明部分</w:t>
      </w:r>
    </w:p>
    <w:p>
      <w:pPr>
        <w:numPr>
          <w:ilvl w:val="0"/>
          <w:numId w:val="9"/>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谈判声明书（附件2）</w:t>
      </w:r>
    </w:p>
    <w:p>
      <w:pPr>
        <w:numPr>
          <w:ilvl w:val="0"/>
          <w:numId w:val="9"/>
        </w:numPr>
        <w:snapToGrid w:val="0"/>
        <w:spacing w:line="360" w:lineRule="auto"/>
        <w:ind w:firstLine="470" w:firstLineChars="19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授权委托书（附件3）</w:t>
      </w:r>
    </w:p>
    <w:p>
      <w:pPr>
        <w:snapToGrid w:val="0"/>
        <w:spacing w:line="360" w:lineRule="auto"/>
        <w:ind w:firstLine="470" w:firstLineChars="19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法人或者其他组织的营业执照等证明文件，自然人的身份证明</w:t>
      </w:r>
    </w:p>
    <w:p>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财务状况报告，依法缴纳税收和社会保障资金的相关材料</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具备履行合同所必需的设备和专业技术能力的证明材料</w:t>
      </w:r>
    </w:p>
    <w:p>
      <w:pPr>
        <w:snapToGrid w:val="0"/>
        <w:spacing w:line="360" w:lineRule="auto"/>
        <w:ind w:firstLine="470" w:firstLineChars="196"/>
        <w:rPr>
          <w:rFonts w:ascii="宋体" w:hAnsi="宋体" w:cs="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本项目要求的特定资质证书</w:t>
      </w:r>
    </w:p>
    <w:p>
      <w:pPr>
        <w:snapToGrid w:val="0"/>
        <w:spacing w:before="50" w:after="50" w:line="360" w:lineRule="auto"/>
        <w:ind w:firstLine="422" w:firstLineChars="15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供应商情况介绍（附件4）</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2、项目组织实施方案(可视情选用附件5、附件6)； </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3、响应产品技术规格资料</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可视情选用附件7</w:t>
      </w:r>
      <w:r>
        <w:rPr>
          <w:rFonts w:hint="eastAsia" w:ascii="宋体" w:hAnsi="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4、商务及技术响应表</w:t>
      </w:r>
      <w:r>
        <w:rPr>
          <w:rFonts w:hint="eastAsia" w:ascii="宋体" w:hAnsi="宋体" w:cs="宋体"/>
          <w:color w:val="000000" w:themeColor="text1"/>
          <w:sz w:val="24"/>
          <w:highlight w:val="none"/>
          <w14:textFill>
            <w14:solidFill>
              <w14:schemeClr w14:val="tx1"/>
            </w14:solidFill>
          </w14:textFill>
        </w:rPr>
        <w:t>（可视情选用附件8）</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5、证书一览表（附件9）；</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类似项目业绩一览表</w:t>
      </w:r>
      <w:r>
        <w:rPr>
          <w:rFonts w:hint="eastAsia" w:ascii="宋体" w:hAnsi="宋体" w:cs="宋体"/>
          <w:color w:val="000000" w:themeColor="text1"/>
          <w:kern w:val="0"/>
          <w:sz w:val="24"/>
          <w:highlight w:val="none"/>
          <w14:textFill>
            <w14:solidFill>
              <w14:schemeClr w14:val="tx1"/>
            </w14:solidFill>
          </w14:textFill>
        </w:rPr>
        <w:t>（附件10）</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售后服务措施及承诺</w:t>
      </w:r>
      <w:r>
        <w:rPr>
          <w:rFonts w:hint="eastAsia" w:ascii="宋体" w:hAnsi="宋体" w:cs="宋体"/>
          <w:color w:val="000000" w:themeColor="text1"/>
          <w:kern w:val="0"/>
          <w:sz w:val="24"/>
          <w:highlight w:val="none"/>
          <w14:textFill>
            <w14:solidFill>
              <w14:schemeClr w14:val="tx1"/>
            </w14:solidFill>
          </w14:textFill>
        </w:rPr>
        <w:t>（可视情选用附件11）；</w:t>
      </w:r>
    </w:p>
    <w:p>
      <w:pPr>
        <w:spacing w:line="360" w:lineRule="auto"/>
        <w:ind w:right="-108" w:firstLine="422"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第三部分 ：</w:t>
      </w:r>
      <w:r>
        <w:rPr>
          <w:rFonts w:hint="eastAsia" w:ascii="宋体" w:hAnsi="宋体" w:cs="宋体"/>
          <w:b/>
          <w:color w:val="000000" w:themeColor="text1"/>
          <w:sz w:val="28"/>
          <w:szCs w:val="28"/>
          <w:highlight w:val="none"/>
          <w14:textFill>
            <w14:solidFill>
              <w14:schemeClr w14:val="tx1"/>
            </w14:solidFill>
          </w14:textFill>
        </w:rPr>
        <w:t>报价</w:t>
      </w:r>
      <w:r>
        <w:rPr>
          <w:rFonts w:hint="eastAsia" w:ascii="宋体" w:hAnsi="宋体" w:cs="宋体"/>
          <w:b/>
          <w:bCs/>
          <w:color w:val="000000" w:themeColor="text1"/>
          <w:sz w:val="28"/>
          <w:szCs w:val="28"/>
          <w:highlight w:val="none"/>
          <w14:textFill>
            <w14:solidFill>
              <w14:schemeClr w14:val="tx1"/>
            </w14:solidFill>
          </w14:textFill>
        </w:rPr>
        <w:t>部分</w:t>
      </w:r>
    </w:p>
    <w:p>
      <w:pPr>
        <w:snapToGrid w:val="0"/>
        <w:spacing w:line="360" w:lineRule="auto"/>
        <w:ind w:firstLine="420" w:firstLineChars="175"/>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首次报价一览表</w:t>
      </w:r>
      <w:r>
        <w:rPr>
          <w:rFonts w:hint="eastAsia" w:ascii="宋体" w:hAnsi="宋体"/>
          <w:color w:val="000000" w:themeColor="text1"/>
          <w:sz w:val="24"/>
          <w:highlight w:val="none"/>
          <w14:textFill>
            <w14:solidFill>
              <w14:schemeClr w14:val="tx1"/>
            </w14:solidFill>
          </w14:textFill>
        </w:rPr>
        <w:t>（附件12）；</w:t>
      </w:r>
    </w:p>
    <w:p>
      <w:pPr>
        <w:pStyle w:val="14"/>
        <w:snapToGrid w:val="0"/>
        <w:spacing w:line="360" w:lineRule="auto"/>
        <w:ind w:firstLine="420" w:firstLineChars="175"/>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2、报价明细表（附件13）；</w:t>
      </w:r>
    </w:p>
    <w:p>
      <w:pPr>
        <w:spacing w:line="360" w:lineRule="auto"/>
        <w:ind w:right="-108" w:firstLine="422"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第四部分 ：</w:t>
      </w:r>
      <w:r>
        <w:rPr>
          <w:rFonts w:hint="eastAsia" w:ascii="宋体" w:hAnsi="宋体" w:cs="宋体"/>
          <w:b/>
          <w:color w:val="000000" w:themeColor="text1"/>
          <w:sz w:val="28"/>
          <w:szCs w:val="28"/>
          <w:highlight w:val="none"/>
          <w14:textFill>
            <w14:solidFill>
              <w14:schemeClr w14:val="tx1"/>
            </w14:solidFill>
          </w14:textFill>
        </w:rPr>
        <w:t>其他</w:t>
      </w:r>
      <w:r>
        <w:rPr>
          <w:rFonts w:hint="eastAsia" w:ascii="宋体" w:hAnsi="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1、针对竞争性谈判，响应供应商认为其他需要说明的；</w:t>
      </w:r>
    </w:p>
    <w:p>
      <w:pPr>
        <w:snapToGrid w:val="0"/>
        <w:spacing w:line="360" w:lineRule="auto"/>
        <w:ind w:left="420" w:leftChars="200" w:firstLine="48" w:firstLineChars="2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（以上内容具体描述详见“第二章供应商须知”中“二、谈判响应文件”的组成说明）</w:t>
      </w:r>
    </w:p>
    <w:p>
      <w:pPr>
        <w:snapToGrid w:val="0"/>
        <w:spacing w:line="360" w:lineRule="auto"/>
        <w:rPr>
          <w:rFonts w:ascii="宋体" w:hAnsi="宋体"/>
          <w:color w:val="000000" w:themeColor="text1"/>
          <w:kern w:val="0"/>
          <w:sz w:val="24"/>
          <w:highlight w:val="none"/>
          <w14:textFill>
            <w14:solidFill>
              <w14:schemeClr w14:val="tx1"/>
            </w14:solidFill>
          </w14:textFill>
        </w:rPr>
      </w:pPr>
    </w:p>
    <w:p>
      <w:pPr>
        <w:snapToGrid w:val="0"/>
        <w:spacing w:line="360" w:lineRule="auto"/>
        <w:rPr>
          <w:rFonts w:ascii="宋体" w:hAnsi="宋体"/>
          <w:color w:val="000000" w:themeColor="text1"/>
          <w:kern w:val="0"/>
          <w:sz w:val="24"/>
          <w:highlight w:val="non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60" w:lineRule="auto"/>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谈判声明书</w:t>
      </w:r>
    </w:p>
    <w:p>
      <w:pPr>
        <w:snapToGrid w:val="0"/>
        <w:spacing w:before="156" w:beforeLines="50" w:after="50"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156" w:beforeLines="50" w:after="50"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（供应商名称）系中华人民共和国合法企业，经营地址。</w:t>
      </w:r>
    </w:p>
    <w:p>
      <w:pPr>
        <w:snapToGrid w:val="0"/>
        <w:spacing w:before="156" w:beforeLines="50" w:after="50"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玉环市纳规及养殖船舶监控系统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HQ-YHZFCG-2021-93</w:t>
      </w:r>
      <w:r>
        <w:rPr>
          <w:rFonts w:hint="eastAsia" w:ascii="宋体" w:hAnsi="宋体" w:cs="宋体"/>
          <w:color w:val="000000" w:themeColor="text1"/>
          <w:kern w:val="0"/>
          <w:sz w:val="24"/>
          <w:highlight w:val="none"/>
          <w14:textFill>
            <w14:solidFill>
              <w14:schemeClr w14:val="tx1"/>
            </w14:solidFill>
          </w14:textFill>
        </w:rPr>
        <w:t>）的谈判，为此，我公司就本次谈判有关事项郑重声明如下：</w:t>
      </w:r>
    </w:p>
    <w:p>
      <w:pPr>
        <w:numPr>
          <w:ilvl w:val="0"/>
          <w:numId w:val="10"/>
        </w:numPr>
        <w:snapToGrid w:val="0"/>
        <w:spacing w:before="156" w:beforeLines="50" w:after="50" w:line="40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10"/>
        </w:numPr>
        <w:snapToGrid w:val="0"/>
        <w:spacing w:before="156" w:beforeLines="50" w:after="50"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w:t>
      </w:r>
      <w:r>
        <w:rPr>
          <w:rFonts w:ascii="宋体" w:hAnsi="宋体" w:cs="宋体"/>
          <w:color w:val="000000" w:themeColor="text1"/>
          <w:kern w:val="0"/>
          <w:sz w:val="24"/>
          <w:highlight w:val="none"/>
          <w14:textFill>
            <w14:solidFill>
              <w14:schemeClr w14:val="tx1"/>
            </w14:solidFill>
          </w14:textFill>
        </w:rPr>
        <w:t>在参与</w:t>
      </w:r>
      <w:r>
        <w:rPr>
          <w:rFonts w:hint="eastAsia" w:ascii="宋体" w:hAnsi="宋体" w:cs="宋体"/>
          <w:color w:val="000000" w:themeColor="text1"/>
          <w:kern w:val="0"/>
          <w:sz w:val="24"/>
          <w:highlight w:val="none"/>
          <w14:textFill>
            <w14:solidFill>
              <w14:schemeClr w14:val="tx1"/>
            </w14:solidFill>
          </w14:textFill>
        </w:rPr>
        <w:t>谈判响应</w:t>
      </w:r>
      <w:r>
        <w:rPr>
          <w:rFonts w:ascii="宋体" w:hAnsi="宋体" w:cs="宋体"/>
          <w:color w:val="000000" w:themeColor="text1"/>
          <w:kern w:val="0"/>
          <w:sz w:val="24"/>
          <w:highlight w:val="none"/>
          <w14:textFill>
            <w14:solidFill>
              <w14:schemeClr w14:val="tx1"/>
            </w14:solidFill>
          </w14:textFill>
        </w:rPr>
        <w:t>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w:t>
      </w:r>
      <w:r>
        <w:rPr>
          <w:rFonts w:hint="eastAsia" w:ascii="宋体" w:hAnsi="宋体" w:cs="宋体"/>
          <w:color w:val="000000" w:themeColor="text1"/>
          <w:kern w:val="0"/>
          <w:sz w:val="24"/>
          <w:highlight w:val="none"/>
          <w14:textFill>
            <w14:solidFill>
              <w14:schemeClr w14:val="tx1"/>
            </w14:solidFill>
          </w14:textFill>
        </w:rPr>
        <w:t>谈判</w:t>
      </w:r>
      <w:r>
        <w:rPr>
          <w:rFonts w:ascii="宋体" w:hAnsi="宋体" w:cs="宋体"/>
          <w:color w:val="000000" w:themeColor="text1"/>
          <w:kern w:val="0"/>
          <w:sz w:val="24"/>
          <w:highlight w:val="none"/>
          <w14:textFill>
            <w14:solidFill>
              <w14:schemeClr w14:val="tx1"/>
            </w14:solidFill>
          </w14:textFill>
        </w:rPr>
        <w:t>文件和所有相关资料，我方完全明白并认为此</w:t>
      </w:r>
      <w:r>
        <w:rPr>
          <w:rFonts w:hint="eastAsia" w:ascii="宋体" w:hAnsi="宋体" w:cs="宋体"/>
          <w:color w:val="000000" w:themeColor="text1"/>
          <w:kern w:val="0"/>
          <w:sz w:val="24"/>
          <w:highlight w:val="none"/>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文件没有倾向性，也没有存在排斥潜在</w:t>
      </w:r>
      <w:r>
        <w:rPr>
          <w:rFonts w:hint="eastAsia" w:ascii="宋体" w:hAnsi="宋体" w:cs="宋体"/>
          <w:color w:val="000000" w:themeColor="text1"/>
          <w:kern w:val="0"/>
          <w:sz w:val="24"/>
          <w:highlight w:val="none"/>
          <w14:textFill>
            <w14:solidFill>
              <w14:schemeClr w14:val="tx1"/>
            </w14:solidFill>
          </w14:textFill>
        </w:rPr>
        <w:t>供应商</w:t>
      </w:r>
      <w:r>
        <w:rPr>
          <w:rFonts w:ascii="宋体" w:hAnsi="宋体" w:cs="宋体"/>
          <w:color w:val="000000" w:themeColor="text1"/>
          <w:kern w:val="0"/>
          <w:sz w:val="24"/>
          <w:highlight w:val="none"/>
          <w14:textFill>
            <w14:solidFill>
              <w14:schemeClr w14:val="tx1"/>
            </w14:solidFill>
          </w14:textFill>
        </w:rPr>
        <w:t>的内容，我方同意</w:t>
      </w:r>
      <w:r>
        <w:rPr>
          <w:rFonts w:hint="eastAsia" w:ascii="宋体" w:hAnsi="宋体" w:cs="宋体"/>
          <w:color w:val="000000" w:themeColor="text1"/>
          <w:kern w:val="0"/>
          <w:sz w:val="24"/>
          <w:highlight w:val="none"/>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文件的相关条款，放弃对</w:t>
      </w:r>
      <w:r>
        <w:rPr>
          <w:rFonts w:hint="eastAsia" w:ascii="宋体" w:hAnsi="宋体" w:cs="宋体"/>
          <w:color w:val="000000" w:themeColor="text1"/>
          <w:kern w:val="0"/>
          <w:sz w:val="24"/>
          <w:highlight w:val="none"/>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156" w:beforeLines="50" w:after="50"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40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公司谈判响应的</w:t>
      </w:r>
      <w:r>
        <w:rPr>
          <w:rFonts w:hint="eastAsia" w:ascii="宋体" w:hAnsi="宋体"/>
          <w:color w:val="000000" w:themeColor="text1"/>
          <w:kern w:val="0"/>
          <w:sz w:val="24"/>
          <w:highlight w:val="none"/>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我方的总</w:t>
      </w:r>
      <w:r>
        <w:rPr>
          <w:rFonts w:hint="eastAsia" w:ascii="宋体" w:hAnsi="宋体"/>
          <w:color w:val="000000" w:themeColor="text1"/>
          <w:kern w:val="0"/>
          <w:sz w:val="24"/>
          <w:highlight w:val="none"/>
          <w:lang w:val="af-ZA"/>
          <w14:textFill>
            <w14:solidFill>
              <w14:schemeClr w14:val="tx1"/>
            </w14:solidFill>
          </w14:textFill>
        </w:rPr>
        <w:t>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40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40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供应商名称(公章)：</w:t>
      </w:r>
    </w:p>
    <w:p>
      <w:pPr>
        <w:adjustRightInd w:val="0"/>
        <w:snapToGrid w:val="0"/>
        <w:spacing w:line="40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40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日期：年  月   日</w:t>
      </w: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360" w:lineRule="auto"/>
        <w:ind w:firstLine="321" w:firstLineChars="100"/>
        <w:jc w:val="center"/>
        <w:rPr>
          <w:rFonts w:ascii="Calibri" w:hAnsi="Calibri"/>
          <w:b/>
          <w:color w:val="000000" w:themeColor="text1"/>
          <w:sz w:val="32"/>
          <w:szCs w:val="32"/>
          <w:highlight w:val="none"/>
          <w:lang w:val="zh-CN"/>
          <w14:textFill>
            <w14:solidFill>
              <w14:schemeClr w14:val="tx1"/>
            </w14:solidFill>
          </w14:textFill>
        </w:rPr>
      </w:pPr>
      <w:r>
        <w:rPr>
          <w:rFonts w:hint="eastAsia" w:ascii="Calibri" w:hAnsi="Calibri"/>
          <w:b/>
          <w:color w:val="000000" w:themeColor="text1"/>
          <w:sz w:val="32"/>
          <w:szCs w:val="32"/>
          <w:highlight w:val="none"/>
          <w:lang w:val="zh-CN"/>
          <w14:textFill>
            <w14:solidFill>
              <w14:schemeClr w14:val="tx1"/>
            </w14:solidFill>
          </w14:textFill>
        </w:rPr>
        <w:t>授权委托书</w:t>
      </w:r>
    </w:p>
    <w:p>
      <w:pPr>
        <w:pStyle w:val="12"/>
        <w:spacing w:line="500" w:lineRule="exac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杭州华旗招标代理有限公司</w:t>
      </w:r>
      <w:r>
        <w:rPr>
          <w:rFonts w:hAnsi="宋体"/>
          <w:b/>
          <w:color w:val="000000" w:themeColor="text1"/>
          <w:sz w:val="24"/>
          <w:highlight w:val="none"/>
          <w14:textFill>
            <w14:solidFill>
              <w14:schemeClr w14:val="tx1"/>
            </w14:solidFill>
          </w14:textFill>
        </w:rPr>
        <w:t>：</w:t>
      </w:r>
    </w:p>
    <w:p>
      <w:pPr>
        <w:pStyle w:val="12"/>
        <w:spacing w:line="500" w:lineRule="exac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single"/>
          <w14:textFill>
            <w14:solidFill>
              <w14:schemeClr w14:val="tx1"/>
            </w14:solidFill>
          </w14:textFill>
        </w:rPr>
        <w:t>供应商</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w:t>
      </w:r>
      <w:r>
        <w:rPr>
          <w:rFonts w:hint="eastAsia" w:hAnsi="宋体"/>
          <w:color w:val="000000" w:themeColor="text1"/>
          <w:sz w:val="24"/>
          <w:highlight w:val="none"/>
          <w14:textFill>
            <w14:solidFill>
              <w14:schemeClr w14:val="tx1"/>
            </w14:solidFill>
          </w14:textFill>
        </w:rPr>
        <w:t>谈判</w:t>
      </w:r>
      <w:r>
        <w:rPr>
          <w:rFonts w:hAnsi="宋体"/>
          <w:color w:val="000000" w:themeColor="text1"/>
          <w:sz w:val="24"/>
          <w:highlight w:val="none"/>
          <w14:textFill>
            <w14:solidFill>
              <w14:schemeClr w14:val="tx1"/>
            </w14:solidFill>
          </w14:textFill>
        </w:rPr>
        <w:t>、签约等具体事务和签署相关文件。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2"/>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2"/>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供应商全称（公章）：                              日期：</w:t>
      </w:r>
    </w:p>
    <w:p>
      <w:pPr>
        <w:spacing w:line="360" w:lineRule="auto"/>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line="360" w:lineRule="auto"/>
        <w:rPr>
          <w:rFonts w:ascii="宋体" w:hAnsi="宋体"/>
          <w:color w:val="000000" w:themeColor="text1"/>
          <w:kern w:val="0"/>
          <w:sz w:val="24"/>
          <w:highlight w:val="none"/>
          <w14:textFill>
            <w14:solidFill>
              <w14:schemeClr w14:val="tx1"/>
            </w14:solidFill>
          </w14:textFill>
        </w:rPr>
      </w:pPr>
    </w:p>
    <w:p>
      <w:pPr>
        <w:pStyle w:val="33"/>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 xml:space="preserve">附件4：       </w:t>
      </w:r>
    </w:p>
    <w:p>
      <w:pPr>
        <w:pStyle w:val="33"/>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供应商</w:t>
      </w:r>
      <w:r>
        <w:rPr>
          <w:rFonts w:hint="eastAsia"/>
          <w:b/>
          <w:bCs/>
          <w:color w:val="000000" w:themeColor="text1"/>
          <w:spacing w:val="21"/>
          <w:sz w:val="32"/>
          <w:szCs w:val="32"/>
          <w:highlight w:val="none"/>
          <w14:textFill>
            <w14:solidFill>
              <w14:schemeClr w14:val="tx1"/>
            </w14:solidFill>
          </w14:textFill>
        </w:rPr>
        <w:t>基本情况表</w:t>
      </w:r>
    </w:p>
    <w:p>
      <w:pPr>
        <w:pStyle w:val="33"/>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33"/>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33"/>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33"/>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33"/>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3"/>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3"/>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33"/>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33"/>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3"/>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3"/>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33"/>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3"/>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33"/>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3"/>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33"/>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33"/>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3"/>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pPr>
              <w:pStyle w:val="33"/>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33"/>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3"/>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3"/>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33"/>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single" w:color="auto" w:sz="4" w:space="0"/>
            </w:tcBorders>
          </w:tcPr>
          <w:p>
            <w:pPr>
              <w:pStyle w:val="33"/>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3"/>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Borders>
              <w:top w:val="single" w:color="auto" w:sz="4" w:space="0"/>
            </w:tcBorders>
          </w:tcPr>
          <w:p>
            <w:pPr>
              <w:pStyle w:val="33"/>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3"/>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3"/>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3"/>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33"/>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33"/>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33"/>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33"/>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33"/>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33"/>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3"/>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3"/>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33"/>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33"/>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33"/>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33"/>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33"/>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3"/>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3"/>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33"/>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3"/>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33"/>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3"/>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3"/>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33"/>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33"/>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33"/>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33"/>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33"/>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33"/>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3"/>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33"/>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33"/>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33"/>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33"/>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33"/>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3"/>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33"/>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33"/>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3"/>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33"/>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33"/>
              <w:shd w:val="clear" w:color="auto" w:fill="FFFFFF"/>
              <w:spacing w:line="360" w:lineRule="auto"/>
              <w:rPr>
                <w:bCs/>
                <w:color w:val="000000" w:themeColor="text1"/>
                <w:spacing w:val="16"/>
                <w:highlight w:val="none"/>
                <w14:textFill>
                  <w14:solidFill>
                    <w14:schemeClr w14:val="tx1"/>
                  </w14:solidFill>
                </w14:textFill>
              </w:rPr>
            </w:pPr>
          </w:p>
        </w:tc>
      </w:tr>
    </w:tbl>
    <w:p>
      <w:pPr>
        <w:pStyle w:val="33"/>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33"/>
        <w:shd w:val="clear" w:color="auto" w:fill="FFFFFF"/>
        <w:spacing w:before="0" w:beforeAutospacing="0" w:after="0" w:afterAutospacing="0" w:line="360" w:lineRule="auto"/>
        <w:ind w:firstLine="424" w:firstLineChars="202"/>
        <w:rPr>
          <w:color w:val="000000" w:themeColor="text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pPr>
        <w:ind w:left="420"/>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pPr>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rPr>
          <w:rFonts w:ascii="宋体" w:hAnsi="宋体"/>
          <w:color w:val="000000" w:themeColor="text1"/>
          <w:sz w:val="24"/>
          <w:highlight w:val="none"/>
          <w14:textFill>
            <w14:solidFill>
              <w14:schemeClr w14:val="tx1"/>
            </w14:solidFill>
          </w14:textFill>
        </w:rPr>
      </w:pPr>
    </w:p>
    <w:p>
      <w:pPr>
        <w:pStyle w:val="33"/>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snapToGrid w:val="0"/>
        <w:spacing w:before="50" w:after="50"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附件5：</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hAnsi="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hAnsi="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hAnsi="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在填写时，如本表格不适合供应商的实际情况，可根据本表格式自行划表填写。</w:t>
      </w:r>
    </w:p>
    <w:p>
      <w:pPr>
        <w:pStyle w:val="31"/>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31"/>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3.出具上述人员在本单位服务的外部证明，如：谈判</w:t>
      </w:r>
      <w:r>
        <w:rPr>
          <w:rFonts w:ascii="宋体" w:hAnsi="宋体"/>
          <w:color w:val="000000" w:themeColor="text1"/>
          <w:szCs w:val="21"/>
          <w:highlight w:val="none"/>
          <w14:textFill>
            <w14:solidFill>
              <w14:schemeClr w14:val="tx1"/>
            </w14:solidFill>
          </w14:textFill>
        </w:rPr>
        <w:t>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napToGrid w:val="0"/>
        <w:spacing w:before="50" w:after="156" w:afterLines="50" w:line="360" w:lineRule="auto"/>
        <w:jc w:val="left"/>
        <w:rPr>
          <w:rFonts w:ascii="宋体" w:hAnsi="宋体"/>
          <w:color w:val="000000" w:themeColor="text1"/>
          <w:sz w:val="24"/>
          <w:szCs w:val="20"/>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p>
    <w:p>
      <w:pPr>
        <w:spacing w:line="360" w:lineRule="auto"/>
        <w:ind w:left="480"/>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pStyle w:val="12"/>
        <w:adjustRightInd w:val="0"/>
        <w:snapToGrid w:val="0"/>
        <w:spacing w:line="360" w:lineRule="auto"/>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商务及技术响应表</w:t>
      </w:r>
    </w:p>
    <w:p>
      <w:pPr>
        <w:pStyle w:val="12"/>
        <w:adjustRightInd w:val="0"/>
        <w:snapToGrid w:val="0"/>
        <w:spacing w:line="360" w:lineRule="auto"/>
        <w:jc w:val="left"/>
        <w:rPr>
          <w:rFonts w:hAnsi="宋体" w:cs="Arial"/>
          <w:b/>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谈判文件产品技术要求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谈判响应文件产品技术响应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项目工期</w:t>
            </w: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供货期</w:t>
            </w: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谈判文件技术要求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谈判响应文件技术响应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pPr>
        <w:pStyle w:val="12"/>
        <w:adjustRightInd w:val="0"/>
        <w:snapToGrid w:val="0"/>
        <w:spacing w:line="360" w:lineRule="auto"/>
        <w:rPr>
          <w:rFonts w:hAnsi="宋体" w:cs="Times New Roman"/>
          <w:color w:val="000000" w:themeColor="text1"/>
          <w:sz w:val="24"/>
          <w:highlight w:val="none"/>
          <w14:textFill>
            <w14:solidFill>
              <w14:schemeClr w14:val="tx1"/>
            </w14:solidFill>
          </w14:textFill>
        </w:rPr>
      </w:pPr>
      <w:r>
        <w:rPr>
          <w:rFonts w:hint="eastAsia" w:hAnsi="宋体" w:cs="Times New Roman"/>
          <w:color w:val="000000" w:themeColor="text1"/>
          <w:sz w:val="24"/>
          <w:highlight w:val="none"/>
          <w14:textFill>
            <w14:solidFill>
              <w14:schemeClr w14:val="tx1"/>
            </w14:solidFill>
          </w14:textFill>
        </w:rPr>
        <w:t>备注：供应商在填写其中的“谈判响应文件产品技术响应”内容时，必须对照本谈判文件“产品技术要求”中各指标项逐条说明，写出各谈判产品的具体参数响应内容，不得以“符合”或“满足”等词语作简单回答或者完全复制本项目采购需求中参数内容，否则谈判小组有权视其谈判响应文件未响应谈判文件要求。</w:t>
      </w: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pPr>
        <w:ind w:left="420"/>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pPr>
        <w:ind w:firstLine="435"/>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rPr>
          <w:rFonts w:ascii="宋体" w:hAnsi="宋体"/>
          <w:color w:val="000000" w:themeColor="text1"/>
          <w:sz w:val="24"/>
          <w:highlight w:val="none"/>
          <w14:textFill>
            <w14:solidFill>
              <w14:schemeClr w14:val="tx1"/>
            </w14:solidFill>
          </w14:textFill>
        </w:rPr>
      </w:pPr>
    </w:p>
    <w:p>
      <w:pPr>
        <w:pStyle w:val="33"/>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pStyle w:val="32"/>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2"/>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2"/>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2"/>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2"/>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2"/>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1.填写谈判供应商获得资质、认证或企业信誉证书。</w:t>
      </w:r>
    </w:p>
    <w:p>
      <w:pPr>
        <w:pStyle w:val="32"/>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2"/>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p>
    <w:p>
      <w:pPr>
        <w:pStyle w:val="32"/>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2"/>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2"/>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35"/>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类似项目实施情况一览表</w:t>
      </w:r>
    </w:p>
    <w:p>
      <w:pPr>
        <w:pStyle w:val="35"/>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复印件可只提供首页、含金额页、盖章页并加盖谈判供应商公章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.谈判供应商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tabs>
          <w:tab w:val="left" w:pos="2460"/>
        </w:tabs>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 xml:space="preserve">附件11:  </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谈判供应商承诺</w:t>
            </w:r>
          </w:p>
        </w:tc>
        <w:tc>
          <w:tcPr>
            <w:tcW w:w="1373"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6"/>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服务期内售后服务情况(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vMerge w:val="restart"/>
          </w:tcPr>
          <w:p>
            <w:pPr>
              <w:pStyle w:val="36"/>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谈判供应商售后服务情况：</w:t>
            </w:r>
          </w:p>
        </w:tc>
        <w:tc>
          <w:tcPr>
            <w:tcW w:w="1373" w:type="dxa"/>
          </w:tcPr>
          <w:p>
            <w:pPr>
              <w:pStyle w:val="36"/>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vMerge w:val="continue"/>
          </w:tcPr>
          <w:p>
            <w:pPr>
              <w:pStyle w:val="36"/>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6"/>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6"/>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6"/>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服务期后售后服务</w:t>
            </w:r>
          </w:p>
        </w:tc>
        <w:tc>
          <w:tcPr>
            <w:tcW w:w="4061"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r>
        <w:rPr>
          <w:rFonts w:hint="eastAsia" w:ascii="仿宋_GB2312" w:hAnsi="宋体" w:eastAsia="仿宋_GB2312"/>
          <w:b/>
          <w:color w:val="000000" w:themeColor="text1"/>
          <w:sz w:val="30"/>
          <w:szCs w:val="30"/>
          <w:highlight w:val="none"/>
          <w14:textFill>
            <w14:solidFill>
              <w14:schemeClr w14:val="tx1"/>
            </w14:solidFill>
          </w14:textFill>
        </w:rPr>
        <w:t xml:space="preserve">      </w:t>
      </w:r>
    </w:p>
    <w:p>
      <w:pPr>
        <w:spacing w:line="360" w:lineRule="atLeast"/>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首次报价一览表</w:t>
      </w:r>
    </w:p>
    <w:p>
      <w:pPr>
        <w:spacing w:line="360" w:lineRule="atLeast"/>
        <w:ind w:left="480"/>
        <w:rPr>
          <w:rFonts w:ascii="宋体" w:hAnsi="宋体"/>
          <w:b/>
          <w:color w:val="000000" w:themeColor="text1"/>
          <w:sz w:val="3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pStyle w:val="12"/>
        <w:spacing w:line="320" w:lineRule="exact"/>
        <w:rPr>
          <w:rFonts w:hAnsi="宋体"/>
          <w:b/>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Ansi="宋体"/>
          <w:b/>
          <w:color w:val="000000" w:themeColor="text1"/>
          <w:sz w:val="24"/>
          <w:highlight w:val="none"/>
          <w14:textFill>
            <w14:solidFill>
              <w14:schemeClr w14:val="tx1"/>
            </w14:solidFill>
          </w14:textFill>
        </w:rPr>
        <w:t>项目编号：</w:t>
      </w:r>
      <w:r>
        <w:rPr>
          <w:rFonts w:hint="eastAsia" w:hAnsi="宋体"/>
          <w:b/>
          <w:color w:val="000000" w:themeColor="text1"/>
          <w:sz w:val="24"/>
          <w:highlight w:val="none"/>
          <w:u w:val="single"/>
          <w14:textFill>
            <w14:solidFill>
              <w14:schemeClr w14:val="tx1"/>
            </w14:solidFill>
          </w14:textFill>
        </w:rPr>
        <w:t xml:space="preserve">                 </w:t>
      </w:r>
    </w:p>
    <w:p>
      <w:pPr>
        <w:pStyle w:val="40"/>
        <w:spacing w:line="360" w:lineRule="auto"/>
        <w:ind w:right="480" w:firstLine="241" w:firstLineChars="10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stheme="minorBidi"/>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填报说明：</w:t>
      </w:r>
    </w:p>
    <w:p>
      <w:pPr>
        <w:pStyle w:val="7"/>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2.报价一经涂改，应在涂改处加盖单位公章，或者由法定代表人或全权代表签字或盖章，否则作无效响应处理。</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firstLine="435"/>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99"/>
        <w:gridCol w:w="1310"/>
        <w:gridCol w:w="1624"/>
        <w:gridCol w:w="1624"/>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64"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699"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内容</w:t>
            </w:r>
          </w:p>
        </w:tc>
        <w:tc>
          <w:tcPr>
            <w:tcW w:w="1310"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1624"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tc>
        <w:tc>
          <w:tcPr>
            <w:tcW w:w="1624"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小计</w:t>
            </w:r>
          </w:p>
        </w:tc>
        <w:tc>
          <w:tcPr>
            <w:tcW w:w="1626"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64" w:type="dxa"/>
            <w:vAlign w:val="center"/>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699" w:type="dxa"/>
            <w:vAlign w:val="center"/>
          </w:tcPr>
          <w:p>
            <w:pPr>
              <w:spacing w:line="360" w:lineRule="auto"/>
              <w:rPr>
                <w:rFonts w:hint="eastAsia" w:ascii="宋体" w:hAnsi="宋体" w:eastAsia="宋体"/>
                <w:color w:val="000000" w:themeColor="text1"/>
                <w:sz w:val="24"/>
                <w:highlight w:val="none"/>
                <w:lang w:eastAsia="zh-CN"/>
                <w14:textFill>
                  <w14:solidFill>
                    <w14:schemeClr w14:val="tx1"/>
                  </w14:solidFill>
                </w14:textFill>
              </w:rPr>
            </w:pPr>
          </w:p>
        </w:tc>
        <w:tc>
          <w:tcPr>
            <w:tcW w:w="131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6"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64" w:type="dxa"/>
            <w:vAlign w:val="center"/>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69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1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6"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64" w:type="dxa"/>
            <w:vAlign w:val="center"/>
          </w:tcPr>
          <w:p>
            <w:pPr>
              <w:spacing w:line="360" w:lineRule="auto"/>
              <w:rPr>
                <w:rFonts w:hint="eastAsia" w:ascii="宋体" w:hAnsi="宋体"/>
                <w:color w:val="000000" w:themeColor="text1"/>
                <w:sz w:val="24"/>
                <w:highlight w:val="none"/>
                <w14:textFill>
                  <w14:solidFill>
                    <w14:schemeClr w14:val="tx1"/>
                  </w14:solidFill>
                </w14:textFill>
              </w:rPr>
            </w:pPr>
          </w:p>
        </w:tc>
        <w:tc>
          <w:tcPr>
            <w:tcW w:w="169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1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6"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64" w:type="dxa"/>
            <w:vAlign w:val="center"/>
          </w:tcPr>
          <w:p>
            <w:pPr>
              <w:spacing w:line="360" w:lineRule="auto"/>
              <w:rPr>
                <w:rFonts w:hint="eastAsia" w:ascii="宋体" w:hAnsi="宋体"/>
                <w:color w:val="000000" w:themeColor="text1"/>
                <w:sz w:val="24"/>
                <w:highlight w:val="none"/>
                <w14:textFill>
                  <w14:solidFill>
                    <w14:schemeClr w14:val="tx1"/>
                  </w14:solidFill>
                </w14:textFill>
              </w:rPr>
            </w:pPr>
          </w:p>
        </w:tc>
        <w:tc>
          <w:tcPr>
            <w:tcW w:w="169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1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6"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64" w:type="dxa"/>
            <w:vAlign w:val="center"/>
          </w:tcPr>
          <w:p>
            <w:pPr>
              <w:spacing w:line="360" w:lineRule="auto"/>
              <w:rPr>
                <w:rFonts w:hint="eastAsia" w:ascii="宋体" w:hAnsi="宋体"/>
                <w:color w:val="000000" w:themeColor="text1"/>
                <w:sz w:val="24"/>
                <w:highlight w:val="none"/>
                <w14:textFill>
                  <w14:solidFill>
                    <w14:schemeClr w14:val="tx1"/>
                  </w14:solidFill>
                </w14:textFill>
              </w:rPr>
            </w:pPr>
          </w:p>
        </w:tc>
        <w:tc>
          <w:tcPr>
            <w:tcW w:w="169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1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6"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64" w:type="dxa"/>
            <w:vAlign w:val="center"/>
          </w:tcPr>
          <w:p>
            <w:pPr>
              <w:spacing w:line="360" w:lineRule="auto"/>
              <w:rPr>
                <w:rFonts w:hint="eastAsia" w:ascii="宋体" w:hAnsi="宋体"/>
                <w:color w:val="000000" w:themeColor="text1"/>
                <w:sz w:val="24"/>
                <w:highlight w:val="none"/>
                <w14:textFill>
                  <w14:solidFill>
                    <w14:schemeClr w14:val="tx1"/>
                  </w14:solidFill>
                </w14:textFill>
              </w:rPr>
            </w:pPr>
          </w:p>
        </w:tc>
        <w:tc>
          <w:tcPr>
            <w:tcW w:w="169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1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6"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64" w:type="dxa"/>
            <w:vAlign w:val="center"/>
          </w:tcPr>
          <w:p>
            <w:pPr>
              <w:spacing w:line="360" w:lineRule="auto"/>
              <w:rPr>
                <w:rFonts w:hint="eastAsia" w:ascii="宋体" w:hAnsi="宋体"/>
                <w:color w:val="000000" w:themeColor="text1"/>
                <w:sz w:val="24"/>
                <w:highlight w:val="none"/>
                <w14:textFill>
                  <w14:solidFill>
                    <w14:schemeClr w14:val="tx1"/>
                  </w14:solidFill>
                </w14:textFill>
              </w:rPr>
            </w:pPr>
          </w:p>
        </w:tc>
        <w:tc>
          <w:tcPr>
            <w:tcW w:w="169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1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626"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6"/>
            <w:tcBorders>
              <w:bottom w:val="single" w:color="auto" w:sz="4" w:space="0"/>
            </w:tcBorders>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合计：</w:t>
            </w: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本表为《首次报价一览表》的报价明细表，如有缺项、漏项，视为报价中已包含相关费用，采购人无需另外支付任何费用。</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报价明细表</w:t>
      </w:r>
      <w:r>
        <w:rPr>
          <w:rFonts w:hint="eastAsia" w:ascii="宋体"/>
          <w:color w:val="000000" w:themeColor="text1"/>
          <w:szCs w:val="21"/>
          <w:highlight w:val="none"/>
          <w:lang w:val="zh-CN"/>
          <w14:textFill>
            <w14:solidFill>
              <w14:schemeClr w14:val="tx1"/>
            </w14:solidFill>
          </w14:textFill>
        </w:rPr>
        <w:t>”中的报价合计应与“首次报价一览表”中的总报价相一致，不一致时，以首次报价一览表为准。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报价明细表所填内容按谈判文件采购设备清单要求为准。如有漏报的，视同已包含在谈判总价内或已作优惠处理。有重大缺项的将作无效响应处理。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本表中的型号规格必须明确，谈判文件中明确要求定制的除外。</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pStyle w:val="28"/>
        <w:rPr>
          <w:rFonts w:ascii="宋体" w:hAnsi="宋体"/>
          <w:color w:val="000000" w:themeColor="text1"/>
          <w:sz w:val="24"/>
          <w:highlight w:val="none"/>
          <w:u w:val="single"/>
          <w14:textFill>
            <w14:solidFill>
              <w14:schemeClr w14:val="tx1"/>
            </w14:solidFill>
          </w14:textFill>
        </w:rPr>
      </w:pPr>
    </w:p>
    <w:p>
      <w:pPr>
        <w:pStyle w:val="28"/>
        <w:rPr>
          <w:rFonts w:ascii="宋体" w:hAnsi="宋体"/>
          <w:color w:val="000000" w:themeColor="text1"/>
          <w:sz w:val="24"/>
          <w:highlight w:val="none"/>
          <w:u w:val="single"/>
          <w14:textFill>
            <w14:solidFill>
              <w14:schemeClr w14:val="tx1"/>
            </w14:solidFill>
          </w14:textFill>
        </w:rPr>
      </w:pPr>
    </w:p>
    <w:p>
      <w:pPr>
        <w:pStyle w:val="28"/>
        <w:rPr>
          <w:rFonts w:ascii="宋体" w:hAnsi="宋体"/>
          <w:color w:val="000000" w:themeColor="text1"/>
          <w:sz w:val="24"/>
          <w:highlight w:val="none"/>
          <w:u w:val="single"/>
          <w14:textFill>
            <w14:solidFill>
              <w14:schemeClr w14:val="tx1"/>
            </w14:solidFill>
          </w14:textFill>
        </w:rPr>
      </w:pPr>
    </w:p>
    <w:p>
      <w:pPr>
        <w:pStyle w:val="28"/>
        <w:rPr>
          <w:rFonts w:ascii="宋体" w:hAnsi="宋体"/>
          <w:color w:val="000000" w:themeColor="text1"/>
          <w:sz w:val="24"/>
          <w:highlight w:val="none"/>
          <w:u w:val="single"/>
          <w14:textFill>
            <w14:solidFill>
              <w14:schemeClr w14:val="tx1"/>
            </w14:solidFill>
          </w14:textFill>
        </w:rPr>
      </w:pPr>
    </w:p>
    <w:p>
      <w:pPr>
        <w:pStyle w:val="28"/>
        <w:rPr>
          <w:rFonts w:ascii="宋体" w:hAnsi="宋体"/>
          <w:color w:val="000000" w:themeColor="text1"/>
          <w:sz w:val="24"/>
          <w:highlight w:val="none"/>
          <w:u w:val="single"/>
          <w14:textFill>
            <w14:solidFill>
              <w14:schemeClr w14:val="tx1"/>
            </w14:solidFill>
          </w14:textFill>
        </w:rPr>
      </w:pPr>
    </w:p>
    <w:p>
      <w:pPr>
        <w:snapToGrid w:val="0"/>
        <w:spacing w:before="156" w:beforeLines="50" w:after="50" w:line="360" w:lineRule="auto"/>
        <w:rPr>
          <w:rFonts w:ascii="宋体" w:hAnsi="宋体" w:cs="宋体"/>
          <w:bCs/>
          <w:color w:val="000000" w:themeColor="text1"/>
          <w:sz w:val="30"/>
          <w:szCs w:val="30"/>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附件13</w:t>
      </w:r>
    </w:p>
    <w:p>
      <w:pPr>
        <w:spacing w:line="656" w:lineRule="exact"/>
        <w:ind w:right="21"/>
        <w:jc w:val="center"/>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中小企业声明函</w:t>
      </w:r>
    </w:p>
    <w:p>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cs="宋体"/>
          <w:color w:val="000000" w:themeColor="text1"/>
          <w:sz w:val="24"/>
          <w:highlight w:val="none"/>
          <w:u w:val="single"/>
          <w14:textFill>
            <w14:solidFill>
              <w14:schemeClr w14:val="tx1"/>
            </w14:solidFill>
          </w14:textFill>
        </w:rPr>
        <w:t xml:space="preserve">      （联合体）</w:t>
      </w:r>
      <w:r>
        <w:rPr>
          <w:rFonts w:hint="eastAsia" w:ascii="宋体" w:hAnsi="宋体" w:cs="宋体"/>
          <w:color w:val="000000" w:themeColor="text1"/>
          <w:sz w:val="24"/>
          <w:highlight w:val="none"/>
          <w14:textFill>
            <w14:solidFill>
              <w14:schemeClr w14:val="tx1"/>
            </w14:solidFill>
          </w14:textFill>
        </w:rPr>
        <w:t>参加</w:t>
      </w:r>
      <w:r>
        <w:rPr>
          <w:rFonts w:hint="eastAsia" w:ascii="宋体" w:hAnsi="宋体" w:cs="宋体"/>
          <w:color w:val="000000" w:themeColor="text1"/>
          <w:sz w:val="24"/>
          <w:highlight w:val="none"/>
          <w:u w:val="single"/>
          <w14:textFill>
            <w14:solidFill>
              <w14:schemeClr w14:val="tx1"/>
            </w14:solidFill>
          </w14:textFill>
        </w:rPr>
        <w:t xml:space="preserve">    （单位名称）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numPr>
          <w:ilvl w:val="0"/>
          <w:numId w:val="11"/>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，属于（采购文件中明确的所属行业）；承建（承接）企业为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，属于（中型企业、小型企业、微型企业）；</w:t>
      </w:r>
    </w:p>
    <w:p>
      <w:pPr>
        <w:numPr>
          <w:ilvl w:val="0"/>
          <w:numId w:val="11"/>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，属于（采购文件中明确的所属行业）；承建（承接）企业为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，从业人员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 xml:space="preserve">，营业收入为 </w:t>
      </w:r>
      <w:r>
        <w:rPr>
          <w:rFonts w:hint="eastAsia" w:ascii="宋体" w:hAnsi="宋体" w:cs="宋体"/>
          <w:color w:val="000000" w:themeColor="text1"/>
          <w:sz w:val="24"/>
          <w:highlight w:val="none"/>
          <w:u w:val="single"/>
          <w14:textFill>
            <w14:solidFill>
              <w14:schemeClr w14:val="tx1"/>
            </w14:solidFill>
          </w14:textFill>
        </w:rPr>
        <w:t xml:space="preserve">   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 属于（中型企业、小型企业、微型企业）；</w:t>
      </w:r>
    </w:p>
    <w:p>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left="15"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w:t>
      </w:r>
      <w:r>
        <w:rPr>
          <w:color w:val="000000" w:themeColor="text1"/>
          <w:sz w:val="24"/>
          <w:highlight w:val="none"/>
          <w14:textFill>
            <w14:solidFill>
              <w14:schemeClr w14:val="tx1"/>
            </w14:solidFill>
          </w14:textFill>
        </w:rPr>
        <w:t>任。</w:t>
      </w:r>
    </w:p>
    <w:p>
      <w:pPr>
        <w:pStyle w:val="2"/>
        <w:rPr>
          <w:color w:val="000000" w:themeColor="text1"/>
          <w:highlight w:val="none"/>
          <w14:textFill>
            <w14:solidFill>
              <w14:schemeClr w14:val="tx1"/>
            </w14:solidFill>
          </w14:textFill>
        </w:rPr>
      </w:pPr>
    </w:p>
    <w:p>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pPr>
        <w:pStyle w:val="41"/>
        <w:spacing w:line="360" w:lineRule="auto"/>
        <w:rPr>
          <w:color w:val="000000" w:themeColor="text1"/>
          <w:sz w:val="24"/>
          <w:highlight w:val="none"/>
          <w14:textFill>
            <w14:solidFill>
              <w14:schemeClr w14:val="tx1"/>
            </w14:solidFill>
          </w14:textFill>
        </w:rPr>
      </w:pPr>
    </w:p>
    <w:p>
      <w:pPr>
        <w:pStyle w:val="41"/>
        <w:spacing w:line="360" w:lineRule="auto"/>
        <w:rPr>
          <w:color w:val="000000" w:themeColor="text1"/>
          <w:sz w:val="24"/>
          <w:highlight w:val="none"/>
          <w14:textFill>
            <w14:solidFill>
              <w14:schemeClr w14:val="tx1"/>
            </w14:solidFill>
          </w14:textFill>
        </w:rPr>
      </w:pPr>
    </w:p>
    <w:p>
      <w:pPr>
        <w:pStyle w:val="41"/>
        <w:spacing w:line="360" w:lineRule="auto"/>
        <w:rPr>
          <w:color w:val="000000" w:themeColor="text1"/>
          <w:sz w:val="24"/>
          <w:highlight w:val="none"/>
          <w14:textFill>
            <w14:solidFill>
              <w14:schemeClr w14:val="tx1"/>
            </w14:solidFill>
          </w14:textFill>
        </w:rPr>
      </w:pPr>
    </w:p>
    <w:p>
      <w:pPr>
        <w:pStyle w:val="41"/>
        <w:spacing w:line="360" w:lineRule="auto"/>
        <w:rPr>
          <w:rFonts w:ascii="宋体" w:hAnsi="宋体" w:cs="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备注：从业人员、营业收入、资产总额填报上一年度数据，无上一年度数据的新成立企业可不填报。</w:t>
      </w:r>
    </w:p>
    <w:p>
      <w:pPr>
        <w:pStyle w:val="12"/>
        <w:spacing w:line="360" w:lineRule="auto"/>
        <w:jc w:val="center"/>
        <w:outlineLvl w:val="1"/>
        <w:rPr>
          <w:rFonts w:hAnsi="宋体" w:cs="宋体"/>
          <w:b/>
          <w:color w:val="000000" w:themeColor="text1"/>
          <w:sz w:val="32"/>
          <w:szCs w:val="32"/>
          <w:highlight w:val="none"/>
          <w:lang w:val="en-GB"/>
          <w14:textFill>
            <w14:solidFill>
              <w14:schemeClr w14:val="tx1"/>
            </w14:solidFill>
          </w14:textFill>
        </w:rPr>
      </w:pPr>
    </w:p>
    <w:p>
      <w:pPr>
        <w:pStyle w:val="13"/>
        <w:ind w:firstLine="627"/>
        <w:rPr>
          <w:rFonts w:cs="宋体"/>
          <w:b w:val="0"/>
          <w:color w:val="000000" w:themeColor="text1"/>
          <w:sz w:val="32"/>
          <w:szCs w:val="32"/>
          <w:highlight w:val="none"/>
          <w:lang w:val="en-GB"/>
          <w14:textFill>
            <w14:solidFill>
              <w14:schemeClr w14:val="tx1"/>
            </w14:solidFill>
          </w14:textFill>
        </w:rPr>
      </w:pPr>
    </w:p>
    <w:p>
      <w:pPr>
        <w:rPr>
          <w:rFonts w:hAnsi="宋体" w:cs="宋体"/>
          <w:b/>
          <w:color w:val="000000" w:themeColor="text1"/>
          <w:sz w:val="32"/>
          <w:szCs w:val="32"/>
          <w:highlight w:val="none"/>
          <w:lang w:val="en-GB"/>
          <w14:textFill>
            <w14:solidFill>
              <w14:schemeClr w14:val="tx1"/>
            </w14:solidFill>
          </w14:textFill>
        </w:rPr>
      </w:pPr>
    </w:p>
    <w:p>
      <w:pPr>
        <w:pStyle w:val="3"/>
        <w:ind w:firstLine="2880" w:firstLineChars="800"/>
        <w:rPr>
          <w:color w:val="000000" w:themeColor="text1"/>
          <w:sz w:val="36"/>
          <w:szCs w:val="36"/>
          <w:highlight w:val="none"/>
          <w:lang w:val="en-GB"/>
          <w14:textFill>
            <w14:solidFill>
              <w14:schemeClr w14:val="tx1"/>
            </w14:solidFill>
          </w14:textFill>
        </w:rPr>
      </w:pPr>
      <w:r>
        <w:rPr>
          <w:rFonts w:hint="eastAsia"/>
          <w:color w:val="000000" w:themeColor="text1"/>
          <w:sz w:val="36"/>
          <w:szCs w:val="36"/>
          <w:highlight w:val="none"/>
          <w:lang w:val="en-GB"/>
          <w14:textFill>
            <w14:solidFill>
              <w14:schemeClr w14:val="tx1"/>
            </w14:solidFill>
          </w14:textFill>
        </w:rPr>
        <w:t>中小企业划型标准规定</w:t>
      </w:r>
    </w:p>
    <w:p>
      <w:pPr>
        <w:pStyle w:val="3"/>
        <w:ind w:firstLine="3120" w:firstLineChars="1300"/>
        <w:rPr>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工信部联企业【2011】300 号</w:t>
      </w:r>
    </w:p>
    <w:tbl>
      <w:tblPr>
        <w:tblStyle w:val="23"/>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Align w:val="center"/>
          </w:tcPr>
          <w:p>
            <w:pPr>
              <w:pStyle w:val="45"/>
              <w:spacing w:before="68"/>
              <w:ind w:left="41" w:right="3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860" w:type="dxa"/>
            <w:vAlign w:val="center"/>
          </w:tcPr>
          <w:p>
            <w:pPr>
              <w:pStyle w:val="45"/>
              <w:spacing w:before="68"/>
              <w:ind w:left="10" w:right="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行业</w:t>
            </w:r>
          </w:p>
        </w:tc>
        <w:tc>
          <w:tcPr>
            <w:tcW w:w="2157" w:type="dxa"/>
            <w:vAlign w:val="center"/>
          </w:tcPr>
          <w:p>
            <w:pPr>
              <w:pStyle w:val="45"/>
              <w:spacing w:before="68"/>
              <w:ind w:left="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原则</w:t>
            </w:r>
          </w:p>
        </w:tc>
        <w:tc>
          <w:tcPr>
            <w:tcW w:w="5537" w:type="dxa"/>
            <w:gridSpan w:val="2"/>
            <w:vAlign w:val="center"/>
          </w:tcPr>
          <w:p>
            <w:pPr>
              <w:pStyle w:val="45"/>
              <w:spacing w:before="68"/>
              <w:ind w:left="2472" w:right="1107"/>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具体规定</w:t>
            </w:r>
          </w:p>
        </w:tc>
        <w:tc>
          <w:tcPr>
            <w:tcW w:w="1099" w:type="dxa"/>
            <w:vAlign w:val="center"/>
          </w:tcPr>
          <w:p>
            <w:pPr>
              <w:pStyle w:val="45"/>
              <w:spacing w:before="68"/>
              <w:ind w:left="32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pPr>
              <w:pStyle w:val="45"/>
              <w:spacing w:before="7"/>
              <w:rPr>
                <w:b/>
                <w:color w:val="000000" w:themeColor="text1"/>
                <w:sz w:val="24"/>
                <w:highlight w:val="none"/>
                <w14:textFill>
                  <w14:solidFill>
                    <w14:schemeClr w14:val="tx1"/>
                  </w14:solidFill>
                </w14:textFill>
              </w:rPr>
            </w:pPr>
          </w:p>
          <w:p>
            <w:pPr>
              <w:pStyle w:val="45"/>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1</w:t>
            </w:r>
          </w:p>
        </w:tc>
        <w:tc>
          <w:tcPr>
            <w:tcW w:w="860" w:type="dxa"/>
            <w:vMerge w:val="restart"/>
            <w:vAlign w:val="center"/>
          </w:tcPr>
          <w:p>
            <w:pPr>
              <w:pStyle w:val="45"/>
              <w:spacing w:before="3"/>
              <w:rPr>
                <w:b/>
                <w:color w:val="000000" w:themeColor="text1"/>
                <w:sz w:val="24"/>
                <w:highlight w:val="none"/>
                <w14:textFill>
                  <w14:solidFill>
                    <w14:schemeClr w14:val="tx1"/>
                  </w14:solidFill>
                </w14:textFill>
              </w:rPr>
            </w:pPr>
          </w:p>
          <w:p>
            <w:pPr>
              <w:pStyle w:val="45"/>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农、林、牧、渔业</w:t>
            </w:r>
          </w:p>
        </w:tc>
        <w:tc>
          <w:tcPr>
            <w:tcW w:w="2157" w:type="dxa"/>
            <w:vMerge w:val="restart"/>
            <w:vAlign w:val="center"/>
          </w:tcPr>
          <w:p>
            <w:pPr>
              <w:pStyle w:val="45"/>
              <w:spacing w:before="3"/>
              <w:rPr>
                <w:b/>
                <w:color w:val="000000" w:themeColor="text1"/>
                <w:sz w:val="24"/>
                <w:highlight w:val="none"/>
                <w:lang w:eastAsia="zh-CN"/>
                <w14:textFill>
                  <w14:solidFill>
                    <w14:schemeClr w14:val="tx1"/>
                  </w14:solidFill>
                </w14:textFill>
              </w:rPr>
            </w:pPr>
          </w:p>
          <w:p>
            <w:pPr>
              <w:pStyle w:val="45"/>
              <w:spacing w:before="1" w:line="292" w:lineRule="auto"/>
              <w:ind w:left="15" w:right="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20000 万元以下的为中小微型企业</w:t>
            </w: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500 万元及以上的</w:t>
            </w:r>
          </w:p>
        </w:tc>
        <w:tc>
          <w:tcPr>
            <w:tcW w:w="1099" w:type="dxa"/>
            <w:vMerge w:val="restart"/>
            <w:vAlign w:val="center"/>
          </w:tcPr>
          <w:p>
            <w:pPr>
              <w:pStyle w:val="45"/>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 万元及以上的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pPr>
              <w:pStyle w:val="45"/>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 万元以下的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pPr>
              <w:pStyle w:val="45"/>
              <w:spacing w:before="6"/>
              <w:rPr>
                <w:b/>
                <w:color w:val="000000" w:themeColor="text1"/>
                <w:sz w:val="24"/>
                <w:highlight w:val="none"/>
                <w14:textFill>
                  <w14:solidFill>
                    <w14:schemeClr w14:val="tx1"/>
                  </w14:solidFill>
                </w14:textFill>
              </w:rPr>
            </w:pPr>
          </w:p>
          <w:p>
            <w:pPr>
              <w:pStyle w:val="45"/>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2</w:t>
            </w:r>
          </w:p>
        </w:tc>
        <w:tc>
          <w:tcPr>
            <w:tcW w:w="860" w:type="dxa"/>
            <w:vMerge w:val="restart"/>
            <w:vAlign w:val="center"/>
          </w:tcPr>
          <w:p>
            <w:pPr>
              <w:pStyle w:val="45"/>
              <w:spacing w:before="11"/>
              <w:rPr>
                <w:b/>
                <w:color w:val="000000" w:themeColor="text1"/>
                <w:sz w:val="24"/>
                <w:highlight w:val="none"/>
                <w14:textFill>
                  <w14:solidFill>
                    <w14:schemeClr w14:val="tx1"/>
                  </w14:solidFill>
                </w14:textFill>
              </w:rPr>
            </w:pPr>
          </w:p>
          <w:p>
            <w:pPr>
              <w:pStyle w:val="45"/>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工业</w:t>
            </w:r>
          </w:p>
        </w:tc>
        <w:tc>
          <w:tcPr>
            <w:tcW w:w="2157" w:type="dxa"/>
            <w:vMerge w:val="restart"/>
            <w:vAlign w:val="center"/>
          </w:tcPr>
          <w:p>
            <w:pPr>
              <w:pStyle w:val="45"/>
              <w:spacing w:before="141"/>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40000 万元以下的为中小微型企业</w:t>
            </w: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pPr>
              <w:pStyle w:val="45"/>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pPr>
              <w:pStyle w:val="45"/>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pPr>
              <w:pStyle w:val="45"/>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300 万元以下的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vAlign w:val="center"/>
          </w:tcPr>
          <w:p>
            <w:pPr>
              <w:pStyle w:val="45"/>
              <w:rPr>
                <w:b/>
                <w:color w:val="000000" w:themeColor="text1"/>
                <w:sz w:val="24"/>
                <w:highlight w:val="none"/>
                <w:lang w:eastAsia="zh-CN"/>
                <w14:textFill>
                  <w14:solidFill>
                    <w14:schemeClr w14:val="tx1"/>
                  </w14:solidFill>
                </w14:textFill>
              </w:rPr>
            </w:pPr>
          </w:p>
          <w:p>
            <w:pPr>
              <w:pStyle w:val="45"/>
              <w:spacing w:before="15"/>
              <w:rPr>
                <w:b/>
                <w:color w:val="000000" w:themeColor="text1"/>
                <w:sz w:val="24"/>
                <w:highlight w:val="none"/>
                <w:lang w:eastAsia="zh-CN"/>
                <w14:textFill>
                  <w14:solidFill>
                    <w14:schemeClr w14:val="tx1"/>
                  </w14:solidFill>
                </w14:textFill>
              </w:rPr>
            </w:pPr>
          </w:p>
          <w:p>
            <w:pPr>
              <w:pStyle w:val="45"/>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3</w:t>
            </w:r>
          </w:p>
        </w:tc>
        <w:tc>
          <w:tcPr>
            <w:tcW w:w="860" w:type="dxa"/>
            <w:vMerge w:val="restart"/>
            <w:vAlign w:val="center"/>
          </w:tcPr>
          <w:p>
            <w:pPr>
              <w:pStyle w:val="45"/>
              <w:rPr>
                <w:b/>
                <w:color w:val="000000" w:themeColor="text1"/>
                <w:sz w:val="24"/>
                <w:highlight w:val="none"/>
                <w14:textFill>
                  <w14:solidFill>
                    <w14:schemeClr w14:val="tx1"/>
                  </w14:solidFill>
                </w14:textFill>
              </w:rPr>
            </w:pPr>
          </w:p>
          <w:p>
            <w:pPr>
              <w:pStyle w:val="45"/>
              <w:spacing w:before="2"/>
              <w:rPr>
                <w:b/>
                <w:color w:val="000000" w:themeColor="text1"/>
                <w:sz w:val="24"/>
                <w:highlight w:val="none"/>
                <w14:textFill>
                  <w14:solidFill>
                    <w14:schemeClr w14:val="tx1"/>
                  </w14:solidFill>
                </w14:textFill>
              </w:rPr>
            </w:pPr>
          </w:p>
          <w:p>
            <w:pPr>
              <w:pStyle w:val="45"/>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建筑业</w:t>
            </w:r>
          </w:p>
        </w:tc>
        <w:tc>
          <w:tcPr>
            <w:tcW w:w="2157" w:type="dxa"/>
            <w:vMerge w:val="restart"/>
            <w:vAlign w:val="center"/>
          </w:tcPr>
          <w:p>
            <w:pPr>
              <w:pStyle w:val="45"/>
              <w:ind w:left="15"/>
              <w:rPr>
                <w:b/>
                <w:color w:val="000000" w:themeColor="text1"/>
                <w:sz w:val="24"/>
                <w:highlight w:val="none"/>
                <w:lang w:eastAsia="zh-CN"/>
                <w14:textFill>
                  <w14:solidFill>
                    <w14:schemeClr w14:val="tx1"/>
                  </w14:solidFill>
                </w14:textFill>
              </w:rPr>
            </w:pPr>
          </w:p>
          <w:p>
            <w:pPr>
              <w:pStyle w:val="45"/>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80000 万元以下或资产总额 80000 万元以下的为中小微型企业</w:t>
            </w:r>
          </w:p>
        </w:tc>
        <w:tc>
          <w:tcPr>
            <w:tcW w:w="1215" w:type="dxa"/>
            <w:vAlign w:val="center"/>
          </w:tcPr>
          <w:p>
            <w:pPr>
              <w:pStyle w:val="45"/>
              <w:spacing w:before="2"/>
              <w:rPr>
                <w:b/>
                <w:color w:val="000000" w:themeColor="text1"/>
                <w:sz w:val="24"/>
                <w:highlight w:val="none"/>
                <w:lang w:eastAsia="zh-CN"/>
                <w14:textFill>
                  <w14:solidFill>
                    <w14:schemeClr w14:val="tx1"/>
                  </w14:solidFill>
                </w14:textFill>
              </w:rPr>
            </w:pPr>
          </w:p>
          <w:p>
            <w:pPr>
              <w:pStyle w:val="45"/>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pPr>
              <w:pStyle w:val="45"/>
              <w:spacing w:before="49"/>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6000</w:t>
            </w:r>
            <w:r>
              <w:rPr>
                <w:rFonts w:hint="eastAsia"/>
                <w:color w:val="000000" w:themeColor="text1"/>
                <w:spacing w:val="-6"/>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8"/>
                <w:sz w:val="24"/>
                <w:highlight w:val="none"/>
                <w:lang w:eastAsia="zh-CN"/>
                <w14:textFill>
                  <w14:solidFill>
                    <w14:schemeClr w14:val="tx1"/>
                  </w14:solidFill>
                </w14:textFill>
              </w:rPr>
              <w:t xml:space="preserve"> 万元及以</w:t>
            </w:r>
          </w:p>
          <w:p>
            <w:pPr>
              <w:pStyle w:val="45"/>
              <w:spacing w:before="56"/>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上的</w:t>
            </w:r>
          </w:p>
        </w:tc>
        <w:tc>
          <w:tcPr>
            <w:tcW w:w="1099" w:type="dxa"/>
            <w:vMerge w:val="restart"/>
            <w:vAlign w:val="center"/>
          </w:tcPr>
          <w:p>
            <w:pPr>
              <w:pStyle w:val="45"/>
              <w:spacing w:before="2"/>
              <w:rPr>
                <w:b/>
                <w:color w:val="000000" w:themeColor="text1"/>
                <w:sz w:val="24"/>
                <w:highlight w:val="none"/>
                <w14:textFill>
                  <w14:solidFill>
                    <w14:schemeClr w14:val="tx1"/>
                  </w14:solidFill>
                </w14:textFill>
              </w:rPr>
            </w:pPr>
          </w:p>
          <w:p>
            <w:pPr>
              <w:pStyle w:val="45"/>
              <w:spacing w:line="61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16"/>
              <w:rPr>
                <w:b/>
                <w:color w:val="000000" w:themeColor="text1"/>
                <w:sz w:val="24"/>
                <w:highlight w:val="none"/>
                <w14:textFill>
                  <w14:solidFill>
                    <w14:schemeClr w14:val="tx1"/>
                  </w14:solidFill>
                </w14:textFill>
              </w:rPr>
            </w:pPr>
          </w:p>
          <w:p>
            <w:pPr>
              <w:pStyle w:val="45"/>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pPr>
              <w:pStyle w:val="45"/>
              <w:spacing w:before="45"/>
              <w:ind w:left="15"/>
              <w:rPr>
                <w:color w:val="000000" w:themeColor="text1"/>
                <w:sz w:val="24"/>
                <w:highlight w:val="none"/>
                <w:lang w:eastAsia="zh-CN"/>
                <w14:textFill>
                  <w14:solidFill>
                    <w14:schemeClr w14:val="tx1"/>
                  </w14:solidFill>
                </w14:textFill>
              </w:rPr>
            </w:pPr>
            <w:r>
              <w:rPr>
                <w:rFonts w:hint="eastAsia"/>
                <w:color w:val="000000" w:themeColor="text1"/>
                <w:spacing w:val="-8"/>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7"/>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8"/>
                <w:sz w:val="24"/>
                <w:highlight w:val="none"/>
                <w:lang w:eastAsia="zh-CN"/>
                <w14:textFill>
                  <w14:solidFill>
                    <w14:schemeClr w14:val="tx1"/>
                  </w14:solidFill>
                </w14:textFill>
              </w:rPr>
              <w:t xml:space="preserve"> 万元及以上</w:t>
            </w:r>
          </w:p>
          <w:p>
            <w:pPr>
              <w:pStyle w:val="45"/>
              <w:spacing w:before="55"/>
              <w:ind w:left="15"/>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300 万元以下或资产总额 300 万元以下的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pPr>
              <w:pStyle w:val="45"/>
              <w:spacing w:before="7"/>
              <w:rPr>
                <w:b/>
                <w:color w:val="000000" w:themeColor="text1"/>
                <w:sz w:val="24"/>
                <w:highlight w:val="none"/>
                <w:lang w:eastAsia="zh-CN"/>
                <w14:textFill>
                  <w14:solidFill>
                    <w14:schemeClr w14:val="tx1"/>
                  </w14:solidFill>
                </w14:textFill>
              </w:rPr>
            </w:pPr>
          </w:p>
          <w:p>
            <w:pPr>
              <w:pStyle w:val="45"/>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4</w:t>
            </w:r>
          </w:p>
        </w:tc>
        <w:tc>
          <w:tcPr>
            <w:tcW w:w="860" w:type="dxa"/>
            <w:vMerge w:val="restart"/>
            <w:vAlign w:val="center"/>
          </w:tcPr>
          <w:p>
            <w:pPr>
              <w:pStyle w:val="45"/>
              <w:spacing w:before="12"/>
              <w:rPr>
                <w:b/>
                <w:color w:val="000000" w:themeColor="text1"/>
                <w:sz w:val="24"/>
                <w:highlight w:val="none"/>
                <w14:textFill>
                  <w14:solidFill>
                    <w14:schemeClr w14:val="tx1"/>
                  </w14:solidFill>
                </w14:textFill>
              </w:rPr>
            </w:pPr>
          </w:p>
          <w:p>
            <w:pPr>
              <w:pStyle w:val="45"/>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批发业</w:t>
            </w:r>
          </w:p>
        </w:tc>
        <w:tc>
          <w:tcPr>
            <w:tcW w:w="2157" w:type="dxa"/>
            <w:vMerge w:val="restart"/>
            <w:vAlign w:val="center"/>
          </w:tcPr>
          <w:p>
            <w:pPr>
              <w:pStyle w:val="45"/>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40000 万元以下的为中小微型企业</w:t>
            </w: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pPr>
              <w:pStyle w:val="45"/>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pPr>
              <w:pStyle w:val="45"/>
              <w:spacing w:before="69"/>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pPr>
              <w:pStyle w:val="45"/>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5 人以下或营业收入 1000 万元以下的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pPr>
              <w:pStyle w:val="45"/>
              <w:spacing w:before="6"/>
              <w:rPr>
                <w:b/>
                <w:color w:val="000000" w:themeColor="text1"/>
                <w:sz w:val="24"/>
                <w:highlight w:val="none"/>
                <w:lang w:eastAsia="zh-CN"/>
                <w14:textFill>
                  <w14:solidFill>
                    <w14:schemeClr w14:val="tx1"/>
                  </w14:solidFill>
                </w14:textFill>
              </w:rPr>
            </w:pPr>
          </w:p>
          <w:p>
            <w:pPr>
              <w:pStyle w:val="45"/>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5</w:t>
            </w:r>
          </w:p>
        </w:tc>
        <w:tc>
          <w:tcPr>
            <w:tcW w:w="860" w:type="dxa"/>
            <w:vMerge w:val="restart"/>
            <w:vAlign w:val="center"/>
          </w:tcPr>
          <w:p>
            <w:pPr>
              <w:pStyle w:val="45"/>
              <w:spacing w:before="11"/>
              <w:rPr>
                <w:b/>
                <w:color w:val="000000" w:themeColor="text1"/>
                <w:sz w:val="24"/>
                <w:highlight w:val="none"/>
                <w14:textFill>
                  <w14:solidFill>
                    <w14:schemeClr w14:val="tx1"/>
                  </w14:solidFill>
                </w14:textFill>
              </w:rPr>
            </w:pPr>
          </w:p>
          <w:p>
            <w:pPr>
              <w:pStyle w:val="45"/>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零售业</w:t>
            </w:r>
          </w:p>
        </w:tc>
        <w:tc>
          <w:tcPr>
            <w:tcW w:w="2157" w:type="dxa"/>
            <w:vMerge w:val="restart"/>
            <w:vAlign w:val="center"/>
          </w:tcPr>
          <w:p>
            <w:pPr>
              <w:pStyle w:val="45"/>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20000 万元以下的为中小微型企业</w:t>
            </w: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pPr>
              <w:pStyle w:val="45"/>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pPr>
              <w:pStyle w:val="45"/>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pPr>
              <w:pStyle w:val="45"/>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pPr>
              <w:pStyle w:val="45"/>
              <w:spacing w:before="7"/>
              <w:rPr>
                <w:b/>
                <w:color w:val="000000" w:themeColor="text1"/>
                <w:sz w:val="24"/>
                <w:highlight w:val="none"/>
                <w:lang w:eastAsia="zh-CN"/>
                <w14:textFill>
                  <w14:solidFill>
                    <w14:schemeClr w14:val="tx1"/>
                  </w14:solidFill>
                </w14:textFill>
              </w:rPr>
            </w:pPr>
          </w:p>
          <w:p>
            <w:pPr>
              <w:pStyle w:val="45"/>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6</w:t>
            </w:r>
          </w:p>
        </w:tc>
        <w:tc>
          <w:tcPr>
            <w:tcW w:w="860" w:type="dxa"/>
            <w:vMerge w:val="restart"/>
            <w:vAlign w:val="center"/>
          </w:tcPr>
          <w:p>
            <w:pPr>
              <w:pStyle w:val="45"/>
              <w:spacing w:before="3"/>
              <w:rPr>
                <w:b/>
                <w:color w:val="000000" w:themeColor="text1"/>
                <w:sz w:val="24"/>
                <w:highlight w:val="none"/>
                <w14:textFill>
                  <w14:solidFill>
                    <w14:schemeClr w14:val="tx1"/>
                  </w14:solidFill>
                </w14:textFill>
              </w:rPr>
            </w:pPr>
          </w:p>
          <w:p>
            <w:pPr>
              <w:pStyle w:val="45"/>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交通运输业</w:t>
            </w:r>
          </w:p>
        </w:tc>
        <w:tc>
          <w:tcPr>
            <w:tcW w:w="2157" w:type="dxa"/>
            <w:vMerge w:val="restart"/>
            <w:vAlign w:val="center"/>
          </w:tcPr>
          <w:p>
            <w:pPr>
              <w:pStyle w:val="45"/>
              <w:spacing w:before="142"/>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pPr>
              <w:pStyle w:val="45"/>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pPr>
              <w:pStyle w:val="45"/>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200 万元以下的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pPr>
              <w:pStyle w:val="45"/>
              <w:spacing w:before="6"/>
              <w:rPr>
                <w:b/>
                <w:color w:val="000000" w:themeColor="text1"/>
                <w:sz w:val="24"/>
                <w:highlight w:val="none"/>
                <w:lang w:eastAsia="zh-CN"/>
                <w14:textFill>
                  <w14:solidFill>
                    <w14:schemeClr w14:val="tx1"/>
                  </w14:solidFill>
                </w14:textFill>
              </w:rPr>
            </w:pPr>
          </w:p>
          <w:p>
            <w:pPr>
              <w:pStyle w:val="45"/>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7</w:t>
            </w:r>
          </w:p>
        </w:tc>
        <w:tc>
          <w:tcPr>
            <w:tcW w:w="860" w:type="dxa"/>
            <w:vMerge w:val="restart"/>
            <w:vAlign w:val="center"/>
          </w:tcPr>
          <w:p>
            <w:pPr>
              <w:pStyle w:val="45"/>
              <w:spacing w:before="11"/>
              <w:rPr>
                <w:b/>
                <w:color w:val="000000" w:themeColor="text1"/>
                <w:sz w:val="24"/>
                <w:highlight w:val="none"/>
                <w14:textFill>
                  <w14:solidFill>
                    <w14:schemeClr w14:val="tx1"/>
                  </w14:solidFill>
                </w14:textFill>
              </w:rPr>
            </w:pPr>
          </w:p>
          <w:p>
            <w:pPr>
              <w:pStyle w:val="45"/>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仓储业</w:t>
            </w:r>
          </w:p>
        </w:tc>
        <w:tc>
          <w:tcPr>
            <w:tcW w:w="2157" w:type="dxa"/>
            <w:vMerge w:val="restart"/>
            <w:vAlign w:val="center"/>
          </w:tcPr>
          <w:p>
            <w:pPr>
              <w:pStyle w:val="45"/>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30000 万元以下的为中小微型企业</w:t>
            </w: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pPr>
              <w:pStyle w:val="45"/>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pPr>
              <w:pStyle w:val="45"/>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pPr>
              <w:pStyle w:val="45"/>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pPr>
              <w:pStyle w:val="45"/>
              <w:spacing w:before="7"/>
              <w:rPr>
                <w:b/>
                <w:color w:val="000000" w:themeColor="text1"/>
                <w:sz w:val="24"/>
                <w:highlight w:val="none"/>
                <w:lang w:eastAsia="zh-CN"/>
                <w14:textFill>
                  <w14:solidFill>
                    <w14:schemeClr w14:val="tx1"/>
                  </w14:solidFill>
                </w14:textFill>
              </w:rPr>
            </w:pPr>
          </w:p>
          <w:p>
            <w:pPr>
              <w:pStyle w:val="45"/>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8</w:t>
            </w:r>
          </w:p>
        </w:tc>
        <w:tc>
          <w:tcPr>
            <w:tcW w:w="860" w:type="dxa"/>
            <w:vMerge w:val="restart"/>
            <w:vAlign w:val="center"/>
          </w:tcPr>
          <w:p>
            <w:pPr>
              <w:pStyle w:val="45"/>
              <w:spacing w:before="12"/>
              <w:rPr>
                <w:b/>
                <w:color w:val="000000" w:themeColor="text1"/>
                <w:sz w:val="24"/>
                <w:highlight w:val="none"/>
                <w14:textFill>
                  <w14:solidFill>
                    <w14:schemeClr w14:val="tx1"/>
                  </w14:solidFill>
                </w14:textFill>
              </w:rPr>
            </w:pPr>
          </w:p>
          <w:p>
            <w:pPr>
              <w:pStyle w:val="45"/>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邮政业</w:t>
            </w:r>
          </w:p>
        </w:tc>
        <w:tc>
          <w:tcPr>
            <w:tcW w:w="2157" w:type="dxa"/>
            <w:vMerge w:val="restart"/>
            <w:vAlign w:val="center"/>
          </w:tcPr>
          <w:p>
            <w:pPr>
              <w:pStyle w:val="45"/>
              <w:spacing w:before="143"/>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pPr>
              <w:pStyle w:val="45"/>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pPr>
              <w:pStyle w:val="45"/>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pPr>
              <w:pStyle w:val="45"/>
              <w:spacing w:before="6"/>
              <w:rPr>
                <w:b/>
                <w:color w:val="000000" w:themeColor="text1"/>
                <w:sz w:val="24"/>
                <w:highlight w:val="none"/>
                <w:lang w:eastAsia="zh-CN"/>
                <w14:textFill>
                  <w14:solidFill>
                    <w14:schemeClr w14:val="tx1"/>
                  </w14:solidFill>
                </w14:textFill>
              </w:rPr>
            </w:pPr>
          </w:p>
          <w:p>
            <w:pPr>
              <w:pStyle w:val="45"/>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9</w:t>
            </w:r>
          </w:p>
        </w:tc>
        <w:tc>
          <w:tcPr>
            <w:tcW w:w="860" w:type="dxa"/>
            <w:vMerge w:val="restart"/>
            <w:vAlign w:val="center"/>
          </w:tcPr>
          <w:p>
            <w:pPr>
              <w:pStyle w:val="45"/>
              <w:spacing w:before="11"/>
              <w:rPr>
                <w:b/>
                <w:color w:val="000000" w:themeColor="text1"/>
                <w:sz w:val="24"/>
                <w:highlight w:val="none"/>
                <w14:textFill>
                  <w14:solidFill>
                    <w14:schemeClr w14:val="tx1"/>
                  </w14:solidFill>
                </w14:textFill>
              </w:rPr>
            </w:pPr>
          </w:p>
          <w:p>
            <w:pPr>
              <w:pStyle w:val="45"/>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住宿业</w:t>
            </w:r>
          </w:p>
        </w:tc>
        <w:tc>
          <w:tcPr>
            <w:tcW w:w="2157" w:type="dxa"/>
            <w:vMerge w:val="restart"/>
            <w:vAlign w:val="center"/>
          </w:tcPr>
          <w:p>
            <w:pPr>
              <w:pStyle w:val="45"/>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pPr>
              <w:pStyle w:val="45"/>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pPr>
              <w:pStyle w:val="45"/>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pPr>
              <w:pStyle w:val="45"/>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pPr>
              <w:pStyle w:val="45"/>
              <w:spacing w:before="7"/>
              <w:rPr>
                <w:b/>
                <w:color w:val="000000" w:themeColor="text1"/>
                <w:sz w:val="24"/>
                <w:highlight w:val="none"/>
                <w:lang w:eastAsia="zh-CN"/>
                <w14:textFill>
                  <w14:solidFill>
                    <w14:schemeClr w14:val="tx1"/>
                  </w14:solidFill>
                </w14:textFill>
              </w:rPr>
            </w:pPr>
          </w:p>
          <w:p>
            <w:pPr>
              <w:pStyle w:val="4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860" w:type="dxa"/>
            <w:vMerge w:val="restart"/>
            <w:vAlign w:val="center"/>
          </w:tcPr>
          <w:p>
            <w:pPr>
              <w:pStyle w:val="45"/>
              <w:spacing w:before="12"/>
              <w:rPr>
                <w:b/>
                <w:color w:val="000000" w:themeColor="text1"/>
                <w:sz w:val="24"/>
                <w:highlight w:val="none"/>
                <w14:textFill>
                  <w14:solidFill>
                    <w14:schemeClr w14:val="tx1"/>
                  </w14:solidFill>
                </w14:textFill>
              </w:rPr>
            </w:pPr>
          </w:p>
          <w:p>
            <w:pPr>
              <w:pStyle w:val="45"/>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餐饮业</w:t>
            </w:r>
          </w:p>
        </w:tc>
        <w:tc>
          <w:tcPr>
            <w:tcW w:w="2157" w:type="dxa"/>
            <w:vMerge w:val="restart"/>
            <w:vAlign w:val="center"/>
          </w:tcPr>
          <w:p>
            <w:pPr>
              <w:pStyle w:val="45"/>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pPr>
              <w:pStyle w:val="45"/>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pPr>
              <w:pStyle w:val="45"/>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pPr>
              <w:rPr>
                <w:rFonts w:ascii="宋体" w:hAnsi="宋体" w:cs="宋体"/>
                <w:color w:val="000000" w:themeColor="text1"/>
                <w:sz w:val="24"/>
                <w:highlight w:val="none"/>
                <w14:textFill>
                  <w14:solidFill>
                    <w14:schemeClr w14:val="tx1"/>
                  </w14:solidFill>
                </w14:textFill>
              </w:rPr>
            </w:pPr>
          </w:p>
        </w:tc>
        <w:tc>
          <w:tcPr>
            <w:tcW w:w="1215" w:type="dxa"/>
            <w:vAlign w:val="center"/>
          </w:tcPr>
          <w:p>
            <w:pPr>
              <w:pStyle w:val="45"/>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pPr>
              <w:pStyle w:val="45"/>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pP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pPr>
              <w:pStyle w:val="45"/>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860" w:type="dxa"/>
            <w:vMerge w:val="restart"/>
            <w:vAlign w:val="center"/>
          </w:tcPr>
          <w:p>
            <w:pPr>
              <w:pStyle w:val="45"/>
              <w:spacing w:before="67"/>
              <w:ind w:left="7" w:right="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信息传输</w:t>
            </w:r>
          </w:p>
        </w:tc>
        <w:tc>
          <w:tcPr>
            <w:tcW w:w="2157" w:type="dxa"/>
            <w:vMerge w:val="restart"/>
            <w:vAlign w:val="center"/>
          </w:tcPr>
          <w:p>
            <w:pPr>
              <w:pStyle w:val="45"/>
              <w:spacing w:before="67"/>
              <w:ind w:left="7"/>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从业人员2000人以下或营业收入100000万元以下的为中小微型企业。</w:t>
            </w: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pPr>
              <w:pStyle w:val="45"/>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pPr>
              <w:pStyle w:val="45"/>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pPr>
              <w:pStyle w:val="45"/>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从业人员10人及以上，且营业收入100万元及以上的</w:t>
            </w:r>
          </w:p>
        </w:tc>
        <w:tc>
          <w:tcPr>
            <w:tcW w:w="1099" w:type="dxa"/>
            <w:vMerge w:val="continue"/>
            <w:vAlign w:val="center"/>
          </w:tcPr>
          <w:p>
            <w:pPr>
              <w:pStyle w:val="45"/>
              <w:spacing w:before="67"/>
              <w:ind w:left="15"/>
              <w:rPr>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lang w:eastAsia="zh-CN"/>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pPr>
              <w:pStyle w:val="45"/>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从业人员10人以下或营业收入100万元以下的为</w:t>
            </w:r>
          </w:p>
        </w:tc>
        <w:tc>
          <w:tcPr>
            <w:tcW w:w="1099" w:type="dxa"/>
            <w:vMerge w:val="continue"/>
            <w:vAlign w:val="center"/>
          </w:tcPr>
          <w:p>
            <w:pPr>
              <w:pStyle w:val="45"/>
              <w:spacing w:before="67"/>
              <w:ind w:left="15"/>
              <w:rPr>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pPr>
              <w:pStyle w:val="45"/>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12</w:t>
            </w:r>
          </w:p>
        </w:tc>
        <w:tc>
          <w:tcPr>
            <w:tcW w:w="860" w:type="dxa"/>
            <w:vMerge w:val="restart"/>
            <w:vAlign w:val="center"/>
          </w:tcPr>
          <w:p>
            <w:pPr>
              <w:pStyle w:val="45"/>
              <w:spacing w:before="67"/>
              <w:ind w:left="7" w:right="2"/>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软件和信息技术服务业。</w:t>
            </w:r>
          </w:p>
        </w:tc>
        <w:tc>
          <w:tcPr>
            <w:tcW w:w="2157" w:type="dxa"/>
            <w:vMerge w:val="restart"/>
            <w:vAlign w:val="center"/>
          </w:tcPr>
          <w:p>
            <w:pPr>
              <w:pStyle w:val="45"/>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从业人员300人以下或营业收入10000万元以下的为中小微型企业</w:t>
            </w: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pPr>
              <w:pStyle w:val="45"/>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从业人员100人及以上，且营业收入1000万元及以上的</w:t>
            </w:r>
          </w:p>
        </w:tc>
        <w:tc>
          <w:tcPr>
            <w:tcW w:w="1099" w:type="dxa"/>
            <w:vMerge w:val="restart"/>
            <w:vAlign w:val="center"/>
          </w:tcPr>
          <w:p>
            <w:pPr>
              <w:pStyle w:val="45"/>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pPr>
              <w:pStyle w:val="45"/>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从业人员10人及以上，且营业收入50万元及以上的</w:t>
            </w:r>
          </w:p>
        </w:tc>
        <w:tc>
          <w:tcPr>
            <w:tcW w:w="1099" w:type="dxa"/>
            <w:vMerge w:val="continue"/>
            <w:vAlign w:val="center"/>
          </w:tcPr>
          <w:p>
            <w:pPr>
              <w:pStyle w:val="45"/>
              <w:spacing w:before="67"/>
              <w:ind w:left="15"/>
              <w:rPr>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pPr>
              <w:pStyle w:val="45"/>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从业人员10人以下或营业收入50万元以下的</w:t>
            </w:r>
          </w:p>
        </w:tc>
        <w:tc>
          <w:tcPr>
            <w:tcW w:w="1099" w:type="dxa"/>
            <w:vMerge w:val="continue"/>
            <w:vAlign w:val="center"/>
          </w:tcPr>
          <w:p>
            <w:pPr>
              <w:pStyle w:val="45"/>
              <w:spacing w:before="67"/>
              <w:ind w:left="15"/>
              <w:rPr>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pPr>
              <w:pStyle w:val="45"/>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13</w:t>
            </w:r>
          </w:p>
        </w:tc>
        <w:tc>
          <w:tcPr>
            <w:tcW w:w="860" w:type="dxa"/>
            <w:vMerge w:val="restart"/>
            <w:vAlign w:val="center"/>
          </w:tcPr>
          <w:p>
            <w:pPr>
              <w:pStyle w:val="45"/>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房地产开发经营</w:t>
            </w:r>
          </w:p>
        </w:tc>
        <w:tc>
          <w:tcPr>
            <w:tcW w:w="2157" w:type="dxa"/>
            <w:vMerge w:val="restart"/>
            <w:vAlign w:val="center"/>
          </w:tcPr>
          <w:p>
            <w:pPr>
              <w:pStyle w:val="45"/>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营业收入200000万元以下或资产总额10000万元以下的为中小微型企业</w:t>
            </w: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pPr>
              <w:pStyle w:val="45"/>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营业收入1000万元及以上，且资产总额5000万元及以上的</w:t>
            </w:r>
          </w:p>
        </w:tc>
        <w:tc>
          <w:tcPr>
            <w:tcW w:w="1099" w:type="dxa"/>
            <w:vMerge w:val="restart"/>
            <w:vAlign w:val="center"/>
          </w:tcPr>
          <w:p>
            <w:pPr>
              <w:pStyle w:val="45"/>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pPr>
              <w:pStyle w:val="45"/>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营业收入100万元及以上，且资产总额2000万元及以上的</w:t>
            </w:r>
          </w:p>
        </w:tc>
        <w:tc>
          <w:tcPr>
            <w:tcW w:w="1099" w:type="dxa"/>
            <w:vMerge w:val="continue"/>
            <w:vAlign w:val="center"/>
          </w:tcPr>
          <w:p>
            <w:pPr>
              <w:pStyle w:val="45"/>
              <w:spacing w:before="67"/>
              <w:ind w:left="15"/>
              <w:rPr>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pPr>
              <w:pStyle w:val="45"/>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营业收入100万元以下或资产总额2000万元以下的</w:t>
            </w:r>
          </w:p>
        </w:tc>
        <w:tc>
          <w:tcPr>
            <w:tcW w:w="1099" w:type="dxa"/>
            <w:vMerge w:val="continue"/>
            <w:vAlign w:val="center"/>
          </w:tcPr>
          <w:p>
            <w:pPr>
              <w:pStyle w:val="45"/>
              <w:spacing w:before="67"/>
              <w:ind w:left="15"/>
              <w:rPr>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pPr>
              <w:pStyle w:val="45"/>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14</w:t>
            </w:r>
          </w:p>
        </w:tc>
        <w:tc>
          <w:tcPr>
            <w:tcW w:w="860" w:type="dxa"/>
            <w:vMerge w:val="restart"/>
            <w:vAlign w:val="center"/>
          </w:tcPr>
          <w:p>
            <w:pPr>
              <w:pStyle w:val="45"/>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物业管理</w:t>
            </w:r>
          </w:p>
        </w:tc>
        <w:tc>
          <w:tcPr>
            <w:tcW w:w="2157" w:type="dxa"/>
            <w:vMerge w:val="restart"/>
            <w:vAlign w:val="center"/>
          </w:tcPr>
          <w:p>
            <w:pPr>
              <w:pStyle w:val="45"/>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从业人员1000人以下或营业收入5000万元以下的为中小微型企业</w:t>
            </w: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pPr>
              <w:pStyle w:val="45"/>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从业人员300人及以上，且营业收入1000万元及以上的</w:t>
            </w:r>
          </w:p>
        </w:tc>
        <w:tc>
          <w:tcPr>
            <w:tcW w:w="1099" w:type="dxa"/>
            <w:vMerge w:val="restart"/>
            <w:vAlign w:val="center"/>
          </w:tcPr>
          <w:p>
            <w:pPr>
              <w:pStyle w:val="45"/>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pPr>
              <w:pStyle w:val="45"/>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从业人员100人及以上，且营业收入500万元及以上的</w:t>
            </w:r>
          </w:p>
        </w:tc>
        <w:tc>
          <w:tcPr>
            <w:tcW w:w="1099" w:type="dxa"/>
            <w:vMerge w:val="continue"/>
            <w:vAlign w:val="center"/>
          </w:tcPr>
          <w:p>
            <w:pPr>
              <w:pStyle w:val="45"/>
              <w:spacing w:before="67"/>
              <w:ind w:left="15"/>
              <w:rPr>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pPr>
              <w:pStyle w:val="45"/>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从业人员100人以下或营业收入500万元以下的为</w:t>
            </w:r>
          </w:p>
        </w:tc>
        <w:tc>
          <w:tcPr>
            <w:tcW w:w="1099" w:type="dxa"/>
            <w:vMerge w:val="continue"/>
            <w:vAlign w:val="center"/>
          </w:tcPr>
          <w:p>
            <w:pPr>
              <w:pStyle w:val="45"/>
              <w:spacing w:before="67"/>
              <w:ind w:left="15"/>
              <w:rPr>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pPr>
              <w:pStyle w:val="45"/>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15</w:t>
            </w:r>
          </w:p>
        </w:tc>
        <w:tc>
          <w:tcPr>
            <w:tcW w:w="860" w:type="dxa"/>
            <w:vMerge w:val="restart"/>
            <w:vAlign w:val="center"/>
          </w:tcPr>
          <w:p>
            <w:pPr>
              <w:pStyle w:val="45"/>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租赁和商务服务业</w:t>
            </w:r>
          </w:p>
        </w:tc>
        <w:tc>
          <w:tcPr>
            <w:tcW w:w="2157" w:type="dxa"/>
            <w:vMerge w:val="restart"/>
            <w:vAlign w:val="center"/>
          </w:tcPr>
          <w:p>
            <w:pPr>
              <w:pStyle w:val="45"/>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从业人员300人以下或资产总额120000万元以下的为中小微型企业</w:t>
            </w: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pPr>
              <w:pStyle w:val="45"/>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从业人员100人及以上，且资产总额8000万元及以上的</w:t>
            </w:r>
          </w:p>
        </w:tc>
        <w:tc>
          <w:tcPr>
            <w:tcW w:w="1099" w:type="dxa"/>
            <w:vMerge w:val="restart"/>
            <w:vAlign w:val="center"/>
          </w:tcPr>
          <w:p>
            <w:pPr>
              <w:pStyle w:val="45"/>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pPr>
              <w:pStyle w:val="45"/>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从业人员10人及以上，且资产总额100万元及以上的</w:t>
            </w:r>
          </w:p>
        </w:tc>
        <w:tc>
          <w:tcPr>
            <w:tcW w:w="1099" w:type="dxa"/>
            <w:vMerge w:val="continue"/>
            <w:vAlign w:val="center"/>
          </w:tcPr>
          <w:p>
            <w:pPr>
              <w:pStyle w:val="45"/>
              <w:spacing w:before="67"/>
              <w:ind w:left="15"/>
              <w:rPr>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pPr>
              <w:pStyle w:val="45"/>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从业人员10人以下或资产总额100万元以下的</w:t>
            </w:r>
          </w:p>
        </w:tc>
        <w:tc>
          <w:tcPr>
            <w:tcW w:w="1099" w:type="dxa"/>
            <w:vMerge w:val="continue"/>
            <w:vAlign w:val="center"/>
          </w:tcPr>
          <w:p>
            <w:pPr>
              <w:pStyle w:val="45"/>
              <w:spacing w:before="67"/>
              <w:ind w:left="15"/>
              <w:rPr>
                <w:color w:val="000000" w:themeColor="text1"/>
                <w:sz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pPr>
              <w:pStyle w:val="45"/>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16</w:t>
            </w:r>
          </w:p>
        </w:tc>
        <w:tc>
          <w:tcPr>
            <w:tcW w:w="860" w:type="dxa"/>
            <w:vMerge w:val="restart"/>
            <w:vAlign w:val="center"/>
          </w:tcPr>
          <w:p>
            <w:pPr>
              <w:pStyle w:val="45"/>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其他未列明行业</w:t>
            </w:r>
          </w:p>
        </w:tc>
        <w:tc>
          <w:tcPr>
            <w:tcW w:w="2157" w:type="dxa"/>
            <w:vMerge w:val="restart"/>
            <w:vAlign w:val="center"/>
          </w:tcPr>
          <w:p>
            <w:pPr>
              <w:pStyle w:val="45"/>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从业人员300人以下的为中小微型企业。</w:t>
            </w: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pPr>
              <w:pStyle w:val="45"/>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vAlign w:val="center"/>
          </w:tcPr>
          <w:p>
            <w:pPr>
              <w:pStyle w:val="45"/>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pPr>
              <w:pStyle w:val="45"/>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vAlign w:val="center"/>
          </w:tcPr>
          <w:p>
            <w:pPr>
              <w:pStyle w:val="45"/>
              <w:spacing w:before="67"/>
              <w:ind w:left="15"/>
              <w:rPr>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pPr>
              <w:pStyle w:val="45"/>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pPr>
              <w:pStyle w:val="45"/>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pPr>
              <w:pStyle w:val="45"/>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pPr>
              <w:pStyle w:val="45"/>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pPr>
              <w:pStyle w:val="45"/>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从业人员10人以下的</w:t>
            </w:r>
          </w:p>
        </w:tc>
        <w:tc>
          <w:tcPr>
            <w:tcW w:w="1099" w:type="dxa"/>
            <w:vMerge w:val="continue"/>
            <w:vAlign w:val="center"/>
          </w:tcPr>
          <w:p>
            <w:pPr>
              <w:pStyle w:val="45"/>
              <w:spacing w:before="67"/>
              <w:ind w:left="15"/>
              <w:rPr>
                <w:color w:val="000000" w:themeColor="text1"/>
                <w:sz w:val="24"/>
                <w:highlight w:val="none"/>
                <w14:textFill>
                  <w14:solidFill>
                    <w14:schemeClr w14:val="tx1"/>
                  </w14:solidFill>
                </w14:textFill>
              </w:rPr>
            </w:pPr>
          </w:p>
        </w:tc>
      </w:tr>
    </w:tbl>
    <w:p>
      <w:pPr>
        <w:pStyle w:val="3"/>
        <w:ind w:firstLine="240"/>
        <w:rPr>
          <w:color w:val="000000" w:themeColor="text1"/>
          <w:highlight w:val="none"/>
          <w:lang w:val="en-GB"/>
          <w14:textFill>
            <w14:solidFill>
              <w14:schemeClr w14:val="tx1"/>
            </w14:solidFill>
          </w14:textFill>
        </w:rPr>
      </w:pPr>
    </w:p>
    <w:p>
      <w:pPr>
        <w:rPr>
          <w:color w:val="000000" w:themeColor="text1"/>
          <w:highlight w:val="none"/>
          <w:lang w:val="en-GB"/>
          <w14:textFill>
            <w14:solidFill>
              <w14:schemeClr w14:val="tx1"/>
            </w14:solidFill>
          </w14:textFill>
        </w:rPr>
      </w:pPr>
    </w:p>
    <w:p>
      <w:pPr>
        <w:pStyle w:val="2"/>
        <w:rPr>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该附件可供投标人参考。</w:t>
      </w:r>
    </w:p>
    <w:p>
      <w:pPr>
        <w:pStyle w:val="3"/>
        <w:ind w:firstLine="240"/>
        <w:rPr>
          <w:color w:val="000000" w:themeColor="text1"/>
          <w:highlight w:val="none"/>
          <w:lang w:val="en-GB"/>
          <w14:textFill>
            <w14:solidFill>
              <w14:schemeClr w14:val="tx1"/>
            </w14:solidFill>
          </w14:textFill>
        </w:rPr>
      </w:pPr>
    </w:p>
    <w:p>
      <w:pPr>
        <w:rPr>
          <w:color w:val="000000" w:themeColor="text1"/>
          <w:highlight w:val="none"/>
          <w:lang w:val="en-GB"/>
          <w14:textFill>
            <w14:solidFill>
              <w14:schemeClr w14:val="tx1"/>
            </w14:solidFill>
          </w14:textFill>
        </w:rPr>
      </w:pPr>
    </w:p>
    <w:p>
      <w:pPr>
        <w:pStyle w:val="3"/>
        <w:ind w:firstLine="240"/>
        <w:rPr>
          <w:color w:val="000000" w:themeColor="text1"/>
          <w:highlight w:val="none"/>
          <w:lang w:val="en-GB"/>
          <w14:textFill>
            <w14:solidFill>
              <w14:schemeClr w14:val="tx1"/>
            </w14:solidFill>
          </w14:textFill>
        </w:rPr>
      </w:pPr>
    </w:p>
    <w:p>
      <w:pPr>
        <w:rPr>
          <w:color w:val="000000" w:themeColor="text1"/>
          <w:highlight w:val="none"/>
          <w:lang w:val="en-GB"/>
          <w14:textFill>
            <w14:solidFill>
              <w14:schemeClr w14:val="tx1"/>
            </w14:solidFill>
          </w14:textFill>
        </w:rPr>
      </w:pPr>
    </w:p>
    <w:p>
      <w:pPr>
        <w:pStyle w:val="3"/>
        <w:ind w:firstLine="240"/>
        <w:rPr>
          <w:color w:val="000000" w:themeColor="text1"/>
          <w:highlight w:val="none"/>
          <w:lang w:val="en-GB"/>
          <w14:textFill>
            <w14:solidFill>
              <w14:schemeClr w14:val="tx1"/>
            </w14:solidFill>
          </w14:textFill>
        </w:rPr>
      </w:pPr>
    </w:p>
    <w:p>
      <w:pPr>
        <w:rPr>
          <w:color w:val="000000" w:themeColor="text1"/>
          <w:highlight w:val="none"/>
          <w:lang w:val="en-GB"/>
          <w14:textFill>
            <w14:solidFill>
              <w14:schemeClr w14:val="tx1"/>
            </w14:solidFill>
          </w14:textFill>
        </w:rPr>
      </w:pPr>
    </w:p>
    <w:p>
      <w:pPr>
        <w:pStyle w:val="2"/>
        <w:rPr>
          <w:color w:val="000000" w:themeColor="text1"/>
          <w:highlight w:val="none"/>
          <w:lang w:val="en-GB"/>
          <w14:textFill>
            <w14:solidFill>
              <w14:schemeClr w14:val="tx1"/>
            </w14:solidFill>
          </w14:textFill>
        </w:rPr>
      </w:pPr>
    </w:p>
    <w:p>
      <w:pPr>
        <w:pStyle w:val="3"/>
        <w:ind w:firstLine="240"/>
        <w:rPr>
          <w:color w:val="000000" w:themeColor="text1"/>
          <w:highlight w:val="none"/>
          <w:lang w:val="en-GB"/>
          <w14:textFill>
            <w14:solidFill>
              <w14:schemeClr w14:val="tx1"/>
            </w14:solidFill>
          </w14:textFill>
        </w:rPr>
      </w:pPr>
    </w:p>
    <w:p>
      <w:pPr>
        <w:rPr>
          <w:color w:val="000000" w:themeColor="text1"/>
          <w:highlight w:val="none"/>
          <w:lang w:val="en-GB"/>
          <w14:textFill>
            <w14:solidFill>
              <w14:schemeClr w14:val="tx1"/>
            </w14:solidFill>
          </w14:textFill>
        </w:rPr>
      </w:pPr>
    </w:p>
    <w:p>
      <w:pPr>
        <w:pStyle w:val="2"/>
        <w:rPr>
          <w:color w:val="000000" w:themeColor="text1"/>
          <w:highlight w:val="none"/>
          <w:lang w:val="en-GB"/>
          <w14:textFill>
            <w14:solidFill>
              <w14:schemeClr w14:val="tx1"/>
            </w14:solidFill>
          </w14:textFill>
        </w:rPr>
      </w:pPr>
    </w:p>
    <w:p>
      <w:pPr>
        <w:pStyle w:val="3"/>
        <w:ind w:firstLine="240"/>
        <w:rPr>
          <w:color w:val="000000" w:themeColor="text1"/>
          <w:highlight w:val="none"/>
          <w:lang w:val="en-GB"/>
          <w14:textFill>
            <w14:solidFill>
              <w14:schemeClr w14:val="tx1"/>
            </w14:solidFill>
          </w14:textFill>
        </w:rPr>
      </w:pPr>
    </w:p>
    <w:p>
      <w:pPr>
        <w:rPr>
          <w:color w:val="000000" w:themeColor="text1"/>
          <w:highlight w:val="none"/>
          <w:lang w:val="en-GB"/>
          <w14:textFill>
            <w14:solidFill>
              <w14:schemeClr w14:val="tx1"/>
            </w14:solidFill>
          </w14:textFill>
        </w:rPr>
      </w:pPr>
    </w:p>
    <w:p>
      <w:pPr>
        <w:pStyle w:val="10"/>
        <w:rPr>
          <w:color w:val="000000" w:themeColor="text1"/>
          <w:highlight w:val="none"/>
          <w:lang w:val="en-GB"/>
          <w14:textFill>
            <w14:solidFill>
              <w14:schemeClr w14:val="tx1"/>
            </w14:solidFill>
          </w14:textFill>
        </w:rPr>
      </w:pPr>
    </w:p>
    <w:p>
      <w:pPr>
        <w:rPr>
          <w:color w:val="000000" w:themeColor="text1"/>
          <w:highlight w:val="none"/>
          <w:lang w:val="en-GB"/>
          <w14:textFill>
            <w14:solidFill>
              <w14:schemeClr w14:val="tx1"/>
            </w14:solidFill>
          </w14:textFill>
        </w:rPr>
      </w:pPr>
    </w:p>
    <w:p>
      <w:pPr>
        <w:pStyle w:val="10"/>
        <w:rPr>
          <w:color w:val="000000" w:themeColor="text1"/>
          <w:highlight w:val="none"/>
          <w:lang w:val="en-GB"/>
          <w14:textFill>
            <w14:solidFill>
              <w14:schemeClr w14:val="tx1"/>
            </w14:solidFill>
          </w14:textFill>
        </w:rPr>
      </w:pPr>
    </w:p>
    <w:p>
      <w:pPr>
        <w:rPr>
          <w:color w:val="000000" w:themeColor="text1"/>
          <w:highlight w:val="none"/>
          <w:lang w:val="en-GB"/>
          <w14:textFill>
            <w14:solidFill>
              <w14:schemeClr w14:val="tx1"/>
            </w14:solidFill>
          </w14:textFill>
        </w:rPr>
      </w:pPr>
    </w:p>
    <w:p>
      <w:pPr>
        <w:pStyle w:val="12"/>
        <w:spacing w:line="360" w:lineRule="auto"/>
        <w:jc w:val="center"/>
        <w:outlineLvl w:val="1"/>
        <w:rPr>
          <w:rFonts w:hAnsi="宋体" w:cs="宋体"/>
          <w:b/>
          <w:color w:val="000000" w:themeColor="text1"/>
          <w:sz w:val="32"/>
          <w:szCs w:val="32"/>
          <w:highlight w:val="none"/>
          <w:lang w:val="en-GB"/>
          <w14:textFill>
            <w14:solidFill>
              <w14:schemeClr w14:val="tx1"/>
            </w14:solidFill>
          </w14:textFill>
        </w:rPr>
      </w:pPr>
      <w:r>
        <w:rPr>
          <w:rFonts w:hint="eastAsia" w:hAnsi="宋体" w:cs="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33"/>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附件14</w:t>
      </w:r>
    </w:p>
    <w:p>
      <w:pPr>
        <w:pStyle w:val="42"/>
        <w:spacing w:line="360" w:lineRule="auto"/>
        <w:rPr>
          <w:color w:val="000000" w:themeColor="text1"/>
          <w:highlight w:val="none"/>
          <w14:textFill>
            <w14:solidFill>
              <w14:schemeClr w14:val="tx1"/>
            </w14:solidFill>
          </w14:textFill>
        </w:rPr>
      </w:pPr>
    </w:p>
    <w:p>
      <w:pPr>
        <w:pStyle w:val="39"/>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p>
    <w:p>
      <w:pPr>
        <w:pStyle w:val="39"/>
        <w:spacing w:line="360" w:lineRule="auto"/>
        <w:jc w:val="center"/>
        <w:rPr>
          <w:rFonts w:ascii="宋体" w:hAnsi="宋体"/>
          <w:b/>
          <w:color w:val="000000" w:themeColor="text1"/>
          <w:sz w:val="32"/>
          <w:szCs w:val="32"/>
          <w:highlight w:val="none"/>
          <w:lang w:val="en-GB"/>
          <w14:textFill>
            <w14:solidFill>
              <w14:schemeClr w14:val="tx1"/>
            </w14:solidFill>
          </w14:textFill>
        </w:rPr>
      </w:pPr>
    </w:p>
    <w:tbl>
      <w:tblPr>
        <w:tblStyle w:val="2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23"/>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39"/>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pPr>
              <w:pStyle w:val="39"/>
              <w:tabs>
                <w:tab w:val="left" w:pos="1260"/>
              </w:tabs>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pPr>
              <w:rPr>
                <w:color w:val="000000" w:themeColor="text1"/>
                <w:highlight w:val="none"/>
                <w14:textFill>
                  <w14:solidFill>
                    <w14:schemeClr w14:val="tx1"/>
                  </w14:solidFill>
                </w14:textFill>
              </w:rPr>
            </w:pPr>
          </w:p>
        </w:tc>
        <w:tc>
          <w:tcPr>
            <w:tcW w:w="1621" w:type="dxa"/>
            <w:vAlign w:val="center"/>
          </w:tcPr>
          <w:p>
            <w:pPr>
              <w:pStyle w:val="39"/>
              <w:tabs>
                <w:tab w:val="left" w:pos="1260"/>
              </w:tabs>
              <w:jc w:val="center"/>
              <w:rPr>
                <w:rFonts w:ascii="宋体" w:hAnsi="宋体"/>
                <w:color w:val="000000" w:themeColor="text1"/>
                <w:sz w:val="24"/>
                <w:highlight w:val="none"/>
                <w:lang w:val="en-GB"/>
                <w14:textFill>
                  <w14:solidFill>
                    <w14:schemeClr w14:val="tx1"/>
                  </w14:solidFill>
                </w14:textFill>
              </w:rPr>
            </w:pPr>
          </w:p>
        </w:tc>
      </w:tr>
    </w:tbl>
    <w:p>
      <w:pPr>
        <w:pStyle w:val="39"/>
        <w:spacing w:line="360" w:lineRule="auto"/>
        <w:rPr>
          <w:rFonts w:ascii="宋体" w:hAnsi="宋体"/>
          <w:color w:val="000000" w:themeColor="text1"/>
          <w:szCs w:val="21"/>
          <w:highlight w:val="none"/>
          <w:lang w:val="en-GB"/>
          <w14:textFill>
            <w14:solidFill>
              <w14:schemeClr w14:val="tx1"/>
            </w14:solidFill>
          </w14:textFill>
        </w:rPr>
      </w:pPr>
    </w:p>
    <w:p>
      <w:pPr>
        <w:pStyle w:val="39"/>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pPr>
        <w:pStyle w:val="39"/>
        <w:widowControl/>
        <w:numPr>
          <w:ilvl w:val="0"/>
          <w:numId w:val="12"/>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pPr>
        <w:pStyle w:val="39"/>
        <w:widowControl/>
        <w:numPr>
          <w:ilvl w:val="0"/>
          <w:numId w:val="12"/>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pPr>
        <w:pStyle w:val="39"/>
        <w:widowControl/>
        <w:numPr>
          <w:ilvl w:val="0"/>
          <w:numId w:val="12"/>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pStyle w:val="28"/>
        <w:rPr>
          <w:rFonts w:ascii="宋体" w:hAnsi="宋体"/>
          <w:color w:val="000000" w:themeColor="text1"/>
          <w:sz w:val="24"/>
          <w:highlight w:val="none"/>
          <w:u w:val="single"/>
          <w14:textFill>
            <w14:solidFill>
              <w14:schemeClr w14:val="tx1"/>
            </w14:solidFill>
          </w14:textFill>
        </w:rPr>
      </w:pP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 xml:space="preserve">玉环市政府采购谈判采购文件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2">
    <w:nsid w:val="9E41F7DF"/>
    <w:multiLevelType w:val="singleLevel"/>
    <w:tmpl w:val="9E41F7DF"/>
    <w:lvl w:ilvl="0" w:tentative="0">
      <w:start w:val="1"/>
      <w:numFmt w:val="decimal"/>
      <w:lvlText w:val="(%1)"/>
      <w:lvlJc w:val="left"/>
      <w:pPr>
        <w:ind w:left="425" w:hanging="425"/>
      </w:pPr>
      <w:rPr>
        <w:rFonts w:hint="default"/>
      </w:rPr>
    </w:lvl>
  </w:abstractNum>
  <w:abstractNum w:abstractNumId="3">
    <w:nsid w:val="AAF7B2CA"/>
    <w:multiLevelType w:val="singleLevel"/>
    <w:tmpl w:val="AAF7B2CA"/>
    <w:lvl w:ilvl="0" w:tentative="0">
      <w:start w:val="1"/>
      <w:numFmt w:val="decimal"/>
      <w:suff w:val="nothing"/>
      <w:lvlText w:val="%1、"/>
      <w:lvlJc w:val="left"/>
    </w:lvl>
  </w:abstractNum>
  <w:abstractNum w:abstractNumId="4">
    <w:nsid w:val="AFD5686A"/>
    <w:multiLevelType w:val="singleLevel"/>
    <w:tmpl w:val="AFD5686A"/>
    <w:lvl w:ilvl="0" w:tentative="0">
      <w:start w:val="4"/>
      <w:numFmt w:val="decimal"/>
      <w:suff w:val="nothing"/>
      <w:lvlText w:val="（%1）"/>
      <w:lvlJc w:val="left"/>
    </w:lvl>
  </w:abstractNum>
  <w:abstractNum w:abstractNumId="5">
    <w:nsid w:val="F0EADC9C"/>
    <w:multiLevelType w:val="singleLevel"/>
    <w:tmpl w:val="F0EADC9C"/>
    <w:lvl w:ilvl="0" w:tentative="0">
      <w:start w:val="1"/>
      <w:numFmt w:val="decimal"/>
      <w:suff w:val="space"/>
      <w:lvlText w:val="%1、"/>
      <w:lvlJc w:val="left"/>
    </w:lvl>
  </w:abstractNum>
  <w:abstractNum w:abstractNumId="6">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7">
    <w:nsid w:val="11C96D8C"/>
    <w:multiLevelType w:val="multilevel"/>
    <w:tmpl w:val="11C96D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80FA00"/>
    <w:multiLevelType w:val="singleLevel"/>
    <w:tmpl w:val="3380FA00"/>
    <w:lvl w:ilvl="0" w:tentative="0">
      <w:start w:val="1"/>
      <w:numFmt w:val="decimal"/>
      <w:suff w:val="nothing"/>
      <w:lvlText w:val="%1）"/>
      <w:lvlJc w:val="left"/>
    </w:lvl>
  </w:abstractNum>
  <w:abstractNum w:abstractNumId="9">
    <w:nsid w:val="3DA4938A"/>
    <w:multiLevelType w:val="singleLevel"/>
    <w:tmpl w:val="3DA4938A"/>
    <w:lvl w:ilvl="0" w:tentative="0">
      <w:start w:val="4"/>
      <w:numFmt w:val="chineseCounting"/>
      <w:suff w:val="nothing"/>
      <w:lvlText w:val="第%1章　"/>
      <w:lvlJc w:val="left"/>
      <w:pPr>
        <w:tabs>
          <w:tab w:val="left" w:pos="0"/>
        </w:tabs>
      </w:pPr>
      <w:rPr>
        <w:rFonts w:hint="eastAsia"/>
      </w:rPr>
    </w:lvl>
  </w:abstractNum>
  <w:abstractNum w:abstractNumId="10">
    <w:nsid w:val="5C300B1B"/>
    <w:multiLevelType w:val="singleLevel"/>
    <w:tmpl w:val="5C300B1B"/>
    <w:lvl w:ilvl="0" w:tentative="0">
      <w:start w:val="1"/>
      <w:numFmt w:val="chineseCounting"/>
      <w:suff w:val="nothing"/>
      <w:lvlText w:val="%1、"/>
      <w:lvlJc w:val="left"/>
      <w:rPr>
        <w:rFonts w:hint="eastAsia"/>
      </w:rPr>
    </w:lvl>
  </w:abstractNum>
  <w:abstractNum w:abstractNumId="11">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
  </w:num>
  <w:num w:numId="2">
    <w:abstractNumId w:val="6"/>
  </w:num>
  <w:num w:numId="3">
    <w:abstractNumId w:val="8"/>
  </w:num>
  <w:num w:numId="4">
    <w:abstractNumId w:val="9"/>
  </w:num>
  <w:num w:numId="5">
    <w:abstractNumId w:val="7"/>
  </w:num>
  <w:num w:numId="6">
    <w:abstractNumId w:val="10"/>
  </w:num>
  <w:num w:numId="7">
    <w:abstractNumId w:val="4"/>
  </w:num>
  <w:num w:numId="8">
    <w:abstractNumId w:val="2"/>
  </w:num>
  <w:num w:numId="9">
    <w:abstractNumId w:val="0"/>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AE4D64"/>
    <w:rsid w:val="00012076"/>
    <w:rsid w:val="00022064"/>
    <w:rsid w:val="000229F0"/>
    <w:rsid w:val="00027F45"/>
    <w:rsid w:val="00103F0D"/>
    <w:rsid w:val="00164874"/>
    <w:rsid w:val="001913B5"/>
    <w:rsid w:val="001D2968"/>
    <w:rsid w:val="00207604"/>
    <w:rsid w:val="00277154"/>
    <w:rsid w:val="00286090"/>
    <w:rsid w:val="0029427E"/>
    <w:rsid w:val="002B207D"/>
    <w:rsid w:val="003103E8"/>
    <w:rsid w:val="00322B6C"/>
    <w:rsid w:val="00325366"/>
    <w:rsid w:val="00381994"/>
    <w:rsid w:val="00394A01"/>
    <w:rsid w:val="003E7C4B"/>
    <w:rsid w:val="00485236"/>
    <w:rsid w:val="004A7153"/>
    <w:rsid w:val="004D5FFF"/>
    <w:rsid w:val="004E7A3F"/>
    <w:rsid w:val="0052419F"/>
    <w:rsid w:val="00526F70"/>
    <w:rsid w:val="00570E21"/>
    <w:rsid w:val="005936B7"/>
    <w:rsid w:val="005E042C"/>
    <w:rsid w:val="00646A15"/>
    <w:rsid w:val="006C7936"/>
    <w:rsid w:val="007344F5"/>
    <w:rsid w:val="00762E3A"/>
    <w:rsid w:val="00784813"/>
    <w:rsid w:val="00795B84"/>
    <w:rsid w:val="007B63EA"/>
    <w:rsid w:val="00804039"/>
    <w:rsid w:val="0085376B"/>
    <w:rsid w:val="00894395"/>
    <w:rsid w:val="008F4530"/>
    <w:rsid w:val="00934311"/>
    <w:rsid w:val="00964800"/>
    <w:rsid w:val="009977A1"/>
    <w:rsid w:val="009C341D"/>
    <w:rsid w:val="009F6B86"/>
    <w:rsid w:val="00A30A10"/>
    <w:rsid w:val="00AA0F80"/>
    <w:rsid w:val="00AD1359"/>
    <w:rsid w:val="00B11BBC"/>
    <w:rsid w:val="00B436B3"/>
    <w:rsid w:val="00B70DB2"/>
    <w:rsid w:val="00BB00AA"/>
    <w:rsid w:val="00BD2C71"/>
    <w:rsid w:val="00C01752"/>
    <w:rsid w:val="00C348B6"/>
    <w:rsid w:val="00CC0370"/>
    <w:rsid w:val="00CC0EA9"/>
    <w:rsid w:val="00CC48A5"/>
    <w:rsid w:val="00CC66D3"/>
    <w:rsid w:val="00D17C36"/>
    <w:rsid w:val="00DB41AC"/>
    <w:rsid w:val="00DE1E24"/>
    <w:rsid w:val="00E3097B"/>
    <w:rsid w:val="00E344EE"/>
    <w:rsid w:val="00E84345"/>
    <w:rsid w:val="00E92B35"/>
    <w:rsid w:val="00EA0E26"/>
    <w:rsid w:val="00EB46A4"/>
    <w:rsid w:val="00ED7E40"/>
    <w:rsid w:val="00F55DB7"/>
    <w:rsid w:val="00F83E0A"/>
    <w:rsid w:val="00FA003B"/>
    <w:rsid w:val="00FB02E3"/>
    <w:rsid w:val="00FC25D7"/>
    <w:rsid w:val="00FF6637"/>
    <w:rsid w:val="01574618"/>
    <w:rsid w:val="01E21AEB"/>
    <w:rsid w:val="02184DBF"/>
    <w:rsid w:val="029A371C"/>
    <w:rsid w:val="02B16EEE"/>
    <w:rsid w:val="033458EA"/>
    <w:rsid w:val="0340000E"/>
    <w:rsid w:val="03BA1DDD"/>
    <w:rsid w:val="04D45590"/>
    <w:rsid w:val="05C90AE0"/>
    <w:rsid w:val="06A76A12"/>
    <w:rsid w:val="06DE785A"/>
    <w:rsid w:val="06E5094D"/>
    <w:rsid w:val="07FB5BAB"/>
    <w:rsid w:val="08AA1E9B"/>
    <w:rsid w:val="08AE54D9"/>
    <w:rsid w:val="08EB44B5"/>
    <w:rsid w:val="090541F3"/>
    <w:rsid w:val="0A5D35C4"/>
    <w:rsid w:val="0B303030"/>
    <w:rsid w:val="0B6902DD"/>
    <w:rsid w:val="0C304AD5"/>
    <w:rsid w:val="0C4E2F8C"/>
    <w:rsid w:val="0D071F18"/>
    <w:rsid w:val="0D0E7909"/>
    <w:rsid w:val="0D8E4A18"/>
    <w:rsid w:val="0DAB4641"/>
    <w:rsid w:val="0F944883"/>
    <w:rsid w:val="103D17F3"/>
    <w:rsid w:val="13B95C32"/>
    <w:rsid w:val="17106C23"/>
    <w:rsid w:val="171D78DC"/>
    <w:rsid w:val="1727538E"/>
    <w:rsid w:val="1834516C"/>
    <w:rsid w:val="188831C0"/>
    <w:rsid w:val="18884545"/>
    <w:rsid w:val="18E02C8F"/>
    <w:rsid w:val="19012FE9"/>
    <w:rsid w:val="19134A90"/>
    <w:rsid w:val="19D92463"/>
    <w:rsid w:val="1A7D0845"/>
    <w:rsid w:val="1AC800EE"/>
    <w:rsid w:val="1B4A3310"/>
    <w:rsid w:val="1C097BE7"/>
    <w:rsid w:val="1D8A78E5"/>
    <w:rsid w:val="1EA83EC1"/>
    <w:rsid w:val="1EFE4483"/>
    <w:rsid w:val="1F0D4FE5"/>
    <w:rsid w:val="1FFB17B7"/>
    <w:rsid w:val="20532F76"/>
    <w:rsid w:val="2054207F"/>
    <w:rsid w:val="209B63CC"/>
    <w:rsid w:val="20AE4D64"/>
    <w:rsid w:val="20D02B87"/>
    <w:rsid w:val="21216BE9"/>
    <w:rsid w:val="226D042D"/>
    <w:rsid w:val="22BF67AD"/>
    <w:rsid w:val="234179D0"/>
    <w:rsid w:val="238B0807"/>
    <w:rsid w:val="239D0DD9"/>
    <w:rsid w:val="24414364"/>
    <w:rsid w:val="244478F4"/>
    <w:rsid w:val="24802E53"/>
    <w:rsid w:val="25E41B55"/>
    <w:rsid w:val="25E817E2"/>
    <w:rsid w:val="267F3779"/>
    <w:rsid w:val="268559B2"/>
    <w:rsid w:val="26EB511C"/>
    <w:rsid w:val="275E5211"/>
    <w:rsid w:val="27BA54EB"/>
    <w:rsid w:val="27F9665F"/>
    <w:rsid w:val="29B04DC1"/>
    <w:rsid w:val="2A0E0C0E"/>
    <w:rsid w:val="2A176E5A"/>
    <w:rsid w:val="2A3569EE"/>
    <w:rsid w:val="2A7C33D9"/>
    <w:rsid w:val="2B6F39F7"/>
    <w:rsid w:val="2BAF1741"/>
    <w:rsid w:val="2BC53A0F"/>
    <w:rsid w:val="2CB7435F"/>
    <w:rsid w:val="2CDD75D0"/>
    <w:rsid w:val="2D916DC3"/>
    <w:rsid w:val="2DBB56A8"/>
    <w:rsid w:val="2DC74FDA"/>
    <w:rsid w:val="2E524B68"/>
    <w:rsid w:val="2EC3100E"/>
    <w:rsid w:val="2FE8509F"/>
    <w:rsid w:val="30D92FB5"/>
    <w:rsid w:val="314362E6"/>
    <w:rsid w:val="31490769"/>
    <w:rsid w:val="317E1977"/>
    <w:rsid w:val="317F3A60"/>
    <w:rsid w:val="31942B43"/>
    <w:rsid w:val="31B71D2B"/>
    <w:rsid w:val="31FC507F"/>
    <w:rsid w:val="325D0058"/>
    <w:rsid w:val="32A36583"/>
    <w:rsid w:val="32A8398C"/>
    <w:rsid w:val="333464B6"/>
    <w:rsid w:val="35BE4301"/>
    <w:rsid w:val="367554E4"/>
    <w:rsid w:val="36A823AB"/>
    <w:rsid w:val="371B6F58"/>
    <w:rsid w:val="377B1BD4"/>
    <w:rsid w:val="380D162F"/>
    <w:rsid w:val="38545275"/>
    <w:rsid w:val="38616F1D"/>
    <w:rsid w:val="38B5502B"/>
    <w:rsid w:val="39A44CA6"/>
    <w:rsid w:val="39AA02FF"/>
    <w:rsid w:val="3A8E028C"/>
    <w:rsid w:val="3AFD149F"/>
    <w:rsid w:val="3B035435"/>
    <w:rsid w:val="3D112450"/>
    <w:rsid w:val="3D41632C"/>
    <w:rsid w:val="3D720DC1"/>
    <w:rsid w:val="3E051F47"/>
    <w:rsid w:val="3E5A54F8"/>
    <w:rsid w:val="3E76638E"/>
    <w:rsid w:val="3E8B721C"/>
    <w:rsid w:val="3E920795"/>
    <w:rsid w:val="3EFC126B"/>
    <w:rsid w:val="3F414D6B"/>
    <w:rsid w:val="3F6A589C"/>
    <w:rsid w:val="3F8B3ED6"/>
    <w:rsid w:val="3FB12DDB"/>
    <w:rsid w:val="3FE7116A"/>
    <w:rsid w:val="40355F7C"/>
    <w:rsid w:val="41564665"/>
    <w:rsid w:val="41734954"/>
    <w:rsid w:val="424D2825"/>
    <w:rsid w:val="42F77DB2"/>
    <w:rsid w:val="438039FD"/>
    <w:rsid w:val="441F02A8"/>
    <w:rsid w:val="448A5977"/>
    <w:rsid w:val="449B251C"/>
    <w:rsid w:val="44F06175"/>
    <w:rsid w:val="457C4B03"/>
    <w:rsid w:val="46B71B92"/>
    <w:rsid w:val="46E56ABD"/>
    <w:rsid w:val="47140325"/>
    <w:rsid w:val="47397233"/>
    <w:rsid w:val="48860D1B"/>
    <w:rsid w:val="48A35DF0"/>
    <w:rsid w:val="49545A1F"/>
    <w:rsid w:val="49555633"/>
    <w:rsid w:val="49B44F94"/>
    <w:rsid w:val="4AFE50CA"/>
    <w:rsid w:val="4BA87148"/>
    <w:rsid w:val="4C7E55D3"/>
    <w:rsid w:val="4CC77FFC"/>
    <w:rsid w:val="4DA54844"/>
    <w:rsid w:val="4DCF6871"/>
    <w:rsid w:val="4DE85357"/>
    <w:rsid w:val="4E7749FB"/>
    <w:rsid w:val="4E781808"/>
    <w:rsid w:val="4EB570D6"/>
    <w:rsid w:val="4FA87474"/>
    <w:rsid w:val="4FE3400D"/>
    <w:rsid w:val="50AB0883"/>
    <w:rsid w:val="50DA577A"/>
    <w:rsid w:val="50E929C7"/>
    <w:rsid w:val="52297D26"/>
    <w:rsid w:val="52334072"/>
    <w:rsid w:val="5422243B"/>
    <w:rsid w:val="556E78AD"/>
    <w:rsid w:val="55CF0C66"/>
    <w:rsid w:val="56137C75"/>
    <w:rsid w:val="563567D0"/>
    <w:rsid w:val="5660136B"/>
    <w:rsid w:val="56784F2E"/>
    <w:rsid w:val="56EC554C"/>
    <w:rsid w:val="56F214D9"/>
    <w:rsid w:val="57637B35"/>
    <w:rsid w:val="57756FDC"/>
    <w:rsid w:val="58375678"/>
    <w:rsid w:val="589B20E7"/>
    <w:rsid w:val="59966557"/>
    <w:rsid w:val="5A092034"/>
    <w:rsid w:val="5A253572"/>
    <w:rsid w:val="5A3676DD"/>
    <w:rsid w:val="5B7644D9"/>
    <w:rsid w:val="5BDF59BF"/>
    <w:rsid w:val="5C5A5D5F"/>
    <w:rsid w:val="5C60584B"/>
    <w:rsid w:val="5C8F1E71"/>
    <w:rsid w:val="5CA57360"/>
    <w:rsid w:val="5D1E0EB0"/>
    <w:rsid w:val="5E041844"/>
    <w:rsid w:val="5E7B225D"/>
    <w:rsid w:val="5ED42A92"/>
    <w:rsid w:val="5F257F36"/>
    <w:rsid w:val="602B6854"/>
    <w:rsid w:val="60D402BB"/>
    <w:rsid w:val="62051491"/>
    <w:rsid w:val="62537AD3"/>
    <w:rsid w:val="638E774B"/>
    <w:rsid w:val="63960810"/>
    <w:rsid w:val="65CB1DB0"/>
    <w:rsid w:val="669B50CD"/>
    <w:rsid w:val="66C11D69"/>
    <w:rsid w:val="66E66DEF"/>
    <w:rsid w:val="66E9022F"/>
    <w:rsid w:val="676D6AC2"/>
    <w:rsid w:val="677E0166"/>
    <w:rsid w:val="67E23030"/>
    <w:rsid w:val="67ED314E"/>
    <w:rsid w:val="686D34BE"/>
    <w:rsid w:val="68905A4E"/>
    <w:rsid w:val="69430F13"/>
    <w:rsid w:val="69A068A5"/>
    <w:rsid w:val="69C01A14"/>
    <w:rsid w:val="6A3212DD"/>
    <w:rsid w:val="6A6E0B73"/>
    <w:rsid w:val="6A7C3B33"/>
    <w:rsid w:val="6D1D0041"/>
    <w:rsid w:val="6D8368A4"/>
    <w:rsid w:val="6DB826FA"/>
    <w:rsid w:val="6DC9723B"/>
    <w:rsid w:val="6EDE5E5B"/>
    <w:rsid w:val="6F4404C5"/>
    <w:rsid w:val="6F953B4A"/>
    <w:rsid w:val="70250C6C"/>
    <w:rsid w:val="703758EF"/>
    <w:rsid w:val="706968CA"/>
    <w:rsid w:val="71154664"/>
    <w:rsid w:val="71435219"/>
    <w:rsid w:val="728B1977"/>
    <w:rsid w:val="72D94790"/>
    <w:rsid w:val="734E7A1D"/>
    <w:rsid w:val="73E060CE"/>
    <w:rsid w:val="744D2486"/>
    <w:rsid w:val="74B91264"/>
    <w:rsid w:val="76184A54"/>
    <w:rsid w:val="76EC257D"/>
    <w:rsid w:val="77781184"/>
    <w:rsid w:val="778E16A8"/>
    <w:rsid w:val="77C34F1F"/>
    <w:rsid w:val="791169A5"/>
    <w:rsid w:val="79BA66F2"/>
    <w:rsid w:val="79CB1EA5"/>
    <w:rsid w:val="7C532B56"/>
    <w:rsid w:val="7C92500C"/>
    <w:rsid w:val="7D6F2CEF"/>
    <w:rsid w:val="7D9339B8"/>
    <w:rsid w:val="7DAC4AB3"/>
    <w:rsid w:val="7EF51CB2"/>
    <w:rsid w:val="7F5833AF"/>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ind w:firstLine="420" w:firstLineChars="10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link w:val="46"/>
    <w:qFormat/>
    <w:uiPriority w:val="0"/>
    <w:pPr>
      <w:jc w:val="left"/>
    </w:pPr>
  </w:style>
  <w:style w:type="paragraph" w:styleId="10">
    <w:name w:val="Body Text Indent"/>
    <w:basedOn w:val="1"/>
    <w:next w:val="1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customStyle="1" w:styleId="11">
    <w:name w:val="正文文本首行缩进 21"/>
    <w:basedOn w:val="10"/>
    <w:qFormat/>
    <w:uiPriority w:val="99"/>
    <w:pPr>
      <w:spacing w:line="200" w:lineRule="atLeast"/>
      <w:ind w:firstLine="420"/>
    </w:pPr>
    <w:rPr>
      <w:rFonts w:hAnsi="Courier New"/>
      <w:spacing w:val="-4"/>
      <w:sz w:val="18"/>
    </w:rPr>
  </w:style>
  <w:style w:type="paragraph" w:styleId="12">
    <w:name w:val="Plain Text"/>
    <w:basedOn w:val="1"/>
    <w:next w:val="13"/>
    <w:link w:val="37"/>
    <w:qFormat/>
    <w:uiPriority w:val="99"/>
    <w:rPr>
      <w:rFonts w:ascii="宋体" w:hAnsi="Courier New" w:cstheme="minorBidi"/>
    </w:rPr>
  </w:style>
  <w:style w:type="paragraph" w:styleId="13">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4">
    <w:name w:val="Date"/>
    <w:basedOn w:val="1"/>
    <w:next w:val="1"/>
    <w:qFormat/>
    <w:uiPriority w:val="0"/>
    <w:rPr>
      <w:rFonts w:ascii="宋体"/>
      <w:color w:val="000000"/>
      <w:kern w:val="0"/>
      <w:sz w:val="24"/>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4"/>
    <w:basedOn w:val="1"/>
    <w:next w:val="1"/>
    <w:unhideWhenUsed/>
    <w:qFormat/>
    <w:uiPriority w:val="39"/>
    <w:pPr>
      <w:ind w:left="1260" w:leftChars="600"/>
    </w:pPr>
    <w:rPr>
      <w:rFonts w:ascii="Calibri" w:hAnsi="Calibri"/>
      <w:szCs w:val="22"/>
    </w:rPr>
  </w:style>
  <w:style w:type="paragraph" w:styleId="19">
    <w:name w:val="List"/>
    <w:basedOn w:val="1"/>
    <w:qFormat/>
    <w:uiPriority w:val="0"/>
    <w:pPr>
      <w:ind w:left="200" w:hanging="200" w:hangingChars="200"/>
    </w:pPr>
    <w:rPr>
      <w:sz w:val="28"/>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22">
    <w:name w:val="annotation subject"/>
    <w:basedOn w:val="9"/>
    <w:next w:val="9"/>
    <w:link w:val="47"/>
    <w:qFormat/>
    <w:uiPriority w:val="0"/>
    <w:rPr>
      <w:b/>
      <w:bCs/>
    </w:r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14"/>
    <w:qFormat/>
    <w:uiPriority w:val="0"/>
    <w:rPr>
      <w:rFonts w:ascii="Times New Roman" w:hAnsi="Times New Roman" w:eastAsia="宋体" w:cs="Times New Roman"/>
      <w:sz w:val="21"/>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纯文本 字符"/>
    <w:basedOn w:val="24"/>
    <w:link w:val="12"/>
    <w:qFormat/>
    <w:uiPriority w:val="99"/>
    <w:rPr>
      <w:rFonts w:ascii="宋体" w:hAnsi="Courier New" w:eastAsia="宋体"/>
      <w:kern w:val="2"/>
      <w:sz w:val="21"/>
      <w:szCs w:val="24"/>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纯文本_3"/>
    <w:basedOn w:val="36"/>
    <w:qFormat/>
    <w:uiPriority w:val="0"/>
    <w:pPr>
      <w:widowControl/>
      <w:jc w:val="left"/>
    </w:pPr>
    <w:rPr>
      <w:rFonts w:ascii="宋体" w:hAnsi="Courier New" w:eastAsiaTheme="minorEastAsia" w:cstheme="minorBidi"/>
      <w:szCs w:val="21"/>
    </w:rPr>
  </w:style>
  <w:style w:type="paragraph" w:customStyle="1" w:styleId="4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sz w:val="28"/>
    </w:rPr>
  </w:style>
  <w:style w:type="paragraph" w:customStyle="1" w:styleId="45">
    <w:name w:val="Table Paragraph"/>
    <w:basedOn w:val="1"/>
    <w:qFormat/>
    <w:uiPriority w:val="1"/>
    <w:rPr>
      <w:rFonts w:ascii="宋体" w:hAnsi="宋体" w:cs="宋体"/>
      <w:lang w:eastAsia="en-US" w:bidi="en-US"/>
    </w:rPr>
  </w:style>
  <w:style w:type="character" w:customStyle="1" w:styleId="46">
    <w:name w:val="批注文字 字符"/>
    <w:basedOn w:val="24"/>
    <w:link w:val="9"/>
    <w:qFormat/>
    <w:uiPriority w:val="0"/>
    <w:rPr>
      <w:kern w:val="2"/>
      <w:sz w:val="21"/>
      <w:szCs w:val="24"/>
    </w:rPr>
  </w:style>
  <w:style w:type="character" w:customStyle="1" w:styleId="47">
    <w:name w:val="批注主题 字符"/>
    <w:basedOn w:val="46"/>
    <w:link w:val="22"/>
    <w:qFormat/>
    <w:uiPriority w:val="0"/>
    <w:rPr>
      <w:b/>
      <w:bCs/>
      <w:kern w:val="2"/>
      <w:sz w:val="21"/>
      <w:szCs w:val="24"/>
    </w:rPr>
  </w:style>
  <w:style w:type="paragraph" w:customStyle="1" w:styleId="48">
    <w:name w:val="p0"/>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A2886-5E84-4ECB-9828-B6EBD2AC7EA2}">
  <ds:schemaRefs/>
</ds:datastoreItem>
</file>

<file path=docProps/app.xml><?xml version="1.0" encoding="utf-8"?>
<Properties xmlns="http://schemas.openxmlformats.org/officeDocument/2006/extended-properties" xmlns:vt="http://schemas.openxmlformats.org/officeDocument/2006/docPropsVTypes">
  <Template>Normal</Template>
  <Pages>51</Pages>
  <Words>4643</Words>
  <Characters>26469</Characters>
  <Lines>220</Lines>
  <Paragraphs>62</Paragraphs>
  <TotalTime>44</TotalTime>
  <ScaleCrop>false</ScaleCrop>
  <LinksUpToDate>false</LinksUpToDate>
  <CharactersWithSpaces>31050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2021-09-25T09:08:00Z</dcterms:created>
  <dc:creator>S-mile</dc:creator>
  <cp:lastModifiedBy>Le.YonG.</cp:lastModifiedBy>
  <dcterms:modified xsi:type="dcterms:W3CDTF">2021-09-27T05:51:18Z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7A2ED9D999A841A58C919FE1D335CDCD</vt:lpwstr>
  </property>
</Properties>
</file>