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9"/>
          <w:tab w:val="left" w:pos="2352"/>
        </w:tabs>
        <w:jc w:val="center"/>
        <w:rPr>
          <w:rFonts w:ascii="宋体" w:hAnsi="宋体" w:cs="宋体"/>
          <w:b/>
          <w:bCs/>
          <w:color w:val="auto"/>
          <w:spacing w:val="100"/>
          <w:sz w:val="72"/>
          <w:szCs w:val="72"/>
          <w:highlight w:val="none"/>
        </w:rPr>
      </w:pPr>
      <w:bookmarkStart w:id="93" w:name="_GoBack"/>
      <w:bookmarkEnd w:id="93"/>
    </w:p>
    <w:p>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pPr>
        <w:tabs>
          <w:tab w:val="left" w:pos="1069"/>
          <w:tab w:val="left" w:pos="2352"/>
        </w:tabs>
        <w:jc w:val="center"/>
        <w:rPr>
          <w:rFonts w:ascii="宋体" w:hAnsi="宋体" w:cs="宋体"/>
          <w:b/>
          <w:bCs/>
          <w:color w:val="auto"/>
          <w:kern w:val="0"/>
          <w:szCs w:val="24"/>
          <w:highlight w:val="none"/>
        </w:rPr>
      </w:pPr>
    </w:p>
    <w:p>
      <w:pPr>
        <w:pStyle w:val="35"/>
        <w:tabs>
          <w:tab w:val="left" w:pos="1069"/>
          <w:tab w:val="left" w:pos="2352"/>
        </w:tabs>
        <w:rPr>
          <w:rFonts w:ascii="宋体" w:hAnsi="宋体" w:cs="宋体"/>
          <w:color w:val="auto"/>
          <w:highlight w:val="none"/>
        </w:rPr>
      </w:pPr>
    </w:p>
    <w:p>
      <w:pPr>
        <w:tabs>
          <w:tab w:val="left" w:pos="1069"/>
          <w:tab w:val="left" w:pos="2352"/>
        </w:tabs>
        <w:jc w:val="center"/>
        <w:rPr>
          <w:rFonts w:ascii="宋体" w:hAnsi="宋体" w:cs="宋体"/>
          <w:b/>
          <w:bCs/>
          <w:color w:val="auto"/>
          <w:kern w:val="0"/>
          <w:szCs w:val="24"/>
          <w:highlight w:val="none"/>
        </w:rPr>
      </w:pPr>
    </w:p>
    <w:p>
      <w:pPr>
        <w:tabs>
          <w:tab w:val="left" w:pos="1069"/>
          <w:tab w:val="left" w:pos="2352"/>
        </w:tabs>
        <w:jc w:val="center"/>
        <w:rPr>
          <w:rFonts w:ascii="宋体" w:hAnsi="宋体" w:cs="宋体"/>
          <w:b/>
          <w:bCs/>
          <w:color w:val="auto"/>
          <w:kern w:val="0"/>
          <w:szCs w:val="24"/>
          <w:highlight w:val="none"/>
        </w:rPr>
      </w:pPr>
    </w:p>
    <w:p>
      <w:pPr>
        <w:pStyle w:val="2"/>
        <w:tabs>
          <w:tab w:val="left" w:pos="1069"/>
          <w:tab w:val="left" w:pos="2352"/>
        </w:tabs>
        <w:rPr>
          <w:rFonts w:ascii="宋体" w:hAnsi="宋体" w:cs="宋体"/>
          <w:b/>
          <w:color w:val="auto"/>
          <w:szCs w:val="24"/>
          <w:highlight w:val="none"/>
        </w:rPr>
      </w:pPr>
    </w:p>
    <w:p>
      <w:pPr>
        <w:pStyle w:val="2"/>
        <w:tabs>
          <w:tab w:val="left" w:pos="1069"/>
          <w:tab w:val="left" w:pos="2352"/>
        </w:tabs>
        <w:rPr>
          <w:rFonts w:ascii="宋体" w:hAnsi="宋体" w:cs="宋体"/>
          <w:b/>
          <w:color w:val="auto"/>
          <w:szCs w:val="24"/>
          <w:highlight w:val="none"/>
        </w:rPr>
      </w:pPr>
    </w:p>
    <w:p>
      <w:pPr>
        <w:pStyle w:val="2"/>
        <w:tabs>
          <w:tab w:val="left" w:pos="1069"/>
          <w:tab w:val="left" w:pos="2352"/>
        </w:tabs>
        <w:rPr>
          <w:rFonts w:ascii="宋体" w:hAnsi="宋体" w:cs="宋体"/>
          <w:b/>
          <w:color w:val="auto"/>
          <w:szCs w:val="24"/>
          <w:highlight w:val="none"/>
        </w:rPr>
      </w:pPr>
    </w:p>
    <w:p>
      <w:pPr>
        <w:pStyle w:val="2"/>
        <w:tabs>
          <w:tab w:val="left" w:pos="1069"/>
          <w:tab w:val="left" w:pos="2352"/>
        </w:tabs>
        <w:rPr>
          <w:rFonts w:ascii="宋体" w:hAnsi="宋体" w:cs="宋体"/>
          <w:b/>
          <w:color w:val="auto"/>
          <w:szCs w:val="24"/>
          <w:highlight w:val="none"/>
        </w:rPr>
      </w:pPr>
    </w:p>
    <w:p>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pPr>
        <w:tabs>
          <w:tab w:val="left" w:pos="1069"/>
          <w:tab w:val="left" w:pos="2352"/>
        </w:tabs>
        <w:jc w:val="center"/>
        <w:rPr>
          <w:rFonts w:ascii="宋体" w:hAnsi="宋体" w:cs="宋体"/>
          <w:b/>
          <w:color w:val="auto"/>
          <w:sz w:val="36"/>
          <w:szCs w:val="36"/>
          <w:highlight w:val="none"/>
        </w:rPr>
      </w:pPr>
    </w:p>
    <w:p>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pPr>
        <w:pStyle w:val="23"/>
        <w:tabs>
          <w:tab w:val="left" w:pos="2352"/>
        </w:tabs>
        <w:ind w:left="856" w:hanging="428"/>
        <w:rPr>
          <w:color w:val="auto"/>
          <w:highlight w:val="none"/>
        </w:rPr>
      </w:pPr>
    </w:p>
    <w:tbl>
      <w:tblPr>
        <w:tblStyle w:val="29"/>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TSCG202405003 </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2024年泰顺县天然富硒士地资源调查项目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pPr>
              <w:tabs>
                <w:tab w:val="left" w:pos="106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泰顺县自然资源和规划局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pPr>
        <w:tabs>
          <w:tab w:val="left" w:pos="1069"/>
          <w:tab w:val="left" w:pos="2352"/>
        </w:tabs>
        <w:autoSpaceDE w:val="0"/>
        <w:autoSpaceDN w:val="0"/>
        <w:adjustRightInd w:val="0"/>
        <w:spacing w:line="440" w:lineRule="atLeast"/>
        <w:jc w:val="center"/>
        <w:rPr>
          <w:rFonts w:hint="eastAsia" w:ascii="宋体" w:hAnsi="宋体" w:cs="宋体"/>
          <w:b/>
          <w:color w:val="auto"/>
          <w:sz w:val="30"/>
          <w:szCs w:val="30"/>
          <w:highlight w:val="none"/>
        </w:rPr>
      </w:pPr>
    </w:p>
    <w:p>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月</w:t>
      </w:r>
    </w:p>
    <w:p>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500" w:lineRule="atLeas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b/>
          <w:bCs/>
          <w:color w:val="auto"/>
          <w:sz w:val="32"/>
          <w:szCs w:val="32"/>
          <w:highlight w:val="none"/>
          <w:lang w:eastAsia="zh-CN"/>
        </w:rPr>
      </w:pPr>
      <w:r>
        <w:rPr>
          <w:rFonts w:hint="eastAsia" w:ascii="宋体" w:hAnsi="宋体" w:cs="宋体"/>
          <w:color w:val="auto"/>
          <w:sz w:val="28"/>
          <w:szCs w:val="28"/>
          <w:highlight w:val="none"/>
        </w:rPr>
        <w:t>第一部分、投标邀请函（投标须知前附表）......................</w:t>
      </w:r>
      <w:r>
        <w:rPr>
          <w:rFonts w:hint="eastAsia" w:ascii="宋体" w:hAnsi="宋体" w:cs="宋体"/>
          <w:color w:val="auto"/>
          <w:sz w:val="28"/>
          <w:szCs w:val="28"/>
          <w:highlight w:val="none"/>
          <w:lang w:val="en-US" w:eastAsia="zh-CN"/>
        </w:rPr>
        <w:t>5</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第二部分、采购内容及要求....................................</w:t>
      </w:r>
      <w:r>
        <w:rPr>
          <w:rFonts w:hint="eastAsia" w:ascii="宋体" w:hAnsi="宋体" w:cs="宋体"/>
          <w:color w:val="auto"/>
          <w:sz w:val="28"/>
          <w:szCs w:val="28"/>
          <w:highlight w:val="none"/>
          <w:lang w:val="en-US" w:eastAsia="zh-CN"/>
        </w:rPr>
        <w:t>8</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4</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4</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第五部分、合同格式.........................................2</w:t>
      </w:r>
      <w:r>
        <w:rPr>
          <w:rFonts w:hint="eastAsia" w:ascii="宋体" w:hAnsi="宋体" w:cs="宋体"/>
          <w:color w:val="auto"/>
          <w:sz w:val="28"/>
          <w:szCs w:val="28"/>
          <w:highlight w:val="none"/>
          <w:lang w:val="en-US" w:eastAsia="zh-CN"/>
        </w:rPr>
        <w:t>9</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3</w:t>
      </w:r>
    </w:p>
    <w:p>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第七部分、评标办法.........................................4</w:t>
      </w:r>
      <w:r>
        <w:rPr>
          <w:rFonts w:hint="eastAsia" w:ascii="宋体" w:hAnsi="宋体" w:cs="宋体"/>
          <w:color w:val="auto"/>
          <w:sz w:val="28"/>
          <w:szCs w:val="28"/>
          <w:highlight w:val="none"/>
          <w:lang w:val="en-US" w:eastAsia="zh-CN"/>
        </w:rPr>
        <w:t>9</w:t>
      </w:r>
    </w:p>
    <w:p>
      <w:pPr>
        <w:pStyle w:val="21"/>
        <w:tabs>
          <w:tab w:val="left" w:pos="2352"/>
        </w:tabs>
        <w:rPr>
          <w:color w:val="auto"/>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pStyle w:val="21"/>
        <w:tabs>
          <w:tab w:val="left" w:pos="2352"/>
        </w:tabs>
        <w:rPr>
          <w:color w:val="auto"/>
          <w:highlight w:val="none"/>
        </w:rPr>
      </w:pPr>
    </w:p>
    <w:p>
      <w:pPr>
        <w:pStyle w:val="21"/>
        <w:tabs>
          <w:tab w:val="left" w:pos="2352"/>
        </w:tabs>
        <w:rPr>
          <w:color w:val="auto"/>
          <w:highlight w:val="none"/>
        </w:rPr>
      </w:pPr>
    </w:p>
    <w:p>
      <w:pPr>
        <w:pStyle w:val="4"/>
        <w:widowControl/>
        <w:spacing w:before="156" w:after="156" w:line="44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 xml:space="preserve"> </w:t>
      </w:r>
    </w:p>
    <w:p>
      <w:pPr>
        <w:pStyle w:val="4"/>
        <w:widowControl/>
        <w:spacing w:before="156" w:after="156" w:line="440" w:lineRule="exact"/>
        <w:jc w:val="center"/>
        <w:rPr>
          <w:rFonts w:hint="eastAsia" w:ascii="宋体" w:hAnsi="宋体" w:eastAsia="宋体" w:cs="宋体"/>
          <w:color w:val="auto"/>
          <w:sz w:val="22"/>
          <w:szCs w:val="22"/>
          <w:highlight w:val="none"/>
          <w:shd w:val="clear" w:color="auto" w:fill="FFFFFF"/>
        </w:rPr>
      </w:pPr>
    </w:p>
    <w:p>
      <w:pPr>
        <w:pStyle w:val="4"/>
        <w:widowControl/>
        <w:spacing w:before="156" w:after="156"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2024年泰顺县天然富硒士地资源调查项目</w:t>
      </w:r>
      <w:r>
        <w:rPr>
          <w:rFonts w:hint="eastAsia" w:ascii="宋体" w:hAnsi="宋体" w:eastAsia="宋体" w:cs="宋体"/>
          <w:color w:val="auto"/>
          <w:sz w:val="28"/>
          <w:szCs w:val="28"/>
          <w:highlight w:val="none"/>
        </w:rPr>
        <w:t>的竞争性磋商公告</w:t>
      </w:r>
    </w:p>
    <w:tbl>
      <w:tblPr>
        <w:tblStyle w:val="30"/>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pPr>
              <w:pStyle w:val="26"/>
              <w:spacing w:after="156"/>
              <w:rPr>
                <w:rFonts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项目概况</w:t>
            </w:r>
          </w:p>
          <w:p>
            <w:pPr>
              <w:pStyle w:val="26"/>
              <w:spacing w:after="156"/>
              <w:ind w:firstLine="440" w:firstLineChars="200"/>
              <w:rPr>
                <w:rFonts w:hint="eastAsia" w:ascii="宋体" w:hAnsi="宋体" w:eastAsia="宋体" w:cs="宋体"/>
                <w:color w:val="auto"/>
                <w:sz w:val="22"/>
                <w:highlight w:val="none"/>
                <w:shd w:val="clear" w:color="auto" w:fill="FFFFFF"/>
                <w:vertAlign w:val="baseline"/>
              </w:rPr>
            </w:pPr>
            <w:r>
              <w:rPr>
                <w:rFonts w:hint="eastAsia" w:ascii="宋体" w:hAnsi="宋体" w:eastAsia="宋体" w:cs="宋体"/>
                <w:color w:val="auto"/>
                <w:sz w:val="22"/>
                <w:highlight w:val="none"/>
                <w:shd w:val="clear" w:color="auto" w:fill="FFFFFF"/>
                <w:lang w:eastAsia="zh-CN"/>
              </w:rPr>
              <w:t>2024年泰顺县天然富硒士地资源调查项目</w:t>
            </w:r>
            <w:r>
              <w:rPr>
                <w:rFonts w:hint="eastAsia" w:ascii="宋体" w:hAnsi="宋体" w:eastAsia="宋体" w:cs="宋体"/>
                <w:color w:val="auto"/>
                <w:sz w:val="22"/>
                <w:highlight w:val="none"/>
                <w:shd w:val="clear" w:color="auto" w:fill="FFFFFF"/>
              </w:rPr>
              <w:t>采购项目的潜在供应商应在政采云平台http://zfcg.czt.zj.gov.cn/ 获取获取（下载）采购文件，并于</w:t>
            </w:r>
            <w:r>
              <w:rPr>
                <w:rFonts w:hint="eastAsia" w:ascii="宋体" w:hAnsi="宋体" w:eastAsia="宋体" w:cs="宋体"/>
                <w:color w:val="auto"/>
                <w:sz w:val="22"/>
                <w:highlight w:val="none"/>
                <w:shd w:val="clear" w:color="auto" w:fill="FFFFFF"/>
                <w:lang w:eastAsia="zh-CN"/>
              </w:rPr>
              <w:t xml:space="preserve">2024年05月 </w:t>
            </w:r>
            <w:r>
              <w:rPr>
                <w:rFonts w:hint="eastAsia" w:ascii="宋体" w:hAnsi="宋体" w:eastAsia="宋体" w:cs="宋体"/>
                <w:color w:val="auto"/>
                <w:sz w:val="22"/>
                <w:highlight w:val="none"/>
                <w:shd w:val="clear" w:color="auto" w:fill="FFFFFF"/>
                <w:lang w:val="en-US" w:eastAsia="zh-CN"/>
              </w:rPr>
              <w:t>21</w:t>
            </w:r>
            <w:r>
              <w:rPr>
                <w:rFonts w:hint="eastAsia" w:ascii="宋体" w:hAnsi="宋体" w:eastAsia="宋体" w:cs="宋体"/>
                <w:color w:val="auto"/>
                <w:sz w:val="22"/>
                <w:highlight w:val="none"/>
                <w:shd w:val="clear" w:color="auto" w:fill="FFFFFF"/>
                <w:lang w:eastAsia="zh-CN"/>
              </w:rPr>
              <w:t>日 09:00</w:t>
            </w:r>
            <w:r>
              <w:rPr>
                <w:rFonts w:hint="eastAsia" w:ascii="宋体" w:hAnsi="宋体" w:eastAsia="宋体" w:cs="宋体"/>
                <w:color w:val="auto"/>
                <w:sz w:val="22"/>
                <w:highlight w:val="none"/>
                <w:shd w:val="clear" w:color="auto" w:fill="FFFFFF"/>
              </w:rPr>
              <w:t>（北京时间）前提交（上传）响应文件。</w:t>
            </w:r>
          </w:p>
        </w:tc>
      </w:tr>
    </w:tbl>
    <w:p>
      <w:pPr>
        <w:pStyle w:val="26"/>
        <w:spacing w:after="156"/>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一、项目基本情况</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项目编号：</w:t>
      </w:r>
      <w:r>
        <w:rPr>
          <w:rFonts w:hint="eastAsia" w:ascii="宋体" w:hAnsi="宋体" w:eastAsia="宋体" w:cs="宋体"/>
          <w:color w:val="auto"/>
          <w:sz w:val="22"/>
          <w:highlight w:val="none"/>
          <w:shd w:val="clear" w:color="auto" w:fill="FFFFFF"/>
          <w:lang w:eastAsia="zh-CN"/>
        </w:rPr>
        <w:t xml:space="preserve">TSCG202405003 </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项目名称：</w:t>
      </w:r>
      <w:r>
        <w:rPr>
          <w:rFonts w:hint="eastAsia" w:ascii="宋体" w:hAnsi="宋体" w:eastAsia="宋体" w:cs="宋体"/>
          <w:color w:val="auto"/>
          <w:sz w:val="22"/>
          <w:highlight w:val="none"/>
          <w:shd w:val="clear" w:color="auto" w:fill="FFFFFF"/>
          <w:lang w:eastAsia="zh-CN"/>
        </w:rPr>
        <w:t>2024年泰顺县天然富硒士地资源调查项目</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采购方式：竞争性磋商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预算金额（元）：</w:t>
      </w:r>
      <w:r>
        <w:rPr>
          <w:rFonts w:hint="eastAsia" w:ascii="宋体" w:hAnsi="宋体" w:eastAsia="宋体" w:cs="宋体"/>
          <w:color w:val="auto"/>
          <w:sz w:val="22"/>
          <w:highlight w:val="none"/>
          <w:shd w:val="clear" w:color="auto" w:fill="FFFFFF"/>
          <w:lang w:eastAsia="zh-CN"/>
        </w:rPr>
        <w:t>1000000</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最高限价（元）：</w:t>
      </w:r>
      <w:r>
        <w:rPr>
          <w:rFonts w:hint="eastAsia" w:ascii="宋体" w:hAnsi="宋体" w:eastAsia="宋体" w:cs="宋体"/>
          <w:color w:val="auto"/>
          <w:sz w:val="22"/>
          <w:highlight w:val="none"/>
          <w:shd w:val="clear" w:color="auto" w:fill="FFFFFF"/>
          <w:lang w:eastAsia="zh-CN"/>
        </w:rPr>
        <w:t>1000000</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采购需求：</w:t>
      </w:r>
    </w:p>
    <w:p>
      <w:pPr>
        <w:widowControl/>
        <w:shd w:val="clear" w:color="auto" w:fill="FFFFFF"/>
        <w:spacing w:line="150" w:lineRule="atLeast"/>
        <w:jc w:val="left"/>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         </w:t>
      </w:r>
    </w:p>
    <w:p>
      <w:pPr>
        <w:widowControl/>
        <w:shd w:val="clear" w:color="auto" w:fill="FFFFFF"/>
        <w:spacing w:line="150" w:lineRule="atLeast"/>
        <w:jc w:val="left"/>
        <w:rPr>
          <w:rFonts w:ascii="宋体" w:hAnsi="宋体" w:cs="宋体"/>
          <w:color w:val="auto"/>
          <w:sz w:val="22"/>
          <w:highlight w:val="none"/>
        </w:rPr>
      </w:pPr>
      <w:r>
        <w:rPr>
          <w:rFonts w:hint="eastAsia" w:ascii="宋体" w:hAnsi="宋体" w:cs="宋体"/>
          <w:color w:val="auto"/>
          <w:kern w:val="0"/>
          <w:sz w:val="22"/>
          <w:highlight w:val="none"/>
          <w:shd w:val="clear" w:color="auto" w:fill="FFFFFF"/>
        </w:rPr>
        <w:t>   数量：不限       </w:t>
      </w:r>
    </w:p>
    <w:p>
      <w:pPr>
        <w:pStyle w:val="26"/>
        <w:spacing w:after="156" w:line="150" w:lineRule="atLeast"/>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shd w:val="clear" w:color="auto" w:fill="FFFFFF"/>
        </w:rPr>
        <w:t>   预算金额（元）：</w:t>
      </w:r>
      <w:r>
        <w:rPr>
          <w:rFonts w:hint="eastAsia" w:ascii="宋体" w:hAnsi="宋体" w:eastAsia="宋体" w:cs="宋体"/>
          <w:color w:val="auto"/>
          <w:sz w:val="22"/>
          <w:highlight w:val="none"/>
          <w:shd w:val="clear" w:color="auto" w:fill="FFFFFF"/>
          <w:lang w:eastAsia="zh-CN"/>
        </w:rPr>
        <w:t>1000000</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单位：项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简要规格描述：</w:t>
      </w:r>
      <w:r>
        <w:rPr>
          <w:rFonts w:hint="eastAsia" w:ascii="宋体" w:hAnsi="宋体" w:eastAsia="宋体" w:cs="宋体"/>
          <w:color w:val="auto"/>
          <w:sz w:val="22"/>
          <w:highlight w:val="none"/>
          <w:shd w:val="clear" w:color="auto" w:fill="FFFFFF"/>
          <w:lang w:eastAsia="zh-CN"/>
        </w:rPr>
        <w:t>2024年泰顺县天然富硒士地资源调查项目</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备注：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合同履约期限：标项 1，</w:t>
      </w:r>
      <w:r>
        <w:rPr>
          <w:rFonts w:hint="eastAsia" w:ascii="宋体" w:hAnsi="宋体" w:eastAsia="宋体" w:cs="宋体"/>
          <w:color w:val="auto"/>
          <w:sz w:val="22"/>
          <w:highlight w:val="none"/>
          <w:shd w:val="clear" w:color="auto" w:fill="FFFFFF"/>
          <w:lang w:val="en-US" w:eastAsia="zh-CN"/>
        </w:rPr>
        <w:tab/>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本项目（</w:t>
      </w:r>
      <w:r>
        <w:rPr>
          <w:rFonts w:hint="eastAsia" w:ascii="宋体" w:hAnsi="宋体" w:eastAsia="宋体" w:cs="宋体"/>
          <w:color w:val="auto"/>
          <w:sz w:val="22"/>
          <w:highlight w:val="none"/>
          <w:shd w:val="clear" w:color="auto" w:fill="FFFFFF"/>
          <w:lang w:val="en-US" w:eastAsia="zh-CN"/>
        </w:rPr>
        <w:t>否</w:t>
      </w:r>
      <w:r>
        <w:rPr>
          <w:rFonts w:hint="eastAsia" w:ascii="宋体" w:hAnsi="宋体" w:eastAsia="宋体" w:cs="宋体"/>
          <w:color w:val="auto"/>
          <w:sz w:val="22"/>
          <w:highlight w:val="none"/>
          <w:shd w:val="clear" w:color="auto" w:fill="FFFFFF"/>
        </w:rPr>
        <w:t>）接受联合体投标。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二、申请人的资格要求：</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6"/>
        <w:spacing w:after="156" w:line="150" w:lineRule="atLeast"/>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2.落实政府采购政策需满足的资格要求：标项1：供应商为中小企业。 </w:t>
      </w:r>
    </w:p>
    <w:p>
      <w:pPr>
        <w:pStyle w:val="26"/>
        <w:spacing w:after="156" w:line="150" w:lineRule="atLeast"/>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3.本项目的特定资格要求：</w:t>
      </w:r>
      <w:r>
        <w:rPr>
          <w:rFonts w:hint="eastAsia" w:ascii="宋体" w:hAnsi="宋体" w:eastAsia="宋体" w:cs="宋体"/>
          <w:color w:val="auto"/>
          <w:sz w:val="22"/>
          <w:highlight w:val="none"/>
          <w:shd w:val="clear" w:color="auto" w:fill="FFFFFF"/>
          <w:lang w:val="en-US" w:eastAsia="zh-CN"/>
        </w:rPr>
        <w:t>无</w:t>
      </w:r>
      <w:r>
        <w:rPr>
          <w:rFonts w:hint="eastAsia" w:ascii="宋体" w:hAnsi="宋体" w:eastAsia="宋体" w:cs="宋体"/>
          <w:color w:val="auto"/>
          <w:sz w:val="22"/>
          <w:highlight w:val="none"/>
          <w:shd w:val="clear" w:color="auto" w:fill="FFFFFF"/>
          <w:lang w:eastAsia="zh-CN"/>
        </w:rPr>
        <w:t>。</w:t>
      </w:r>
      <w:r>
        <w:rPr>
          <w:rFonts w:hint="eastAsia" w:ascii="宋体" w:hAnsi="宋体" w:eastAsia="宋体" w:cs="宋体"/>
          <w:color w:val="auto"/>
          <w:sz w:val="22"/>
          <w:highlight w:val="none"/>
          <w:shd w:val="clear" w:color="auto" w:fill="FFFFFF"/>
        </w:rPr>
        <w:t>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三、获取（下载）采购文件</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时间：/至</w:t>
      </w:r>
      <w:r>
        <w:rPr>
          <w:rFonts w:hint="eastAsia" w:ascii="宋体" w:hAnsi="宋体" w:eastAsia="宋体" w:cs="宋体"/>
          <w:color w:val="auto"/>
          <w:sz w:val="22"/>
          <w:highlight w:val="none"/>
          <w:shd w:val="clear" w:color="auto" w:fill="FFFFFF"/>
          <w:lang w:eastAsia="zh-CN"/>
        </w:rPr>
        <w:t xml:space="preserve">2024年05月 </w:t>
      </w:r>
      <w:r>
        <w:rPr>
          <w:rFonts w:hint="eastAsia" w:ascii="宋体" w:hAnsi="宋体" w:eastAsia="宋体" w:cs="宋体"/>
          <w:color w:val="auto"/>
          <w:sz w:val="22"/>
          <w:highlight w:val="none"/>
          <w:shd w:val="clear" w:color="auto" w:fill="FFFFFF"/>
          <w:lang w:val="en-US" w:eastAsia="zh-CN"/>
        </w:rPr>
        <w:t>21</w:t>
      </w:r>
      <w:r>
        <w:rPr>
          <w:rFonts w:hint="eastAsia" w:ascii="宋体" w:hAnsi="宋体" w:eastAsia="宋体" w:cs="宋体"/>
          <w:color w:val="auto"/>
          <w:sz w:val="22"/>
          <w:highlight w:val="none"/>
          <w:shd w:val="clear" w:color="auto" w:fill="FFFFFF"/>
          <w:lang w:eastAsia="zh-CN"/>
        </w:rPr>
        <w:t>日</w:t>
      </w:r>
      <w:r>
        <w:rPr>
          <w:rFonts w:hint="eastAsia" w:ascii="宋体" w:hAnsi="宋体" w:eastAsia="宋体" w:cs="宋体"/>
          <w:color w:val="auto"/>
          <w:sz w:val="22"/>
          <w:highlight w:val="none"/>
          <w:shd w:val="clear" w:color="auto" w:fill="FFFFFF"/>
        </w:rPr>
        <w:t>，每天上午00:00至12:00，下午12:00至23:59（北京时间，线上获取法定节假日均可，线下获取文件法定节假日除外）</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地点（网址）：政采云平台http://zfcg.czt.zj.gov.cn/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方式：供应商登录政采云平台http://zfcg.czt.zj.gov.cn/在线申请获取采购文件（进入“项目采购”应用，在获取采购文件菜单中选择项目，申请获取采购文件）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售价（元）：0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四、响应文件提交（上传）</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截止时间：</w:t>
      </w:r>
      <w:r>
        <w:rPr>
          <w:rFonts w:hint="eastAsia" w:ascii="宋体" w:hAnsi="宋体" w:eastAsia="宋体" w:cs="宋体"/>
          <w:color w:val="auto"/>
          <w:sz w:val="22"/>
          <w:highlight w:val="none"/>
          <w:shd w:val="clear" w:color="auto" w:fill="FFFFFF"/>
          <w:lang w:eastAsia="zh-CN"/>
        </w:rPr>
        <w:t>2024年05月</w:t>
      </w:r>
      <w:r>
        <w:rPr>
          <w:rFonts w:hint="eastAsia" w:ascii="宋体" w:hAnsi="宋体" w:eastAsia="宋体" w:cs="宋体"/>
          <w:color w:val="auto"/>
          <w:sz w:val="22"/>
          <w:highlight w:val="none"/>
          <w:shd w:val="clear" w:color="auto" w:fill="FFFFFF"/>
          <w:lang w:val="en-US" w:eastAsia="zh-CN"/>
        </w:rPr>
        <w:t>21</w:t>
      </w:r>
      <w:r>
        <w:rPr>
          <w:rFonts w:hint="eastAsia" w:ascii="宋体" w:hAnsi="宋体" w:eastAsia="宋体" w:cs="宋体"/>
          <w:color w:val="auto"/>
          <w:sz w:val="22"/>
          <w:highlight w:val="none"/>
          <w:shd w:val="clear" w:color="auto" w:fill="FFFFFF"/>
          <w:lang w:eastAsia="zh-CN"/>
        </w:rPr>
        <w:t xml:space="preserve"> 日 09:00</w:t>
      </w:r>
      <w:r>
        <w:rPr>
          <w:rFonts w:hint="eastAsia" w:ascii="宋体" w:hAnsi="宋体" w:eastAsia="宋体" w:cs="宋体"/>
          <w:color w:val="auto"/>
          <w:sz w:val="22"/>
          <w:highlight w:val="none"/>
          <w:shd w:val="clear" w:color="auto" w:fill="FFFFFF"/>
        </w:rPr>
        <w:t>（北京时间）</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地点（网址）：“政府采购云平台（http://zfcg.czt.zj.gov.cn/）”在线递交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五、响应文件开启</w:t>
      </w:r>
      <w:r>
        <w:rPr>
          <w:rFonts w:hint="eastAsia" w:ascii="宋体" w:hAnsi="宋体" w:eastAsia="宋体" w:cs="宋体"/>
          <w:color w:val="auto"/>
          <w:sz w:val="22"/>
          <w:highlight w:val="none"/>
          <w:shd w:val="clear" w:color="auto" w:fill="FFFFFF"/>
        </w:rPr>
        <w:t> </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开启时间：</w:t>
      </w:r>
      <w:r>
        <w:rPr>
          <w:rFonts w:hint="eastAsia" w:ascii="宋体" w:hAnsi="宋体" w:eastAsia="宋体" w:cs="宋体"/>
          <w:color w:val="auto"/>
          <w:sz w:val="22"/>
          <w:highlight w:val="none"/>
          <w:shd w:val="clear" w:color="auto" w:fill="FFFFFF"/>
          <w:lang w:eastAsia="zh-CN"/>
        </w:rPr>
        <w:t>2024年05月</w:t>
      </w:r>
      <w:r>
        <w:rPr>
          <w:rFonts w:hint="eastAsia" w:ascii="宋体" w:hAnsi="宋体" w:eastAsia="宋体" w:cs="宋体"/>
          <w:color w:val="auto"/>
          <w:sz w:val="22"/>
          <w:highlight w:val="none"/>
          <w:shd w:val="clear" w:color="auto" w:fill="FFFFFF"/>
          <w:lang w:val="en-US" w:eastAsia="zh-CN"/>
        </w:rPr>
        <w:t>21</w:t>
      </w:r>
      <w:r>
        <w:rPr>
          <w:rFonts w:hint="eastAsia" w:ascii="宋体" w:hAnsi="宋体" w:eastAsia="宋体" w:cs="宋体"/>
          <w:color w:val="auto"/>
          <w:sz w:val="22"/>
          <w:highlight w:val="none"/>
          <w:shd w:val="clear" w:color="auto" w:fill="FFFFFF"/>
          <w:lang w:eastAsia="zh-CN"/>
        </w:rPr>
        <w:t xml:space="preserve"> 日 09:00</w:t>
      </w:r>
      <w:r>
        <w:rPr>
          <w:rFonts w:hint="eastAsia" w:ascii="宋体" w:hAnsi="宋体" w:eastAsia="宋体" w:cs="宋体"/>
          <w:color w:val="auto"/>
          <w:sz w:val="22"/>
          <w:highlight w:val="none"/>
          <w:shd w:val="clear" w:color="auto" w:fill="FFFFFF"/>
        </w:rPr>
        <w:t> （北京时间）</w:t>
      </w:r>
    </w:p>
    <w:p>
      <w:pPr>
        <w:pStyle w:val="26"/>
        <w:spacing w:after="156" w:line="150" w:lineRule="atLeast"/>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地点（网址）：“政府采购云平台（http://zfcg.czt.zj.gov.cn/）”在线开标 </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六、公告期限</w:t>
      </w:r>
    </w:p>
    <w:p>
      <w:pPr>
        <w:pStyle w:val="26"/>
        <w:shd w:val="clear" w:color="auto" w:fill="FFFFFF"/>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自本公告发布之日起3个工作日。</w:t>
      </w:r>
    </w:p>
    <w:p>
      <w:pPr>
        <w:pStyle w:val="26"/>
        <w:shd w:val="clear" w:color="auto" w:fill="FFFFFF"/>
        <w:spacing w:before="128" w:after="156" w:line="225"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七、其他补充事宜</w:t>
      </w:r>
      <w:r>
        <w:rPr>
          <w:rFonts w:hint="eastAsia" w:ascii="宋体" w:hAnsi="宋体" w:eastAsia="宋体" w:cs="宋体"/>
          <w:color w:val="auto"/>
          <w:sz w:val="22"/>
          <w:highlight w:val="none"/>
          <w:shd w:val="clear" w:color="auto" w:fill="FFFFFF"/>
        </w:rPr>
        <w:t> </w:t>
      </w:r>
    </w:p>
    <w:p>
      <w:pPr>
        <w:pStyle w:val="26"/>
        <w:shd w:val="clear" w:color="auto" w:fill="FFFFFF"/>
        <w:spacing w:before="128" w:after="156" w:line="150" w:lineRule="atLeast"/>
        <w:ind w:firstLine="420"/>
        <w:jc w:val="both"/>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6"/>
        <w:shd w:val="clear" w:color="auto" w:fill="FFFFFF"/>
        <w:spacing w:before="128" w:after="156" w:line="150" w:lineRule="atLeast"/>
        <w:ind w:firstLine="420"/>
        <w:jc w:val="both"/>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6"/>
        <w:shd w:val="clear" w:color="auto" w:fill="FFFFFF"/>
        <w:spacing w:after="156" w:line="315" w:lineRule="atLeast"/>
        <w:ind w:firstLine="420"/>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3.其他事项：/</w:t>
      </w:r>
    </w:p>
    <w:p>
      <w:pPr>
        <w:pStyle w:val="26"/>
        <w:shd w:val="clear" w:color="auto" w:fill="FFFFFF"/>
        <w:spacing w:before="128" w:after="156" w:line="240" w:lineRule="atLeast"/>
        <w:jc w:val="both"/>
        <w:rPr>
          <w:rFonts w:ascii="宋体" w:hAnsi="宋体" w:eastAsia="宋体" w:cs="宋体"/>
          <w:color w:val="auto"/>
          <w:sz w:val="22"/>
          <w:highlight w:val="none"/>
        </w:rPr>
      </w:pPr>
      <w:r>
        <w:rPr>
          <w:rStyle w:val="32"/>
          <w:rFonts w:hint="eastAsia" w:ascii="宋体" w:hAnsi="宋体" w:eastAsia="宋体" w:cs="宋体"/>
          <w:color w:val="auto"/>
          <w:sz w:val="22"/>
          <w:highlight w:val="none"/>
          <w:shd w:val="clear" w:color="auto" w:fill="FFFFFF"/>
        </w:rPr>
        <w:t>八、凡对本次招标提出询问、质疑、投诉，请按以下方式联系</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1.采购人信息</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名    称：泰顺县自然资源和规划局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    址：温州市泰顺县罗阳镇常青路25号 </w:t>
      </w:r>
    </w:p>
    <w:p>
      <w:pPr>
        <w:pStyle w:val="26"/>
        <w:spacing w:after="156"/>
        <w:rPr>
          <w:rFonts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传    真： </w:t>
      </w:r>
    </w:p>
    <w:p>
      <w:pPr>
        <w:pStyle w:val="26"/>
        <w:spacing w:after="156"/>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项目联系人（询问）：</w:t>
      </w:r>
      <w:r>
        <w:rPr>
          <w:rFonts w:hint="eastAsia" w:ascii="宋体" w:hAnsi="宋体" w:eastAsia="宋体" w:cs="宋体"/>
          <w:color w:val="auto"/>
          <w:sz w:val="22"/>
          <w:highlight w:val="none"/>
          <w:shd w:val="clear" w:color="auto" w:fill="FFFFFF"/>
          <w:lang w:val="en-US" w:eastAsia="zh-CN"/>
        </w:rPr>
        <w:t>陈先生</w:t>
      </w:r>
      <w:r>
        <w:rPr>
          <w:rFonts w:hint="eastAsia" w:ascii="宋体" w:hAnsi="宋体" w:eastAsia="宋体" w:cs="宋体"/>
          <w:color w:val="auto"/>
          <w:sz w:val="22"/>
          <w:highlight w:val="none"/>
          <w:shd w:val="clear" w:color="auto" w:fill="FFFFFF"/>
        </w:rPr>
        <w:t>  </w:t>
      </w:r>
    </w:p>
    <w:p>
      <w:pPr>
        <w:pStyle w:val="26"/>
        <w:spacing w:after="156"/>
        <w:ind w:firstLine="660" w:firstLineChars="300"/>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项目联系方式（询问）：0577-67563049</w:t>
      </w:r>
    </w:p>
    <w:p>
      <w:pPr>
        <w:pStyle w:val="26"/>
        <w:spacing w:after="156"/>
        <w:ind w:firstLine="660" w:firstLineChars="300"/>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质疑联系人：刘</w:t>
      </w:r>
      <w:r>
        <w:rPr>
          <w:rFonts w:hint="eastAsia" w:ascii="宋体" w:hAnsi="宋体" w:eastAsia="宋体" w:cs="宋体"/>
          <w:color w:val="auto"/>
          <w:sz w:val="22"/>
          <w:highlight w:val="none"/>
          <w:shd w:val="clear" w:color="auto" w:fill="FFFFFF"/>
          <w:lang w:val="en-US" w:eastAsia="zh-CN"/>
        </w:rPr>
        <w:t>先生</w:t>
      </w:r>
      <w:r>
        <w:rPr>
          <w:rFonts w:hint="eastAsia" w:ascii="宋体" w:hAnsi="宋体" w:eastAsia="宋体" w:cs="宋体"/>
          <w:color w:val="auto"/>
          <w:sz w:val="22"/>
          <w:highlight w:val="none"/>
          <w:shd w:val="clear" w:color="auto" w:fill="FFFFFF"/>
        </w:rPr>
        <w:t>   </w:t>
      </w:r>
    </w:p>
    <w:p>
      <w:pPr>
        <w:pStyle w:val="26"/>
        <w:spacing w:after="156"/>
        <w:ind w:firstLine="660" w:firstLineChars="300"/>
        <w:rPr>
          <w:rFonts w:hint="eastAsia"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质疑联系方式：0577-67563049 </w:t>
      </w:r>
    </w:p>
    <w:p>
      <w:pPr>
        <w:pStyle w:val="26"/>
        <w:spacing w:after="156"/>
        <w:rPr>
          <w:rFonts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2.采购代理机构信息</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名    称：杭州华旗招标代理有限公司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    址：温州市泰顺县罗阳镇湖滨花苑B8幢401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传    真：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项目联系人（询问）：翁爱霜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项目联系方式（询问）：17858065131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质疑联系人：</w:t>
      </w:r>
      <w:r>
        <w:rPr>
          <w:rFonts w:hint="eastAsia" w:ascii="宋体" w:hAnsi="宋体" w:eastAsia="宋体" w:cs="宋体"/>
          <w:color w:val="auto"/>
          <w:sz w:val="22"/>
          <w:highlight w:val="none"/>
          <w:shd w:val="clear" w:color="auto" w:fill="FFFFFF"/>
          <w:lang w:val="en-US" w:eastAsia="zh-CN"/>
        </w:rPr>
        <w:t>缪永陈</w:t>
      </w:r>
      <w:r>
        <w:rPr>
          <w:rFonts w:hint="eastAsia" w:ascii="宋体" w:hAnsi="宋体" w:eastAsia="宋体" w:cs="宋体"/>
          <w:color w:val="auto"/>
          <w:sz w:val="22"/>
          <w:highlight w:val="none"/>
          <w:shd w:val="clear" w:color="auto" w:fill="FFFFFF"/>
        </w:rPr>
        <w:t>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质疑联系方式：</w:t>
      </w:r>
      <w:r>
        <w:rPr>
          <w:rFonts w:hint="eastAsia" w:ascii="宋体" w:hAnsi="宋体" w:eastAsia="宋体" w:cs="宋体"/>
          <w:color w:val="auto"/>
          <w:sz w:val="22"/>
          <w:highlight w:val="none"/>
          <w:shd w:val="clear" w:color="auto" w:fill="FFFFFF"/>
          <w:lang w:val="en-US" w:eastAsia="zh-CN"/>
        </w:rPr>
        <w:t>15888799321</w:t>
      </w:r>
      <w:r>
        <w:rPr>
          <w:rFonts w:hint="eastAsia" w:ascii="宋体" w:hAnsi="宋体" w:eastAsia="宋体" w:cs="宋体"/>
          <w:color w:val="auto"/>
          <w:sz w:val="22"/>
          <w:highlight w:val="none"/>
          <w:shd w:val="clear" w:color="auto" w:fill="FFFFFF"/>
        </w:rPr>
        <w:t> </w:t>
      </w:r>
    </w:p>
    <w:p>
      <w:pPr>
        <w:pStyle w:val="26"/>
        <w:spacing w:after="156"/>
        <w:rPr>
          <w:rFonts w:ascii="宋体" w:hAnsi="宋体" w:eastAsia="宋体" w:cs="宋体"/>
          <w:color w:val="auto"/>
          <w:sz w:val="22"/>
          <w:highlight w:val="none"/>
          <w:shd w:val="clear" w:color="auto" w:fill="FFFFFF"/>
        </w:rPr>
      </w:pPr>
      <w:r>
        <w:rPr>
          <w:rFonts w:hint="eastAsia" w:ascii="宋体" w:hAnsi="宋体" w:eastAsia="宋体" w:cs="宋体"/>
          <w:color w:val="auto"/>
          <w:sz w:val="22"/>
          <w:highlight w:val="none"/>
          <w:shd w:val="clear" w:color="auto" w:fill="FFFFFF"/>
        </w:rPr>
        <w:t>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3.同级政府采购监督管理部门</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名    称：泰顺县财政局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地    址：温州市泰顺县罗阳镇公园路48号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传    真：/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联系人 ：董</w:t>
      </w:r>
      <w:r>
        <w:rPr>
          <w:rFonts w:hint="eastAsia" w:ascii="宋体" w:hAnsi="宋体" w:eastAsia="宋体" w:cs="宋体"/>
          <w:color w:val="auto"/>
          <w:sz w:val="22"/>
          <w:highlight w:val="none"/>
          <w:shd w:val="clear" w:color="auto" w:fill="FFFFFF"/>
          <w:lang w:val="en-US" w:eastAsia="zh-CN"/>
        </w:rPr>
        <w:t>女士</w:t>
      </w:r>
      <w:r>
        <w:rPr>
          <w:rFonts w:hint="eastAsia" w:ascii="宋体" w:hAnsi="宋体" w:eastAsia="宋体" w:cs="宋体"/>
          <w:color w:val="auto"/>
          <w:sz w:val="22"/>
          <w:highlight w:val="none"/>
          <w:shd w:val="clear" w:color="auto" w:fill="FFFFFF"/>
        </w:rPr>
        <w:t> </w:t>
      </w:r>
    </w:p>
    <w:p>
      <w:pPr>
        <w:pStyle w:val="26"/>
        <w:spacing w:after="156"/>
        <w:rPr>
          <w:rFonts w:ascii="宋体" w:hAnsi="宋体" w:eastAsia="宋体" w:cs="宋体"/>
          <w:color w:val="auto"/>
          <w:sz w:val="22"/>
          <w:highlight w:val="none"/>
        </w:rPr>
      </w:pPr>
      <w:r>
        <w:rPr>
          <w:rFonts w:hint="eastAsia" w:ascii="宋体" w:hAnsi="宋体" w:eastAsia="宋体" w:cs="宋体"/>
          <w:color w:val="auto"/>
          <w:sz w:val="22"/>
          <w:highlight w:val="none"/>
          <w:shd w:val="clear" w:color="auto" w:fill="FFFFFF"/>
        </w:rPr>
        <w:t>    监督投诉电话：0577-67588502</w:t>
      </w: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hint="eastAsia" w:ascii="宋体" w:hAnsi="宋体" w:cs="宋体"/>
          <w:b/>
          <w:bCs/>
          <w:color w:val="auto"/>
          <w:sz w:val="32"/>
          <w:szCs w:val="32"/>
          <w:highlight w:val="none"/>
          <w:lang w:val="zh-CN"/>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2024年泰顺县天然富硒士地资源调查项目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 xml:space="preserve">TSCG202405003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shd w:val="clear" w:color="auto" w:fill="FFFFFF"/>
                <w:lang w:val="en-US" w:eastAsia="zh-CN"/>
              </w:rPr>
              <w:t>100</w:t>
            </w:r>
            <w:r>
              <w:rPr>
                <w:rFonts w:hint="eastAsia" w:ascii="宋体" w:hAnsi="宋体" w:cs="宋体"/>
                <w:color w:val="auto"/>
                <w:sz w:val="22"/>
                <w:highlight w:val="none"/>
                <w:shd w:val="clear" w:color="auto" w:fill="FFFFFF"/>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泰顺县自然资源和规划局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adjustRightInd w:val="0"/>
              <w:rPr>
                <w:rFonts w:hint="default" w:ascii="宋体" w:hAnsi="宋体" w:eastAsia="宋体" w:cs="宋体"/>
                <w:color w:val="auto"/>
                <w:sz w:val="22"/>
                <w:highlight w:val="none"/>
                <w:lang w:val="en-US" w:eastAsia="zh-CN"/>
              </w:rPr>
            </w:pPr>
            <w:r>
              <w:rPr>
                <w:rFonts w:hint="eastAsia" w:ascii="宋体"/>
                <w:color w:val="auto"/>
                <w:sz w:val="22"/>
                <w:szCs w:val="22"/>
                <w:highlight w:val="none"/>
              </w:rPr>
              <w:t>是否接受联合体投标</w:t>
            </w:r>
          </w:p>
        </w:tc>
        <w:tc>
          <w:tcPr>
            <w:tcW w:w="7619" w:type="dxa"/>
            <w:vAlign w:val="center"/>
          </w:tcPr>
          <w:p>
            <w:pPr>
              <w:adjustRightInd w:val="0"/>
              <w:rPr>
                <w:rFonts w:hint="eastAsia" w:ascii="宋体" w:eastAsia="宋体"/>
                <w:color w:val="auto"/>
                <w:sz w:val="22"/>
                <w:szCs w:val="22"/>
                <w:highlight w:val="none"/>
                <w:lang w:eastAsia="zh-CN"/>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lang w:val="en-US" w:eastAsia="zh-CN"/>
              </w:rPr>
              <w:t>是</w:t>
            </w:r>
          </w:p>
          <w:p>
            <w:pPr>
              <w:adjustRightInd w:val="0"/>
              <w:rPr>
                <w:rFonts w:hint="eastAsia" w:ascii="宋体" w:hAnsi="宋体" w:eastAsia="宋体" w:cs="宋体"/>
                <w:color w:val="auto"/>
                <w:sz w:val="22"/>
                <w:highlight w:val="none"/>
                <w:lang w:val="en-US" w:eastAsia="zh-CN"/>
              </w:rPr>
            </w:pPr>
            <w:r>
              <w:rPr>
                <w:rFonts w:hint="eastAsia" w:ascii="MS Gothic" w:hAnsi="MS Gothic" w:cs="MS Gothic"/>
                <w:color w:val="auto"/>
                <w:sz w:val="22"/>
                <w:szCs w:val="22"/>
                <w:highlight w:val="none"/>
              </w:rPr>
              <w:sym w:font="Wingdings 2" w:char="0052"/>
            </w:r>
            <w:r>
              <w:rPr>
                <w:rFonts w:hint="eastAsia" w:ascii="MS Gothic" w:hAnsi="MS Gothic" w:cs="MS Gothic"/>
                <w:color w:val="auto"/>
                <w:sz w:val="22"/>
                <w:szCs w:val="22"/>
                <w:highlight w:val="no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☑电子投标文件（“电子加密投标文件”，在投标文件编制完成后生成）；</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“电子加密投标文件”是指通过“政采云电子交易客户端”完成投标文件编制后生成并加密的数据电文形式的投标文件。</w:t>
            </w:r>
          </w:p>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b/>
                <w:bCs/>
                <w:color w:val="auto"/>
                <w:sz w:val="22"/>
                <w:highlight w:val="none"/>
              </w:rPr>
              <w:t>5、投标文件份数：</w:t>
            </w:r>
            <w:r>
              <w:rPr>
                <w:rFonts w:hint="eastAsia" w:ascii="宋体" w:hAnsi="宋体" w:cs="宋体"/>
                <w:color w:val="auto"/>
                <w:sz w:val="22"/>
                <w:highlight w:val="none"/>
              </w:rPr>
              <w:t>“电子加密投标文件”：在线上传递交。</w:t>
            </w:r>
          </w:p>
          <w:p>
            <w:pPr>
              <w:tabs>
                <w:tab w:val="left" w:pos="1069"/>
                <w:tab w:val="left" w:pos="2352"/>
              </w:tabs>
              <w:rPr>
                <w:rFonts w:ascii="宋体" w:hAnsi="宋体" w:cs="宋体"/>
                <w:b/>
                <w:bCs/>
                <w:color w:val="auto"/>
                <w:sz w:val="22"/>
                <w:highlight w:val="none"/>
              </w:rPr>
            </w:pPr>
            <w:r>
              <w:rPr>
                <w:rFonts w:hint="eastAsia" w:ascii="宋体" w:hAnsi="宋体" w:cs="宋体"/>
                <w:color w:val="auto"/>
                <w:sz w:val="22"/>
                <w:highlight w:val="none"/>
              </w:rPr>
              <w:t>6、</w:t>
            </w:r>
            <w:r>
              <w:rPr>
                <w:rFonts w:hint="eastAsia" w:ascii="宋体" w:hAnsi="宋体" w:cs="宋体"/>
                <w:b/>
                <w:bCs/>
                <w:color w:val="auto"/>
                <w:sz w:val="22"/>
                <w:highlight w:val="none"/>
              </w:rPr>
              <w:t>投标文件的上传和递交：</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“电子加密投标文件”的上传、递交：</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a.供应商应在投标截止时间前将“电子加密投标文件”成功上传递交至“政府采购云平台”，否则投标无效。</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b.“电子加密投标文件”成功上传递交后，供应商可自行打印投标文件接收回执。</w:t>
            </w:r>
          </w:p>
          <w:p>
            <w:pPr>
              <w:tabs>
                <w:tab w:val="left" w:pos="1069"/>
                <w:tab w:val="left" w:pos="2352"/>
              </w:tabs>
              <w:rPr>
                <w:rFonts w:ascii="宋体" w:hAnsi="宋体" w:cs="宋体"/>
                <w:b/>
                <w:bCs/>
                <w:color w:val="auto"/>
                <w:sz w:val="22"/>
                <w:highlight w:val="none"/>
              </w:rPr>
            </w:pPr>
            <w:r>
              <w:rPr>
                <w:rFonts w:hint="eastAsia" w:ascii="宋体" w:hAnsi="宋体" w:cs="宋体"/>
                <w:b/>
                <w:bCs/>
                <w:color w:val="auto"/>
                <w:sz w:val="22"/>
                <w:highlight w:val="none"/>
              </w:rPr>
              <w:t>7、电子加密投标文件的解密和异常情况处理：</w:t>
            </w:r>
          </w:p>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（1）开标后，采购组织机构将向各供应商发出“电子加密投标文件”的解密通知，各供应商代表应当在接到解密通知后30分钟内自行完成“电子加密投标文件”的在线解密。</w:t>
            </w:r>
          </w:p>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（2）</w:t>
            </w:r>
            <w:r>
              <w:rPr>
                <w:rStyle w:val="32"/>
                <w:rFonts w:hint="eastAsia" w:ascii="宋体" w:hAnsi="宋体" w:cs="宋体"/>
                <w:b w:val="0"/>
                <w:color w:val="auto"/>
                <w:sz w:val="22"/>
                <w:highlight w:val="none"/>
              </w:rPr>
              <w:t>通过“政府采购云平台”上传递交的“电子加密投标文件”无法按时解密的，其投标无效。</w:t>
            </w:r>
          </w:p>
          <w:p>
            <w:pPr>
              <w:tabs>
                <w:tab w:val="left" w:pos="1069"/>
                <w:tab w:val="left" w:pos="2352"/>
              </w:tabs>
              <w:snapToGrid w:val="0"/>
              <w:rPr>
                <w:rFonts w:ascii="宋体" w:hAnsi="宋体" w:cs="宋体"/>
                <w:color w:val="auto"/>
                <w:sz w:val="22"/>
                <w:highlight w:val="none"/>
              </w:rPr>
            </w:pPr>
            <w:r>
              <w:rPr>
                <w:rFonts w:hint="eastAsia" w:ascii="宋体" w:hAnsi="宋体" w:cs="宋体"/>
                <w:b/>
                <w:bCs/>
                <w:color w:val="auto"/>
                <w:sz w:val="22"/>
                <w:highlight w:val="none"/>
              </w:rPr>
              <w:t>8、</w:t>
            </w:r>
            <w:r>
              <w:rPr>
                <w:rFonts w:hint="eastAsia" w:ascii="宋体" w:hAnsi="宋体" w:cs="宋体"/>
                <w:color w:val="auto"/>
                <w:sz w:val="22"/>
                <w:highlight w:val="none"/>
              </w:rPr>
              <w:t>投标截止后，在投标有效期内，供应商不能撤销投标文件。</w:t>
            </w:r>
          </w:p>
          <w:p>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9、存在下列行为的，招标代理机构将其失信行为上报政府采购主管部门，由主管部门按有关规定对其违法失信行为记录进行公开：</w:t>
            </w:r>
          </w:p>
          <w:p>
            <w:pPr>
              <w:tabs>
                <w:tab w:val="left" w:pos="1069"/>
                <w:tab w:val="left" w:pos="2352"/>
              </w:tabs>
              <w:snapToGrid w:val="0"/>
              <w:rPr>
                <w:rFonts w:ascii="宋体" w:hAnsi="宋体" w:cs="宋体"/>
                <w:color w:val="auto"/>
                <w:sz w:val="22"/>
                <w:highlight w:val="none"/>
              </w:rPr>
            </w:pPr>
            <w:r>
              <w:rPr>
                <w:rFonts w:hint="eastAsia" w:ascii="宋体" w:hAnsi="宋体" w:cs="宋体"/>
                <w:color w:val="auto"/>
                <w:sz w:val="22"/>
                <w:highlight w:val="none"/>
              </w:rPr>
              <w:t>（1）中标或者成交后，拒绝签订政府采购合同的；</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（2）投标有效期内撤销投标文件的</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10、</w:t>
            </w:r>
            <w:r>
              <w:rPr>
                <w:rFonts w:hint="eastAsia" w:ascii="宋体" w:hAnsi="宋体" w:cs="宋体"/>
                <w:b/>
                <w:bCs/>
                <w:color w:val="auto"/>
                <w:sz w:val="22"/>
                <w:highlight w:val="none"/>
                <w:u w:val="single"/>
              </w:rPr>
              <w:t>中标后，中标（成交）供应商须提供4份纸质投标文件至招标代理机构处作为纸质存档。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lang w:eastAsia="zh-CN"/>
              </w:rPr>
              <w:instrText xml:space="preserve">,</w:instrText>
            </w:r>
            <w:r>
              <w:rPr>
                <w:rFonts w:hint="eastAsia" w:ascii="宋体" w:hAnsi="宋体" w:cs="宋体"/>
                <w:b/>
                <w:bCs/>
                <w:color w:val="auto"/>
                <w:kern w:val="0"/>
                <w:position w:val="2"/>
                <w:sz w:val="15"/>
                <w:highlight w:val="none"/>
                <w:lang w:eastAsia="zh-CN"/>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不需要</w:t>
            </w:r>
          </w:p>
          <w:p>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登录浙江省政府采购网（网址：</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"http://www.zjzfcg.gov.cn）查找本项目并获取采购文件，获取采购文件时应填写正确的电子邮箱。"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http://zfcg.czt.zj.gov.cn/）查找本项目并获取采购文件，获取采购文件时应填写正确的电子邮箱（开标时若有文件传输均发至此邮箱）。</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fldChar w:fldCharType="end"/>
            </w:r>
            <w:r>
              <w:rPr>
                <w:rFonts w:hint="eastAsia" w:ascii="宋体" w:hAnsi="宋体" w:cs="宋体"/>
                <w:color w:val="auto"/>
                <w:sz w:val="22"/>
                <w:highlight w:val="none"/>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2024年05月</w:t>
            </w:r>
            <w:r>
              <w:rPr>
                <w:rFonts w:hint="eastAsia" w:ascii="宋体" w:hAnsi="宋体" w:cs="宋体"/>
                <w:color w:val="auto"/>
                <w:sz w:val="22"/>
                <w:highlight w:val="none"/>
                <w:lang w:val="en-US" w:eastAsia="zh-CN"/>
              </w:rPr>
              <w:t>21</w:t>
            </w:r>
            <w:r>
              <w:rPr>
                <w:rFonts w:hint="eastAsia" w:ascii="宋体" w:hAnsi="宋体" w:cs="宋体"/>
                <w:color w:val="auto"/>
                <w:sz w:val="22"/>
                <w:highlight w:val="none"/>
                <w:lang w:eastAsia="zh-CN"/>
              </w:rPr>
              <w:t xml:space="preserve"> 日 09:00</w:t>
            </w:r>
            <w:r>
              <w:rPr>
                <w:rFonts w:hint="eastAsia" w:ascii="宋体" w:hAnsi="宋体" w:cs="宋体"/>
                <w:color w:val="auto"/>
                <w:sz w:val="22"/>
                <w:highlight w:val="none"/>
              </w:rPr>
              <w:t>(北京时间)</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 xml:space="preserve">2024年05月 </w:t>
            </w:r>
            <w:r>
              <w:rPr>
                <w:rFonts w:hint="eastAsia" w:ascii="宋体" w:hAnsi="宋体" w:cs="宋体"/>
                <w:color w:val="auto"/>
                <w:sz w:val="22"/>
                <w:highlight w:val="none"/>
                <w:lang w:val="en-US" w:eastAsia="zh-CN"/>
              </w:rPr>
              <w:t>21</w:t>
            </w:r>
            <w:r>
              <w:rPr>
                <w:rFonts w:hint="eastAsia" w:ascii="宋体" w:hAnsi="宋体" w:cs="宋体"/>
                <w:color w:val="auto"/>
                <w:sz w:val="22"/>
                <w:highlight w:val="none"/>
                <w:lang w:eastAsia="zh-CN"/>
              </w:rPr>
              <w:t>日 09:00</w:t>
            </w:r>
            <w:r>
              <w:rPr>
                <w:rFonts w:hint="eastAsia" w:ascii="宋体" w:hAnsi="宋体" w:cs="宋体"/>
                <w:color w:val="auto"/>
                <w:sz w:val="22"/>
                <w:highlight w:val="none"/>
              </w:rPr>
              <w:t xml:space="preserve"> (北京时间)</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泰顺县公共资源交易中心五楼评标室1（温州市泰顺县罗阳镇新城大道123号）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8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（一）开标准备</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（二）电子招投标开标及评审程序</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2）投标文件解密结束，开启投标文件，对资格文件进行审查，并公布资格审查情况；</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3）评审小组就价格、服务等认为需要磋商的内容进行磋商，供应商逐家回答磋商小组的提问，响应人作出最终承诺和最终报价。</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4）对商务技术文件进行评审；</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5）对报价文件进行评审；</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6）公布评审结果。</w:t>
            </w:r>
          </w:p>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政府采购</w:t>
            </w:r>
          </w:p>
          <w:p>
            <w:pPr>
              <w:adjustRightInd w:val="0"/>
              <w:jc w:val="center"/>
              <w:rPr>
                <w:rFonts w:ascii="宋体" w:hAnsi="宋体" w:cs="宋体"/>
                <w:b w:val="0"/>
                <w:bCs w:val="0"/>
                <w:color w:val="auto"/>
                <w:sz w:val="22"/>
                <w:highlight w:val="none"/>
              </w:rPr>
            </w:pPr>
            <w:r>
              <w:rPr>
                <w:rFonts w:hint="eastAsia" w:ascii="宋体"/>
                <w:color w:val="auto"/>
                <w:sz w:val="22"/>
                <w:highlight w:val="none"/>
              </w:rPr>
              <w:t>扶持政策</w:t>
            </w:r>
          </w:p>
        </w:tc>
        <w:tc>
          <w:tcPr>
            <w:tcW w:w="7619" w:type="dxa"/>
            <w:vAlign w:val="center"/>
          </w:tcPr>
          <w:p>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rPr>
              <w:t>、</w:t>
            </w:r>
            <w:r>
              <w:rPr>
                <w:rFonts w:hint="eastAsia" w:ascii="宋体" w:hAnsi="宋体" w:cs="宋体"/>
                <w:color w:val="auto"/>
                <w:sz w:val="22"/>
                <w:highlight w:val="none"/>
              </w:rPr>
              <w:t>本项目专门面向中小企业采购，不再执行价格评审优惠的扶持政策</w:t>
            </w:r>
            <w:r>
              <w:rPr>
                <w:rFonts w:hint="eastAsia" w:ascii="宋体" w:cs="Arial"/>
                <w:color w:val="auto"/>
                <w:sz w:val="22"/>
                <w:highlight w:val="none"/>
              </w:rPr>
              <w:t>。</w:t>
            </w:r>
          </w:p>
          <w:p>
            <w:pPr>
              <w:rPr>
                <w:rFonts w:ascii="宋体" w:hAnsi="宋体" w:cs="宋体"/>
                <w:b w:val="0"/>
                <w:bCs w:val="0"/>
                <w:color w:val="auto"/>
                <w:sz w:val="22"/>
                <w:highlight w:val="none"/>
              </w:rPr>
            </w:pPr>
            <w:r>
              <w:rPr>
                <w:rFonts w:ascii="宋体" w:cs="Arial"/>
                <w:color w:val="auto"/>
                <w:sz w:val="22"/>
                <w:highlight w:val="none"/>
              </w:rPr>
              <w:t>2</w:t>
            </w:r>
            <w:r>
              <w:rPr>
                <w:rFonts w:hint="eastAsia" w:ascii="宋体" w:cs="Arial"/>
                <w:color w:val="auto"/>
                <w:sz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1"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pPr>
              <w:numPr>
                <w:ilvl w:val="0"/>
                <w:numId w:val="2"/>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pPr>
              <w:numPr>
                <w:ilvl w:val="0"/>
                <w:numId w:val="3"/>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w:t>
      </w:r>
      <w:bookmarkEnd w:id="2"/>
      <w:r>
        <w:rPr>
          <w:rFonts w:hint="eastAsia" w:ascii="宋体" w:hAnsi="宋体" w:cs="宋体"/>
          <w:b/>
          <w:color w:val="auto"/>
          <w:sz w:val="32"/>
          <w:szCs w:val="32"/>
          <w:highlight w:val="none"/>
          <w:lang w:val="zh-CN"/>
        </w:rPr>
        <w:t>采购内容及要求</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default" w:ascii="宋体" w:hAnsi="宋体" w:eastAsia="宋体" w:cs="宋体"/>
          <w:color w:val="auto"/>
          <w:kern w:val="2"/>
          <w:sz w:val="22"/>
          <w:szCs w:val="22"/>
          <w:highlight w:val="none"/>
          <w:lang w:val="en-US" w:eastAsia="zh-CN" w:bidi="ar-SA"/>
        </w:rPr>
      </w:pPr>
      <w:bookmarkStart w:id="3" w:name="_Toc20421"/>
      <w:bookmarkStart w:id="4" w:name="_Toc20399"/>
      <w:bookmarkStart w:id="5" w:name="_Toc5493_WPSOffice_Level1"/>
      <w:r>
        <w:rPr>
          <w:rStyle w:val="32"/>
          <w:rFonts w:hint="eastAsia" w:ascii="宋体" w:hAnsi="宋体" w:eastAsia="宋体" w:cs="宋体"/>
          <w:color w:val="auto"/>
          <w:kern w:val="2"/>
          <w:sz w:val="22"/>
          <w:szCs w:val="22"/>
          <w:highlight w:val="none"/>
          <w:lang w:val="en-US" w:eastAsia="zh-CN" w:bidi="ar-SA"/>
        </w:rPr>
        <w:t>一、项目简介</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根据《浙江省地质勘查“十四五”规划》（浙自然资函〔2021〕37号）及《浙江省自然资源厅关于印发2024年全省自然资源工作要点及15个条线年度工作要点的通知》（浙自然资源厅函〔2024〕240 号）等文件要求，在全省土地质量地质调查成果的基础上，开展天然富硒土地资源详查，全面掌握富硒土地分布以及土地质量状况，为富硒土地数字化档案建设、天然富硒土地申报、富硒农产品源产地质量追溯体系构建提供基础资料，促进富硒土地资源的保护和开发利用，为国土空间规划，农业产业升级，助力乡村振兴和生态文明建设提供地质依据。</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二、总体目标</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在泰顺县土地质量地质调查项目的基础上，在县域范围内对连片集中面积不小于300亩的天然富硒土地开展详查，调查总面积不少于8000亩，以此掌握土壤富硒状况，划定富硒土地类别及分布范围，促进富硒土地保护与开发利用。</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三、工作任务</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泰顺县富硒土地详查</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lang w:val="en-US" w:eastAsia="zh-CN"/>
        </w:rPr>
        <w:t>任务</w:t>
      </w:r>
      <w:r>
        <w:rPr>
          <w:rFonts w:hint="eastAsia" w:ascii="宋体" w:hAnsi="宋体" w:eastAsia="宋体" w:cs="宋体"/>
          <w:color w:val="auto"/>
          <w:sz w:val="21"/>
          <w:szCs w:val="21"/>
          <w:highlight w:val="none"/>
          <w:lang w:eastAsia="zh-CN"/>
        </w:rPr>
        <w:t>主要包括以下几方面：</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开展</w:t>
      </w:r>
      <w:r>
        <w:rPr>
          <w:rFonts w:hint="eastAsia" w:ascii="宋体" w:hAnsi="宋体" w:eastAsia="宋体" w:cs="宋体"/>
          <w:color w:val="auto"/>
          <w:sz w:val="21"/>
          <w:szCs w:val="21"/>
          <w:highlight w:val="none"/>
          <w:lang w:val="en-US" w:eastAsia="zh-CN"/>
        </w:rPr>
        <w:t>泰顺县天然富硒土地环境背景调查、土壤地球化学调查</w:t>
      </w:r>
      <w:r>
        <w:rPr>
          <w:rFonts w:hint="eastAsia" w:ascii="宋体" w:hAnsi="宋体" w:eastAsia="宋体" w:cs="宋体"/>
          <w:color w:val="auto"/>
          <w:sz w:val="21"/>
          <w:szCs w:val="21"/>
          <w:highlight w:val="none"/>
          <w:lang w:eastAsia="zh-CN"/>
        </w:rPr>
        <w:t>，重点查明土壤中硒、</w:t>
      </w:r>
      <w:r>
        <w:rPr>
          <w:rFonts w:hint="eastAsia" w:ascii="宋体" w:hAnsi="宋体" w:eastAsia="宋体" w:cs="宋体"/>
          <w:color w:val="auto"/>
          <w:sz w:val="21"/>
          <w:szCs w:val="21"/>
          <w:highlight w:val="none"/>
          <w:lang w:val="en-US" w:eastAsia="zh-CN"/>
        </w:rPr>
        <w:t>锗等</w:t>
      </w:r>
      <w:r>
        <w:rPr>
          <w:rFonts w:hint="eastAsia" w:ascii="宋体" w:hAnsi="宋体" w:eastAsia="宋体" w:cs="宋体"/>
          <w:color w:val="auto"/>
          <w:sz w:val="21"/>
          <w:szCs w:val="21"/>
          <w:highlight w:val="none"/>
          <w:lang w:eastAsia="zh-CN"/>
        </w:rPr>
        <w:t>有益元素</w:t>
      </w:r>
      <w:r>
        <w:rPr>
          <w:rFonts w:hint="eastAsia" w:ascii="宋体" w:hAnsi="宋体" w:eastAsia="宋体" w:cs="宋体"/>
          <w:color w:val="auto"/>
          <w:sz w:val="21"/>
          <w:szCs w:val="21"/>
          <w:highlight w:val="none"/>
          <w:lang w:val="en-US" w:eastAsia="zh-CN"/>
        </w:rPr>
        <w:t>以及镉、铅</w:t>
      </w:r>
      <w:r>
        <w:rPr>
          <w:rFonts w:hint="eastAsia" w:ascii="宋体" w:hAnsi="宋体" w:eastAsia="宋体" w:cs="宋体"/>
          <w:color w:val="auto"/>
          <w:sz w:val="21"/>
          <w:szCs w:val="21"/>
          <w:highlight w:val="none"/>
          <w:lang w:eastAsia="zh-CN"/>
        </w:rPr>
        <w:t>等重金属元素</w:t>
      </w:r>
      <w:r>
        <w:rPr>
          <w:rFonts w:hint="eastAsia" w:ascii="宋体" w:hAnsi="宋体" w:eastAsia="宋体" w:cs="宋体"/>
          <w:color w:val="auto"/>
          <w:sz w:val="21"/>
          <w:szCs w:val="21"/>
          <w:highlight w:val="none"/>
          <w:lang w:val="en-US" w:eastAsia="zh-CN"/>
        </w:rPr>
        <w:t>在调查区的空间</w:t>
      </w:r>
      <w:r>
        <w:rPr>
          <w:rFonts w:hint="eastAsia" w:ascii="宋体" w:hAnsi="宋体" w:eastAsia="宋体" w:cs="宋体"/>
          <w:color w:val="auto"/>
          <w:sz w:val="21"/>
          <w:szCs w:val="21"/>
          <w:highlight w:val="none"/>
          <w:lang w:eastAsia="zh-CN"/>
        </w:rPr>
        <w:t>分布、面积、成因。</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开展土地质量综合调查研究，包括</w:t>
      </w:r>
      <w:r>
        <w:rPr>
          <w:rFonts w:hint="eastAsia" w:ascii="宋体" w:hAnsi="宋体" w:eastAsia="宋体" w:cs="宋体"/>
          <w:color w:val="auto"/>
          <w:sz w:val="21"/>
          <w:szCs w:val="21"/>
          <w:highlight w:val="none"/>
          <w:lang w:val="en-US" w:eastAsia="zh-CN"/>
        </w:rPr>
        <w:t>土壤垂向剖面、灌溉水、农产品</w:t>
      </w:r>
      <w:r>
        <w:rPr>
          <w:rFonts w:hint="eastAsia" w:ascii="宋体" w:hAnsi="宋体" w:eastAsia="宋体" w:cs="宋体"/>
          <w:color w:val="auto"/>
          <w:sz w:val="21"/>
          <w:szCs w:val="21"/>
          <w:highlight w:val="none"/>
          <w:lang w:eastAsia="zh-CN"/>
        </w:rPr>
        <w:t>等方面综合调查研究。</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提出富硒土地资源科学保护和合理利用的建议。</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4、完成泰顺县天然富硒土地调查数据库建设。</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四、主要实物工作量</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1、土地自然性状调查，</w:t>
      </w:r>
      <w:r>
        <w:rPr>
          <w:rFonts w:hint="eastAsia" w:ascii="宋体" w:hAnsi="宋体" w:eastAsia="宋体" w:cs="宋体"/>
          <w:color w:val="auto"/>
          <w:sz w:val="21"/>
          <w:szCs w:val="21"/>
          <w:highlight w:val="none"/>
          <w:lang w:val="en-US" w:eastAsia="zh-CN"/>
        </w:rPr>
        <w:t>面积0.8万亩</w:t>
      </w:r>
      <w:r>
        <w:rPr>
          <w:rFonts w:hint="eastAsia" w:ascii="宋体" w:hAnsi="宋体" w:eastAsia="宋体" w:cs="宋体"/>
          <w:color w:val="auto"/>
          <w:sz w:val="21"/>
          <w:szCs w:val="21"/>
          <w:highlight w:val="none"/>
          <w:lang w:eastAsia="zh-CN"/>
        </w:rPr>
        <w:t>；</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农业生产条件及周边环境条件调查，</w:t>
      </w:r>
      <w:r>
        <w:rPr>
          <w:rFonts w:hint="eastAsia" w:ascii="宋体" w:hAnsi="宋体" w:eastAsia="宋体" w:cs="宋体"/>
          <w:color w:val="auto"/>
          <w:sz w:val="21"/>
          <w:szCs w:val="21"/>
          <w:highlight w:val="none"/>
          <w:lang w:val="en-US" w:eastAsia="zh-CN"/>
        </w:rPr>
        <w:t>面积0.8万亩</w:t>
      </w:r>
      <w:r>
        <w:rPr>
          <w:rFonts w:hint="eastAsia" w:ascii="宋体" w:hAnsi="宋体" w:eastAsia="宋体" w:cs="宋体"/>
          <w:color w:val="auto"/>
          <w:sz w:val="21"/>
          <w:szCs w:val="21"/>
          <w:highlight w:val="none"/>
          <w:lang w:eastAsia="zh-CN"/>
        </w:rPr>
        <w:t>；</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、土壤地球化学调查，</w:t>
      </w:r>
      <w:r>
        <w:rPr>
          <w:rFonts w:hint="eastAsia" w:ascii="宋体" w:hAnsi="宋体" w:eastAsia="宋体" w:cs="宋体"/>
          <w:color w:val="auto"/>
          <w:sz w:val="21"/>
          <w:szCs w:val="21"/>
          <w:highlight w:val="none"/>
          <w:lang w:val="en-US" w:eastAsia="zh-CN"/>
        </w:rPr>
        <w:t>面积0.8万亩；</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4、灌溉水调查，面积0.8万亩</w:t>
      </w:r>
      <w:r>
        <w:rPr>
          <w:rFonts w:hint="eastAsia" w:ascii="宋体" w:hAnsi="宋体" w:eastAsia="宋体" w:cs="宋体"/>
          <w:color w:val="auto"/>
          <w:sz w:val="21"/>
          <w:szCs w:val="21"/>
          <w:highlight w:val="none"/>
          <w:lang w:eastAsia="zh-CN"/>
        </w:rPr>
        <w:t>；</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农产品</w:t>
      </w:r>
      <w:r>
        <w:rPr>
          <w:rFonts w:hint="eastAsia" w:ascii="宋体" w:hAnsi="宋体" w:eastAsia="宋体" w:cs="宋体"/>
          <w:color w:val="auto"/>
          <w:sz w:val="21"/>
          <w:szCs w:val="21"/>
          <w:highlight w:val="none"/>
          <w:lang w:val="en-US" w:eastAsia="zh-CN"/>
        </w:rPr>
        <w:t>品质及</w:t>
      </w:r>
      <w:r>
        <w:rPr>
          <w:rFonts w:hint="eastAsia" w:ascii="宋体" w:hAnsi="宋体" w:eastAsia="宋体" w:cs="宋体"/>
          <w:color w:val="auto"/>
          <w:sz w:val="21"/>
          <w:szCs w:val="21"/>
          <w:highlight w:val="none"/>
          <w:lang w:eastAsia="zh-CN"/>
        </w:rPr>
        <w:t>安全性调查，</w:t>
      </w:r>
      <w:r>
        <w:rPr>
          <w:rFonts w:hint="eastAsia" w:ascii="宋体" w:hAnsi="宋体" w:eastAsia="宋体" w:cs="宋体"/>
          <w:color w:val="auto"/>
          <w:sz w:val="21"/>
          <w:szCs w:val="21"/>
          <w:highlight w:val="none"/>
          <w:lang w:val="en-US" w:eastAsia="zh-CN"/>
        </w:rPr>
        <w:t>面积0.8万亩</w:t>
      </w:r>
      <w:r>
        <w:rPr>
          <w:rFonts w:hint="eastAsia" w:ascii="宋体" w:hAnsi="宋体" w:eastAsia="宋体" w:cs="宋体"/>
          <w:color w:val="auto"/>
          <w:sz w:val="21"/>
          <w:szCs w:val="21"/>
          <w:highlight w:val="none"/>
          <w:lang w:eastAsia="zh-CN"/>
        </w:rPr>
        <w:t>；</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五、工作依据</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GB 2762 食品安全国家标准 食品中污染物限量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GB 15618 土壤环境质量 农用地土壤污染风险管控标准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GB/T 21010 土地利用现状分类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GB/T 22499 富硒稻谷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391 绿色食品产地环境质量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5010 无公害农产品 种植业产地环境条件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396 农用水源环境质量监测技术规范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DZ/T 0130 地质矿产实验室测试质量管理规范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DZ/T 0258 多目标区域地球化学调查规范（1:250 000）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DZ/T 0289 区域生态地球化学评价规范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DZ/T 0295 土地质量地球化学评价规范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DZ/T 0380 天然富硒土地划定与标识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GH/T 1135 富硒农产品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600 富硒茶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3115 富硒大蒜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NY/T 3116 富硒马铃薯 </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DB33/T 2224—2019 土地质量地质调查规范</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六、工作时间</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2024年6月-2024年12月</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七、预期成果</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泰顺县富硒</w:t>
      </w:r>
      <w:r>
        <w:rPr>
          <w:rFonts w:hint="eastAsia" w:ascii="宋体" w:hAnsi="宋体" w:eastAsia="宋体" w:cs="宋体"/>
          <w:color w:val="auto"/>
          <w:sz w:val="21"/>
          <w:szCs w:val="21"/>
          <w:highlight w:val="none"/>
          <w:lang w:eastAsia="zh-CN"/>
        </w:rPr>
        <w:t>土地</w:t>
      </w:r>
      <w:r>
        <w:rPr>
          <w:rFonts w:hint="eastAsia" w:ascii="宋体" w:hAnsi="宋体" w:eastAsia="宋体" w:cs="宋体"/>
          <w:color w:val="auto"/>
          <w:sz w:val="21"/>
          <w:szCs w:val="21"/>
          <w:highlight w:val="none"/>
          <w:lang w:val="en-US" w:eastAsia="zh-CN"/>
        </w:rPr>
        <w:t>详查</w:t>
      </w:r>
      <w:r>
        <w:rPr>
          <w:rFonts w:hint="eastAsia" w:ascii="宋体" w:hAnsi="宋体" w:eastAsia="宋体" w:cs="宋体"/>
          <w:color w:val="auto"/>
          <w:sz w:val="21"/>
          <w:szCs w:val="21"/>
          <w:highlight w:val="none"/>
          <w:lang w:eastAsia="zh-CN"/>
        </w:rPr>
        <w:t>报告；</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泰顺县富硒</w:t>
      </w:r>
      <w:r>
        <w:rPr>
          <w:rFonts w:hint="eastAsia" w:ascii="宋体" w:hAnsi="宋体" w:eastAsia="宋体" w:cs="宋体"/>
          <w:color w:val="auto"/>
          <w:sz w:val="21"/>
          <w:szCs w:val="21"/>
          <w:highlight w:val="none"/>
          <w:lang w:eastAsia="zh-CN"/>
        </w:rPr>
        <w:t>土地</w:t>
      </w:r>
      <w:r>
        <w:rPr>
          <w:rFonts w:hint="eastAsia" w:ascii="宋体" w:hAnsi="宋体" w:eastAsia="宋体" w:cs="宋体"/>
          <w:color w:val="auto"/>
          <w:sz w:val="21"/>
          <w:szCs w:val="21"/>
          <w:highlight w:val="none"/>
          <w:lang w:val="en-US" w:eastAsia="zh-CN"/>
        </w:rPr>
        <w:t>详查</w:t>
      </w:r>
      <w:r>
        <w:rPr>
          <w:rFonts w:hint="eastAsia" w:ascii="宋体" w:hAnsi="宋体" w:eastAsia="宋体" w:cs="宋体"/>
          <w:color w:val="auto"/>
          <w:sz w:val="21"/>
          <w:szCs w:val="21"/>
          <w:highlight w:val="none"/>
          <w:lang w:eastAsia="zh-CN"/>
        </w:rPr>
        <w:t>数据库；</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八、服务要求</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1、供应商在履行合同义务期间，应遵守国家有关法律法规、维护委托单位的合法权益。</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2、供应商应组建能够满足本项目服务需要的项目小组，按照工作范围和内容完成项目工作，并按约定向委托单位汇报工作进展。</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3、投标供应商应在投标文件中明确投入本项目服务的人员基本配备。</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4、投标供应商应在投标文件中明确投入本项目使用的工具器具仪器设备等详细数量及现况。</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5、供应商应自行承担项目实施过程中安全生产责任，采购人及使用单位在任何情况下均不承担因此产生的任何法律责任和经济责任。</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、后续配合要求：在项目成果通过验收并实施过程中，按照项目实际需求，配合采购人进一步完善成果细节，以满足建设要求。</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、投标供应商应在相关领域掌握丰富的信息资源和专家资源，对农用地利用方向发展有深入研究，拥有相关专业技术团队，有较强研究基础，熟悉本区情况。</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、项目后续配合服务期，以项目成果通过验收为止。</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、投标供应商在投标文件中应提供项目实施方案并明确项目的详细进度和各阶段工作计划以及人员安排。</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九、验收</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供应商已按合同规定提供了符合招标文件规定的要求的货物及服务，并经采购人验收合格，所有的技术资料和清单已向采购人提交并被接受，</w:t>
      </w:r>
      <w:r>
        <w:rPr>
          <w:rFonts w:hint="eastAsia" w:ascii="宋体" w:hAnsi="宋体" w:eastAsia="宋体" w:cs="宋体"/>
          <w:color w:val="auto"/>
          <w:sz w:val="21"/>
          <w:szCs w:val="21"/>
          <w:highlight w:val="none"/>
          <w:lang w:val="en-US" w:eastAsia="zh-CN"/>
        </w:rPr>
        <w:t>视为合格</w:t>
      </w:r>
      <w:r>
        <w:rPr>
          <w:rFonts w:hint="eastAsia" w:ascii="宋体" w:hAnsi="宋体" w:eastAsia="宋体" w:cs="宋体"/>
          <w:color w:val="auto"/>
          <w:sz w:val="21"/>
          <w:szCs w:val="21"/>
          <w:highlight w:val="none"/>
          <w:lang w:eastAsia="zh-CN"/>
        </w:rPr>
        <w:t>；若因成交供应商质量问题等导致验收不合格，成交供应商应及时予以处理，直至验收合格，其间发生的一切费用由成交供应商承担，采购人保留向成交供应商索赔的权利。</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default"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十、项目人员要求</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Style w:val="32"/>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lang w:val="en-US" w:eastAsia="zh-CN"/>
        </w:rPr>
        <w:t>要求供应商</w:t>
      </w:r>
      <w:r>
        <w:rPr>
          <w:rFonts w:hint="eastAsia" w:ascii="宋体" w:hAnsi="宋体" w:eastAsia="宋体" w:cs="宋体"/>
          <w:color w:val="auto"/>
          <w:sz w:val="21"/>
          <w:szCs w:val="21"/>
          <w:highlight w:val="none"/>
          <w:lang w:eastAsia="zh-CN"/>
        </w:rPr>
        <w:t>投入</w:t>
      </w:r>
      <w:r>
        <w:rPr>
          <w:rFonts w:hint="eastAsia" w:ascii="宋体" w:hAnsi="宋体" w:eastAsia="宋体" w:cs="宋体"/>
          <w:color w:val="auto"/>
          <w:sz w:val="21"/>
          <w:szCs w:val="21"/>
          <w:highlight w:val="none"/>
          <w:lang w:val="en-US" w:eastAsia="zh-CN"/>
        </w:rPr>
        <w:t>技术员</w:t>
      </w:r>
      <w:r>
        <w:rPr>
          <w:rFonts w:hint="eastAsia" w:ascii="宋体" w:hAnsi="宋体" w:eastAsia="宋体" w:cs="宋体"/>
          <w:color w:val="auto"/>
          <w:sz w:val="21"/>
          <w:szCs w:val="21"/>
          <w:highlight w:val="none"/>
          <w:lang w:eastAsia="zh-CN"/>
        </w:rPr>
        <w:t>数</w:t>
      </w:r>
      <w:r>
        <w:rPr>
          <w:rFonts w:hint="eastAsia" w:ascii="宋体" w:hAnsi="宋体" w:eastAsia="宋体" w:cs="宋体"/>
          <w:color w:val="auto"/>
          <w:sz w:val="21"/>
          <w:szCs w:val="21"/>
          <w:highlight w:val="none"/>
          <w:lang w:val="en-US" w:eastAsia="zh-CN"/>
        </w:rPr>
        <w:t>量不少于8</w:t>
      </w:r>
      <w:r>
        <w:rPr>
          <w:rFonts w:hint="eastAsia" w:ascii="宋体" w:hAnsi="宋体" w:eastAsia="宋体" w:cs="宋体"/>
          <w:color w:val="auto"/>
          <w:sz w:val="21"/>
          <w:szCs w:val="21"/>
          <w:highlight w:val="none"/>
          <w:lang w:eastAsia="zh-CN"/>
        </w:rPr>
        <w:t>人，项目组成员要求技术过硬、基础扎实、经验丰富，且多方面专业人才齐全配备，</w:t>
      </w:r>
      <w:r>
        <w:rPr>
          <w:rFonts w:hint="eastAsia" w:ascii="宋体" w:hAnsi="宋体" w:eastAsia="宋体" w:cs="宋体"/>
          <w:color w:val="auto"/>
          <w:sz w:val="21"/>
          <w:szCs w:val="21"/>
          <w:highlight w:val="none"/>
          <w:lang w:val="en-US" w:eastAsia="zh-CN"/>
        </w:rPr>
        <w:t>保障项目顺利实施</w:t>
      </w:r>
      <w:r>
        <w:rPr>
          <w:rFonts w:hint="eastAsia" w:ascii="宋体" w:hAnsi="宋体" w:eastAsia="宋体" w:cs="宋体"/>
          <w:color w:val="auto"/>
          <w:sz w:val="21"/>
          <w:szCs w:val="21"/>
          <w:highlight w:val="none"/>
          <w:lang w:eastAsia="zh-CN"/>
        </w:rPr>
        <w:t>。</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十一、付款方式与结算：</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签订合同后7个工作日内支付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0%合同款（需提供等值的预付款保函）</w:t>
      </w:r>
      <w:r>
        <w:rPr>
          <w:rFonts w:hint="eastAsia" w:ascii="宋体" w:hAnsi="宋体" w:eastAsia="宋体" w:cs="宋体"/>
          <w:color w:val="auto"/>
          <w:sz w:val="21"/>
          <w:szCs w:val="21"/>
          <w:highlight w:val="none"/>
          <w:lang w:val="en-GB" w:eastAsia="zh-CN"/>
        </w:rPr>
        <w:t>，项目验收通过且收到供应商提交正式成果后，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GB" w:eastAsia="zh-CN"/>
        </w:rPr>
        <w:t>支付剩余合同金额的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GB" w:eastAsia="zh-CN"/>
        </w:rPr>
        <w:t>0%。</w:t>
      </w:r>
    </w:p>
    <w:p>
      <w:pPr>
        <w:pStyle w:val="26"/>
        <w:keepNext w:val="0"/>
        <w:keepLines w:val="0"/>
        <w:pageBreakBefore w:val="0"/>
        <w:kinsoku/>
        <w:wordWrap/>
        <w:overflowPunct/>
        <w:topLinePunct w:val="0"/>
        <w:bidi w:val="0"/>
        <w:snapToGrid/>
        <w:spacing w:before="75" w:beforeAutospacing="0" w:after="75" w:afterAutospacing="0" w:line="380" w:lineRule="exact"/>
        <w:rPr>
          <w:rStyle w:val="32"/>
          <w:rFonts w:hint="eastAsia" w:ascii="宋体" w:hAnsi="宋体" w:eastAsia="宋体" w:cs="宋体"/>
          <w:color w:val="auto"/>
          <w:kern w:val="2"/>
          <w:sz w:val="22"/>
          <w:szCs w:val="22"/>
          <w:highlight w:val="none"/>
          <w:lang w:val="en-US" w:eastAsia="zh-CN" w:bidi="ar-SA"/>
        </w:rPr>
      </w:pPr>
      <w:r>
        <w:rPr>
          <w:rStyle w:val="32"/>
          <w:rFonts w:hint="eastAsia" w:ascii="宋体" w:hAnsi="宋体" w:eastAsia="宋体" w:cs="宋体"/>
          <w:color w:val="auto"/>
          <w:kern w:val="2"/>
          <w:sz w:val="22"/>
          <w:szCs w:val="22"/>
          <w:highlight w:val="none"/>
          <w:lang w:val="en-US" w:eastAsia="zh-CN" w:bidi="ar-SA"/>
        </w:rPr>
        <w:t>十二、商务条款</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1、报价要求</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报价是履行合同的最终价格，应包括调研费用、规划编制费、交通、住宿、餐饮、税费、利润、专家评审费、人员工资补贴、评审认定、备案、研究报告与规划报告文本复制及招标代理费、服务质量保证期工作费用及采购人安排的项目其他相关工作的费用等所有涉及本项目所产生的一切费用。项目实施中不能调整变动，其市场风险由供应商承担，供应商在投标报价时应充分考虑，凡供应商漏项、漏报均被视为已包含在投标报价中。</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（2）按国家规定由供应商缴纳的各种税费已包含在投标总价内，由供应商自行向税务机关缴纳。</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2、质量保证及后续服务</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（1）服务质量保证期1年。</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（2）服务质量保证期内发生需服务事项，供应商应负责免费提供后续服务，并提供相应承诺书。</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（3）供应商负责免费对项目成果错误进行及时更正。</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（4）如在使用过程中发生问题，供应商在接到采购人通知后在24小时内到达现场。</w:t>
      </w:r>
    </w:p>
    <w:p>
      <w:pPr>
        <w:pStyle w:val="26"/>
        <w:keepNext w:val="0"/>
        <w:keepLines w:val="0"/>
        <w:pageBreakBefore w:val="0"/>
        <w:kinsoku/>
        <w:wordWrap/>
        <w:overflowPunct/>
        <w:topLinePunct w:val="0"/>
        <w:bidi w:val="0"/>
        <w:snapToGrid/>
        <w:spacing w:before="75" w:beforeAutospacing="0" w:after="75" w:afterAutospacing="0" w:line="38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（5）在服务质量保证期内，供应商应对出现的质量及安全问题负责处理解决并承担一切费用。</w:t>
      </w:r>
    </w:p>
    <w:bookmarkEnd w:id="3"/>
    <w:bookmarkEnd w:id="4"/>
    <w:p>
      <w:pPr>
        <w:autoSpaceDE w:val="0"/>
        <w:autoSpaceDN w:val="0"/>
        <w:adjustRightInd w:val="0"/>
        <w:spacing w:line="400" w:lineRule="exact"/>
        <w:ind w:firstLine="440" w:firstLineChars="200"/>
        <w:textAlignment w:val="bottom"/>
        <w:rPr>
          <w:rFonts w:hint="eastAsia" w:ascii="宋体" w:hAnsi="宋体" w:cs="宋体"/>
          <w:color w:val="auto"/>
          <w:sz w:val="22"/>
          <w:highlight w:val="none"/>
        </w:rPr>
        <w:sectPr>
          <w:footerReference r:id="rId9" w:type="first"/>
          <w:headerReference r:id="rId7" w:type="default"/>
          <w:footerReference r:id="rId8" w:type="default"/>
          <w:pgSz w:w="11907" w:h="16840"/>
          <w:pgMar w:top="1440" w:right="1106" w:bottom="1440" w:left="1157" w:header="680" w:footer="567" w:gutter="0"/>
          <w:pgNumType w:start="1"/>
          <w:cols w:space="720" w:num="1"/>
          <w:titlePg/>
          <w:docGrid w:linePitch="312" w:charSpace="0"/>
        </w:sect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5"/>
    </w:p>
    <w:p>
      <w:pPr>
        <w:tabs>
          <w:tab w:val="left" w:pos="1069"/>
          <w:tab w:val="left" w:pos="2352"/>
        </w:tabs>
        <w:autoSpaceDE w:val="0"/>
        <w:autoSpaceDN w:val="0"/>
        <w:adjustRightInd w:val="0"/>
        <w:spacing w:line="450" w:lineRule="atLeast"/>
        <w:ind w:firstLine="442" w:firstLineChars="200"/>
        <w:rPr>
          <w:rFonts w:ascii="宋体" w:hAnsi="宋体" w:cs="宋体"/>
          <w:b/>
          <w:color w:val="auto"/>
          <w:sz w:val="22"/>
          <w:highlight w:val="none"/>
          <w:lang w:val="zh-CN"/>
        </w:rPr>
      </w:pPr>
      <w:bookmarkStart w:id="6" w:name="_Toc9317_WPSOffice_Level2"/>
      <w:r>
        <w:rPr>
          <w:rFonts w:hint="eastAsia" w:ascii="宋体" w:hAnsi="宋体" w:cs="宋体"/>
          <w:b/>
          <w:color w:val="auto"/>
          <w:sz w:val="22"/>
          <w:highlight w:val="none"/>
          <w:lang w:val="zh-CN"/>
        </w:rPr>
        <w:t>一、说明</w:t>
      </w:r>
      <w:bookmarkEnd w:id="6"/>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4.安全管理</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pPr>
        <w:tabs>
          <w:tab w:val="left" w:pos="1069"/>
          <w:tab w:val="left" w:pos="2352"/>
        </w:tabs>
        <w:autoSpaceDE w:val="0"/>
        <w:autoSpaceDN w:val="0"/>
        <w:adjustRightInd w:val="0"/>
        <w:spacing w:line="400" w:lineRule="atLeast"/>
        <w:ind w:firstLine="442"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pPr>
        <w:widowControl/>
        <w:tabs>
          <w:tab w:val="left" w:pos="1069"/>
          <w:tab w:val="left" w:pos="2352"/>
        </w:tabs>
        <w:snapToGrid w:val="0"/>
        <w:spacing w:line="400" w:lineRule="atLeas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pPr>
        <w:widowControl/>
        <w:tabs>
          <w:tab w:val="left" w:pos="1069"/>
          <w:tab w:val="left" w:pos="2352"/>
        </w:tabs>
        <w:snapToGrid w:val="0"/>
        <w:spacing w:line="38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7"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7"/>
    </w:p>
    <w:p>
      <w:pPr>
        <w:tabs>
          <w:tab w:val="left" w:pos="1069"/>
          <w:tab w:val="left" w:pos="2352"/>
        </w:tabs>
        <w:spacing w:line="400" w:lineRule="atLeast"/>
        <w:ind w:firstLine="440" w:firstLineChars="200"/>
        <w:rPr>
          <w:rFonts w:ascii="宋体" w:hAnsi="宋体" w:cs="宋体"/>
          <w:color w:val="auto"/>
          <w:sz w:val="22"/>
          <w:highlight w:val="none"/>
        </w:rPr>
      </w:pPr>
      <w:bookmarkStart w:id="8" w:name="_Toc24610_WPSOffice_Level3"/>
      <w:r>
        <w:rPr>
          <w:rFonts w:hint="eastAsia" w:ascii="宋体" w:hAnsi="宋体" w:cs="宋体"/>
          <w:color w:val="auto"/>
          <w:sz w:val="22"/>
          <w:highlight w:val="none"/>
          <w:lang w:val="zh-CN"/>
        </w:rPr>
        <w:t>1.竞争性磋商文件</w:t>
      </w:r>
      <w:bookmarkEnd w:id="8"/>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pPr>
        <w:tabs>
          <w:tab w:val="left" w:pos="1069"/>
          <w:tab w:val="left" w:pos="2352"/>
        </w:tabs>
        <w:autoSpaceDE w:val="0"/>
        <w:autoSpaceDN w:val="0"/>
        <w:adjustRightInd w:val="0"/>
        <w:spacing w:line="400" w:lineRule="atLeast"/>
        <w:ind w:firstLine="440"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pPr>
        <w:tabs>
          <w:tab w:val="left" w:pos="1069"/>
          <w:tab w:val="left" w:pos="2352"/>
        </w:tabs>
        <w:autoSpaceDE w:val="0"/>
        <w:autoSpaceDN w:val="0"/>
        <w:adjustRightInd w:val="0"/>
        <w:spacing w:line="400" w:lineRule="atLeast"/>
        <w:ind w:firstLine="660" w:firstLineChars="300"/>
        <w:rPr>
          <w:rFonts w:ascii="宋体" w:hAnsi="宋体" w:cs="宋体"/>
          <w:color w:val="auto"/>
          <w:sz w:val="22"/>
          <w:highlight w:val="none"/>
          <w:lang w:val="zh-CN"/>
        </w:rPr>
      </w:pPr>
      <w:bookmarkStart w:id="9" w:name="_Toc9317_WPSOffice_Level3"/>
      <w:r>
        <w:rPr>
          <w:rFonts w:hint="eastAsia" w:ascii="宋体" w:hAnsi="宋体" w:cs="宋体"/>
          <w:color w:val="auto"/>
          <w:sz w:val="22"/>
          <w:highlight w:val="none"/>
          <w:lang w:val="zh-CN"/>
        </w:rPr>
        <w:t>2.竞争性磋商文件的澄清</w:t>
      </w:r>
      <w:bookmarkEnd w:id="9"/>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bookmarkStart w:id="10" w:name="_Toc6226_WPSOffice_Level3"/>
      <w:r>
        <w:rPr>
          <w:rFonts w:hint="eastAsia" w:ascii="宋体" w:hAnsi="宋体" w:cs="宋体"/>
          <w:color w:val="auto"/>
          <w:sz w:val="22"/>
          <w:highlight w:val="none"/>
          <w:lang w:val="zh-CN"/>
        </w:rPr>
        <w:t>3.竞争性磋商文件的修改</w:t>
      </w:r>
      <w:bookmarkEnd w:id="10"/>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tabs>
          <w:tab w:val="left" w:pos="1069"/>
          <w:tab w:val="left" w:pos="2352"/>
        </w:tabs>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11"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1"/>
      <w:r>
        <w:rPr>
          <w:rFonts w:hint="eastAsia" w:ascii="宋体" w:hAnsi="宋体" w:cs="宋体"/>
          <w:b/>
          <w:color w:val="auto"/>
          <w:sz w:val="22"/>
          <w:highlight w:val="none"/>
          <w:lang w:val="zh-CN"/>
        </w:rPr>
        <w:t>投标（响应）文件</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pPr>
        <w:tabs>
          <w:tab w:val="left" w:pos="1069"/>
          <w:tab w:val="left" w:pos="2352"/>
        </w:tabs>
        <w:autoSpaceDE w:val="0"/>
        <w:autoSpaceDN w:val="0"/>
        <w:adjustRightInd w:val="0"/>
        <w:snapToGri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pPr>
        <w:tabs>
          <w:tab w:val="left" w:pos="1069"/>
          <w:tab w:val="left" w:pos="2352"/>
        </w:tabs>
        <w:autoSpaceDE w:val="0"/>
        <w:autoSpaceDN w:val="0"/>
        <w:adjustRightInd w:val="0"/>
        <w:snapToGrid w:val="0"/>
        <w:spacing w:line="400" w:lineRule="atLeast"/>
        <w:ind w:firstLine="442"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pPr>
        <w:tabs>
          <w:tab w:val="left" w:pos="1069"/>
          <w:tab w:val="left" w:pos="2352"/>
        </w:tabs>
        <w:autoSpaceDE w:val="0"/>
        <w:autoSpaceDN w:val="0"/>
        <w:adjustRightInd w:val="0"/>
        <w:snapToGri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1"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2" w:name="_Toc132122113"/>
            <w:bookmarkStart w:id="13" w:name="_Toc132122410"/>
            <w:r>
              <w:rPr>
                <w:rFonts w:hint="eastAsia" w:ascii="宋体" w:hAnsi="宋体" w:cs="宋体"/>
                <w:color w:val="auto"/>
                <w:sz w:val="22"/>
                <w:highlight w:val="none"/>
                <w:lang w:val="zh-CN"/>
              </w:rPr>
              <w:t>序号</w:t>
            </w:r>
          </w:p>
        </w:tc>
        <w:tc>
          <w:tcPr>
            <w:tcW w:w="4588"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88" w:type="pct"/>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tcPr>
          <w:p>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88" w:type="pct"/>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2"/>
      <w:bookmarkEnd w:id="13"/>
    </w:tbl>
    <w:p>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top"/>
          </w:tcPr>
          <w:p>
            <w:pPr>
              <w:tabs>
                <w:tab w:val="left" w:pos="1069"/>
                <w:tab w:val="left" w:pos="2352"/>
              </w:tabs>
              <w:autoSpaceDE w:val="0"/>
              <w:autoSpaceDN w:val="0"/>
              <w:adjustRightInd w:val="0"/>
              <w:snapToGrid w:val="0"/>
              <w:spacing w:line="430" w:lineRule="atLeast"/>
              <w:rPr>
                <w:rFonts w:ascii="宋体" w:hAnsi="宋体" w:cs="宋体"/>
                <w:color w:val="auto"/>
                <w:sz w:val="22"/>
                <w:szCs w:val="22"/>
                <w:highlight w:val="none"/>
                <w:lang w:val="zh-CN"/>
              </w:rPr>
            </w:pPr>
            <w:r>
              <w:rPr>
                <w:rFonts w:hint="eastAsia" w:ascii="宋体" w:hAnsi="宋体" w:cs="宋体"/>
                <w:color w:val="auto"/>
                <w:sz w:val="22"/>
                <w:szCs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top"/>
          </w:tcPr>
          <w:p>
            <w:pPr>
              <w:tabs>
                <w:tab w:val="left" w:pos="1069"/>
                <w:tab w:val="left" w:pos="2352"/>
              </w:tabs>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宋体"/>
                <w:color w:val="auto"/>
                <w:sz w:val="22"/>
                <w:szCs w:val="22"/>
                <w:highlight w:val="none"/>
              </w:rPr>
              <w:t>具有良好的商业信誉和健全的财务会计制度的承诺函</w:t>
            </w:r>
            <w:r>
              <w:rPr>
                <w:rStyle w:val="33"/>
                <w:rFonts w:hint="eastAsia" w:cs="宋体"/>
                <w:color w:val="auto"/>
                <w:sz w:val="22"/>
                <w:szCs w:val="22"/>
                <w:highlight w:val="none"/>
                <w:u w:val="none"/>
              </w:rPr>
              <w:t>（附件</w:t>
            </w:r>
            <w:r>
              <w:rPr>
                <w:rStyle w:val="33"/>
                <w:rFonts w:hint="eastAsia" w:cs="宋体"/>
                <w:color w:val="auto"/>
                <w:sz w:val="22"/>
                <w:szCs w:val="22"/>
                <w:highlight w:val="none"/>
                <w:u w:val="none"/>
                <w:lang w:val="en-US" w:eastAsia="zh-CN"/>
              </w:rPr>
              <w:t>三</w:t>
            </w:r>
            <w:r>
              <w:rPr>
                <w:rStyle w:val="33"/>
                <w:rFonts w:hint="eastAsia" w:cs="宋体"/>
                <w:color w:val="auto"/>
                <w:sz w:val="22"/>
                <w:szCs w:val="2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top"/>
          </w:tcPr>
          <w:p>
            <w:pPr>
              <w:tabs>
                <w:tab w:val="left" w:pos="1069"/>
                <w:tab w:val="left" w:pos="2352"/>
              </w:tabs>
              <w:autoSpaceDE w:val="0"/>
              <w:autoSpaceDN w:val="0"/>
              <w:adjustRightInd w:val="0"/>
              <w:snapToGrid w:val="0"/>
              <w:spacing w:line="430" w:lineRule="atLeast"/>
              <w:rPr>
                <w:rFonts w:hint="eastAsia" w:ascii="宋体" w:hAnsi="宋体" w:cs="Arial"/>
                <w:color w:val="auto"/>
                <w:sz w:val="22"/>
                <w:szCs w:val="22"/>
                <w:highlight w:val="none"/>
              </w:rPr>
            </w:pPr>
            <w:r>
              <w:rPr>
                <w:rFonts w:hint="eastAsia" w:ascii="宋体" w:hAnsi="宋体" w:cs="宋体"/>
                <w:color w:val="auto"/>
                <w:sz w:val="22"/>
                <w:szCs w:val="22"/>
                <w:highlight w:val="none"/>
              </w:rPr>
              <w:t>具有履行合同所必需的设备和专业技术能力的承诺函（附件</w:t>
            </w:r>
            <w:r>
              <w:rPr>
                <w:rFonts w:hint="eastAsia" w:ascii="宋体" w:hAnsi="宋体" w:cs="宋体"/>
                <w:color w:val="auto"/>
                <w:sz w:val="22"/>
                <w:szCs w:val="22"/>
                <w:highlight w:val="none"/>
                <w:lang w:val="en-US" w:eastAsia="zh-CN"/>
              </w:rPr>
              <w:t>四</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top"/>
          </w:tcPr>
          <w:p>
            <w:pPr>
              <w:tabs>
                <w:tab w:val="left" w:pos="1069"/>
                <w:tab w:val="left" w:pos="2352"/>
              </w:tabs>
              <w:autoSpaceDE w:val="0"/>
              <w:autoSpaceDN w:val="0"/>
              <w:adjustRightInd w:val="0"/>
              <w:snapToGrid w:val="0"/>
              <w:spacing w:line="430" w:lineRule="atLeast"/>
              <w:rPr>
                <w:rFonts w:hint="eastAsia" w:ascii="宋体" w:hAnsi="宋体" w:cs="Arial"/>
                <w:color w:val="auto"/>
                <w:sz w:val="22"/>
                <w:szCs w:val="22"/>
                <w:highlight w:val="none"/>
              </w:rPr>
            </w:pPr>
            <w:r>
              <w:rPr>
                <w:rFonts w:hint="eastAsia" w:ascii="宋体" w:hAnsi="宋体" w:cs="宋体"/>
                <w:color w:val="auto"/>
                <w:sz w:val="22"/>
                <w:szCs w:val="22"/>
                <w:highlight w:val="none"/>
                <w:lang w:eastAsia="zh-CN"/>
              </w:rPr>
              <w:t>有依法缴纳税收和社会保障资金的良好记录的承诺函</w:t>
            </w:r>
            <w:r>
              <w:rPr>
                <w:rStyle w:val="33"/>
                <w:rFonts w:hint="eastAsia" w:cs="宋体"/>
                <w:color w:val="auto"/>
                <w:sz w:val="22"/>
                <w:szCs w:val="22"/>
                <w:highlight w:val="none"/>
                <w:u w:val="none"/>
              </w:rPr>
              <w:t>（附件</w:t>
            </w:r>
            <w:r>
              <w:rPr>
                <w:rStyle w:val="33"/>
                <w:rFonts w:hint="eastAsia" w:cs="宋体"/>
                <w:color w:val="auto"/>
                <w:sz w:val="22"/>
                <w:szCs w:val="22"/>
                <w:highlight w:val="none"/>
                <w:u w:val="none"/>
                <w:lang w:val="en-US" w:eastAsia="zh-CN"/>
              </w:rPr>
              <w:t>五</w:t>
            </w:r>
            <w:r>
              <w:rPr>
                <w:rStyle w:val="33"/>
                <w:rFonts w:hint="eastAsia" w:cs="宋体"/>
                <w:color w:val="auto"/>
                <w:sz w:val="22"/>
                <w:szCs w:val="2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top"/>
          </w:tcPr>
          <w:p>
            <w:pPr>
              <w:tabs>
                <w:tab w:val="left" w:pos="1069"/>
                <w:tab w:val="left" w:pos="2352"/>
              </w:tabs>
              <w:autoSpaceDE w:val="0"/>
              <w:autoSpaceDN w:val="0"/>
              <w:adjustRightInd w:val="0"/>
              <w:snapToGrid w:val="0"/>
              <w:spacing w:line="430" w:lineRule="atLeast"/>
              <w:rPr>
                <w:rFonts w:ascii="宋体" w:hAnsi="宋体" w:cs="宋体"/>
                <w:color w:val="auto"/>
                <w:sz w:val="22"/>
                <w:szCs w:val="22"/>
                <w:highlight w:val="none"/>
              </w:rPr>
            </w:pPr>
            <w:r>
              <w:rPr>
                <w:rFonts w:hint="eastAsia" w:ascii="宋体" w:hAnsi="宋体" w:cs="宋体"/>
                <w:color w:val="auto"/>
                <w:sz w:val="22"/>
                <w:szCs w:val="22"/>
                <w:highlight w:val="none"/>
              </w:rPr>
              <w:t>参加政府采购活动前3年内在经营活动中没有重大违法记录的声明函（附件</w:t>
            </w:r>
            <w:r>
              <w:rPr>
                <w:rFonts w:hint="eastAsia" w:ascii="宋体" w:hAnsi="宋体" w:cs="宋体"/>
                <w:color w:val="auto"/>
                <w:sz w:val="22"/>
                <w:szCs w:val="22"/>
                <w:highlight w:val="none"/>
                <w:lang w:val="en-US" w:eastAsia="zh-CN"/>
              </w:rPr>
              <w:t>六</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供应商“信用中国”(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center"/>
          </w:tcPr>
          <w:p>
            <w:pPr>
              <w:tabs>
                <w:tab w:val="left" w:pos="1069"/>
                <w:tab w:val="left" w:pos="2352"/>
              </w:tabs>
              <w:autoSpaceDE w:val="0"/>
              <w:autoSpaceDN w:val="0"/>
              <w:adjustRightInd w:val="0"/>
              <w:spacing w:line="260" w:lineRule="exact"/>
              <w:textAlignment w:val="bottom"/>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法定代表人授权书（附件七）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如法定代表人直接参与投标的无需提供此项</w:t>
            </w:r>
            <w:r>
              <w:rPr>
                <w:rFonts w:hint="eastAsia" w:ascii="宋体" w:hAnsi="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Pr>
          <w:p>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center"/>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pPr>
              <w:numPr>
                <w:ilvl w:val="0"/>
                <w:numId w:val="6"/>
              </w:num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中小企业声明函（原件，加盖供应商公章，格式见采购文件第四部分附件1）</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pPr>
              <w:tabs>
                <w:tab w:val="left" w:pos="1069"/>
                <w:tab w:val="left" w:pos="2352"/>
              </w:tabs>
              <w:autoSpaceDE w:val="0"/>
              <w:autoSpaceDN w:val="0"/>
              <w:adjustRightInd w:val="0"/>
              <w:spacing w:line="260" w:lineRule="exact"/>
              <w:textAlignment w:val="bottom"/>
              <w:rPr>
                <w:rFonts w:hint="eastAsia"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（3）残疾人福利性单位声明函（原件，加盖供应商公章，格式见采购文件第四部分附件2）在政府采购活动中，残疾</w:t>
            </w:r>
            <w:r>
              <w:rPr>
                <w:rFonts w:hint="eastAsia" w:ascii="宋体"/>
                <w:color w:val="auto"/>
                <w:sz w:val="22"/>
                <w:highlight w:val="none"/>
              </w:rPr>
              <w:t>人福利性单位视同小型、微型企业。</w:t>
            </w:r>
          </w:p>
        </w:tc>
      </w:tr>
    </w:tbl>
    <w:p>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6</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w:t>
            </w:r>
            <w:r>
              <w:rPr>
                <w:rFonts w:hint="eastAsia" w:ascii="宋体" w:hAnsi="宋体" w:cs="宋体"/>
                <w:b/>
                <w:bCs/>
                <w:color w:val="auto"/>
                <w:sz w:val="22"/>
                <w:highlight w:val="none"/>
                <w:lang w:val="en-US" w:eastAsia="zh-CN"/>
              </w:rPr>
              <w:t>八</w:t>
            </w:r>
            <w:r>
              <w:rPr>
                <w:rFonts w:hint="eastAsia" w:ascii="宋体" w:hAnsi="宋体" w:cs="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w:t>
            </w:r>
            <w:r>
              <w:rPr>
                <w:rFonts w:hint="eastAsia" w:ascii="宋体" w:hAnsi="宋体" w:cs="宋体"/>
                <w:b/>
                <w:bCs/>
                <w:color w:val="auto"/>
                <w:sz w:val="22"/>
                <w:highlight w:val="none"/>
                <w:lang w:val="en-US" w:eastAsia="zh-CN"/>
              </w:rPr>
              <w:t>九</w:t>
            </w:r>
            <w:r>
              <w:rPr>
                <w:rFonts w:hint="eastAsia" w:ascii="宋体" w:hAnsi="宋体" w:cs="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w:t>
            </w:r>
            <w:r>
              <w:rPr>
                <w:rFonts w:hint="eastAsia" w:ascii="宋体" w:hAnsi="宋体" w:cs="宋体"/>
                <w:b/>
                <w:bCs/>
                <w:color w:val="auto"/>
                <w:sz w:val="22"/>
                <w:highlight w:val="none"/>
                <w:lang w:val="en-US" w:eastAsia="zh-CN"/>
              </w:rPr>
              <w:t>十</w:t>
            </w:r>
            <w:r>
              <w:rPr>
                <w:rFonts w:hint="eastAsia" w:ascii="宋体" w:hAnsi="宋体" w:cs="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w:t>
            </w:r>
            <w:r>
              <w:rPr>
                <w:rFonts w:hint="eastAsia" w:ascii="宋体" w:hAnsi="宋体" w:cs="宋体"/>
                <w:b/>
                <w:bCs/>
                <w:color w:val="auto"/>
                <w:sz w:val="22"/>
                <w:highlight w:val="none"/>
                <w:lang w:val="en-US" w:eastAsia="zh-CN"/>
              </w:rPr>
              <w:t>十一</w:t>
            </w:r>
            <w:r>
              <w:rPr>
                <w:rFonts w:hint="eastAsia" w:ascii="宋体" w:hAnsi="宋体" w:cs="宋体"/>
                <w:b/>
                <w:bCs/>
                <w:color w:val="auto"/>
                <w:sz w:val="22"/>
                <w:highlight w:val="none"/>
              </w:rPr>
              <w:t>（一））、技术偏离表（附件</w:t>
            </w:r>
            <w:r>
              <w:rPr>
                <w:rFonts w:hint="eastAsia" w:ascii="宋体" w:hAnsi="宋体" w:cs="宋体"/>
                <w:b/>
                <w:bCs/>
                <w:color w:val="auto"/>
                <w:sz w:val="22"/>
                <w:highlight w:val="none"/>
                <w:lang w:val="en-US" w:eastAsia="zh-CN"/>
              </w:rPr>
              <w:t>十一</w:t>
            </w:r>
            <w:r>
              <w:rPr>
                <w:rFonts w:hint="eastAsia" w:ascii="宋体" w:hAnsi="宋体" w:cs="宋体"/>
                <w:b/>
                <w:bCs/>
                <w:color w:val="auto"/>
                <w:sz w:val="22"/>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r>
              <w:rPr>
                <w:rFonts w:hint="eastAsia" w:ascii="宋体" w:hAnsi="宋体" w:cs="宋体"/>
                <w:color w:val="auto"/>
                <w:sz w:val="22"/>
                <w:highlight w:val="none"/>
                <w:lang w:val="en-US" w:eastAsia="zh-CN"/>
              </w:rPr>
              <w:t>三</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4594" w:type="pct"/>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p>
        </w:tc>
      </w:tr>
    </w:tbl>
    <w:p>
      <w:pPr>
        <w:tabs>
          <w:tab w:val="left" w:pos="1069"/>
          <w:tab w:val="left" w:pos="2352"/>
        </w:tabs>
        <w:rPr>
          <w:rFonts w:ascii="宋体" w:hAnsi="宋体" w:cs="宋体"/>
          <w:color w:val="auto"/>
          <w:highlight w:val="none"/>
        </w:rPr>
      </w:pP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4" w:name="_Toc132122115"/>
      <w:bookmarkStart w:id="15" w:name="_Toc132122412"/>
      <w:r>
        <w:rPr>
          <w:rFonts w:hint="eastAsia" w:ascii="宋体" w:hAnsi="宋体" w:cs="宋体"/>
          <w:color w:val="auto"/>
          <w:sz w:val="22"/>
          <w:highlight w:val="none"/>
        </w:rPr>
        <w:t>4.投标报价</w:t>
      </w:r>
      <w:bookmarkEnd w:id="14"/>
      <w:bookmarkEnd w:id="15"/>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16" w:name="_Toc132122117"/>
      <w:bookmarkStart w:id="17" w:name="_Toc132122414"/>
      <w:r>
        <w:rPr>
          <w:rFonts w:hint="eastAsia" w:ascii="宋体" w:hAnsi="宋体" w:cs="宋体"/>
          <w:color w:val="auto"/>
          <w:sz w:val="22"/>
          <w:highlight w:val="none"/>
        </w:rPr>
        <w:t>6.投标（响应）文件的有效期</w:t>
      </w:r>
      <w:bookmarkEnd w:id="16"/>
      <w:bookmarkEnd w:id="17"/>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pPr>
        <w:pStyle w:val="38"/>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8" w:name="_Toc132125984"/>
      <w:bookmarkStart w:id="19" w:name="_Toc132125038"/>
      <w:bookmarkStart w:id="20" w:name="_Toc132124595"/>
      <w:bookmarkStart w:id="21" w:name="_Toc132125575"/>
      <w:bookmarkStart w:id="22" w:name="_Toc132126155"/>
      <w:bookmarkStart w:id="23" w:name="_Toc132125152"/>
      <w:bookmarkStart w:id="24" w:name="_Toc132123882"/>
      <w:bookmarkStart w:id="25" w:name="_Toc132122120"/>
      <w:bookmarkStart w:id="26" w:name="_Toc132123548"/>
      <w:bookmarkStart w:id="27" w:name="_Toc132123839"/>
      <w:bookmarkStart w:id="28" w:name="_Toc132655777"/>
      <w:bookmarkStart w:id="29" w:name="_Toc132122417"/>
      <w:bookmarkStart w:id="30" w:name="_Toc132125096"/>
      <w:bookmarkStart w:id="31" w:name="_Toc132123635"/>
      <w:bookmarkStart w:id="32" w:name="_Toc132123440"/>
      <w:r>
        <w:rPr>
          <w:rFonts w:hint="eastAsia" w:hAnsi="宋体" w:cs="宋体"/>
          <w:b/>
          <w:bCs/>
          <w:color w:val="auto"/>
          <w:sz w:val="22"/>
          <w:highlight w:val="none"/>
        </w:rPr>
        <w:t>四、</w:t>
      </w:r>
      <w:r>
        <w:rPr>
          <w:rFonts w:hint="eastAsia" w:hAnsi="宋体" w:cs="宋体"/>
          <w:b/>
          <w:bCs/>
          <w:color w:val="auto"/>
          <w:sz w:val="22"/>
          <w:szCs w:val="22"/>
          <w:highlight w:val="none"/>
        </w:rPr>
        <w:t>投标文件</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 投标截止期</w:t>
      </w:r>
    </w:p>
    <w:p>
      <w:pPr>
        <w:pStyle w:val="38"/>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pPr>
        <w:pStyle w:val="12"/>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3" w:name="_Toc493530207"/>
      <w:bookmarkStart w:id="34" w:name="_Toc15003_WPSOffice_Level2"/>
      <w:r>
        <w:rPr>
          <w:rFonts w:hint="eastAsia" w:hAnsi="宋体" w:cs="宋体"/>
          <w:b/>
          <w:bCs/>
          <w:color w:val="auto"/>
          <w:sz w:val="22"/>
          <w:highlight w:val="none"/>
        </w:rPr>
        <w:t>五、开标和评标</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12"/>
        <w:tabs>
          <w:tab w:val="left" w:pos="1069"/>
          <w:tab w:val="left" w:pos="2352"/>
        </w:tabs>
        <w:snapToGrid w:val="0"/>
        <w:spacing w:line="44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1.开标</w:t>
      </w:r>
    </w:p>
    <w:p>
      <w:pPr>
        <w:pStyle w:val="12"/>
        <w:tabs>
          <w:tab w:val="left" w:pos="1069"/>
          <w:tab w:val="left" w:pos="2352"/>
        </w:tabs>
        <w:snapToGrid w:val="0"/>
        <w:spacing w:line="44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1.1开标准备</w:t>
      </w:r>
    </w:p>
    <w:p>
      <w:pPr>
        <w:tabs>
          <w:tab w:val="left" w:pos="1069"/>
          <w:tab w:val="left" w:pos="2352"/>
        </w:tabs>
        <w:snapToGrid w:val="0"/>
        <w:spacing w:line="440" w:lineRule="exact"/>
        <w:ind w:firstLine="440" w:firstLineChars="200"/>
        <w:jc w:val="left"/>
        <w:rPr>
          <w:rFonts w:ascii="宋体" w:hAnsi="宋体" w:cs="宋体"/>
          <w:b/>
          <w:color w:val="auto"/>
          <w:kern w:val="0"/>
          <w:sz w:val="22"/>
          <w:highlight w:val="none"/>
        </w:rPr>
      </w:pPr>
      <w:r>
        <w:rPr>
          <w:rFonts w:hint="eastAsia" w:ascii="宋体" w:hAnsi="宋体" w:cs="宋体"/>
          <w:bCs/>
          <w:color w:val="auto"/>
          <w:sz w:val="22"/>
          <w:highlight w:val="none"/>
        </w:rPr>
        <w:t>1）</w:t>
      </w:r>
      <w:r>
        <w:rPr>
          <w:rFonts w:hint="eastAsia" w:ascii="宋体" w:hAnsi="宋体" w:cs="宋体"/>
          <w:b/>
          <w:color w:val="auto"/>
          <w:sz w:val="22"/>
          <w:highlight w:val="none"/>
        </w:rPr>
        <w:t>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shd w:val="clear" w:color="auto" w:fill="FFFFFF"/>
        </w:rPr>
        <w:t>3）</w:t>
      </w:r>
      <w:r>
        <w:rPr>
          <w:rFonts w:hint="eastAsia" w:ascii="宋体" w:hAnsi="宋体" w:cs="宋体"/>
          <w:b/>
          <w:bCs/>
          <w:color w:val="auto"/>
          <w:sz w:val="22"/>
          <w:highlight w:val="none"/>
          <w:shd w:val="clear" w:color="auto" w:fill="FFFFFF"/>
        </w:rPr>
        <w:t>所有二次报价询标流程，均在线上完成，请各供应商务必不要离开电脑太久，并留意手机短信。（请提前检查“政采云”内，关于‘项目采购’的岗位权限是否已勾选上。如有问题，请致电400-881-7190）</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1.2 电子招投标开标及评审程序</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2）投标文件解密结束，开启投标文件，对资格文件进行审查，并公布资格审查情况；</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3）评审小组就价格、服务等认为需要磋商的内容进行磋商，供应商逐家回答磋商小组的提问，响应人作出最终承诺和最终报价。</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4）对商务技术文件进行评审；</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5）对报价文件进行评审；</w:t>
      </w:r>
    </w:p>
    <w:p>
      <w:pPr>
        <w:pStyle w:val="39"/>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6）公布评审结果。</w:t>
      </w:r>
    </w:p>
    <w:p>
      <w:pPr>
        <w:pStyle w:val="12"/>
        <w:tabs>
          <w:tab w:val="left" w:pos="1069"/>
          <w:tab w:val="left" w:pos="2352"/>
        </w:tabs>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pPr>
        <w:tabs>
          <w:tab w:val="left" w:pos="1069"/>
          <w:tab w:val="left" w:pos="2352"/>
        </w:tabs>
        <w:adjustRightInd w:val="0"/>
        <w:snapToGrid w:val="0"/>
        <w:spacing w:line="400" w:lineRule="atLeast"/>
        <w:ind w:firstLine="433" w:firstLineChars="197"/>
        <w:rPr>
          <w:rFonts w:hAnsi="宋体" w:cs="宋体"/>
          <w:b/>
          <w:bCs/>
          <w:color w:val="auto"/>
          <w:sz w:val="22"/>
          <w:szCs w:val="22"/>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12"/>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2.评标</w:t>
      </w:r>
    </w:p>
    <w:p>
      <w:pPr>
        <w:pStyle w:val="12"/>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pPr>
        <w:tabs>
          <w:tab w:val="left" w:pos="1069"/>
          <w:tab w:val="left" w:pos="2352"/>
        </w:tabs>
        <w:spacing w:line="400" w:lineRule="exact"/>
        <w:ind w:firstLine="431" w:firstLineChars="196"/>
        <w:rPr>
          <w:rFonts w:ascii="宋体" w:hAnsi="宋体" w:cs="宋体"/>
          <w:color w:val="auto"/>
          <w:sz w:val="22"/>
          <w:highlight w:val="none"/>
        </w:rPr>
      </w:pPr>
      <w:bookmarkStart w:id="35" w:name="_Toc2500_WPSOffice_Level3"/>
      <w:r>
        <w:rPr>
          <w:rFonts w:hint="eastAsia" w:ascii="宋体" w:hAnsi="宋体" w:cs="宋体"/>
          <w:color w:val="auto"/>
          <w:sz w:val="22"/>
          <w:highlight w:val="none"/>
        </w:rPr>
        <w:t>1）审查投标（响应）文件是否符合竞争性磋商文件要求，并作出评价；</w:t>
      </w:r>
      <w:bookmarkEnd w:id="35"/>
    </w:p>
    <w:p>
      <w:pPr>
        <w:tabs>
          <w:tab w:val="left" w:pos="1069"/>
          <w:tab w:val="left" w:pos="2352"/>
        </w:tabs>
        <w:spacing w:line="400" w:lineRule="exact"/>
        <w:ind w:firstLine="440" w:firstLineChars="200"/>
        <w:rPr>
          <w:rFonts w:ascii="宋体" w:hAnsi="宋体" w:cs="宋体"/>
          <w:color w:val="auto"/>
          <w:sz w:val="22"/>
          <w:highlight w:val="none"/>
        </w:rPr>
      </w:pPr>
      <w:bookmarkStart w:id="36" w:name="_Toc20806_WPSOffice_Level3"/>
      <w:r>
        <w:rPr>
          <w:rFonts w:hint="eastAsia" w:ascii="宋体" w:hAnsi="宋体" w:cs="宋体"/>
          <w:color w:val="auto"/>
          <w:sz w:val="22"/>
          <w:highlight w:val="none"/>
        </w:rPr>
        <w:t>2）要求供应商对投标（响应）文件有关事项作出解释或者澄清；</w:t>
      </w:r>
      <w:bookmarkEnd w:id="36"/>
    </w:p>
    <w:p>
      <w:pPr>
        <w:tabs>
          <w:tab w:val="left" w:pos="1069"/>
          <w:tab w:val="left" w:pos="2352"/>
        </w:tabs>
        <w:spacing w:line="400" w:lineRule="exact"/>
        <w:ind w:firstLine="440" w:firstLineChars="200"/>
        <w:rPr>
          <w:rFonts w:ascii="宋体" w:hAnsi="宋体" w:cs="宋体"/>
          <w:color w:val="auto"/>
          <w:sz w:val="22"/>
          <w:highlight w:val="none"/>
        </w:rPr>
      </w:pPr>
      <w:bookmarkStart w:id="37" w:name="_Toc12689_WPSOffice_Level3"/>
      <w:r>
        <w:rPr>
          <w:rFonts w:hint="eastAsia" w:ascii="宋体" w:hAnsi="宋体" w:cs="宋体"/>
          <w:color w:val="auto"/>
          <w:sz w:val="22"/>
          <w:highlight w:val="none"/>
        </w:rPr>
        <w:t>3）按照竞争性磋商文件确定的评标办法直接确定中标（成交）供应商；</w:t>
      </w:r>
      <w:bookmarkEnd w:id="37"/>
    </w:p>
    <w:p>
      <w:pPr>
        <w:pStyle w:val="12"/>
        <w:tabs>
          <w:tab w:val="left" w:pos="1069"/>
          <w:tab w:val="left" w:pos="2352"/>
        </w:tabs>
        <w:adjustRightInd w:val="0"/>
        <w:spacing w:line="400" w:lineRule="exact"/>
        <w:ind w:firstLine="431" w:firstLineChars="196"/>
        <w:rPr>
          <w:rFonts w:hAnsi="宋体" w:cs="宋体"/>
          <w:b/>
          <w:bCs/>
          <w:color w:val="auto"/>
          <w:sz w:val="22"/>
          <w:highlight w:val="none"/>
        </w:rPr>
      </w:pPr>
      <w:bookmarkStart w:id="38" w:name="_Toc20017_WPSOffice_Level3"/>
      <w:r>
        <w:rPr>
          <w:rFonts w:hint="eastAsia" w:hAnsi="宋体" w:cs="宋体"/>
          <w:color w:val="auto"/>
          <w:sz w:val="22"/>
          <w:highlight w:val="none"/>
        </w:rPr>
        <w:t>4）向采购人或者有关部门报告非法干预评标工作的行为。</w:t>
      </w:r>
      <w:bookmarkEnd w:id="38"/>
    </w:p>
    <w:p>
      <w:pPr>
        <w:tabs>
          <w:tab w:val="left" w:pos="1069"/>
          <w:tab w:val="left" w:pos="2352"/>
        </w:tabs>
        <w:spacing w:line="40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pPr>
        <w:pStyle w:val="12"/>
        <w:tabs>
          <w:tab w:val="left" w:pos="1069"/>
          <w:tab w:val="left" w:pos="2352"/>
        </w:tabs>
        <w:adjustRightInd w:val="0"/>
        <w:snapToGrid w:val="0"/>
        <w:spacing w:line="400" w:lineRule="exact"/>
        <w:ind w:firstLine="435"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pPr>
        <w:pStyle w:val="12"/>
        <w:tabs>
          <w:tab w:val="left" w:pos="1069"/>
          <w:tab w:val="left" w:pos="2352"/>
        </w:tabs>
        <w:adjustRightInd w:val="0"/>
        <w:snapToGri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3.投标（响应）文件的澄清</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pPr>
        <w:pStyle w:val="12"/>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4.5不同供应商的投标（响应）文件相互混装；</w:t>
      </w:r>
    </w:p>
    <w:p>
      <w:pPr>
        <w:pStyle w:val="12"/>
        <w:tabs>
          <w:tab w:val="left" w:pos="1069"/>
          <w:tab w:val="left" w:pos="2352"/>
        </w:tabs>
        <w:adjustRightInd w:val="0"/>
        <w:spacing w:line="400" w:lineRule="exact"/>
        <w:ind w:left="437"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5.评标原则</w:t>
      </w:r>
    </w:p>
    <w:p>
      <w:pPr>
        <w:pStyle w:val="12"/>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pPr>
        <w:pStyle w:val="12"/>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9" w:name="_Toc132125097"/>
      <w:bookmarkStart w:id="40" w:name="_Toc132123883"/>
      <w:bookmarkStart w:id="41" w:name="_Toc493530208"/>
      <w:bookmarkStart w:id="42" w:name="_Toc132124596"/>
      <w:bookmarkStart w:id="43" w:name="_Toc132655778"/>
      <w:bookmarkStart w:id="44" w:name="_Toc132123441"/>
      <w:bookmarkStart w:id="45" w:name="_Toc132123549"/>
      <w:bookmarkStart w:id="46" w:name="_Toc132122121"/>
      <w:bookmarkStart w:id="47" w:name="_Toc132125576"/>
      <w:bookmarkStart w:id="48" w:name="_Toc132123840"/>
      <w:bookmarkStart w:id="49" w:name="_Toc24884_WPSOffice_Level2"/>
      <w:bookmarkStart w:id="50" w:name="_Toc132125985"/>
      <w:bookmarkStart w:id="51" w:name="_Toc132123636"/>
      <w:bookmarkStart w:id="52" w:name="_Toc132126156"/>
      <w:bookmarkStart w:id="53" w:name="_Toc132122418"/>
      <w:bookmarkStart w:id="54" w:name="_Toc132125039"/>
      <w:bookmarkStart w:id="55" w:name="_Toc132125153"/>
      <w:r>
        <w:rPr>
          <w:rFonts w:hint="eastAsia" w:hAnsi="宋体" w:cs="宋体"/>
          <w:b/>
          <w:bCs/>
          <w:color w:val="auto"/>
          <w:sz w:val="22"/>
          <w:highlight w:val="none"/>
        </w:rPr>
        <w:t>六、授予合同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6" w:name="_Toc23038_WPSOffice_Level3"/>
      <w:r>
        <w:rPr>
          <w:rFonts w:hint="eastAsia" w:hAnsi="宋体" w:cs="宋体"/>
          <w:color w:val="auto"/>
          <w:sz w:val="22"/>
          <w:highlight w:val="none"/>
        </w:rPr>
        <w:t>1.决标</w:t>
      </w:r>
      <w:bookmarkEnd w:id="56"/>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7" w:name="_Toc764_WPSOffice_Level3"/>
      <w:r>
        <w:rPr>
          <w:rFonts w:hint="eastAsia" w:hAnsi="宋体" w:cs="宋体"/>
          <w:color w:val="auto"/>
          <w:sz w:val="22"/>
          <w:highlight w:val="none"/>
        </w:rPr>
        <w:t>2.</w:t>
      </w:r>
      <w:bookmarkEnd w:id="57"/>
      <w:r>
        <w:rPr>
          <w:rFonts w:hint="eastAsia" w:hAnsi="宋体" w:cs="宋体"/>
          <w:color w:val="auto"/>
          <w:sz w:val="22"/>
          <w:highlight w:val="none"/>
        </w:rPr>
        <w:t>中标（成交）通知书</w:t>
      </w:r>
    </w:p>
    <w:p>
      <w:pPr>
        <w:tabs>
          <w:tab w:val="left" w:pos="1069"/>
          <w:tab w:val="left" w:pos="2352"/>
        </w:tabs>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3.中标（成交）无效</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8" w:name="_Toc3709_WPSOffice_Level3"/>
      <w:r>
        <w:rPr>
          <w:rFonts w:hint="eastAsia" w:hAnsi="宋体" w:cs="宋体"/>
          <w:color w:val="auto"/>
          <w:sz w:val="22"/>
          <w:highlight w:val="none"/>
        </w:rPr>
        <w:t>4.签订合同</w:t>
      </w:r>
      <w:bookmarkEnd w:id="58"/>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12"/>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9" w:name="_Toc21884_WPSOffice_Level3"/>
      <w:r>
        <w:rPr>
          <w:rFonts w:hint="eastAsia" w:hAnsi="宋体" w:cs="宋体"/>
          <w:color w:val="auto"/>
          <w:sz w:val="22"/>
          <w:highlight w:val="none"/>
        </w:rPr>
        <w:t>5.</w:t>
      </w:r>
      <w:bookmarkEnd w:id="59"/>
      <w:r>
        <w:rPr>
          <w:rFonts w:hint="eastAsia" w:hAnsi="宋体" w:cs="宋体"/>
          <w:color w:val="auto"/>
          <w:sz w:val="22"/>
          <w:highlight w:val="none"/>
        </w:rPr>
        <w:t>履约保证金</w:t>
      </w:r>
    </w:p>
    <w:p>
      <w:pPr>
        <w:tabs>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hAnsi="宋体" w:cs="宋体"/>
          <w:color w:val="auto"/>
          <w:sz w:val="22"/>
          <w:highlight w:val="none"/>
          <w:lang w:val="en-US" w:eastAsia="zh-CN"/>
        </w:rPr>
        <w:t>无</w:t>
      </w:r>
      <w:r>
        <w:rPr>
          <w:rFonts w:hint="eastAsia" w:ascii="宋体" w:hAnsi="宋体" w:cs="宋体"/>
          <w:color w:val="auto"/>
          <w:sz w:val="22"/>
          <w:highlight w:val="none"/>
        </w:rPr>
        <w:t>。</w:t>
      </w:r>
    </w:p>
    <w:p>
      <w:pPr>
        <w:tabs>
          <w:tab w:val="left" w:pos="1069"/>
          <w:tab w:val="left" w:pos="2352"/>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服务</w:t>
      </w:r>
      <w:r>
        <w:rPr>
          <w:rFonts w:hint="eastAsia" w:ascii="宋体" w:hAnsi="宋体" w:cs="宋体"/>
          <w:color w:val="auto"/>
          <w:sz w:val="22"/>
          <w:highlight w:val="none"/>
          <w:lang w:val="zh-CN"/>
        </w:rPr>
        <w:t>类（</w:t>
      </w:r>
      <w:r>
        <w:rPr>
          <w:rFonts w:hint="eastAsia" w:ascii="宋体" w:hAnsi="宋体" w:cs="宋体"/>
          <w:color w:val="auto"/>
          <w:sz w:val="22"/>
          <w:highlight w:val="none"/>
        </w:rPr>
        <w:t>中标价</w:t>
      </w:r>
      <w:r>
        <w:rPr>
          <w:rFonts w:hint="eastAsia" w:ascii="宋体" w:hAnsi="宋体" w:cs="宋体"/>
          <w:color w:val="auto"/>
          <w:sz w:val="22"/>
          <w:highlight w:val="none"/>
          <w:lang w:val="zh-CN"/>
        </w:rPr>
        <w:t>）标准收取</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0" w:firstLineChars="200"/>
        <w:textAlignment w:val="bottom"/>
        <w:rPr>
          <w:rFonts w:hint="default" w:ascii="宋体" w:hAnsi="宋体" w:eastAsia="宋体" w:cs="宋体"/>
          <w:color w:val="auto"/>
          <w:highlight w:val="none"/>
          <w:lang w:val="en-US" w:eastAsia="zh-CN"/>
        </w:rPr>
      </w:pPr>
      <w:r>
        <w:rPr>
          <w:rFonts w:hint="eastAsia" w:ascii="宋体" w:hAnsi="宋体" w:cs="宋体"/>
          <w:color w:val="auto"/>
          <w:sz w:val="22"/>
          <w:highlight w:val="none"/>
        </w:rPr>
        <w:t>招标代理费汇入</w:t>
      </w:r>
      <w:r>
        <w:rPr>
          <w:rFonts w:hint="eastAsia" w:ascii="宋体" w:hAnsi="宋体" w:cs="宋体"/>
          <w:color w:val="auto"/>
          <w:sz w:val="22"/>
          <w:highlight w:val="none"/>
          <w:lang w:val="en-US" w:eastAsia="zh-CN"/>
        </w:rPr>
        <w:t>账号以招标代理机构提供的为准。</w:t>
      </w:r>
    </w:p>
    <w:p>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pPr>
        <w:pStyle w:val="40"/>
        <w:tabs>
          <w:tab w:val="left" w:pos="1069"/>
          <w:tab w:val="left" w:pos="2352"/>
        </w:tabs>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40"/>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40"/>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pPr>
        <w:pStyle w:val="12"/>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40"/>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12"/>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9"/>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质疑函范本、投诉书范本请至浙江省政府采购网下载专区下载。</w:t>
      </w:r>
    </w:p>
    <w:p>
      <w:pPr>
        <w:pStyle w:val="38"/>
        <w:spacing w:line="400" w:lineRule="exact"/>
        <w:rPr>
          <w:rFonts w:hint="default" w:ascii="宋体" w:hAnsi="宋体" w:eastAsia="宋体" w:cs="宋体"/>
          <w:color w:val="auto"/>
          <w:sz w:val="22"/>
          <w:szCs w:val="22"/>
          <w:highlight w:val="none"/>
          <w:lang w:val="en-US" w:eastAsia="zh-CN"/>
        </w:rPr>
      </w:pPr>
      <w:bookmarkStart w:id="60" w:name="_Toc29876_WPSOffice_Level1"/>
      <w:r>
        <w:rPr>
          <w:rFonts w:hint="eastAsia" w:ascii="宋体" w:hAnsi="宋体" w:eastAsia="宋体" w:cs="宋体"/>
          <w:b/>
          <w:bCs/>
          <w:color w:val="auto"/>
          <w:sz w:val="22"/>
          <w:szCs w:val="22"/>
          <w:highlight w:val="none"/>
          <w:lang w:val="en-US" w:eastAsia="zh-CN"/>
        </w:rPr>
        <w:t>4.线上质疑及投诉</w:t>
      </w:r>
    </w:p>
    <w:p>
      <w:pPr>
        <w:pStyle w:val="38"/>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8"/>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质疑函范本、投诉书范本请至浙江政府采购网下载专区下载。</w:t>
      </w:r>
    </w:p>
    <w:p>
      <w:pPr>
        <w:pStyle w:val="38"/>
        <w:spacing w:line="400" w:lineRule="exact"/>
        <w:ind w:firstLine="440" w:firstLineChars="200"/>
        <w:rPr>
          <w:rFonts w:hint="eastAsia" w:ascii="宋体" w:hAnsi="宋体" w:eastAsia="宋体" w:cs="宋体"/>
          <w:color w:val="auto"/>
          <w:sz w:val="22"/>
          <w:szCs w:val="2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hint="eastAsia" w:ascii="宋体" w:hAnsi="宋体" w:cs="宋体"/>
          <w:b/>
          <w:color w:val="auto"/>
          <w:sz w:val="32"/>
          <w:szCs w:val="32"/>
          <w:highlight w:val="none"/>
        </w:rPr>
      </w:pPr>
    </w:p>
    <w:p>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pPr>
        <w:tabs>
          <w:tab w:val="left" w:pos="1069"/>
          <w:tab w:val="left" w:pos="2352"/>
        </w:tabs>
        <w:jc w:val="left"/>
        <w:rPr>
          <w:rFonts w:ascii="宋体"/>
          <w:b/>
          <w:bCs/>
          <w:color w:val="auto"/>
          <w:sz w:val="22"/>
          <w:highlight w:val="none"/>
        </w:rPr>
      </w:pPr>
      <w:bookmarkStart w:id="61" w:name="_Toc25899_WPSOffice_Level2"/>
      <w:bookmarkStart w:id="62" w:name="_Toc10483_WPSOffice_Level2"/>
      <w:r>
        <w:rPr>
          <w:rFonts w:hint="eastAsia" w:ascii="宋体"/>
          <w:b/>
          <w:bCs/>
          <w:color w:val="auto"/>
          <w:sz w:val="22"/>
          <w:highlight w:val="none"/>
        </w:rPr>
        <w:t>一、</w:t>
      </w:r>
      <w:bookmarkEnd w:id="61"/>
      <w:r>
        <w:rPr>
          <w:rFonts w:hint="eastAsia" w:ascii="宋体"/>
          <w:b/>
          <w:bCs/>
          <w:color w:val="auto"/>
          <w:sz w:val="22"/>
          <w:highlight w:val="none"/>
        </w:rPr>
        <w:t>中小企业（含监狱企业、残疾人福利性单位）扶持政策说明</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pPr>
        <w:tabs>
          <w:tab w:val="left" w:pos="1069"/>
          <w:tab w:val="left" w:pos="2352"/>
        </w:tabs>
        <w:spacing w:line="440" w:lineRule="atLeast"/>
        <w:jc w:val="left"/>
        <w:rPr>
          <w:color w:val="auto"/>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r>
        <w:rPr>
          <w:rFonts w:hint="eastAsia" w:hAnsi="宋体"/>
          <w:color w:val="auto"/>
          <w:sz w:val="22"/>
          <w:szCs w:val="22"/>
          <w:highlight w:val="none"/>
          <w:lang w:eastAsia="zh-CN"/>
        </w:rPr>
        <w:t>；</w:t>
      </w:r>
      <w:r>
        <w:rPr>
          <w:rFonts w:hint="eastAsia" w:ascii="宋体"/>
          <w:color w:val="auto"/>
          <w:sz w:val="22"/>
          <w:highlight w:val="none"/>
        </w:rPr>
        <w:br w:type="textWrapping"/>
      </w:r>
      <w:r>
        <w:rPr>
          <w:rFonts w:hint="eastAsia" w:hAnsi="宋体" w:cs="宋体"/>
          <w:color w:val="auto"/>
          <w:sz w:val="22"/>
          <w:highlight w:val="none"/>
        </w:rPr>
        <w:t>（7）《浙江省财政厅关于进一步发挥政府采购政策 功能全力推动经济稳进提质的通知》（浙财采监〔2022〕3号）</w:t>
      </w:r>
      <w:r>
        <w:rPr>
          <w:rFonts w:hint="eastAsia" w:hAnsi="宋体"/>
          <w:color w:val="auto"/>
          <w:sz w:val="22"/>
          <w:szCs w:val="22"/>
          <w:highlight w:val="none"/>
          <w:lang w:eastAsia="zh-CN"/>
        </w:rPr>
        <w:t>；</w:t>
      </w:r>
      <w:r>
        <w:rPr>
          <w:rFonts w:hint="eastAsia" w:hAnsi="宋体" w:cs="宋体"/>
          <w:color w:val="auto"/>
          <w:sz w:val="22"/>
          <w:highlight w:val="none"/>
        </w:rPr>
        <w:br w:type="textWrapping"/>
      </w:r>
      <w:r>
        <w:rPr>
          <w:rFonts w:hint="eastAsia" w:hAnsi="宋体" w:cs="宋体"/>
          <w:color w:val="auto"/>
          <w:sz w:val="22"/>
          <w:highlight w:val="none"/>
          <w:lang w:eastAsia="zh-CN"/>
        </w:rPr>
        <w:t>（</w:t>
      </w:r>
      <w:r>
        <w:rPr>
          <w:rFonts w:hint="eastAsia" w:hAnsi="宋体" w:cs="宋体"/>
          <w:color w:val="auto"/>
          <w:sz w:val="22"/>
          <w:highlight w:val="none"/>
          <w:lang w:val="en-US" w:eastAsia="zh-CN"/>
        </w:rPr>
        <w:t>8</w:t>
      </w:r>
      <w:r>
        <w:rPr>
          <w:rFonts w:hint="eastAsia" w:hAnsi="宋体" w:cs="宋体"/>
          <w:color w:val="auto"/>
          <w:sz w:val="22"/>
          <w:highlight w:val="none"/>
          <w:lang w:eastAsia="zh-CN"/>
        </w:rPr>
        <w:t>）</w:t>
      </w:r>
      <w:r>
        <w:rPr>
          <w:rFonts w:hint="eastAsia" w:hAnsi="宋体" w:cs="宋体"/>
          <w:color w:val="auto"/>
          <w:sz w:val="22"/>
          <w:highlight w:val="none"/>
        </w:rPr>
        <w:t>《关于进一步加大政府采购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本项目专门面向中小企业采购，</w:t>
      </w:r>
      <w:r>
        <w:rPr>
          <w:rFonts w:hint="eastAsia" w:ascii="宋体"/>
          <w:b/>
          <w:bCs/>
          <w:color w:val="auto"/>
          <w:sz w:val="22"/>
          <w:highlight w:val="none"/>
          <w:u w:val="single"/>
          <w:lang w:val="en-US" w:eastAsia="zh-CN"/>
        </w:rPr>
        <w:t>须</w:t>
      </w:r>
      <w:r>
        <w:rPr>
          <w:rFonts w:hint="eastAsia" w:ascii="宋体"/>
          <w:b/>
          <w:bCs/>
          <w:color w:val="auto"/>
          <w:sz w:val="22"/>
          <w:highlight w:val="none"/>
          <w:u w:val="single"/>
        </w:rPr>
        <w:t>提供以下证明材料（附在</w:t>
      </w:r>
      <w:r>
        <w:rPr>
          <w:rFonts w:hint="eastAsia" w:ascii="宋体" w:hAnsi="宋体" w:cs="宋体"/>
          <w:b/>
          <w:bCs/>
          <w:color w:val="auto"/>
          <w:sz w:val="22"/>
          <w:highlight w:val="none"/>
          <w:u w:val="single"/>
        </w:rPr>
        <w:t>《资格文件》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en-US" w:eastAsia="zh-CN"/>
        </w:rPr>
        <w:t>中小企业</w:t>
      </w:r>
      <w:r>
        <w:rPr>
          <w:rFonts w:hint="eastAsia" w:ascii="宋体"/>
          <w:color w:val="auto"/>
          <w:sz w:val="22"/>
          <w:highlight w:val="none"/>
        </w:rPr>
        <w:t>：中小企业声明函（原件，加盖供应商公章，格式见附件1）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5、</w:t>
      </w:r>
      <w:r>
        <w:rPr>
          <w:rFonts w:hint="eastAsia" w:ascii="宋体"/>
          <w:b/>
          <w:bCs/>
          <w:color w:val="auto"/>
          <w:sz w:val="22"/>
          <w:highlight w:val="none"/>
        </w:rPr>
        <w:t>本项目采购标的所属行业为</w:t>
      </w:r>
      <w:r>
        <w:rPr>
          <w:rFonts w:hint="eastAsia" w:ascii="宋体"/>
          <w:b/>
          <w:bCs/>
          <w:color w:val="auto"/>
          <w:sz w:val="22"/>
          <w:highlight w:val="none"/>
          <w:lang w:val="en-US" w:eastAsia="zh-CN"/>
        </w:rPr>
        <w:t xml:space="preserve">  </w:t>
      </w:r>
      <w:r>
        <w:rPr>
          <w:rFonts w:hint="eastAsia" w:ascii="宋体" w:hAnsi="宋体" w:cs="宋体"/>
          <w:b/>
          <w:bCs/>
          <w:color w:val="auto"/>
          <w:sz w:val="22"/>
          <w:highlight w:val="none"/>
          <w:u w:val="single"/>
        </w:rPr>
        <w:t>其他未列明行业。</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rPr>
        <w:t>泰顺县自然资源和规划局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2024年泰顺县天然富硒士地资源调查项目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8"/>
        </w:numPr>
        <w:tabs>
          <w:tab w:val="left" w:pos="1069"/>
          <w:tab w:val="left" w:pos="2352"/>
        </w:tabs>
        <w:spacing w:line="400" w:lineRule="exact"/>
        <w:ind w:firstLine="442"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日 期：</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pPr>
        <w:pStyle w:val="3"/>
        <w:tabs>
          <w:tab w:val="left" w:pos="2352"/>
        </w:tabs>
        <w:rPr>
          <w:color w:val="auto"/>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pPr>
        <w:tabs>
          <w:tab w:val="left" w:pos="2352"/>
        </w:tabs>
        <w:snapToGrid w:val="0"/>
        <w:spacing w:line="360" w:lineRule="auto"/>
        <w:ind w:firstLine="440" w:firstLineChars="200"/>
        <w:rPr>
          <w:color w:val="auto"/>
          <w:sz w:val="22"/>
          <w:highlight w:val="none"/>
        </w:rPr>
      </w:pPr>
    </w:p>
    <w:p>
      <w:pPr>
        <w:tabs>
          <w:tab w:val="left" w:pos="2352"/>
        </w:tabs>
        <w:snapToGrid w:val="0"/>
        <w:spacing w:line="360" w:lineRule="auto"/>
        <w:ind w:firstLine="440" w:firstLineChars="200"/>
        <w:rPr>
          <w:color w:val="auto"/>
          <w:sz w:val="22"/>
          <w:highlight w:val="none"/>
        </w:rPr>
      </w:pPr>
    </w:p>
    <w:p>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pPr>
        <w:pStyle w:val="41"/>
        <w:tabs>
          <w:tab w:val="left" w:pos="2352"/>
        </w:tabs>
        <w:snapToGrid w:val="0"/>
        <w:spacing w:line="360" w:lineRule="auto"/>
        <w:ind w:left="360" w:firstLine="0" w:firstLineChars="0"/>
        <w:rPr>
          <w:rFonts w:cs="宋体"/>
          <w:color w:val="auto"/>
          <w:sz w:val="22"/>
          <w:highlight w:val="none"/>
        </w:rPr>
      </w:pPr>
    </w:p>
    <w:bookmarkEnd w:id="62"/>
    <w:p>
      <w:pPr>
        <w:pStyle w:val="2"/>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pPr>
        <w:tabs>
          <w:tab w:val="left" w:pos="1069"/>
          <w:tab w:val="left" w:pos="2352"/>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pPr>
              <w:pStyle w:val="42"/>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41"/>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pPr>
              <w:tabs>
                <w:tab w:val="left" w:pos="1069"/>
                <w:tab w:val="left" w:pos="2352"/>
              </w:tabs>
              <w:jc w:val="left"/>
              <w:rPr>
                <w:rFonts w:ascii="宋体" w:hAnsi="宋体" w:cs="宋体"/>
                <w:color w:val="auto"/>
                <w:sz w:val="22"/>
                <w:highlight w:val="none"/>
              </w:rPr>
            </w:pPr>
          </w:p>
        </w:tc>
      </w:tr>
    </w:tbl>
    <w:p>
      <w:pPr>
        <w:tabs>
          <w:tab w:val="left" w:pos="1069"/>
          <w:tab w:val="left" w:pos="2352"/>
        </w:tabs>
        <w:snapToGrid w:val="0"/>
        <w:spacing w:line="460" w:lineRule="atLeast"/>
        <w:ind w:firstLine="440" w:firstLineChars="200"/>
        <w:jc w:val="left"/>
        <w:rPr>
          <w:rFonts w:ascii="宋体" w:hAnsi="宋体" w:cs="宋体"/>
          <w:color w:val="auto"/>
          <w:sz w:val="22"/>
          <w:highlight w:val="none"/>
        </w:rPr>
      </w:pPr>
    </w:p>
    <w:p>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pPr>
              <w:pStyle w:val="42"/>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pPr>
              <w:tabs>
                <w:tab w:val="left" w:pos="1069"/>
                <w:tab w:val="left" w:pos="2352"/>
              </w:tabs>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pPr>
              <w:pStyle w:val="42"/>
              <w:tabs>
                <w:tab w:val="left" w:pos="1069"/>
                <w:tab w:val="left" w:pos="2352"/>
              </w:tabs>
              <w:spacing w:line="360" w:lineRule="auto"/>
              <w:ind w:firstLine="0" w:firstLineChars="0"/>
              <w:rPr>
                <w:rFonts w:ascii="宋体" w:hAnsi="宋体" w:eastAsia="宋体" w:cs="宋体"/>
                <w:color w:val="auto"/>
                <w:kern w:val="0"/>
                <w:sz w:val="22"/>
                <w:highlight w:val="none"/>
              </w:rPr>
            </w:pPr>
          </w:p>
        </w:tc>
      </w:tr>
    </w:tbl>
    <w:p>
      <w:pPr>
        <w:tabs>
          <w:tab w:val="left" w:pos="1069"/>
          <w:tab w:val="left" w:pos="2352"/>
        </w:tabs>
        <w:rPr>
          <w:rFonts w:ascii="宋体" w:hAnsi="宋体" w:cs="宋体"/>
          <w:color w:val="auto"/>
          <w:sz w:val="22"/>
          <w:highlight w:val="none"/>
        </w:rPr>
      </w:pP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pPr>
        <w:tabs>
          <w:tab w:val="left" w:pos="1069"/>
          <w:tab w:val="left" w:pos="2352"/>
        </w:tabs>
        <w:spacing w:line="588"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pPr>
        <w:pStyle w:val="3"/>
        <w:tabs>
          <w:tab w:val="left" w:pos="1069"/>
          <w:tab w:val="left" w:pos="2352"/>
        </w:tabs>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hint="eastAsia" w:ascii="宋体" w:hAnsi="宋体" w:cs="宋体"/>
          <w:b/>
          <w:color w:val="auto"/>
          <w:sz w:val="32"/>
          <w:szCs w:val="32"/>
          <w:highlight w:val="none"/>
        </w:rPr>
      </w:pPr>
    </w:p>
    <w:p>
      <w:pPr>
        <w:tabs>
          <w:tab w:val="left" w:pos="1069"/>
          <w:tab w:val="left" w:pos="2352"/>
        </w:tabs>
        <w:snapToGrid w:val="0"/>
        <w:spacing w:line="380" w:lineRule="exact"/>
        <w:jc w:val="center"/>
        <w:rPr>
          <w:rFonts w:hint="eastAsia"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60"/>
      <w:bookmarkStart w:id="63" w:name="_Toc11700_WPSOffice_Level1"/>
    </w:p>
    <w:p>
      <w:pPr>
        <w:rPr>
          <w:rFonts w:eastAsia="仿宋"/>
          <w:b/>
          <w:bCs/>
          <w:color w:val="auto"/>
          <w:sz w:val="28"/>
          <w:highlight w:val="none"/>
        </w:rPr>
      </w:pPr>
    </w:p>
    <w:p>
      <w:pPr>
        <w:rPr>
          <w:rFonts w:eastAsia="仿宋"/>
          <w:b/>
          <w:bCs/>
          <w:color w:val="auto"/>
          <w:sz w:val="28"/>
          <w:highlight w:val="none"/>
        </w:rPr>
      </w:pPr>
    </w:p>
    <w:p>
      <w:pPr>
        <w:widowControl/>
        <w:spacing w:before="100" w:beforeAutospacing="1" w:after="100" w:afterAutospacing="1"/>
        <w:outlineLvl w:val="2"/>
        <w:rPr>
          <w:rFonts w:ascii="黑体" w:hAnsi="黑体" w:eastAsia="黑体" w:cs="宋体"/>
          <w:b/>
          <w:bCs/>
          <w:color w:val="auto"/>
          <w:kern w:val="0"/>
          <w:sz w:val="44"/>
          <w:szCs w:val="44"/>
          <w:highlight w:val="none"/>
        </w:rPr>
      </w:pPr>
      <w:r>
        <w:rPr>
          <w:rFonts w:hint="eastAsia" w:ascii="黑体" w:hAnsi="黑体" w:eastAsia="黑体" w:cs="宋体"/>
          <w:b/>
          <w:bCs/>
          <w:color w:val="auto"/>
          <w:kern w:val="0"/>
          <w:sz w:val="44"/>
          <w:szCs w:val="44"/>
          <w:highlight w:val="none"/>
        </w:rPr>
        <w:t xml:space="preserve">                    </w:t>
      </w:r>
      <w:r>
        <w:rPr>
          <w:rFonts w:hint="eastAsia" w:cs="宋体" w:asciiTheme="minorEastAsia" w:hAnsiTheme="minorEastAsia"/>
          <w:bCs/>
          <w:color w:val="auto"/>
          <w:kern w:val="0"/>
          <w:sz w:val="36"/>
          <w:szCs w:val="36"/>
          <w:highlight w:val="none"/>
        </w:rPr>
        <w:t xml:space="preserve">      </w:t>
      </w:r>
    </w:p>
    <w:p>
      <w:pPr>
        <w:widowControl/>
        <w:spacing w:before="100" w:beforeAutospacing="1" w:after="100" w:afterAutospacing="1"/>
        <w:jc w:val="center"/>
        <w:outlineLvl w:val="2"/>
        <w:rPr>
          <w:rFonts w:ascii="华文中宋" w:hAnsi="华文中宋" w:eastAsia="华文中宋" w:cs="华文中宋"/>
          <w:b/>
          <w:bCs/>
          <w:color w:val="auto"/>
          <w:kern w:val="0"/>
          <w:sz w:val="72"/>
          <w:szCs w:val="72"/>
          <w:highlight w:val="none"/>
        </w:rPr>
      </w:pPr>
      <w:r>
        <w:rPr>
          <w:rFonts w:hint="eastAsia" w:ascii="华文中宋" w:hAnsi="华文中宋" w:eastAsia="华文中宋" w:cs="华文中宋"/>
          <w:b/>
          <w:bCs/>
          <w:color w:val="auto"/>
          <w:kern w:val="0"/>
          <w:sz w:val="72"/>
          <w:szCs w:val="72"/>
          <w:highlight w:val="none"/>
          <w:lang w:eastAsia="zh-CN"/>
        </w:rPr>
        <w:t>2024年泰顺县天然富硒士地资源调查项目</w:t>
      </w:r>
      <w:r>
        <w:rPr>
          <w:rFonts w:hint="eastAsia" w:ascii="华文中宋" w:hAnsi="华文中宋" w:eastAsia="华文中宋" w:cs="华文中宋"/>
          <w:b/>
          <w:bCs/>
          <w:color w:val="auto"/>
          <w:kern w:val="0"/>
          <w:sz w:val="72"/>
          <w:szCs w:val="72"/>
          <w:highlight w:val="none"/>
        </w:rPr>
        <w:t>服务合同</w:t>
      </w:r>
    </w:p>
    <w:p>
      <w:pPr>
        <w:widowControl/>
        <w:spacing w:before="100" w:beforeAutospacing="1" w:after="100" w:afterAutospacing="1"/>
        <w:jc w:val="center"/>
        <w:outlineLvl w:val="2"/>
        <w:rPr>
          <w:rFonts w:ascii="黑体" w:hAnsi="黑体" w:eastAsia="黑体" w:cs="宋体"/>
          <w:b/>
          <w:bCs/>
          <w:color w:val="auto"/>
          <w:kern w:val="0"/>
          <w:sz w:val="44"/>
          <w:szCs w:val="44"/>
          <w:highlight w:val="none"/>
        </w:rPr>
      </w:pPr>
    </w:p>
    <w:p>
      <w:pPr>
        <w:widowControl/>
        <w:spacing w:before="100" w:beforeAutospacing="1" w:after="100" w:afterAutospacing="1" w:line="390" w:lineRule="atLeast"/>
        <w:jc w:val="left"/>
        <w:rPr>
          <w:rFonts w:ascii="宋体" w:hAnsi="宋体" w:cs="宋体"/>
          <w:bCs/>
          <w:color w:val="auto"/>
          <w:sz w:val="30"/>
          <w:szCs w:val="30"/>
          <w:highlight w:val="none"/>
        </w:rPr>
      </w:pPr>
      <w:r>
        <w:rPr>
          <w:rFonts w:hint="eastAsia" w:ascii="宋体" w:hAnsi="宋体" w:cs="宋体"/>
          <w:color w:val="auto"/>
          <w:kern w:val="0"/>
          <w:sz w:val="28"/>
          <w:szCs w:val="28"/>
          <w:highlight w:val="none"/>
        </w:rPr>
        <w:t>　</w:t>
      </w:r>
      <w:r>
        <w:rPr>
          <w:rFonts w:hint="eastAsia" w:ascii="黑体" w:hAnsi="黑体" w:eastAsia="黑体" w:cs="宋体"/>
          <w:color w:val="auto"/>
          <w:kern w:val="0"/>
          <w:sz w:val="28"/>
          <w:szCs w:val="28"/>
          <w:highlight w:val="none"/>
        </w:rPr>
        <w:t>　</w:t>
      </w:r>
    </w:p>
    <w:p>
      <w:pPr>
        <w:snapToGrid w:val="0"/>
        <w:spacing w:line="760" w:lineRule="exact"/>
        <w:ind w:left="596" w:leftChars="284"/>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签订日期：</w:t>
      </w:r>
      <w:r>
        <w:rPr>
          <w:rFonts w:hint="eastAsia" w:ascii="宋体" w:hAnsi="宋体" w:cs="宋体"/>
          <w:bCs/>
          <w:color w:val="auto"/>
          <w:sz w:val="30"/>
          <w:szCs w:val="30"/>
          <w:highlight w:val="none"/>
          <w:u w:val="single"/>
        </w:rPr>
        <w:t xml:space="preserve">    202</w:t>
      </w:r>
      <w:r>
        <w:rPr>
          <w:rFonts w:hint="eastAsia" w:ascii="宋体" w:hAnsi="宋体" w:cs="宋体"/>
          <w:bCs/>
          <w:color w:val="auto"/>
          <w:sz w:val="30"/>
          <w:szCs w:val="30"/>
          <w:highlight w:val="none"/>
          <w:u w:val="single"/>
          <w:lang w:val="en-US" w:eastAsia="zh-CN"/>
        </w:rPr>
        <w:t>4</w:t>
      </w:r>
      <w:r>
        <w:rPr>
          <w:rFonts w:hint="eastAsia" w:ascii="宋体" w:hAnsi="宋体" w:cs="宋体"/>
          <w:bCs/>
          <w:color w:val="auto"/>
          <w:sz w:val="30"/>
          <w:szCs w:val="30"/>
          <w:highlight w:val="none"/>
          <w:u w:val="single"/>
        </w:rPr>
        <w:t xml:space="preserve">年 月 日         </w:t>
      </w:r>
    </w:p>
    <w:p>
      <w:pPr>
        <w:snapToGrid w:val="0"/>
        <w:spacing w:line="760" w:lineRule="exact"/>
        <w:ind w:left="596" w:leftChars="284"/>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签订地点：</w:t>
      </w:r>
      <w:r>
        <w:rPr>
          <w:rFonts w:hint="eastAsia" w:ascii="宋体" w:hAnsi="宋体" w:cs="宋体"/>
          <w:bCs/>
          <w:color w:val="auto"/>
          <w:sz w:val="30"/>
          <w:szCs w:val="30"/>
          <w:highlight w:val="none"/>
          <w:u w:val="single"/>
        </w:rPr>
        <w:t xml:space="preserve">    温州市泰顺县  </w:t>
      </w:r>
    </w:p>
    <w:p>
      <w:pPr>
        <w:pStyle w:val="7"/>
        <w:rPr>
          <w:color w:val="auto"/>
          <w:highlight w:val="none"/>
        </w:rPr>
      </w:pPr>
    </w:p>
    <w:p>
      <w:pPr>
        <w:spacing w:line="460" w:lineRule="exact"/>
        <w:rPr>
          <w:rFonts w:ascii="宋体"/>
          <w:color w:val="auto"/>
          <w:sz w:val="22"/>
          <w:highlight w:val="none"/>
        </w:rPr>
        <w:sectPr>
          <w:headerReference r:id="rId10" w:type="default"/>
          <w:footerReference r:id="rId11" w:type="default"/>
          <w:pgSz w:w="11906" w:h="16838"/>
          <w:pgMar w:top="1440" w:right="1800" w:bottom="1440" w:left="1800" w:header="851" w:footer="992" w:gutter="0"/>
          <w:pgNumType w:fmt="decimal" w:start="14"/>
          <w:cols w:space="425" w:num="1"/>
          <w:docGrid w:type="lines" w:linePitch="312" w:charSpace="0"/>
        </w:sectPr>
      </w:pPr>
    </w:p>
    <w:p>
      <w:pPr>
        <w:tabs>
          <w:tab w:val="left" w:pos="1069"/>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pPr>
        <w:tabs>
          <w:tab w:val="left" w:pos="1069"/>
        </w:tabs>
        <w:spacing w:line="460" w:lineRule="exact"/>
        <w:rPr>
          <w:rFonts w:ascii="宋体"/>
          <w:color w:val="auto"/>
          <w:sz w:val="22"/>
          <w:highlight w:val="none"/>
        </w:rPr>
      </w:pPr>
      <w:r>
        <w:rPr>
          <w:rFonts w:hint="eastAsia" w:ascii="宋体"/>
          <w:color w:val="auto"/>
          <w:sz w:val="22"/>
          <w:highlight w:val="none"/>
        </w:rPr>
        <w:t>乙方（中标单位）：</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pPr>
        <w:tabs>
          <w:tab w:val="left" w:pos="1069"/>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甲、乙双方根据</w:t>
      </w:r>
      <w:r>
        <w:rPr>
          <w:rFonts w:hint="eastAsia" w:ascii="宋体" w:hAnsi="宋体" w:cs="宋体"/>
          <w:bCs/>
          <w:color w:val="auto"/>
          <w:sz w:val="22"/>
          <w:highlight w:val="none"/>
          <w:u w:val="single"/>
          <w:lang w:eastAsia="zh-CN"/>
        </w:rPr>
        <w:t>2024年泰顺县天然富硒士地资源调查项目</w:t>
      </w:r>
      <w:r>
        <w:rPr>
          <w:rFonts w:hint="eastAsia" w:ascii="宋体" w:hAnsi="宋体" w:cs="宋体"/>
          <w:bCs/>
          <w:color w:val="auto"/>
          <w:sz w:val="22"/>
          <w:highlight w:val="none"/>
          <w:u w:val="single"/>
        </w:rPr>
        <w:t>（项目编号：</w:t>
      </w:r>
      <w:r>
        <w:rPr>
          <w:rFonts w:hint="eastAsia" w:ascii="宋体" w:hAnsi="宋体" w:cs="宋体"/>
          <w:bCs/>
          <w:color w:val="auto"/>
          <w:sz w:val="22"/>
          <w:highlight w:val="none"/>
          <w:u w:val="single"/>
          <w:lang w:eastAsia="zh-CN"/>
        </w:rPr>
        <w:t xml:space="preserve">TSCG202405003 </w:t>
      </w:r>
      <w:r>
        <w:rPr>
          <w:rFonts w:hint="eastAsia" w:ascii="宋体" w:hAnsi="宋体" w:cs="宋体"/>
          <w:bCs/>
          <w:color w:val="auto"/>
          <w:sz w:val="22"/>
          <w:highlight w:val="none"/>
          <w:u w:val="single"/>
        </w:rPr>
        <w:t>）</w:t>
      </w:r>
      <w:r>
        <w:rPr>
          <w:rFonts w:hint="eastAsia" w:ascii="宋体" w:hAnsi="宋体" w:cs="宋体"/>
          <w:bCs/>
          <w:color w:val="auto"/>
          <w:sz w:val="22"/>
          <w:highlight w:val="none"/>
        </w:rPr>
        <w:t>招标采购结果，签订此合同。</w:t>
      </w:r>
    </w:p>
    <w:p>
      <w:pPr>
        <w:tabs>
          <w:tab w:val="left" w:pos="1069"/>
        </w:tabs>
        <w:snapToGrid w:val="0"/>
        <w:spacing w:line="400" w:lineRule="exact"/>
        <w:ind w:left="443" w:leftChars="208" w:firstLine="0" w:firstLineChars="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一、合同内容：2024年泰顺县天然富硒士地资源调查项目。</w:t>
      </w:r>
      <w:r>
        <w:rPr>
          <w:rFonts w:hint="eastAsia" w:ascii="宋体" w:hAnsi="宋体" w:eastAsia="宋体" w:cs="宋体"/>
          <w:bCs/>
          <w:color w:val="auto"/>
          <w:sz w:val="22"/>
          <w:highlight w:val="none"/>
          <w:lang w:val="en-US" w:eastAsia="zh-CN"/>
        </w:rPr>
        <w:br w:type="textWrapping"/>
      </w:r>
      <w:r>
        <w:rPr>
          <w:rFonts w:hint="eastAsia" w:ascii="宋体" w:hAnsi="宋体" w:eastAsia="宋体" w:cs="宋体"/>
          <w:bCs/>
          <w:color w:val="auto"/>
          <w:sz w:val="22"/>
          <w:highlight w:val="none"/>
          <w:lang w:val="en-US" w:eastAsia="zh-CN"/>
        </w:rPr>
        <w:t>1.总体目标</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在泰顺县土地质量地质调查项目的基础上，在县域范围内对连片集中面积不小于300亩的天然富硒土地开展详查，调查总面积不少于8000亩，以此掌握土壤富硒状况，划定富硒土地类别及分布范围，促进富硒土地保护与开发利用。</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2.工作任务</w:t>
      </w:r>
    </w:p>
    <w:p>
      <w:pPr>
        <w:tabs>
          <w:tab w:val="left" w:pos="1069"/>
        </w:tabs>
        <w:snapToGrid w:val="0"/>
        <w:spacing w:line="400" w:lineRule="exact"/>
        <w:ind w:firstLine="446" w:firstLineChars="20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泰顺县富硒土地详查</w:t>
      </w:r>
      <w:r>
        <w:rPr>
          <w:rFonts w:hint="eastAsia" w:ascii="宋体" w:hAnsi="宋体" w:eastAsia="宋体" w:cs="宋体"/>
          <w:bCs/>
          <w:color w:val="auto"/>
          <w:sz w:val="22"/>
          <w:highlight w:val="none"/>
          <w:lang w:eastAsia="zh-CN"/>
        </w:rPr>
        <w:t>工作</w:t>
      </w:r>
      <w:r>
        <w:rPr>
          <w:rFonts w:hint="eastAsia" w:ascii="宋体" w:hAnsi="宋体" w:eastAsia="宋体" w:cs="宋体"/>
          <w:bCs/>
          <w:color w:val="auto"/>
          <w:sz w:val="22"/>
          <w:highlight w:val="none"/>
          <w:lang w:val="en-US" w:eastAsia="zh-CN"/>
        </w:rPr>
        <w:t>任务</w:t>
      </w:r>
      <w:r>
        <w:rPr>
          <w:rFonts w:hint="eastAsia" w:ascii="宋体" w:hAnsi="宋体" w:eastAsia="宋体" w:cs="宋体"/>
          <w:bCs/>
          <w:color w:val="auto"/>
          <w:sz w:val="22"/>
          <w:highlight w:val="none"/>
          <w:lang w:eastAsia="zh-CN"/>
        </w:rPr>
        <w:t>主要包括以下几方面：</w:t>
      </w:r>
    </w:p>
    <w:p>
      <w:pPr>
        <w:tabs>
          <w:tab w:val="left" w:pos="1069"/>
        </w:tabs>
        <w:snapToGrid w:val="0"/>
        <w:spacing w:line="400" w:lineRule="exact"/>
        <w:ind w:firstLine="446" w:firstLineChars="20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开展</w:t>
      </w:r>
      <w:r>
        <w:rPr>
          <w:rFonts w:hint="eastAsia" w:ascii="宋体" w:hAnsi="宋体" w:eastAsia="宋体" w:cs="宋体"/>
          <w:bCs/>
          <w:color w:val="auto"/>
          <w:sz w:val="22"/>
          <w:highlight w:val="none"/>
          <w:lang w:val="en-US" w:eastAsia="zh-CN"/>
        </w:rPr>
        <w:t>泰顺县天然富硒土地环境背景调查、土壤地球化学调查</w:t>
      </w:r>
      <w:r>
        <w:rPr>
          <w:rFonts w:hint="eastAsia" w:ascii="宋体" w:hAnsi="宋体" w:eastAsia="宋体" w:cs="宋体"/>
          <w:bCs/>
          <w:color w:val="auto"/>
          <w:sz w:val="22"/>
          <w:highlight w:val="none"/>
          <w:lang w:eastAsia="zh-CN"/>
        </w:rPr>
        <w:t>，重点查明土壤中硒、</w:t>
      </w:r>
      <w:r>
        <w:rPr>
          <w:rFonts w:hint="eastAsia" w:ascii="宋体" w:hAnsi="宋体" w:eastAsia="宋体" w:cs="宋体"/>
          <w:bCs/>
          <w:color w:val="auto"/>
          <w:sz w:val="22"/>
          <w:highlight w:val="none"/>
          <w:lang w:val="en-US" w:eastAsia="zh-CN"/>
        </w:rPr>
        <w:t>锗等</w:t>
      </w:r>
      <w:r>
        <w:rPr>
          <w:rFonts w:hint="eastAsia" w:ascii="宋体" w:hAnsi="宋体" w:eastAsia="宋体" w:cs="宋体"/>
          <w:bCs/>
          <w:color w:val="auto"/>
          <w:sz w:val="22"/>
          <w:highlight w:val="none"/>
          <w:lang w:eastAsia="zh-CN"/>
        </w:rPr>
        <w:t>有益元素</w:t>
      </w:r>
      <w:r>
        <w:rPr>
          <w:rFonts w:hint="eastAsia" w:ascii="宋体" w:hAnsi="宋体" w:eastAsia="宋体" w:cs="宋体"/>
          <w:bCs/>
          <w:color w:val="auto"/>
          <w:sz w:val="22"/>
          <w:highlight w:val="none"/>
          <w:lang w:val="en-US" w:eastAsia="zh-CN"/>
        </w:rPr>
        <w:t>以及镉、铅</w:t>
      </w:r>
      <w:r>
        <w:rPr>
          <w:rFonts w:hint="eastAsia" w:ascii="宋体" w:hAnsi="宋体" w:eastAsia="宋体" w:cs="宋体"/>
          <w:bCs/>
          <w:color w:val="auto"/>
          <w:sz w:val="22"/>
          <w:highlight w:val="none"/>
          <w:lang w:eastAsia="zh-CN"/>
        </w:rPr>
        <w:t>等重金属元素</w:t>
      </w:r>
      <w:r>
        <w:rPr>
          <w:rFonts w:hint="eastAsia" w:ascii="宋体" w:hAnsi="宋体" w:eastAsia="宋体" w:cs="宋体"/>
          <w:bCs/>
          <w:color w:val="auto"/>
          <w:sz w:val="22"/>
          <w:highlight w:val="none"/>
          <w:lang w:val="en-US" w:eastAsia="zh-CN"/>
        </w:rPr>
        <w:t>在调查区的空间</w:t>
      </w:r>
      <w:r>
        <w:rPr>
          <w:rFonts w:hint="eastAsia" w:ascii="宋体" w:hAnsi="宋体" w:eastAsia="宋体" w:cs="宋体"/>
          <w:bCs/>
          <w:color w:val="auto"/>
          <w:sz w:val="22"/>
          <w:highlight w:val="none"/>
          <w:lang w:eastAsia="zh-CN"/>
        </w:rPr>
        <w:t>分布、面积、成因。</w:t>
      </w:r>
    </w:p>
    <w:p>
      <w:pPr>
        <w:tabs>
          <w:tab w:val="left" w:pos="1069"/>
        </w:tabs>
        <w:snapToGrid w:val="0"/>
        <w:spacing w:line="400" w:lineRule="exact"/>
        <w:ind w:firstLine="446" w:firstLineChars="200"/>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lang w:eastAsia="zh-CN"/>
        </w:rPr>
        <w:t>开展土地质量综合调查研究，包括</w:t>
      </w:r>
      <w:r>
        <w:rPr>
          <w:rFonts w:hint="eastAsia" w:ascii="宋体" w:hAnsi="宋体" w:eastAsia="宋体" w:cs="宋体"/>
          <w:bCs/>
          <w:color w:val="auto"/>
          <w:sz w:val="22"/>
          <w:highlight w:val="none"/>
          <w:lang w:val="en-US" w:eastAsia="zh-CN"/>
        </w:rPr>
        <w:t>土壤垂向剖面、灌溉水、农产品</w:t>
      </w:r>
      <w:r>
        <w:rPr>
          <w:rFonts w:hint="eastAsia" w:ascii="宋体" w:hAnsi="宋体" w:eastAsia="宋体" w:cs="宋体"/>
          <w:bCs/>
          <w:color w:val="auto"/>
          <w:sz w:val="22"/>
          <w:highlight w:val="none"/>
          <w:lang w:eastAsia="zh-CN"/>
        </w:rPr>
        <w:t>等方面综合调查研究。</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（3）提出富硒土地资源科学保护和合理利用的建议。</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（4）完成泰顺县天然富硒土地调查数据库建设。</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3.主要实物工作量</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（1）土地自然性状调查，面积</w:t>
      </w:r>
      <w:r>
        <w:rPr>
          <w:rFonts w:hint="eastAsia" w:ascii="宋体" w:hAnsi="宋体" w:eastAsia="宋体" w:cs="宋体"/>
          <w:bCs/>
          <w:color w:val="auto"/>
          <w:sz w:val="22"/>
          <w:highlight w:val="none"/>
          <w:u w:val="single"/>
          <w:lang w:val="en-US" w:eastAsia="zh-CN"/>
        </w:rPr>
        <w:t xml:space="preserve">   </w:t>
      </w:r>
      <w:r>
        <w:rPr>
          <w:rFonts w:hint="eastAsia" w:ascii="宋体" w:hAnsi="宋体" w:eastAsia="宋体" w:cs="宋体"/>
          <w:bCs/>
          <w:color w:val="auto"/>
          <w:sz w:val="22"/>
          <w:highlight w:val="none"/>
          <w:lang w:val="en-US" w:eastAsia="zh-CN"/>
        </w:rPr>
        <w:t>万亩；</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（2）农业生产条件及周边环境条件调查，面积</w:t>
      </w:r>
      <w:r>
        <w:rPr>
          <w:rFonts w:hint="eastAsia" w:ascii="宋体" w:hAnsi="宋体" w:eastAsia="宋体" w:cs="宋体"/>
          <w:bCs/>
          <w:color w:val="auto"/>
          <w:sz w:val="22"/>
          <w:highlight w:val="none"/>
          <w:u w:val="single"/>
          <w:lang w:val="en-US" w:eastAsia="zh-CN"/>
        </w:rPr>
        <w:t xml:space="preserve">   </w:t>
      </w:r>
      <w:r>
        <w:rPr>
          <w:rFonts w:hint="eastAsia" w:ascii="宋体" w:hAnsi="宋体" w:eastAsia="宋体" w:cs="宋体"/>
          <w:bCs/>
          <w:color w:val="auto"/>
          <w:sz w:val="22"/>
          <w:highlight w:val="none"/>
          <w:lang w:val="en-US" w:eastAsia="zh-CN"/>
        </w:rPr>
        <w:t>万亩；</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（3）土壤地球化学调查，面积   万亩；</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（4）灌溉水调查，面积   万亩；</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（5）农产品品质及安全性调查，面积   万亩；</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4.预期成果</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（1）泰顺县富硒土地详查报告；</w:t>
      </w:r>
    </w:p>
    <w:p>
      <w:pPr>
        <w:tabs>
          <w:tab w:val="left" w:pos="1069"/>
        </w:tabs>
        <w:snapToGrid w:val="0"/>
        <w:spacing w:line="400" w:lineRule="exact"/>
        <w:ind w:firstLine="446" w:firstLineChars="200"/>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（2）泰顺县富硒土地详查数据库；</w:t>
      </w:r>
    </w:p>
    <w:p>
      <w:pPr>
        <w:tabs>
          <w:tab w:val="left" w:pos="1069"/>
        </w:tabs>
        <w:snapToGrid w:val="0"/>
        <w:spacing w:line="400" w:lineRule="exact"/>
        <w:ind w:firstLine="446" w:firstLineChars="200"/>
        <w:rPr>
          <w:rFonts w:hint="eastAsia" w:ascii="宋体" w:hAnsi="宋体" w:cs="宋体"/>
          <w:bCs/>
          <w:color w:val="auto"/>
          <w:sz w:val="22"/>
          <w:highlight w:val="none"/>
        </w:rPr>
      </w:pPr>
      <w:r>
        <w:rPr>
          <w:rFonts w:hint="eastAsia" w:ascii="宋体" w:hAnsi="宋体" w:cs="宋体"/>
          <w:b/>
          <w:color w:val="auto"/>
          <w:sz w:val="22"/>
          <w:highlight w:val="none"/>
        </w:rPr>
        <w:t>二、合同金额及结算规定</w:t>
      </w:r>
      <w:r>
        <w:rPr>
          <w:rFonts w:hint="eastAsia" w:ascii="宋体" w:hAnsi="宋体" w:cs="宋体"/>
          <w:bCs/>
          <w:color w:val="auto"/>
          <w:sz w:val="22"/>
          <w:highlight w:val="none"/>
        </w:rPr>
        <w:br w:type="textWrapping"/>
      </w:r>
      <w:r>
        <w:rPr>
          <w:rFonts w:hint="eastAsia" w:ascii="宋体" w:hAnsi="宋体" w:cs="宋体"/>
          <w:bCs/>
          <w:color w:val="auto"/>
          <w:sz w:val="22"/>
          <w:highlight w:val="none"/>
        </w:rPr>
        <w:t xml:space="preserve">   1.合同金额：</w:t>
      </w:r>
    </w:p>
    <w:p>
      <w:pPr>
        <w:tabs>
          <w:tab w:val="left" w:pos="1060"/>
          <w:tab w:val="left" w:pos="1069"/>
        </w:tabs>
        <w:spacing w:line="400" w:lineRule="exact"/>
        <w:ind w:firstLine="446" w:firstLineChars="200"/>
        <w:rPr>
          <w:rFonts w:hint="eastAsia" w:ascii="宋体" w:hAnsi="宋体" w:cs="宋体"/>
          <w:bCs/>
          <w:color w:val="auto"/>
          <w:sz w:val="22"/>
          <w:highlight w:val="none"/>
          <w:u w:val="single"/>
        </w:rPr>
      </w:pPr>
      <w:r>
        <w:rPr>
          <w:rFonts w:hint="eastAsia" w:ascii="宋体" w:hAnsi="宋体" w:cs="宋体"/>
          <w:bCs/>
          <w:color w:val="auto"/>
          <w:sz w:val="22"/>
          <w:highlight w:val="none"/>
        </w:rPr>
        <w:t>合同总价：</w:t>
      </w:r>
      <w:r>
        <w:rPr>
          <w:rFonts w:hint="eastAsia" w:ascii="宋体" w:hAnsi="宋体" w:cs="宋体"/>
          <w:bCs/>
          <w:color w:val="auto"/>
          <w:sz w:val="22"/>
          <w:highlight w:val="none"/>
          <w:u w:val="single"/>
        </w:rPr>
        <w:t>人民币（大写）        元整（￥      ）。</w:t>
      </w:r>
    </w:p>
    <w:p>
      <w:pPr>
        <w:tabs>
          <w:tab w:val="left" w:pos="1069"/>
        </w:tabs>
        <w:snapToGrid w:val="0"/>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合同金额己包含因采购本项目所需服务而产生的全部费用和税费、合理理利润、验收费用以及采购需求未提及但完成本项目所需服务必不可少的费用。</w:t>
      </w:r>
      <w:r>
        <w:rPr>
          <w:rFonts w:hint="eastAsia" w:ascii="宋体" w:hAnsi="宋体" w:cs="宋体"/>
          <w:bCs/>
          <w:color w:val="auto"/>
          <w:sz w:val="22"/>
          <w:highlight w:val="none"/>
        </w:rPr>
        <w:br w:type="textWrapping"/>
      </w: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三、知识产权</w:t>
      </w:r>
      <w:r>
        <w:rPr>
          <w:rFonts w:hint="eastAsia" w:ascii="宋体" w:hAnsi="宋体" w:cs="宋体"/>
          <w:bCs/>
          <w:color w:val="auto"/>
          <w:sz w:val="22"/>
          <w:highlight w:val="none"/>
        </w:rPr>
        <w:br w:type="textWrapping"/>
      </w:r>
      <w:r>
        <w:rPr>
          <w:rFonts w:hint="eastAsia" w:ascii="宋体" w:hAnsi="宋体" w:cs="宋体"/>
          <w:bCs/>
          <w:color w:val="auto"/>
          <w:sz w:val="22"/>
          <w:highlight w:val="none"/>
        </w:rPr>
        <w:t xml:space="preserve">  乙方应保证提供服务过程中不会侵犯任何第三方的知识产权，所有提交资料成果所有权均归甲方所有，不得设置保密、保护措施。没有甲方事先书面同意，乙方不得将由甲方提供的有关合同或任何合同条文、规划报告、图纸、样品或资料提供给与履行本合同无关的任何其他人。即使向履行本合同有关的人员提供，也应注意保密并限于履行合同的必需范围。</w:t>
      </w:r>
    </w:p>
    <w:p>
      <w:pPr>
        <w:tabs>
          <w:tab w:val="left" w:pos="1069"/>
        </w:tabs>
        <w:spacing w:line="400" w:lineRule="exact"/>
        <w:ind w:left="221" w:leftChars="104"/>
        <w:rPr>
          <w:rFonts w:ascii="宋体" w:hAnsi="宋体" w:cs="宋体"/>
          <w:bCs/>
          <w:color w:val="auto"/>
          <w:sz w:val="22"/>
          <w:highlight w:val="none"/>
        </w:rPr>
      </w:pPr>
      <w:r>
        <w:rPr>
          <w:rFonts w:hint="eastAsia" w:ascii="宋体" w:hAnsi="宋体" w:cs="宋体"/>
          <w:b/>
          <w:color w:val="auto"/>
          <w:sz w:val="22"/>
          <w:highlight w:val="none"/>
          <w:lang w:val="en-US" w:eastAsia="zh-CN"/>
        </w:rPr>
        <w:t>四</w:t>
      </w:r>
      <w:r>
        <w:rPr>
          <w:rFonts w:hint="eastAsia" w:ascii="宋体" w:hAnsi="宋体" w:cs="宋体"/>
          <w:b/>
          <w:color w:val="auto"/>
          <w:sz w:val="22"/>
          <w:highlight w:val="none"/>
        </w:rPr>
        <w:t>、转包或分包</w:t>
      </w:r>
      <w:r>
        <w:rPr>
          <w:rFonts w:hint="eastAsia" w:ascii="宋体" w:hAnsi="宋体" w:cs="宋体"/>
          <w:bCs/>
          <w:color w:val="auto"/>
          <w:sz w:val="22"/>
          <w:highlight w:val="none"/>
        </w:rPr>
        <w:br w:type="textWrapping"/>
      </w:r>
      <w:r>
        <w:rPr>
          <w:rFonts w:hint="eastAsia" w:ascii="宋体" w:hAnsi="宋体" w:cs="宋体"/>
          <w:bCs/>
          <w:color w:val="auto"/>
          <w:sz w:val="22"/>
          <w:highlight w:val="none"/>
        </w:rPr>
        <w:t>1.本合同范围的服务，应由乙方直接供应，不得转让他人供应；</w:t>
      </w:r>
      <w:r>
        <w:rPr>
          <w:rFonts w:hint="eastAsia" w:ascii="宋体" w:hAnsi="宋体" w:cs="宋体"/>
          <w:bCs/>
          <w:color w:val="auto"/>
          <w:sz w:val="22"/>
          <w:highlight w:val="none"/>
        </w:rPr>
        <w:br w:type="textWrapping"/>
      </w:r>
      <w:r>
        <w:rPr>
          <w:rFonts w:hint="eastAsia" w:ascii="宋体" w:hAnsi="宋体" w:cs="宋体"/>
          <w:bCs/>
          <w:color w:val="auto"/>
          <w:sz w:val="22"/>
          <w:highlight w:val="none"/>
        </w:rPr>
        <w:t>2.除非得到甲方的书面同意，乙方不得将本合同范围的服务全部或部分分包给他人供应；</w:t>
      </w:r>
    </w:p>
    <w:p>
      <w:pPr>
        <w:tabs>
          <w:tab w:val="left" w:pos="1060"/>
          <w:tab w:val="left" w:pos="1069"/>
        </w:tabs>
        <w:spacing w:line="400" w:lineRule="exact"/>
        <w:ind w:left="221" w:leftChars="104"/>
        <w:rPr>
          <w:rFonts w:ascii="宋体" w:hAnsi="宋体" w:cs="宋体"/>
          <w:bCs/>
          <w:color w:val="auto"/>
          <w:sz w:val="22"/>
          <w:highlight w:val="none"/>
        </w:rPr>
      </w:pPr>
      <w:r>
        <w:rPr>
          <w:rFonts w:hint="eastAsia" w:ascii="宋体" w:hAnsi="宋体" w:cs="宋体"/>
          <w:bCs/>
          <w:color w:val="auto"/>
          <w:sz w:val="22"/>
          <w:highlight w:val="none"/>
        </w:rPr>
        <w:t>3.如有转让和未经甲方同意的分包行为，甲方有权解除合同，并追究乙方的违约责任。</w:t>
      </w:r>
      <w:r>
        <w:rPr>
          <w:rFonts w:hint="eastAsia" w:ascii="宋体" w:hAnsi="宋体" w:cs="宋体"/>
          <w:bCs/>
          <w:color w:val="auto"/>
          <w:sz w:val="22"/>
          <w:highlight w:val="none"/>
        </w:rPr>
        <w:br w:type="textWrapping"/>
      </w:r>
      <w:r>
        <w:rPr>
          <w:rFonts w:hint="eastAsia" w:ascii="宋体" w:hAnsi="宋体" w:cs="宋体"/>
          <w:b/>
          <w:color w:val="auto"/>
          <w:sz w:val="22"/>
          <w:highlight w:val="none"/>
          <w:lang w:val="en-US" w:eastAsia="zh-CN"/>
        </w:rPr>
        <w:t>五</w:t>
      </w:r>
      <w:r>
        <w:rPr>
          <w:rFonts w:hint="eastAsia" w:ascii="宋体" w:hAnsi="宋体" w:cs="宋体"/>
          <w:b/>
          <w:color w:val="auto"/>
          <w:sz w:val="22"/>
          <w:highlight w:val="none"/>
        </w:rPr>
        <w:t>、合同工期及履行地点</w:t>
      </w:r>
    </w:p>
    <w:p>
      <w:pPr>
        <w:tabs>
          <w:tab w:val="left" w:pos="1069"/>
        </w:tabs>
        <w:snapToGrid w:val="0"/>
        <w:spacing w:line="400" w:lineRule="exact"/>
        <w:ind w:firstLine="223" w:firstLineChars="100"/>
        <w:rPr>
          <w:rFonts w:hint="eastAsia" w:ascii="宋体" w:hAnsi="宋体" w:cs="宋体"/>
          <w:b w:val="0"/>
          <w:bCs w:val="0"/>
          <w:color w:val="auto"/>
          <w:sz w:val="22"/>
          <w:highlight w:val="none"/>
          <w:u w:val="none"/>
        </w:rPr>
      </w:pPr>
      <w:r>
        <w:rPr>
          <w:rFonts w:hint="eastAsia" w:ascii="宋体" w:hAnsi="宋体" w:cs="宋体"/>
          <w:bCs/>
          <w:color w:val="auto"/>
          <w:sz w:val="22"/>
          <w:highlight w:val="none"/>
        </w:rPr>
        <w:t>1.</w:t>
      </w:r>
      <w:r>
        <w:rPr>
          <w:rFonts w:hint="eastAsia" w:ascii="宋体" w:hAnsi="宋体" w:cs="宋体"/>
          <w:bCs/>
          <w:color w:val="auto"/>
          <w:sz w:val="22"/>
          <w:highlight w:val="none"/>
          <w:lang w:val="en-US" w:eastAsia="zh-CN"/>
        </w:rPr>
        <w:t>工期</w:t>
      </w:r>
      <w:r>
        <w:rPr>
          <w:rFonts w:hint="eastAsia" w:ascii="宋体" w:hAnsi="宋体" w:cs="宋体"/>
          <w:bCs/>
          <w:color w:val="auto"/>
          <w:sz w:val="22"/>
          <w:highlight w:val="none"/>
        </w:rPr>
        <w:t>：</w:t>
      </w:r>
      <w:r>
        <w:rPr>
          <w:rFonts w:hint="eastAsia" w:ascii="宋体" w:hAnsi="宋体" w:eastAsia="宋体" w:cs="宋体"/>
          <w:color w:val="auto"/>
          <w:sz w:val="21"/>
          <w:szCs w:val="21"/>
          <w:highlight w:val="none"/>
          <w:lang w:val="en-US" w:eastAsia="zh-CN"/>
        </w:rPr>
        <w:t>2024年6月-2024年12月</w:t>
      </w:r>
      <w:r>
        <w:rPr>
          <w:rFonts w:hint="eastAsia" w:ascii="宋体" w:hAnsi="宋体" w:cs="宋体"/>
          <w:b w:val="0"/>
          <w:bCs w:val="0"/>
          <w:color w:val="auto"/>
          <w:sz w:val="22"/>
          <w:highlight w:val="none"/>
          <w:u w:val="none"/>
        </w:rPr>
        <w:t>。</w:t>
      </w:r>
    </w:p>
    <w:p>
      <w:pPr>
        <w:tabs>
          <w:tab w:val="left" w:pos="1069"/>
        </w:tabs>
        <w:spacing w:line="400" w:lineRule="exact"/>
        <w:ind w:firstLine="223" w:firstLineChars="100"/>
        <w:rPr>
          <w:rFonts w:ascii="宋体" w:hAnsi="宋体" w:cs="宋体"/>
          <w:bCs/>
          <w:color w:val="auto"/>
          <w:sz w:val="22"/>
          <w:highlight w:val="none"/>
        </w:rPr>
      </w:pPr>
      <w:r>
        <w:rPr>
          <w:rFonts w:hint="eastAsia" w:ascii="宋体" w:hAnsi="宋体" w:cs="宋体"/>
          <w:bCs/>
          <w:color w:val="auto"/>
          <w:sz w:val="22"/>
          <w:highlight w:val="none"/>
        </w:rPr>
        <w:t>2.履行地点：甲方指定地点。</w:t>
      </w:r>
    </w:p>
    <w:p>
      <w:pPr>
        <w:tabs>
          <w:tab w:val="left" w:pos="1069"/>
        </w:tabs>
        <w:snapToGrid w:val="0"/>
        <w:spacing w:line="400" w:lineRule="exact"/>
        <w:ind w:left="444" w:leftChars="104" w:hanging="223" w:hangingChars="100"/>
        <w:rPr>
          <w:rFonts w:hint="eastAsia" w:ascii="宋体" w:hAnsi="宋体" w:cs="宋体"/>
          <w:b/>
          <w:color w:val="auto"/>
          <w:sz w:val="22"/>
          <w:highlight w:val="none"/>
        </w:rPr>
      </w:pPr>
      <w:r>
        <w:rPr>
          <w:rFonts w:hint="eastAsia" w:ascii="宋体" w:hAnsi="宋体" w:cs="宋体"/>
          <w:b/>
          <w:color w:val="auto"/>
          <w:sz w:val="22"/>
          <w:highlight w:val="none"/>
          <w:lang w:val="en-US" w:eastAsia="zh-CN"/>
        </w:rPr>
        <w:t>六</w:t>
      </w:r>
      <w:r>
        <w:rPr>
          <w:rFonts w:hint="eastAsia" w:ascii="宋体" w:hAnsi="宋体" w:cs="宋体"/>
          <w:b/>
          <w:color w:val="auto"/>
          <w:sz w:val="22"/>
          <w:highlight w:val="none"/>
        </w:rPr>
        <w:t>、付款方式</w:t>
      </w:r>
    </w:p>
    <w:p>
      <w:pPr>
        <w:pStyle w:val="26"/>
        <w:keepNext w:val="0"/>
        <w:keepLines w:val="0"/>
        <w:pageBreakBefore w:val="0"/>
        <w:kinsoku/>
        <w:wordWrap/>
        <w:overflowPunct/>
        <w:topLinePunct w:val="0"/>
        <w:bidi w:val="0"/>
        <w:snapToGrid/>
        <w:spacing w:before="75" w:beforeAutospacing="0" w:after="75" w:afterAutospacing="0" w:line="380" w:lineRule="exact"/>
        <w:ind w:firstLine="426" w:firstLineChars="200"/>
        <w:rPr>
          <w:rFonts w:hint="eastAsia" w:ascii="宋体" w:hAnsi="宋体" w:eastAsia="宋体" w:cs="宋体"/>
          <w:b w:val="0"/>
          <w:bCs w:val="0"/>
          <w:color w:val="auto"/>
          <w:kern w:val="2"/>
          <w:sz w:val="22"/>
          <w:szCs w:val="22"/>
          <w:highlight w:val="none"/>
        </w:rPr>
      </w:pPr>
      <w:r>
        <w:rPr>
          <w:rFonts w:hint="eastAsia" w:ascii="宋体" w:hAnsi="宋体" w:eastAsia="宋体" w:cs="宋体"/>
          <w:color w:val="auto"/>
          <w:sz w:val="21"/>
          <w:szCs w:val="21"/>
          <w:highlight w:val="none"/>
          <w:lang w:eastAsia="zh-CN"/>
        </w:rPr>
        <w:t>签订合同后7个工作日内支付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0%合同款（需提供等值的预付款保函）</w:t>
      </w:r>
      <w:r>
        <w:rPr>
          <w:rFonts w:hint="eastAsia" w:ascii="宋体" w:hAnsi="宋体" w:eastAsia="宋体" w:cs="宋体"/>
          <w:color w:val="auto"/>
          <w:sz w:val="21"/>
          <w:szCs w:val="21"/>
          <w:highlight w:val="none"/>
          <w:lang w:val="en-GB" w:eastAsia="zh-CN"/>
        </w:rPr>
        <w:t>，项目验收通过且收到供应商提交正式成果后，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GB" w:eastAsia="zh-CN"/>
        </w:rPr>
        <w:t>支付剩余合同金额的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GB" w:eastAsia="zh-CN"/>
        </w:rPr>
        <w:t>0%。</w:t>
      </w:r>
    </w:p>
    <w:p>
      <w:pPr>
        <w:pStyle w:val="12"/>
        <w:numPr>
          <w:ilvl w:val="0"/>
          <w:numId w:val="0"/>
        </w:numPr>
        <w:tabs>
          <w:tab w:val="left" w:pos="1069"/>
        </w:tabs>
        <w:snapToGrid w:val="0"/>
        <w:spacing w:line="400" w:lineRule="exact"/>
        <w:ind w:firstLine="223" w:firstLineChars="100"/>
        <w:rPr>
          <w:rFonts w:hint="eastAsia" w:hAnsi="宋体" w:cs="宋体"/>
          <w:b/>
          <w:color w:val="auto"/>
          <w:kern w:val="2"/>
          <w:sz w:val="22"/>
          <w:szCs w:val="22"/>
          <w:highlight w:val="none"/>
        </w:rPr>
      </w:pPr>
      <w:r>
        <w:rPr>
          <w:rFonts w:hint="eastAsia" w:hAnsi="宋体" w:cs="宋体"/>
          <w:b/>
          <w:color w:val="auto"/>
          <w:kern w:val="2"/>
          <w:sz w:val="22"/>
          <w:szCs w:val="22"/>
          <w:highlight w:val="none"/>
          <w:lang w:val="en-US" w:eastAsia="zh-CN"/>
        </w:rPr>
        <w:t>七、</w:t>
      </w:r>
      <w:r>
        <w:rPr>
          <w:rFonts w:hint="eastAsia" w:hAnsi="宋体" w:cs="宋体"/>
          <w:b/>
          <w:color w:val="auto"/>
          <w:kern w:val="2"/>
          <w:sz w:val="22"/>
          <w:szCs w:val="22"/>
          <w:highlight w:val="none"/>
        </w:rPr>
        <w:t>验收</w:t>
      </w:r>
    </w:p>
    <w:p>
      <w:pPr>
        <w:pStyle w:val="12"/>
        <w:tabs>
          <w:tab w:val="left" w:pos="1069"/>
        </w:tabs>
        <w:snapToGrid w:val="0"/>
        <w:spacing w:line="400" w:lineRule="exact"/>
        <w:ind w:firstLine="223" w:firstLineChars="100"/>
        <w:rPr>
          <w:rFonts w:hint="eastAsia" w:hAnsi="宋体" w:cs="宋体"/>
          <w:b/>
          <w:color w:val="auto"/>
          <w:sz w:val="22"/>
          <w:szCs w:val="22"/>
          <w:highlight w:val="none"/>
        </w:rPr>
      </w:pPr>
      <w:r>
        <w:rPr>
          <w:rFonts w:hint="eastAsia" w:hAnsi="宋体" w:cs="宋体"/>
          <w:bCs/>
          <w:color w:val="auto"/>
          <w:kern w:val="2"/>
          <w:sz w:val="22"/>
          <w:szCs w:val="22"/>
          <w:highlight w:val="none"/>
        </w:rPr>
        <w:t>验收期间相关费用由</w:t>
      </w:r>
      <w:r>
        <w:rPr>
          <w:rFonts w:hint="eastAsia" w:hAnsi="宋体" w:cs="宋体"/>
          <w:bCs/>
          <w:color w:val="auto"/>
          <w:kern w:val="2"/>
          <w:sz w:val="22"/>
          <w:szCs w:val="22"/>
          <w:highlight w:val="none"/>
          <w:lang w:val="en-US" w:eastAsia="zh-CN"/>
        </w:rPr>
        <w:t>乙方</w:t>
      </w:r>
      <w:r>
        <w:rPr>
          <w:rFonts w:hint="eastAsia" w:hAnsi="宋体" w:cs="宋体"/>
          <w:bCs/>
          <w:color w:val="auto"/>
          <w:kern w:val="2"/>
          <w:sz w:val="22"/>
          <w:szCs w:val="22"/>
          <w:highlight w:val="none"/>
        </w:rPr>
        <w:t>支付，甲方不另外支付费用。</w:t>
      </w:r>
    </w:p>
    <w:p>
      <w:pPr>
        <w:pStyle w:val="12"/>
        <w:tabs>
          <w:tab w:val="left" w:pos="1069"/>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
          <w:color w:val="auto"/>
          <w:sz w:val="22"/>
          <w:szCs w:val="22"/>
          <w:highlight w:val="none"/>
          <w:lang w:val="en-US" w:eastAsia="zh-CN"/>
        </w:rPr>
        <w:t>八</w:t>
      </w:r>
      <w:r>
        <w:rPr>
          <w:rFonts w:hint="eastAsia" w:hAnsi="宋体" w:cs="宋体"/>
          <w:b/>
          <w:color w:val="auto"/>
          <w:sz w:val="22"/>
          <w:szCs w:val="22"/>
          <w:highlight w:val="none"/>
        </w:rPr>
        <w:t>、税费</w:t>
      </w:r>
    </w:p>
    <w:p>
      <w:pPr>
        <w:pStyle w:val="12"/>
        <w:tabs>
          <w:tab w:val="left" w:pos="1069"/>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本合同执行中相关的一切税费均由乙方负担。</w:t>
      </w:r>
      <w:r>
        <w:rPr>
          <w:rFonts w:hint="eastAsia" w:hAnsi="宋体" w:cs="宋体"/>
          <w:bCs/>
          <w:color w:val="auto"/>
          <w:sz w:val="22"/>
          <w:szCs w:val="22"/>
          <w:highlight w:val="none"/>
        </w:rPr>
        <w:br w:type="textWrapping"/>
      </w:r>
      <w:r>
        <w:rPr>
          <w:rFonts w:hint="eastAsia" w:hAnsi="宋体" w:cs="宋体"/>
          <w:b/>
          <w:bCs w:val="0"/>
          <w:color w:val="auto"/>
          <w:sz w:val="22"/>
          <w:szCs w:val="22"/>
          <w:highlight w:val="none"/>
          <w:lang w:val="en-US" w:eastAsia="zh-CN"/>
        </w:rPr>
        <w:t>九</w:t>
      </w:r>
      <w:r>
        <w:rPr>
          <w:rFonts w:hint="eastAsia" w:hAnsi="宋体" w:cs="宋体"/>
          <w:b/>
          <w:bCs w:val="0"/>
          <w:color w:val="auto"/>
          <w:sz w:val="22"/>
          <w:szCs w:val="22"/>
          <w:highlight w:val="none"/>
        </w:rPr>
        <w:t>、质</w:t>
      </w:r>
      <w:r>
        <w:rPr>
          <w:rFonts w:hint="eastAsia" w:hAnsi="宋体" w:cs="宋体"/>
          <w:b/>
          <w:color w:val="auto"/>
          <w:sz w:val="22"/>
          <w:szCs w:val="22"/>
          <w:highlight w:val="none"/>
        </w:rPr>
        <w:t>量保证及后续服务</w:t>
      </w:r>
      <w:r>
        <w:rPr>
          <w:rFonts w:hint="eastAsia" w:hAnsi="宋体" w:cs="宋体"/>
          <w:bCs/>
          <w:color w:val="auto"/>
          <w:sz w:val="22"/>
          <w:szCs w:val="22"/>
          <w:highlight w:val="none"/>
        </w:rPr>
        <w:br w:type="textWrapping"/>
      </w:r>
      <w:r>
        <w:rPr>
          <w:rFonts w:hint="eastAsia" w:hAnsi="宋体" w:cs="宋体"/>
          <w:bCs/>
          <w:color w:val="auto"/>
          <w:sz w:val="22"/>
          <w:szCs w:val="22"/>
          <w:highlight w:val="none"/>
        </w:rPr>
        <w:t>1．乙方应按响应文件承诺及采购文件规定向甲方提供服务。</w:t>
      </w:r>
      <w:r>
        <w:rPr>
          <w:rFonts w:hint="eastAsia" w:hAnsi="宋体" w:cs="宋体"/>
          <w:bCs/>
          <w:color w:val="auto"/>
          <w:sz w:val="22"/>
          <w:szCs w:val="22"/>
          <w:highlight w:val="none"/>
        </w:rPr>
        <w:br w:type="textWrapping"/>
      </w:r>
      <w:r>
        <w:rPr>
          <w:rFonts w:hint="eastAsia" w:hAnsi="宋体" w:cs="宋体"/>
          <w:bCs/>
          <w:color w:val="auto"/>
          <w:sz w:val="22"/>
          <w:szCs w:val="22"/>
          <w:highlight w:val="none"/>
          <w:lang w:val="en-US" w:eastAsia="zh-CN"/>
        </w:rPr>
        <w:t>2</w:t>
      </w:r>
      <w:r>
        <w:rPr>
          <w:rFonts w:hint="eastAsia" w:hAnsi="宋体" w:cs="宋体"/>
          <w:bCs/>
          <w:color w:val="auto"/>
          <w:sz w:val="22"/>
          <w:szCs w:val="22"/>
          <w:highlight w:val="none"/>
        </w:rPr>
        <w:t>．乙方提供的服务成果在服务质量保证期内发生质量问题，乙方应负责免费提供后续服务。对达不到要求者，根据实际情况，经双方协商，可按以下办法处理：</w:t>
      </w:r>
      <w:r>
        <w:rPr>
          <w:rFonts w:hint="eastAsia" w:hAnsi="宋体" w:cs="宋体"/>
          <w:bCs/>
          <w:color w:val="auto"/>
          <w:sz w:val="22"/>
          <w:szCs w:val="22"/>
          <w:highlight w:val="none"/>
        </w:rPr>
        <w:br w:type="textWrapping"/>
      </w:r>
      <w:r>
        <w:rPr>
          <w:rFonts w:hint="eastAsia" w:hAnsi="宋体" w:cs="宋体"/>
          <w:bCs/>
          <w:color w:val="auto"/>
          <w:sz w:val="22"/>
          <w:szCs w:val="22"/>
          <w:highlight w:val="none"/>
        </w:rPr>
        <w:t>（1）重做：由乙方承担所发生的全部费用。</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（2）贬值处理：由甲乙双方合议定价。</w:t>
      </w:r>
      <w:r>
        <w:rPr>
          <w:rFonts w:hint="eastAsia" w:hAnsi="宋体" w:cs="宋体"/>
          <w:bCs/>
          <w:color w:val="auto"/>
          <w:sz w:val="22"/>
          <w:szCs w:val="22"/>
          <w:highlight w:val="none"/>
        </w:rPr>
        <w:br w:type="textWrapping"/>
      </w:r>
      <w:r>
        <w:rPr>
          <w:rFonts w:hint="eastAsia" w:hAnsi="宋体" w:cs="宋体"/>
          <w:bCs/>
          <w:color w:val="auto"/>
          <w:sz w:val="22"/>
          <w:szCs w:val="22"/>
          <w:highlight w:val="none"/>
        </w:rPr>
        <w:t>（3）解除合同。</w:t>
      </w:r>
    </w:p>
    <w:p>
      <w:pPr>
        <w:pStyle w:val="12"/>
        <w:tabs>
          <w:tab w:val="left" w:pos="1069"/>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lang w:val="en-US" w:eastAsia="zh-CN"/>
        </w:rPr>
        <w:t>3</w:t>
      </w:r>
      <w:r>
        <w:rPr>
          <w:rFonts w:hint="eastAsia" w:hAnsi="宋体" w:cs="宋体"/>
          <w:bCs/>
          <w:color w:val="auto"/>
          <w:sz w:val="22"/>
          <w:szCs w:val="22"/>
          <w:highlight w:val="none"/>
        </w:rPr>
        <w:t>.乙方需提供7×24小时电话技术咨询支持，在收到甲方质量问题通知后30分钟内须作出有效响应，如非现场响应无法解决问题的，须到达现场解决问题。</w:t>
      </w:r>
      <w:r>
        <w:rPr>
          <w:rFonts w:hint="eastAsia" w:hAnsi="宋体" w:cs="宋体"/>
          <w:bCs/>
          <w:color w:val="auto"/>
          <w:sz w:val="22"/>
          <w:szCs w:val="22"/>
          <w:highlight w:val="none"/>
        </w:rPr>
        <w:br w:type="textWrapping"/>
      </w:r>
      <w:r>
        <w:rPr>
          <w:rFonts w:hint="eastAsia" w:hAnsi="宋体" w:cs="宋体"/>
          <w:bCs/>
          <w:color w:val="auto"/>
          <w:sz w:val="22"/>
          <w:szCs w:val="22"/>
          <w:highlight w:val="none"/>
        </w:rPr>
        <w:t xml:space="preserve"> </w:t>
      </w:r>
      <w:r>
        <w:rPr>
          <w:rFonts w:hint="eastAsia" w:hAnsi="宋体" w:cs="宋体"/>
          <w:b/>
          <w:color w:val="auto"/>
          <w:sz w:val="22"/>
          <w:szCs w:val="22"/>
          <w:highlight w:val="none"/>
        </w:rPr>
        <w:t>十、违约责任</w:t>
      </w:r>
      <w:r>
        <w:rPr>
          <w:rFonts w:hint="eastAsia" w:hAnsi="宋体" w:cs="宋体"/>
          <w:b/>
          <w:color w:val="auto"/>
          <w:sz w:val="22"/>
          <w:szCs w:val="22"/>
          <w:highlight w:val="none"/>
        </w:rPr>
        <w:br w:type="textWrapping"/>
      </w:r>
      <w:r>
        <w:rPr>
          <w:rFonts w:hint="eastAsia" w:hAnsi="宋体" w:cs="宋体"/>
          <w:bCs/>
          <w:color w:val="auto"/>
          <w:sz w:val="22"/>
          <w:szCs w:val="22"/>
          <w:highlight w:val="none"/>
        </w:rPr>
        <w:t xml:space="preserve"> 1.乙方没有达到服务质量要求，甲方有权终止服务合同并停止付款及扣除全部服务质量保证金。</w:t>
      </w:r>
      <w:r>
        <w:rPr>
          <w:rFonts w:hint="eastAsia" w:hAnsi="宋体" w:cs="宋体"/>
          <w:bCs/>
          <w:color w:val="auto"/>
          <w:sz w:val="22"/>
          <w:szCs w:val="22"/>
          <w:highlight w:val="none"/>
        </w:rPr>
        <w:br w:type="textWrapping"/>
      </w:r>
      <w:r>
        <w:rPr>
          <w:rFonts w:hint="eastAsia" w:hAnsi="宋体" w:cs="宋体"/>
          <w:bCs/>
          <w:color w:val="auto"/>
          <w:sz w:val="22"/>
          <w:szCs w:val="22"/>
          <w:highlight w:val="none"/>
        </w:rPr>
        <w:t xml:space="preserve"> 2.甲方无正当理理由拒收接受服务的，甲方向乙方偿付合同款项百分之五作为违约金</w:t>
      </w:r>
      <w:r>
        <w:rPr>
          <w:rFonts w:hint="eastAsia" w:hAnsi="宋体" w:cs="宋体"/>
          <w:bCs/>
          <w:color w:val="auto"/>
          <w:sz w:val="22"/>
          <w:szCs w:val="22"/>
          <w:highlight w:val="none"/>
        </w:rPr>
        <w:br w:type="textWrapping"/>
      </w:r>
      <w:r>
        <w:rPr>
          <w:rFonts w:hint="eastAsia" w:hAnsi="宋体" w:cs="宋体"/>
          <w:bCs/>
          <w:color w:val="auto"/>
          <w:sz w:val="22"/>
          <w:szCs w:val="22"/>
          <w:highlight w:val="none"/>
        </w:rPr>
        <w:t xml:space="preserve"> 3.甲方无故逾期考核验收和办理款项支付手续的，甲方应按逾期付款总额每日万分之五向乙方支付违约金。</w:t>
      </w:r>
      <w:r>
        <w:rPr>
          <w:rFonts w:hint="eastAsia" w:hAnsi="宋体" w:cs="宋体"/>
          <w:bCs/>
          <w:color w:val="auto"/>
          <w:sz w:val="22"/>
          <w:szCs w:val="22"/>
          <w:highlight w:val="none"/>
        </w:rPr>
        <w:br w:type="textWrapping"/>
      </w:r>
      <w:r>
        <w:rPr>
          <w:rFonts w:hint="eastAsia" w:hAnsi="宋体" w:cs="宋体"/>
          <w:bCs/>
          <w:color w:val="auto"/>
          <w:sz w:val="22"/>
          <w:szCs w:val="22"/>
          <w:highlight w:val="none"/>
        </w:rPr>
        <w:t xml:space="preserve"> 4.乙方未能如期提供服务的，</w:t>
      </w:r>
      <w:r>
        <w:rPr>
          <w:rFonts w:hint="eastAsia" w:hAnsi="宋体" w:cs="宋体"/>
          <w:bCs/>
          <w:color w:val="auto"/>
          <w:sz w:val="22"/>
          <w:szCs w:val="22"/>
          <w:highlight w:val="none"/>
          <w:lang w:val="zh-CN"/>
        </w:rPr>
        <w:t>每滞后一天按1000元/天</w:t>
      </w:r>
      <w:r>
        <w:rPr>
          <w:rFonts w:hint="eastAsia" w:hAnsi="宋体" w:cs="宋体"/>
          <w:bCs/>
          <w:color w:val="auto"/>
          <w:sz w:val="22"/>
          <w:szCs w:val="22"/>
          <w:highlight w:val="none"/>
        </w:rPr>
        <w:t>。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r>
        <w:rPr>
          <w:rFonts w:hint="eastAsia" w:hAnsi="宋体" w:cs="宋体"/>
          <w:bCs/>
          <w:color w:val="auto"/>
          <w:sz w:val="22"/>
          <w:szCs w:val="22"/>
          <w:highlight w:val="none"/>
        </w:rPr>
        <w:br w:type="textWrapping"/>
      </w:r>
      <w:r>
        <w:rPr>
          <w:rFonts w:hint="eastAsia" w:hAnsi="宋体" w:cs="宋体"/>
          <w:b/>
          <w:color w:val="auto"/>
          <w:sz w:val="22"/>
          <w:szCs w:val="22"/>
          <w:highlight w:val="none"/>
        </w:rPr>
        <w:t>十一、合同生效和终止</w:t>
      </w:r>
      <w:r>
        <w:rPr>
          <w:rFonts w:hint="eastAsia" w:hAnsi="宋体" w:cs="宋体"/>
          <w:b/>
          <w:color w:val="auto"/>
          <w:sz w:val="22"/>
          <w:szCs w:val="22"/>
          <w:highlight w:val="none"/>
        </w:rPr>
        <w:br w:type="textWrapping"/>
      </w:r>
      <w:r>
        <w:rPr>
          <w:rFonts w:hint="eastAsia" w:hAnsi="宋体" w:cs="宋体"/>
          <w:bCs/>
          <w:color w:val="auto"/>
          <w:sz w:val="22"/>
          <w:szCs w:val="22"/>
          <w:highlight w:val="none"/>
        </w:rPr>
        <w:t>1.本合同经双方法定代表人或其授权代表签字盖章后生效。</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2.终止</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2.1提前终止</w:t>
      </w:r>
      <w:r>
        <w:rPr>
          <w:rFonts w:hint="eastAsia" w:hAnsi="宋体" w:cs="宋体"/>
          <w:bCs/>
          <w:color w:val="auto"/>
          <w:sz w:val="22"/>
          <w:szCs w:val="22"/>
          <w:highlight w:val="none"/>
        </w:rPr>
        <w:br w:type="textWrapping"/>
      </w:r>
      <w:r>
        <w:rPr>
          <w:rFonts w:hint="eastAsia" w:hAnsi="宋体" w:cs="宋体"/>
          <w:bCs/>
          <w:color w:val="auto"/>
          <w:sz w:val="22"/>
          <w:szCs w:val="22"/>
          <w:highlight w:val="none"/>
        </w:rPr>
        <w:t>（1）乙方未能提供符合本合同约定的服务要求，甲方有权向乙方发出书面通知提前终止合同。</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（2）乙方亦可向甲方提前二个月发出书面通知终止执行合同，但需获得甲方同意。甲方有正当理由不同意的，则乙方应继续履约。</w:t>
      </w:r>
      <w:r>
        <w:rPr>
          <w:rFonts w:hint="eastAsia" w:hAnsi="宋体" w:cs="宋体"/>
          <w:bCs/>
          <w:color w:val="auto"/>
          <w:sz w:val="22"/>
          <w:szCs w:val="22"/>
          <w:highlight w:val="none"/>
        </w:rPr>
        <w:br w:type="textWrapping"/>
      </w:r>
      <w:r>
        <w:rPr>
          <w:rFonts w:hint="eastAsia" w:hAnsi="宋体" w:cs="宋体"/>
          <w:bCs/>
          <w:color w:val="auto"/>
          <w:sz w:val="22"/>
          <w:szCs w:val="22"/>
          <w:highlight w:val="none"/>
        </w:rPr>
        <w:t>（3）乙方未能履行合同和遵守有关规定，在甲方发出书面警告后仍未采取补救措施或补救措施无效的，甲方可立即终止合同。</w:t>
      </w:r>
      <w:r>
        <w:rPr>
          <w:rFonts w:hint="eastAsia" w:hAnsi="宋体" w:cs="宋体"/>
          <w:bCs/>
          <w:color w:val="auto"/>
          <w:sz w:val="22"/>
          <w:szCs w:val="22"/>
          <w:highlight w:val="none"/>
        </w:rPr>
        <w:br w:type="textWrapping"/>
      </w:r>
      <w:r>
        <w:rPr>
          <w:rFonts w:hint="eastAsia" w:hAnsi="宋体" w:cs="宋体"/>
          <w:bCs/>
          <w:color w:val="auto"/>
          <w:sz w:val="22"/>
          <w:szCs w:val="22"/>
          <w:highlight w:val="none"/>
        </w:rPr>
        <w:t>（4）乙方破产清算、重组及兼并等事实发生，或被债权人接管经营，甲方不必通知乙方即可终止合同。</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2.2自然终止</w:t>
      </w:r>
      <w:r>
        <w:rPr>
          <w:rFonts w:hint="eastAsia" w:hAnsi="宋体" w:cs="宋体"/>
          <w:bCs/>
          <w:color w:val="auto"/>
          <w:sz w:val="22"/>
          <w:szCs w:val="22"/>
          <w:highlight w:val="none"/>
        </w:rPr>
        <w:br w:type="textWrapping"/>
      </w:r>
      <w:r>
        <w:rPr>
          <w:rFonts w:hint="eastAsia" w:hAnsi="宋体" w:cs="宋体"/>
          <w:bCs/>
          <w:color w:val="auto"/>
          <w:sz w:val="22"/>
          <w:szCs w:val="22"/>
          <w:highlight w:val="none"/>
        </w:rPr>
        <w:t>合同约定的服务期限届满，本合同自然终止。</w:t>
      </w:r>
      <w:r>
        <w:rPr>
          <w:rFonts w:hint="eastAsia" w:hAnsi="宋体" w:cs="宋体"/>
          <w:bCs/>
          <w:color w:val="auto"/>
          <w:sz w:val="22"/>
          <w:szCs w:val="22"/>
          <w:highlight w:val="none"/>
        </w:rPr>
        <w:br w:type="textWrapping"/>
      </w:r>
      <w:r>
        <w:rPr>
          <w:rFonts w:hint="eastAsia" w:hAnsi="宋体" w:cs="宋体"/>
          <w:b/>
          <w:color w:val="auto"/>
          <w:sz w:val="22"/>
          <w:szCs w:val="22"/>
          <w:highlight w:val="none"/>
        </w:rPr>
        <w:t>十</w:t>
      </w:r>
      <w:r>
        <w:rPr>
          <w:rFonts w:hint="eastAsia" w:hAnsi="宋体" w:cs="宋体"/>
          <w:b/>
          <w:color w:val="auto"/>
          <w:sz w:val="22"/>
          <w:szCs w:val="22"/>
          <w:highlight w:val="none"/>
          <w:lang w:val="en-US" w:eastAsia="zh-CN"/>
        </w:rPr>
        <w:t>二</w:t>
      </w:r>
      <w:r>
        <w:rPr>
          <w:rFonts w:hint="eastAsia" w:hAnsi="宋体" w:cs="宋体"/>
          <w:b/>
          <w:color w:val="auto"/>
          <w:sz w:val="22"/>
          <w:szCs w:val="22"/>
          <w:highlight w:val="none"/>
        </w:rPr>
        <w:t>、争议的解决</w:t>
      </w:r>
      <w:r>
        <w:rPr>
          <w:rFonts w:hint="eastAsia" w:hAnsi="宋体" w:cs="宋体"/>
          <w:b/>
          <w:color w:val="auto"/>
          <w:sz w:val="22"/>
          <w:szCs w:val="22"/>
          <w:highlight w:val="none"/>
        </w:rPr>
        <w:br w:type="textWrapping"/>
      </w:r>
      <w:r>
        <w:rPr>
          <w:rFonts w:hint="eastAsia" w:hAnsi="宋体" w:cs="宋体"/>
          <w:bCs/>
          <w:color w:val="auto"/>
          <w:sz w:val="22"/>
          <w:szCs w:val="22"/>
          <w:highlight w:val="none"/>
        </w:rPr>
        <w:t xml:space="preserve">   因本合同引起的或与本合同有关的任何争议，合同双方应首先通过协商解决，达成书面协议，如协商不成，可选择下列第（2）种方式解决。</w:t>
      </w:r>
      <w:r>
        <w:rPr>
          <w:rFonts w:hint="eastAsia" w:hAnsi="宋体" w:cs="宋体"/>
          <w:bCs/>
          <w:color w:val="auto"/>
          <w:sz w:val="22"/>
          <w:szCs w:val="22"/>
          <w:highlight w:val="none"/>
        </w:rPr>
        <w:br w:type="textWrapping"/>
      </w:r>
      <w:r>
        <w:rPr>
          <w:rFonts w:hint="eastAsia" w:hAnsi="宋体" w:cs="宋体"/>
          <w:bCs/>
          <w:color w:val="auto"/>
          <w:sz w:val="22"/>
          <w:szCs w:val="22"/>
          <w:highlight w:val="none"/>
        </w:rPr>
        <w:t>（1）提请温州仲裁委员会按照该会仲裁规则进行仲裁，仲裁裁决是终局的，对合同双方均有约束力。</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（2）向泰顺县人民法院提起诉讼。</w:t>
      </w:r>
      <w:r>
        <w:rPr>
          <w:rFonts w:hint="eastAsia" w:hAnsi="宋体" w:cs="宋体"/>
          <w:bCs/>
          <w:color w:val="auto"/>
          <w:sz w:val="22"/>
          <w:szCs w:val="22"/>
          <w:highlight w:val="none"/>
        </w:rPr>
        <w:br w:type="textWrapping"/>
      </w:r>
      <w:r>
        <w:rPr>
          <w:rFonts w:hint="eastAsia" w:hAnsi="宋体" w:cs="宋体"/>
          <w:b/>
          <w:color w:val="auto"/>
          <w:sz w:val="22"/>
          <w:szCs w:val="22"/>
          <w:highlight w:val="none"/>
        </w:rPr>
        <w:t>十</w:t>
      </w:r>
      <w:r>
        <w:rPr>
          <w:rFonts w:hint="eastAsia" w:hAnsi="宋体" w:cs="宋体"/>
          <w:b/>
          <w:color w:val="auto"/>
          <w:sz w:val="22"/>
          <w:szCs w:val="22"/>
          <w:highlight w:val="none"/>
          <w:lang w:val="en-US" w:eastAsia="zh-CN"/>
        </w:rPr>
        <w:t>三</w:t>
      </w:r>
      <w:r>
        <w:rPr>
          <w:rFonts w:hint="eastAsia" w:hAnsi="宋体" w:cs="宋体"/>
          <w:b/>
          <w:color w:val="auto"/>
          <w:sz w:val="22"/>
          <w:szCs w:val="22"/>
          <w:highlight w:val="none"/>
        </w:rPr>
        <w:t>、不可抗力</w:t>
      </w:r>
      <w:r>
        <w:rPr>
          <w:rFonts w:hint="eastAsia" w:hAnsi="宋体" w:cs="宋体"/>
          <w:b/>
          <w:color w:val="auto"/>
          <w:sz w:val="22"/>
          <w:szCs w:val="22"/>
          <w:highlight w:val="none"/>
        </w:rPr>
        <w:br w:type="textWrapping"/>
      </w:r>
      <w:r>
        <w:rPr>
          <w:rFonts w:hint="eastAsia" w:hAnsi="宋体" w:cs="宋体"/>
          <w:bCs/>
          <w:color w:val="auto"/>
          <w:sz w:val="22"/>
          <w:szCs w:val="22"/>
          <w:highlight w:val="none"/>
        </w:rPr>
        <w:t xml:space="preserve"> 1.合同存续期间发生地震、火灾及其他双方不能控制的原因，导致服务区域损毁或灭</w:t>
      </w:r>
      <w:r>
        <w:rPr>
          <w:rFonts w:hint="eastAsia" w:hAnsi="宋体" w:cs="宋体"/>
          <w:bCs/>
          <w:color w:val="auto"/>
          <w:sz w:val="22"/>
          <w:szCs w:val="22"/>
          <w:highlight w:val="none"/>
        </w:rPr>
        <w:br w:type="textWrapping"/>
      </w:r>
      <w:r>
        <w:rPr>
          <w:rFonts w:hint="eastAsia" w:hAnsi="宋体" w:cs="宋体"/>
          <w:bCs/>
          <w:color w:val="auto"/>
          <w:sz w:val="22"/>
          <w:szCs w:val="22"/>
          <w:highlight w:val="none"/>
        </w:rPr>
        <w:t>失，合同不能或不能全部履行的。双方按以下各项执行：</w:t>
      </w:r>
      <w:r>
        <w:rPr>
          <w:rFonts w:hint="eastAsia" w:hAnsi="宋体" w:cs="宋体"/>
          <w:bCs/>
          <w:color w:val="auto"/>
          <w:sz w:val="22"/>
          <w:szCs w:val="22"/>
          <w:highlight w:val="none"/>
        </w:rPr>
        <w:br w:type="textWrapping"/>
      </w:r>
      <w:r>
        <w:rPr>
          <w:rFonts w:hint="eastAsia" w:hAnsi="宋体" w:cs="宋体"/>
          <w:bCs/>
          <w:color w:val="auto"/>
          <w:sz w:val="22"/>
          <w:szCs w:val="22"/>
          <w:highlight w:val="none"/>
        </w:rPr>
        <w:t>（1）任何一方均可以书面形式提出终止合同且无需做出任何赔偿。</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 因不可抗力导致合同终止，并不影响任何一方对不可抗力发生前的违约行为的合</w:t>
      </w:r>
      <w:r>
        <w:rPr>
          <w:rFonts w:hint="eastAsia" w:hAnsi="宋体" w:cs="宋体"/>
          <w:bCs/>
          <w:color w:val="auto"/>
          <w:sz w:val="22"/>
          <w:szCs w:val="22"/>
          <w:highlight w:val="none"/>
        </w:rPr>
        <w:br w:type="textWrapping"/>
      </w:r>
      <w:r>
        <w:rPr>
          <w:rFonts w:hint="eastAsia" w:hAnsi="宋体" w:cs="宋体"/>
          <w:bCs/>
          <w:color w:val="auto"/>
          <w:sz w:val="22"/>
          <w:szCs w:val="22"/>
          <w:highlight w:val="none"/>
        </w:rPr>
        <w:t>法追偿。</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2.遇国家政策调整，影响合同履行的，双方协商解决。</w:t>
      </w:r>
      <w:r>
        <w:rPr>
          <w:rFonts w:hint="eastAsia" w:hAnsi="宋体" w:cs="宋体"/>
          <w:bCs/>
          <w:color w:val="auto"/>
          <w:sz w:val="22"/>
          <w:szCs w:val="22"/>
          <w:highlight w:val="none"/>
        </w:rPr>
        <w:br w:type="textWrapping"/>
      </w:r>
      <w:r>
        <w:rPr>
          <w:rFonts w:hint="eastAsia" w:hAnsi="宋体" w:cs="宋体"/>
          <w:b/>
          <w:color w:val="auto"/>
          <w:sz w:val="22"/>
          <w:szCs w:val="22"/>
          <w:highlight w:val="none"/>
        </w:rPr>
        <w:t>十</w:t>
      </w:r>
      <w:r>
        <w:rPr>
          <w:rFonts w:hint="eastAsia" w:hAnsi="宋体" w:cs="宋体"/>
          <w:b/>
          <w:color w:val="auto"/>
          <w:sz w:val="22"/>
          <w:szCs w:val="22"/>
          <w:highlight w:val="none"/>
          <w:lang w:val="en-US" w:eastAsia="zh-CN"/>
        </w:rPr>
        <w:t>四</w:t>
      </w:r>
      <w:r>
        <w:rPr>
          <w:rFonts w:hint="eastAsia" w:hAnsi="宋体" w:cs="宋体"/>
          <w:b/>
          <w:color w:val="auto"/>
          <w:sz w:val="22"/>
          <w:szCs w:val="22"/>
          <w:highlight w:val="none"/>
        </w:rPr>
        <w:t>、合同生效</w:t>
      </w:r>
      <w:r>
        <w:rPr>
          <w:rFonts w:hint="eastAsia" w:hAnsi="宋体" w:cs="宋体"/>
          <w:b/>
          <w:color w:val="auto"/>
          <w:sz w:val="22"/>
          <w:szCs w:val="22"/>
          <w:highlight w:val="none"/>
        </w:rPr>
        <w:br w:type="textWrapping"/>
      </w:r>
      <w:r>
        <w:rPr>
          <w:rFonts w:hint="eastAsia" w:hAnsi="宋体" w:cs="宋体"/>
          <w:bCs/>
          <w:color w:val="auto"/>
          <w:sz w:val="22"/>
          <w:szCs w:val="22"/>
          <w:highlight w:val="none"/>
        </w:rPr>
        <w:t>1．中标（成交）通知书作为乙方与甲方签订合同的凭证。</w:t>
      </w:r>
      <w:r>
        <w:rPr>
          <w:rFonts w:hint="eastAsia" w:hAnsi="宋体" w:cs="宋体"/>
          <w:bCs/>
          <w:color w:val="auto"/>
          <w:sz w:val="22"/>
          <w:szCs w:val="22"/>
          <w:highlight w:val="none"/>
        </w:rPr>
        <w:br w:type="textWrapping"/>
      </w:r>
      <w:r>
        <w:rPr>
          <w:rFonts w:hint="eastAsia" w:hAnsi="宋体" w:cs="宋体"/>
          <w:bCs/>
          <w:color w:val="auto"/>
          <w:sz w:val="22"/>
          <w:szCs w:val="22"/>
          <w:highlight w:val="none"/>
        </w:rPr>
        <w:t>2．本合同经甲、乙双方法定代表人或其授权委托人签字并加盖单位公章后生效。</w:t>
      </w:r>
    </w:p>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3. 本合同一式伍份，甲、乙双方各执贰份，招标代理机构备案壹份。</w:t>
      </w:r>
      <w:r>
        <w:rPr>
          <w:rFonts w:hint="eastAsia" w:ascii="宋体" w:hAnsi="宋体" w:cs="宋体"/>
          <w:bCs/>
          <w:color w:val="auto"/>
          <w:sz w:val="22"/>
          <w:highlight w:val="none"/>
        </w:rPr>
        <w:br w:type="textWrapping"/>
      </w:r>
      <w:r>
        <w:rPr>
          <w:rFonts w:hint="eastAsia" w:ascii="宋体" w:hAnsi="宋体" w:cs="宋体"/>
          <w:b/>
          <w:color w:val="auto"/>
          <w:sz w:val="22"/>
          <w:highlight w:val="none"/>
        </w:rPr>
        <w:t>十</w:t>
      </w:r>
      <w:r>
        <w:rPr>
          <w:rFonts w:hint="eastAsia" w:ascii="宋体" w:hAnsi="宋体" w:cs="宋体"/>
          <w:b/>
          <w:color w:val="auto"/>
          <w:sz w:val="22"/>
          <w:highlight w:val="none"/>
          <w:lang w:val="en-US" w:eastAsia="zh-CN"/>
        </w:rPr>
        <w:t>五</w:t>
      </w:r>
      <w:r>
        <w:rPr>
          <w:rFonts w:hint="eastAsia" w:ascii="宋体" w:hAnsi="宋体" w:cs="宋体"/>
          <w:b/>
          <w:color w:val="auto"/>
          <w:sz w:val="22"/>
          <w:highlight w:val="none"/>
        </w:rPr>
        <w:t>、合同组成文件及解释顺序</w:t>
      </w:r>
      <w:r>
        <w:rPr>
          <w:rFonts w:hint="eastAsia" w:ascii="宋体" w:hAnsi="宋体" w:cs="宋体"/>
          <w:b/>
          <w:color w:val="auto"/>
          <w:sz w:val="22"/>
          <w:highlight w:val="none"/>
        </w:rPr>
        <w:br w:type="textWrapping"/>
      </w:r>
      <w:r>
        <w:rPr>
          <w:rFonts w:hint="eastAsia" w:ascii="宋体" w:hAnsi="宋体" w:cs="宋体"/>
          <w:bCs/>
          <w:color w:val="auto"/>
          <w:sz w:val="22"/>
          <w:highlight w:val="none"/>
        </w:rPr>
        <w:t>1．合同条款；</w:t>
      </w:r>
      <w:r>
        <w:rPr>
          <w:rFonts w:hint="eastAsia" w:ascii="宋体" w:hAnsi="宋体" w:cs="宋体"/>
          <w:bCs/>
          <w:color w:val="auto"/>
          <w:sz w:val="22"/>
          <w:highlight w:val="none"/>
        </w:rPr>
        <w:br w:type="textWrapping"/>
      </w:r>
      <w:r>
        <w:rPr>
          <w:rFonts w:hint="eastAsia" w:ascii="宋体" w:hAnsi="宋体" w:cs="宋体"/>
          <w:bCs/>
          <w:color w:val="auto"/>
          <w:sz w:val="22"/>
          <w:highlight w:val="none"/>
        </w:rPr>
        <w:t>2．中标（成交）通知书；</w:t>
      </w:r>
    </w:p>
    <w:p>
      <w:pPr>
        <w:widowControl/>
        <w:tabs>
          <w:tab w:val="left" w:pos="1069"/>
        </w:tabs>
        <w:spacing w:line="380" w:lineRule="exact"/>
        <w:jc w:val="left"/>
        <w:rPr>
          <w:rFonts w:hint="eastAsia" w:ascii="宋体" w:hAnsi="宋体" w:cs="宋体"/>
          <w:bCs/>
          <w:color w:val="auto"/>
          <w:sz w:val="22"/>
          <w:highlight w:val="none"/>
        </w:rPr>
      </w:pPr>
      <w:r>
        <w:rPr>
          <w:rFonts w:hint="eastAsia" w:ascii="宋体" w:hAnsi="宋体" w:cs="宋体"/>
          <w:bCs/>
          <w:color w:val="auto"/>
          <w:sz w:val="22"/>
          <w:highlight w:val="none"/>
        </w:rPr>
        <w:t>3．响应文件及澄清内容；</w:t>
      </w:r>
      <w:r>
        <w:rPr>
          <w:rFonts w:hint="eastAsia" w:ascii="宋体" w:hAnsi="宋体" w:cs="宋体"/>
          <w:bCs/>
          <w:color w:val="auto"/>
          <w:sz w:val="22"/>
          <w:highlight w:val="none"/>
        </w:rPr>
        <w:br w:type="textWrapping"/>
      </w:r>
      <w:r>
        <w:rPr>
          <w:rFonts w:hint="eastAsia" w:ascii="宋体" w:hAnsi="宋体" w:cs="宋体"/>
          <w:bCs/>
          <w:color w:val="auto"/>
          <w:sz w:val="22"/>
          <w:highlight w:val="none"/>
        </w:rPr>
        <w:t>4．澄清更正公告（如有）；</w:t>
      </w:r>
      <w:r>
        <w:rPr>
          <w:rFonts w:hint="eastAsia" w:ascii="宋体" w:hAnsi="宋体" w:cs="宋体"/>
          <w:bCs/>
          <w:color w:val="auto"/>
          <w:sz w:val="22"/>
          <w:highlight w:val="none"/>
        </w:rPr>
        <w:br w:type="textWrapping"/>
      </w:r>
      <w:r>
        <w:rPr>
          <w:rFonts w:hint="eastAsia" w:ascii="宋体" w:hAnsi="宋体" w:cs="宋体"/>
          <w:bCs/>
          <w:color w:val="auto"/>
          <w:sz w:val="22"/>
          <w:highlight w:val="none"/>
        </w:rPr>
        <w:t>5．采购文件。</w:t>
      </w:r>
      <w:r>
        <w:rPr>
          <w:rFonts w:hint="eastAsia" w:ascii="宋体" w:hAnsi="宋体" w:cs="宋体"/>
          <w:bCs/>
          <w:color w:val="auto"/>
          <w:sz w:val="22"/>
          <w:highlight w:val="none"/>
        </w:rPr>
        <w:br w:type="textWrapping"/>
      </w:r>
    </w:p>
    <w:tbl>
      <w:tblPr>
        <w:tblStyle w:val="2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甲方（盖章）：</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法定代表人签字</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法定（授权）代表人签字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c>
          <w:tcPr>
            <w:tcW w:w="4261" w:type="dxa"/>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2" w:type="dxa"/>
            <w:gridSpan w:val="2"/>
            <w:noWrap w:val="0"/>
            <w:vAlign w:val="top"/>
          </w:tcPr>
          <w:p>
            <w:pPr>
              <w:widowControl/>
              <w:tabs>
                <w:tab w:val="left" w:pos="1069"/>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签订地点：                         签订时间：                年  月  日</w:t>
            </w:r>
          </w:p>
        </w:tc>
      </w:tr>
    </w:tbl>
    <w:p>
      <w:pPr>
        <w:tabs>
          <w:tab w:val="left" w:pos="1069"/>
        </w:tabs>
        <w:spacing w:line="430" w:lineRule="atLeast"/>
        <w:rPr>
          <w:rFonts w:hint="eastAsia" w:ascii="宋体"/>
          <w:color w:val="auto"/>
          <w:sz w:val="22"/>
          <w:highlight w:val="none"/>
          <w:lang w:val="en-US" w:eastAsia="zh-CN"/>
        </w:rPr>
      </w:pPr>
      <w:r>
        <w:rPr>
          <w:rFonts w:ascii="宋体"/>
          <w:color w:val="auto"/>
          <w:sz w:val="22"/>
          <w:highlight w:val="none"/>
        </w:rPr>
        <w:t xml:space="preserve"> </w:t>
      </w:r>
      <w:r>
        <w:rPr>
          <w:rFonts w:hint="eastAsia" w:ascii="宋体"/>
          <w:color w:val="auto"/>
          <w:sz w:val="22"/>
          <w:highlight w:val="none"/>
          <w:lang w:val="en-US" w:eastAsia="zh-CN"/>
        </w:rPr>
        <w:t xml:space="preserve">  </w:t>
      </w:r>
    </w:p>
    <w:p>
      <w:pPr>
        <w:tabs>
          <w:tab w:val="left" w:pos="1069"/>
        </w:tabs>
        <w:spacing w:line="430" w:lineRule="atLeast"/>
        <w:ind w:firstLine="446" w:firstLineChars="200"/>
        <w:rPr>
          <w:rFonts w:hint="eastAsia" w:ascii="宋体"/>
          <w:color w:val="auto"/>
          <w:sz w:val="22"/>
          <w:highlight w:val="none"/>
          <w:lang w:val="en-US" w:eastAsia="zh-CN"/>
        </w:rPr>
      </w:pPr>
    </w:p>
    <w:p>
      <w:pPr>
        <w:tabs>
          <w:tab w:val="left" w:pos="1069"/>
        </w:tabs>
        <w:spacing w:line="430" w:lineRule="atLeast"/>
        <w:ind w:firstLine="669" w:firstLineChars="300"/>
        <w:rPr>
          <w:rFonts w:hint="eastAsia"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hint="eastAsia"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3"/>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pPr>
        <w:pStyle w:val="2"/>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2024年泰顺县天然富硒士地资源调查项目</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9"/>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TSCG202405003 </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pStyle w:val="7"/>
        <w:rPr>
          <w:color w:val="auto"/>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2024年泰顺县天然富硒士地资源调查项目</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TSCG202405003 </w:t>
      </w:r>
    </w:p>
    <w:p>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hAnsi="宋体" w:cs="宋体"/>
          <w:color w:val="auto"/>
          <w:sz w:val="22"/>
          <w:highlight w:val="none"/>
          <w:u w:val="single"/>
        </w:rPr>
        <w:t>元</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pPr>
              <w:pStyle w:val="12"/>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pPr>
              <w:pStyle w:val="12"/>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r>
              <w:rPr>
                <w:rFonts w:hint="eastAsia" w:hAnsi="宋体" w:cs="宋体"/>
                <w:color w:val="auto"/>
                <w:sz w:val="22"/>
                <w:highlight w:val="none"/>
                <w:lang w:val="en-US" w:eastAsia="zh-CN"/>
              </w:rPr>
              <w:t>总价</w:t>
            </w:r>
            <w:r>
              <w:rPr>
                <w:rFonts w:hint="eastAsia" w:hAnsi="宋体" w:cs="宋体"/>
                <w:color w:val="auto"/>
                <w:sz w:val="22"/>
                <w:highlight w:val="none"/>
              </w:rPr>
              <w:t>）</w:t>
            </w:r>
          </w:p>
        </w:tc>
        <w:tc>
          <w:tcPr>
            <w:tcW w:w="1540" w:type="dxa"/>
            <w:vAlign w:val="center"/>
          </w:tcPr>
          <w:p>
            <w:pPr>
              <w:pStyle w:val="12"/>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pPr>
              <w:pStyle w:val="12"/>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pPr>
              <w:pStyle w:val="12"/>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pPr>
              <w:pStyle w:val="12"/>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2024年泰顺县天然富硒士地资源调查项目</w:t>
            </w:r>
          </w:p>
        </w:tc>
        <w:tc>
          <w:tcPr>
            <w:tcW w:w="4225" w:type="dxa"/>
            <w:tcBorders>
              <w:left w:val="single" w:color="000000" w:sz="4" w:space="0"/>
            </w:tcBorders>
            <w:vAlign w:val="center"/>
          </w:tcPr>
          <w:p>
            <w:pPr>
              <w:pStyle w:val="12"/>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pPr>
              <w:pStyle w:val="12"/>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pPr>
              <w:pStyle w:val="12"/>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pPr>
              <w:pStyle w:val="12"/>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1000000</w:t>
            </w:r>
          </w:p>
        </w:tc>
      </w:tr>
    </w:tbl>
    <w:p>
      <w:pPr>
        <w:pStyle w:val="12"/>
        <w:tabs>
          <w:tab w:val="left" w:pos="1069"/>
          <w:tab w:val="left" w:pos="2352"/>
        </w:tabs>
        <w:spacing w:line="440" w:lineRule="atLeast"/>
        <w:rPr>
          <w:rFonts w:hAnsi="宋体" w:cs="宋体"/>
          <w:color w:val="auto"/>
          <w:sz w:val="22"/>
          <w:highlight w:val="none"/>
        </w:rPr>
      </w:pPr>
    </w:p>
    <w:p>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w:t>
      </w:r>
      <w:r>
        <w:rPr>
          <w:rFonts w:hint="eastAsia" w:ascii="宋体" w:hAnsi="宋体" w:cs="宋体"/>
          <w:b/>
          <w:bCs/>
          <w:color w:val="auto"/>
          <w:sz w:val="22"/>
          <w:highlight w:val="none"/>
          <w:u w:val="single"/>
          <w:lang w:val="en-US" w:eastAsia="zh-CN"/>
        </w:rPr>
        <w:t>投标总价</w:t>
      </w:r>
      <w:r>
        <w:rPr>
          <w:rFonts w:hint="eastAsia" w:ascii="宋体" w:hAnsi="宋体" w:cs="宋体"/>
          <w:color w:val="auto"/>
          <w:sz w:val="22"/>
          <w:highlight w:val="none"/>
        </w:rPr>
        <w:t>。</w:t>
      </w:r>
    </w:p>
    <w:p>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pPr>
        <w:pStyle w:val="12"/>
        <w:tabs>
          <w:tab w:val="left" w:pos="1069"/>
          <w:tab w:val="left" w:pos="2352"/>
        </w:tabs>
        <w:spacing w:line="440" w:lineRule="atLeast"/>
        <w:rPr>
          <w:rFonts w:hAnsi="宋体" w:cs="宋体"/>
          <w:b/>
          <w:bCs/>
          <w:color w:val="auto"/>
          <w:sz w:val="22"/>
          <w:highlight w:val="none"/>
        </w:rPr>
      </w:pPr>
    </w:p>
    <w:p>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lang w:val="zh-CN"/>
        </w:rPr>
      </w:pPr>
      <w:bookmarkStart w:id="64" w:name="_Toc31481_WPSOffice_Level2"/>
    </w:p>
    <w:p>
      <w:pPr>
        <w:pStyle w:val="3"/>
        <w:tabs>
          <w:tab w:val="left" w:pos="1069"/>
          <w:tab w:val="left" w:pos="2352"/>
        </w:tabs>
        <w:rPr>
          <w:rFonts w:ascii="宋体" w:hAnsi="宋体" w:cs="宋体"/>
          <w:color w:val="auto"/>
          <w:sz w:val="22"/>
          <w:highlight w:val="none"/>
          <w:lang w:val="zh-CN"/>
        </w:rPr>
      </w:pPr>
    </w:p>
    <w:p>
      <w:pPr>
        <w:pStyle w:val="3"/>
        <w:tabs>
          <w:tab w:val="left" w:pos="1069"/>
          <w:tab w:val="left" w:pos="2352"/>
        </w:tabs>
        <w:rPr>
          <w:rFonts w:ascii="宋体" w:hAnsi="宋体" w:cs="宋体"/>
          <w:color w:val="auto"/>
          <w:sz w:val="22"/>
          <w:highlight w:val="none"/>
          <w:lang w:val="zh-CN"/>
        </w:rPr>
      </w:pPr>
    </w:p>
    <w:p>
      <w:pPr>
        <w:pStyle w:val="3"/>
        <w:tabs>
          <w:tab w:val="left" w:pos="1069"/>
          <w:tab w:val="left" w:pos="2352"/>
        </w:tabs>
        <w:rPr>
          <w:rFonts w:ascii="宋体" w:hAnsi="宋体" w:cs="宋体"/>
          <w:color w:val="auto"/>
          <w:sz w:val="22"/>
          <w:highlight w:val="none"/>
          <w:lang w:val="zh-CN"/>
        </w:rPr>
      </w:pPr>
    </w:p>
    <w:bookmarkEnd w:id="64"/>
    <w:p>
      <w:pPr>
        <w:pStyle w:val="2"/>
        <w:tabs>
          <w:tab w:val="left" w:pos="1069"/>
          <w:tab w:val="left" w:pos="2352"/>
        </w:tabs>
        <w:rPr>
          <w:rFonts w:ascii="宋体" w:hAnsi="宋体" w:cs="宋体"/>
          <w:b/>
          <w:bCs/>
          <w:color w:val="auto"/>
          <w:sz w:val="32"/>
          <w:szCs w:val="32"/>
          <w:highlight w:val="none"/>
        </w:rPr>
      </w:pPr>
    </w:p>
    <w:p>
      <w:pPr>
        <w:pStyle w:val="2"/>
        <w:tabs>
          <w:tab w:val="left" w:pos="2352"/>
        </w:tabs>
        <w:rPr>
          <w:rFonts w:ascii="宋体"/>
          <w:b/>
          <w:bCs/>
          <w:color w:val="auto"/>
          <w:sz w:val="32"/>
          <w:szCs w:val="32"/>
          <w:highlight w:val="none"/>
        </w:rPr>
      </w:pPr>
    </w:p>
    <w:p>
      <w:pPr>
        <w:pStyle w:val="2"/>
        <w:tabs>
          <w:tab w:val="left" w:pos="2352"/>
        </w:tabs>
        <w:rPr>
          <w:rFonts w:hint="eastAsia" w:ascii="宋体"/>
          <w:b/>
          <w:bCs/>
          <w:color w:val="auto"/>
          <w:sz w:val="32"/>
          <w:szCs w:val="32"/>
          <w:highlight w:val="none"/>
        </w:rPr>
      </w:pPr>
    </w:p>
    <w:p>
      <w:pPr>
        <w:pStyle w:val="2"/>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2024年泰顺县天然富硒士地资源调查项目</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 xml:space="preserve">TSCG202405003 </w:t>
      </w:r>
    </w:p>
    <w:p>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9"/>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center"/>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560" w:type="dxa"/>
            <w:vAlign w:val="center"/>
          </w:tcPr>
          <w:p>
            <w:pPr>
              <w:tabs>
                <w:tab w:val="left" w:pos="2352"/>
              </w:tabs>
              <w:ind w:right="-11"/>
              <w:jc w:val="center"/>
              <w:rPr>
                <w:rFonts w:ascii="宋体" w:cs="Arial"/>
                <w:color w:val="auto"/>
                <w:sz w:val="22"/>
                <w:highlight w:val="none"/>
              </w:rPr>
            </w:pPr>
          </w:p>
        </w:tc>
      </w:tr>
    </w:tbl>
    <w:p>
      <w:pPr>
        <w:tabs>
          <w:tab w:val="left" w:pos="2352"/>
        </w:tabs>
        <w:rPr>
          <w:rFonts w:ascii="宋体" w:cs="Arial"/>
          <w:bCs/>
          <w:color w:val="auto"/>
          <w:sz w:val="22"/>
          <w:highlight w:val="none"/>
        </w:rPr>
      </w:pPr>
    </w:p>
    <w:p>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pPr>
        <w:ind w:firstLine="630"/>
        <w:rPr>
          <w:color w:val="auto"/>
          <w:sz w:val="22"/>
          <w:highlight w:val="none"/>
          <w:u w:val="single"/>
        </w:rPr>
      </w:pPr>
      <w:r>
        <w:rPr>
          <w:rFonts w:hint="eastAsia" w:ascii="宋体" w:cs="Arial"/>
          <w:color w:val="auto"/>
          <w:sz w:val="22"/>
          <w:highlight w:val="none"/>
        </w:rPr>
        <w:t xml:space="preserve">6.表格可以延续。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tabs>
          <w:tab w:val="left" w:pos="2352"/>
        </w:tabs>
        <w:spacing w:line="440" w:lineRule="atLeast"/>
        <w:rPr>
          <w:rFonts w:hAnsi="宋体"/>
          <w:color w:val="auto"/>
          <w:sz w:val="22"/>
          <w:highlight w:val="none"/>
        </w:rPr>
      </w:pPr>
      <w:r>
        <w:rPr>
          <w:rFonts w:hint="eastAsia" w:hAnsi="宋体"/>
          <w:color w:val="auto"/>
          <w:sz w:val="22"/>
          <w:highlight w:val="none"/>
        </w:rPr>
        <w:t>日期：</w:t>
      </w: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hint="eastAsia"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pPr>
        <w:pStyle w:val="2"/>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pacing w:line="480" w:lineRule="auto"/>
        <w:jc w:val="center"/>
        <w:rPr>
          <w:rFonts w:ascii="宋体" w:hAnsi="宋体" w:cs="宋体"/>
          <w:b/>
          <w:color w:val="auto"/>
          <w:sz w:val="64"/>
          <w:szCs w:val="64"/>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2024年泰顺县天然富硒士地资源调查项目</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9"/>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TSCG202405003 </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pPr>
        <w:tabs>
          <w:tab w:val="left" w:pos="1069"/>
          <w:tab w:val="left" w:pos="2352"/>
        </w:tabs>
        <w:autoSpaceDE w:val="0"/>
        <w:autoSpaceDN w:val="0"/>
        <w:adjustRightInd w:val="0"/>
        <w:spacing w:line="460" w:lineRule="atLeast"/>
        <w:jc w:val="center"/>
        <w:rPr>
          <w:rFonts w:ascii="宋体" w:hAnsi="宋体" w:cs="宋体"/>
          <w:color w:val="auto"/>
          <w:sz w:val="30"/>
          <w:highlight w:val="none"/>
          <w:lang w:val="zh-CN"/>
        </w:rPr>
      </w:pPr>
      <w:r>
        <w:rPr>
          <w:rFonts w:hint="eastAsia" w:ascii="宋体" w:hAnsi="宋体" w:cs="宋体"/>
          <w:b/>
          <w:bCs/>
          <w:color w:val="auto"/>
          <w:sz w:val="30"/>
          <w:highlight w:val="none"/>
          <w:lang w:val="zh-CN"/>
        </w:rPr>
        <w:t>具有良好的商业信誉和健全的财务会计制度</w:t>
      </w:r>
      <w:r>
        <w:rPr>
          <w:rFonts w:hint="eastAsia" w:ascii="宋体" w:hAnsi="宋体" w:cs="宋体"/>
          <w:b/>
          <w:bCs/>
          <w:color w:val="auto"/>
          <w:sz w:val="30"/>
          <w:highlight w:val="none"/>
        </w:rPr>
        <w:t>的</w:t>
      </w:r>
      <w:r>
        <w:rPr>
          <w:rFonts w:hint="eastAsia" w:ascii="宋体" w:hAnsi="宋体" w:cs="宋体"/>
          <w:b/>
          <w:bCs/>
          <w:color w:val="auto"/>
          <w:sz w:val="30"/>
          <w:highlight w:val="none"/>
          <w:lang w:val="zh-CN"/>
        </w:rPr>
        <w:t>承诺函</w:t>
      </w:r>
    </w:p>
    <w:p>
      <w:pPr>
        <w:tabs>
          <w:tab w:val="left" w:pos="1069"/>
          <w:tab w:val="left" w:pos="2352"/>
        </w:tabs>
        <w:spacing w:line="460" w:lineRule="exact"/>
        <w:rPr>
          <w:rFonts w:ascii="宋体" w:hAnsi="宋体" w:cs="宋体"/>
          <w:color w:val="auto"/>
          <w:sz w:val="22"/>
          <w:highlight w:val="none"/>
          <w:u w:val="single"/>
        </w:rPr>
      </w:pP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eastAsia="zh-CN"/>
        </w:rPr>
        <w:t>泰顺县自然资源和规划局</w:t>
      </w:r>
      <w:r>
        <w:rPr>
          <w:rFonts w:hint="eastAsia" w:ascii="宋体" w:hAnsi="宋体" w:cs="宋体"/>
          <w:color w:val="auto"/>
          <w:sz w:val="22"/>
          <w:highlight w:val="none"/>
          <w:u w:val="single"/>
        </w:rPr>
        <w:t>、杭州华旗招标代理有限公司：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承诺良好的商业信誉和健全的财务会计制度。如有虚假，采购人可取消我方任何资格（投标/中标/签订合同），我方对此无任何异议。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hAnsi="宋体" w:cs="宋体"/>
          <w:color w:val="auto"/>
          <w:sz w:val="22"/>
          <w:highlight w:val="none"/>
        </w:rPr>
      </w:pPr>
      <w:r>
        <w:rPr>
          <w:rFonts w:hint="eastAsia" w:hAnsi="宋体" w:cs="宋体"/>
          <w:color w:val="auto"/>
          <w:sz w:val="22"/>
          <w:highlight w:val="none"/>
        </w:rPr>
        <w:t>日期：</w:t>
      </w:r>
    </w:p>
    <w:p>
      <w:pPr>
        <w:pStyle w:val="12"/>
        <w:tabs>
          <w:tab w:val="left" w:pos="1069"/>
          <w:tab w:val="left" w:pos="2352"/>
        </w:tabs>
        <w:spacing w:line="440" w:lineRule="atLeast"/>
        <w:rPr>
          <w:rFonts w:hAnsi="宋体" w:cs="宋体"/>
          <w:color w:val="auto"/>
          <w:sz w:val="22"/>
          <w:highlight w:val="none"/>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int="eastAsia" w:hAnsi="宋体" w:cs="宋体"/>
          <w:b/>
          <w:bCs/>
          <w:color w:val="auto"/>
          <w:sz w:val="30"/>
          <w:highlight w:val="none"/>
          <w:lang w:val="zh-CN"/>
        </w:rPr>
      </w:pPr>
    </w:p>
    <w:p>
      <w:pPr>
        <w:pStyle w:val="12"/>
        <w:tabs>
          <w:tab w:val="left" w:pos="1069"/>
          <w:tab w:val="left" w:pos="2352"/>
        </w:tabs>
        <w:spacing w:line="440" w:lineRule="atLeast"/>
        <w:rPr>
          <w:rFonts w:hAnsi="宋体" w:cs="宋体"/>
          <w:color w:val="auto"/>
          <w:sz w:val="30"/>
          <w:highlight w:val="none"/>
          <w:lang w:val="zh-CN"/>
        </w:rPr>
      </w:pPr>
      <w:r>
        <w:rPr>
          <w:rFonts w:hint="eastAsia" w:hAnsi="宋体" w:cs="宋体"/>
          <w:b/>
          <w:bCs/>
          <w:color w:val="auto"/>
          <w:sz w:val="30"/>
          <w:highlight w:val="none"/>
          <w:lang w:val="zh-CN"/>
        </w:rPr>
        <w:t>附件</w:t>
      </w:r>
      <w:r>
        <w:rPr>
          <w:rFonts w:hint="eastAsia" w:hAnsi="宋体" w:cs="宋体"/>
          <w:b/>
          <w:bCs/>
          <w:color w:val="auto"/>
          <w:sz w:val="30"/>
          <w:highlight w:val="none"/>
        </w:rPr>
        <w:t>四</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eastAsia="zh-CN"/>
        </w:rPr>
        <w:t>泰顺县自然资源和规划局</w:t>
      </w:r>
      <w:r>
        <w:rPr>
          <w:rFonts w:hint="eastAsia" w:ascii="宋体" w:hAnsi="宋体" w:cs="宋体"/>
          <w:color w:val="auto"/>
          <w:sz w:val="22"/>
          <w:highlight w:val="none"/>
          <w:u w:val="single"/>
        </w:rPr>
        <w:t>、杭州华旗招标代理有限公司：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rPr>
          <w:color w:val="auto"/>
          <w:highlight w:val="none"/>
          <w:lang w:val="zh-CN"/>
        </w:rPr>
      </w:pPr>
    </w:p>
    <w:p>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color w:val="auto"/>
          <w:sz w:val="36"/>
          <w:highlight w:val="none"/>
        </w:rPr>
      </w:pPr>
      <w:r>
        <w:rPr>
          <w:rFonts w:hint="eastAsia" w:ascii="宋体" w:hAnsi="宋体" w:cs="宋体"/>
          <w:color w:val="auto"/>
          <w:sz w:val="36"/>
          <w:highlight w:val="none"/>
        </w:rPr>
        <w:br w:type="page"/>
      </w:r>
    </w:p>
    <w:p>
      <w:pPr>
        <w:tabs>
          <w:tab w:val="left" w:pos="1069"/>
          <w:tab w:val="left" w:pos="2352"/>
        </w:tabs>
        <w:autoSpaceDE w:val="0"/>
        <w:autoSpaceDN w:val="0"/>
        <w:adjustRightInd w:val="0"/>
        <w:spacing w:line="460" w:lineRule="atLeast"/>
        <w:jc w:val="left"/>
        <w:rPr>
          <w:rFonts w:ascii="宋体" w:hAnsi="宋体" w:cs="宋体"/>
          <w:b/>
          <w:bCs/>
          <w:color w:val="auto"/>
          <w:sz w:val="30"/>
          <w:highlight w:val="none"/>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五</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有依法缴纳税收和社会保障资金的良好记录的承诺函</w:t>
      </w:r>
    </w:p>
    <w:p>
      <w:pPr>
        <w:tabs>
          <w:tab w:val="left" w:pos="1069"/>
          <w:tab w:val="left" w:pos="2352"/>
        </w:tabs>
        <w:spacing w:line="460" w:lineRule="exact"/>
        <w:rPr>
          <w:rFonts w:ascii="宋体" w:hAnsi="宋体" w:cs="宋体"/>
          <w:color w:val="auto"/>
          <w:sz w:val="22"/>
          <w:highlight w:val="none"/>
          <w:u w:val="single"/>
        </w:rPr>
      </w:pP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eastAsia="zh-CN"/>
        </w:rPr>
        <w:t>泰顺县自然资源和规划局</w:t>
      </w:r>
      <w:r>
        <w:rPr>
          <w:rFonts w:hint="eastAsia" w:ascii="宋体" w:hAnsi="宋体" w:cs="宋体"/>
          <w:color w:val="auto"/>
          <w:sz w:val="22"/>
          <w:highlight w:val="none"/>
          <w:u w:val="single"/>
        </w:rPr>
        <w:t>、杭州华旗招标代理有限公司：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承诺有依法缴纳税收和社会保障资金的良好记录。如有虚假，采购人可取消我方任何资格（投标/中标/签订合同），我方对此无任何异议。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ascii="宋体" w:hAnsi="宋体" w:cs="宋体"/>
          <w:color w:val="auto"/>
          <w:sz w:val="36"/>
          <w:highlight w:val="none"/>
        </w:rPr>
      </w:pPr>
      <w:r>
        <w:rPr>
          <w:rFonts w:hint="eastAsia" w:hAnsi="宋体" w:cs="宋体"/>
          <w:color w:val="auto"/>
          <w:sz w:val="22"/>
          <w:highlight w:val="none"/>
        </w:rPr>
        <w:t>日期：</w:t>
      </w:r>
      <w:bookmarkStart w:id="65" w:name="_Toc14988"/>
      <w:bookmarkStart w:id="66" w:name="_Toc28957"/>
      <w:bookmarkStart w:id="67" w:name="_Toc31544"/>
      <w:bookmarkStart w:id="68" w:name="_Toc6606"/>
      <w:bookmarkStart w:id="69" w:name="_Toc14589"/>
      <w:bookmarkStart w:id="70" w:name="_Toc13669"/>
      <w:bookmarkStart w:id="71" w:name="_Toc31784"/>
      <w:bookmarkStart w:id="72" w:name="_Toc33194406"/>
      <w:bookmarkStart w:id="73" w:name="_Toc10630"/>
      <w:bookmarkStart w:id="74" w:name="_Toc18304"/>
      <w:bookmarkStart w:id="75" w:name="_Toc27119255"/>
      <w:bookmarkStart w:id="76" w:name="_Toc11360"/>
    </w:p>
    <w:p>
      <w:pPr>
        <w:tabs>
          <w:tab w:val="left" w:pos="1069"/>
          <w:tab w:val="left" w:pos="2352"/>
        </w:tabs>
        <w:autoSpaceDE w:val="0"/>
        <w:autoSpaceDN w:val="0"/>
        <w:adjustRightInd w:val="0"/>
        <w:spacing w:line="460" w:lineRule="atLeast"/>
        <w:rPr>
          <w:rFonts w:ascii="宋体" w:hAnsi="宋体" w:cs="宋体"/>
          <w:color w:val="auto"/>
          <w:sz w:val="36"/>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六</w:t>
      </w:r>
    </w:p>
    <w:p>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bookmarkEnd w:id="65"/>
      <w:bookmarkEnd w:id="66"/>
      <w:bookmarkEnd w:id="67"/>
      <w:bookmarkEnd w:id="68"/>
      <w:bookmarkEnd w:id="69"/>
      <w:bookmarkEnd w:id="70"/>
      <w:bookmarkEnd w:id="71"/>
      <w:bookmarkEnd w:id="72"/>
      <w:bookmarkEnd w:id="73"/>
      <w:bookmarkEnd w:id="74"/>
      <w:bookmarkEnd w:id="75"/>
      <w:bookmarkEnd w:id="76"/>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泰顺县自然资源和规划局、杭州华旗招标代理有限公司：</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p>
    <w:p>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七</w:t>
      </w:r>
    </w:p>
    <w:p>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7" w:name="_Toc32552_WPSOffice_Level3"/>
      <w:r>
        <w:rPr>
          <w:rFonts w:hint="eastAsia" w:ascii="宋体" w:hAnsi="宋体" w:cs="宋体"/>
          <w:b/>
          <w:bCs/>
          <w:color w:val="auto"/>
          <w:sz w:val="32"/>
          <w:highlight w:val="none"/>
          <w:lang w:val="zh-CN"/>
        </w:rPr>
        <w:t>法定代表人授权书</w:t>
      </w:r>
      <w:bookmarkEnd w:id="77"/>
    </w:p>
    <w:p>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泰顺县自然资源和规划局</w:t>
      </w:r>
      <w:r>
        <w:rPr>
          <w:rFonts w:hint="eastAsia" w:ascii="宋体" w:hAnsi="宋体" w:cs="宋体"/>
          <w:color w:val="auto"/>
          <w:sz w:val="22"/>
          <w:highlight w:val="none"/>
          <w:lang w:val="zh-CN"/>
        </w:rPr>
        <w:t>：</w:t>
      </w:r>
    </w:p>
    <w:p>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2024年泰顺县天然富硒士地资源调查项目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TSCG202405003 </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pPr>
        <w:tabs>
          <w:tab w:val="left" w:pos="1069"/>
          <w:tab w:val="left" w:pos="2352"/>
        </w:tabs>
        <w:spacing w:line="400" w:lineRule="atLeast"/>
        <w:ind w:firstLine="446" w:firstLineChars="200"/>
        <w:rPr>
          <w:rFonts w:ascii="宋体" w:hAnsi="宋体" w:cs="宋体"/>
          <w:color w:val="auto"/>
          <w:sz w:val="22"/>
          <w:highlight w:val="none"/>
        </w:rPr>
      </w:pPr>
    </w:p>
    <w:p>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pPr>
        <w:tabs>
          <w:tab w:val="left" w:pos="1069"/>
          <w:tab w:val="left" w:pos="2352"/>
        </w:tabs>
        <w:spacing w:line="400" w:lineRule="atLeast"/>
        <w:rPr>
          <w:rFonts w:ascii="宋体" w:hAnsi="宋体" w:cs="宋体"/>
          <w:color w:val="auto"/>
          <w:sz w:val="22"/>
          <w:highlight w:val="non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92" w:firstLineChars="1342"/>
        <w:rPr>
          <w:rFonts w:ascii="宋体" w:hAnsi="宋体" w:cs="宋体"/>
          <w:color w:val="auto"/>
          <w:sz w:val="22"/>
          <w:highlight w:val="none"/>
          <w:u w:val="single"/>
        </w:rPr>
      </w:pPr>
    </w:p>
    <w:p>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pPr>
        <w:tabs>
          <w:tab w:val="left" w:pos="1069"/>
          <w:tab w:val="left" w:pos="2352"/>
        </w:tabs>
        <w:spacing w:line="400" w:lineRule="atLeast"/>
        <w:ind w:left="1" w:firstLine="427" w:firstLineChars="192"/>
        <w:rPr>
          <w:rFonts w:ascii="宋体" w:hAnsi="宋体" w:cs="宋体"/>
          <w:color w:val="auto"/>
          <w:sz w:val="22"/>
          <w:highlight w:val="none"/>
        </w:rPr>
      </w:pPr>
    </w:p>
    <w:p>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pPr>
        <w:tabs>
          <w:tab w:val="left" w:pos="1069"/>
          <w:tab w:val="left" w:pos="2352"/>
        </w:tabs>
        <w:spacing w:line="400" w:lineRule="atLeast"/>
        <w:ind w:left="2699"/>
        <w:rPr>
          <w:rFonts w:ascii="宋体" w:hAnsi="宋体" w:cs="宋体"/>
          <w:color w:val="auto"/>
          <w:sz w:val="22"/>
          <w:highlight w:val="none"/>
        </w:rPr>
      </w:pPr>
    </w:p>
    <w:p>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pPr>
        <w:tabs>
          <w:tab w:val="left" w:pos="1069"/>
          <w:tab w:val="left" w:pos="2352"/>
        </w:tabs>
        <w:spacing w:line="360" w:lineRule="exact"/>
        <w:ind w:left="2699"/>
        <w:rPr>
          <w:rFonts w:ascii="宋体" w:hAnsi="宋体" w:cs="宋体"/>
          <w:color w:val="auto"/>
          <w:sz w:val="22"/>
          <w:highlight w:val="none"/>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pPr>
        <w:pStyle w:val="12"/>
        <w:tabs>
          <w:tab w:val="left" w:pos="1069"/>
          <w:tab w:val="left" w:pos="2352"/>
        </w:tabs>
        <w:adjustRightInd w:val="0"/>
        <w:snapToGrid w:val="0"/>
        <w:spacing w:line="360" w:lineRule="exact"/>
        <w:jc w:val="center"/>
        <w:rPr>
          <w:rFonts w:hAnsi="宋体" w:cs="宋体"/>
          <w:color w:val="auto"/>
          <w:sz w:val="22"/>
          <w:highlight w:val="none"/>
          <w:lang w:val="zh-CN"/>
        </w:rPr>
      </w:pPr>
    </w:p>
    <w:p>
      <w:pPr>
        <w:pStyle w:val="12"/>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12"/>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pPr>
        <w:pStyle w:val="2"/>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2024年泰顺县天然富硒士地资源调查项目</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9"/>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 xml:space="preserve">TSCG202405003 </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pPr>
        <w:pStyle w:val="11"/>
        <w:tabs>
          <w:tab w:val="left" w:pos="1069"/>
          <w:tab w:val="left" w:pos="2352"/>
        </w:tabs>
        <w:ind w:left="0" w:right="-257"/>
        <w:rPr>
          <w:color w:val="auto"/>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八</w:t>
      </w:r>
    </w:p>
    <w:p>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78"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78"/>
    </w:p>
    <w:p>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pPr>
        <w:pStyle w:val="12"/>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泰顺县自然资源和规划局：</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2024年泰顺县天然富硒士地资源调查项目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 xml:space="preserve">TSCG202405003 </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2024年泰顺县天然富硒士地资源调查项目</w:t>
      </w:r>
      <w:r>
        <w:rPr>
          <w:rFonts w:hint="eastAsia" w:ascii="宋体" w:hAnsi="宋体" w:cs="宋体"/>
          <w:color w:val="auto"/>
          <w:sz w:val="22"/>
          <w:highlight w:val="none"/>
          <w:lang w:val="zh-CN"/>
        </w:rPr>
        <w:t>进行投标。为此：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pPr>
        <w:pStyle w:val="12"/>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pPr>
        <w:pStyle w:val="12"/>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2"/>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pStyle w:val="7"/>
        <w:tabs>
          <w:tab w:val="left" w:pos="1069"/>
          <w:tab w:val="left" w:pos="2352"/>
        </w:tabs>
        <w:rPr>
          <w:color w:val="auto"/>
          <w:highlight w:val="none"/>
        </w:rPr>
      </w:pPr>
    </w:p>
    <w:p>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九</w:t>
      </w:r>
    </w:p>
    <w:p>
      <w:pPr>
        <w:tabs>
          <w:tab w:val="left" w:pos="1069"/>
          <w:tab w:val="left" w:pos="2352"/>
        </w:tabs>
        <w:spacing w:line="360" w:lineRule="exact"/>
        <w:jc w:val="center"/>
        <w:rPr>
          <w:rFonts w:ascii="宋体" w:hAnsi="宋体" w:cs="宋体"/>
          <w:b/>
          <w:bCs/>
          <w:color w:val="auto"/>
          <w:sz w:val="30"/>
          <w:highlight w:val="none"/>
          <w:lang w:val="zh-CN"/>
        </w:rPr>
      </w:pPr>
      <w:bookmarkStart w:id="79" w:name="_Toc15399_WPSOffice_Level3"/>
      <w:r>
        <w:rPr>
          <w:rFonts w:hint="eastAsia" w:ascii="宋体" w:hAnsi="宋体" w:cs="宋体"/>
          <w:b/>
          <w:bCs/>
          <w:color w:val="auto"/>
          <w:sz w:val="30"/>
          <w:highlight w:val="none"/>
          <w:lang w:val="zh-CN"/>
        </w:rPr>
        <w:t>供应商参与政府采购活动投标资格声明函</w:t>
      </w:r>
      <w:bookmarkEnd w:id="79"/>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2024年泰顺县天然富硒士地资源调查项目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pPr>
              <w:pStyle w:val="12"/>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 xml:space="preserve">TSCG202405003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2"/>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pPr>
              <w:pStyle w:val="12"/>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2"/>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2"/>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tabs>
          <w:tab w:val="left" w:pos="1069"/>
          <w:tab w:val="left" w:pos="2352"/>
        </w:tabs>
        <w:spacing w:line="360" w:lineRule="exact"/>
        <w:jc w:val="left"/>
        <w:rPr>
          <w:rFonts w:ascii="宋体" w:hAnsi="宋体" w:cs="宋体"/>
          <w:bCs/>
          <w:color w:val="auto"/>
          <w:sz w:val="22"/>
          <w:highlight w:val="none"/>
          <w:u w:val="single"/>
        </w:rPr>
      </w:pPr>
    </w:p>
    <w:p>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hint="eastAsia" w:ascii="宋体" w:hAnsi="宋体" w:cs="宋体"/>
          <w:b/>
          <w:bCs/>
          <w:color w:val="auto"/>
          <w:sz w:val="32"/>
          <w:szCs w:val="32"/>
          <w:highlight w:val="none"/>
        </w:rPr>
      </w:pPr>
    </w:p>
    <w:p>
      <w:pPr>
        <w:tabs>
          <w:tab w:val="left" w:pos="1069"/>
          <w:tab w:val="left" w:pos="2352"/>
        </w:tabs>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十</w:t>
      </w:r>
    </w:p>
    <w:p>
      <w:pPr>
        <w:tabs>
          <w:tab w:val="left" w:pos="1069"/>
          <w:tab w:val="left" w:pos="2352"/>
        </w:tabs>
        <w:jc w:val="center"/>
        <w:rPr>
          <w:rFonts w:ascii="宋体" w:hAnsi="宋体" w:cs="宋体"/>
          <w:color w:val="auto"/>
          <w:sz w:val="24"/>
          <w:highlight w:val="none"/>
        </w:rPr>
      </w:pPr>
      <w:bookmarkStart w:id="80" w:name="_Toc7010_WPSOffice_Level3"/>
      <w:r>
        <w:rPr>
          <w:rFonts w:hint="eastAsia" w:ascii="宋体" w:hAnsi="宋体" w:cs="宋体"/>
          <w:b/>
          <w:bCs/>
          <w:color w:val="auto"/>
          <w:sz w:val="32"/>
          <w:szCs w:val="32"/>
          <w:highlight w:val="none"/>
        </w:rPr>
        <w:t>法定代表人诚信投标承诺书</w:t>
      </w:r>
      <w:bookmarkEnd w:id="80"/>
    </w:p>
    <w:p>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2024年泰顺县天然富硒士地资源调查项目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 xml:space="preserve">TSCG202405003 </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pPr>
        <w:pStyle w:val="12"/>
        <w:tabs>
          <w:tab w:val="left" w:pos="1069"/>
          <w:tab w:val="left" w:pos="2352"/>
        </w:tabs>
        <w:spacing w:line="360" w:lineRule="exact"/>
        <w:jc w:val="center"/>
        <w:rPr>
          <w:rFonts w:hAnsi="宋体" w:cs="宋体"/>
          <w:color w:val="auto"/>
          <w:sz w:val="32"/>
          <w:highlight w:val="none"/>
        </w:rPr>
      </w:pPr>
    </w:p>
    <w:p>
      <w:pPr>
        <w:tabs>
          <w:tab w:val="left" w:pos="1069"/>
          <w:tab w:val="left" w:pos="2352"/>
        </w:tabs>
        <w:spacing w:line="360" w:lineRule="exact"/>
        <w:jc w:val="left"/>
        <w:rPr>
          <w:rFonts w:ascii="宋体" w:hAnsi="宋体" w:cs="宋体"/>
          <w:color w:val="auto"/>
          <w:sz w:val="30"/>
          <w:highlight w:val="none"/>
        </w:rPr>
      </w:pPr>
    </w:p>
    <w:p>
      <w:pPr>
        <w:pStyle w:val="12"/>
        <w:tabs>
          <w:tab w:val="left" w:pos="1069"/>
          <w:tab w:val="left" w:pos="2352"/>
        </w:tabs>
        <w:spacing w:line="360" w:lineRule="exact"/>
        <w:jc w:val="left"/>
        <w:rPr>
          <w:rFonts w:hAnsi="宋体" w:cs="宋体"/>
          <w:b/>
          <w:bCs/>
          <w:color w:val="auto"/>
          <w:sz w:val="32"/>
          <w:highlight w:val="none"/>
          <w:lang w:val="zh-CN"/>
        </w:rPr>
      </w:pPr>
    </w:p>
    <w:p>
      <w:pPr>
        <w:tabs>
          <w:tab w:val="left" w:pos="2352"/>
        </w:tabs>
        <w:rPr>
          <w:color w:val="auto"/>
          <w:highlight w:val="none"/>
          <w:lang w:val="zh-CN"/>
        </w:rPr>
      </w:pPr>
    </w:p>
    <w:p>
      <w:pPr>
        <w:pStyle w:val="12"/>
        <w:tabs>
          <w:tab w:val="left" w:pos="1069"/>
          <w:tab w:val="left" w:pos="2352"/>
        </w:tabs>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十一</w:t>
      </w:r>
    </w:p>
    <w:p>
      <w:pPr>
        <w:pStyle w:val="12"/>
        <w:tabs>
          <w:tab w:val="left" w:pos="1069"/>
          <w:tab w:val="left" w:pos="2352"/>
        </w:tabs>
        <w:spacing w:line="360" w:lineRule="exact"/>
        <w:jc w:val="center"/>
        <w:rPr>
          <w:rFonts w:hAnsi="宋体" w:cs="宋体"/>
          <w:b/>
          <w:bCs/>
          <w:color w:val="auto"/>
          <w:sz w:val="32"/>
          <w:highlight w:val="none"/>
          <w:lang w:val="zh-CN"/>
        </w:rPr>
      </w:pPr>
      <w:bookmarkStart w:id="81" w:name="_Toc18541_WPSOffice_Level3"/>
      <w:r>
        <w:rPr>
          <w:rFonts w:hint="eastAsia" w:hAnsi="宋体" w:cs="宋体"/>
          <w:b/>
          <w:bCs/>
          <w:color w:val="auto"/>
          <w:sz w:val="32"/>
          <w:highlight w:val="none"/>
          <w:lang w:val="zh-CN"/>
        </w:rPr>
        <w:t>（一）商务偏离表</w:t>
      </w:r>
      <w:bookmarkEnd w:id="81"/>
    </w:p>
    <w:p>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9"/>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pPr>
        <w:pStyle w:val="12"/>
        <w:tabs>
          <w:tab w:val="left" w:pos="1069"/>
          <w:tab w:val="left" w:pos="2352"/>
        </w:tabs>
        <w:spacing w:line="360" w:lineRule="exact"/>
        <w:jc w:val="center"/>
        <w:rPr>
          <w:rFonts w:hAnsi="宋体" w:cs="宋体"/>
          <w:b/>
          <w:bCs/>
          <w:color w:val="auto"/>
          <w:sz w:val="32"/>
          <w:highlight w:val="none"/>
          <w:lang w:val="zh-CN"/>
        </w:rPr>
      </w:pPr>
      <w:bookmarkStart w:id="82" w:name="_Toc4031_WPSOffice_Level3"/>
      <w:r>
        <w:rPr>
          <w:rFonts w:hint="eastAsia" w:hAnsi="宋体" w:cs="宋体"/>
          <w:b/>
          <w:bCs/>
          <w:color w:val="auto"/>
          <w:sz w:val="32"/>
          <w:highlight w:val="none"/>
          <w:lang w:val="zh-CN"/>
        </w:rPr>
        <w:t>（二）技术偏离表</w:t>
      </w:r>
      <w:bookmarkEnd w:id="82"/>
    </w:p>
    <w:tbl>
      <w:tblPr>
        <w:tblStyle w:val="29"/>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pPr>
        <w:tabs>
          <w:tab w:val="left" w:pos="1069"/>
          <w:tab w:val="left" w:pos="2352"/>
        </w:tabs>
        <w:rPr>
          <w:rFonts w:hint="eastAsia" w:ascii="宋体" w:hAnsi="宋体" w:cs="宋体"/>
          <w:color w:val="auto"/>
          <w:highlight w:val="none"/>
        </w:rPr>
      </w:pPr>
      <w:bookmarkStart w:id="83" w:name="_Toc30988_WPSOffice_Level2"/>
    </w:p>
    <w:p>
      <w:pPr>
        <w:tabs>
          <w:tab w:val="left" w:pos="1069"/>
          <w:tab w:val="left" w:pos="2352"/>
        </w:tabs>
        <w:rPr>
          <w:rFonts w:hint="eastAsia" w:ascii="宋体" w:hAnsi="宋体" w:cs="宋体"/>
          <w:color w:val="auto"/>
          <w:highlight w:val="none"/>
        </w:rPr>
      </w:pPr>
    </w:p>
    <w:p>
      <w:pPr>
        <w:tabs>
          <w:tab w:val="left" w:pos="1069"/>
          <w:tab w:val="left" w:pos="2352"/>
        </w:tabs>
        <w:rPr>
          <w:rFonts w:ascii="宋体" w:hAnsi="宋体" w:cs="宋体"/>
          <w:color w:val="auto"/>
          <w:highlight w:val="none"/>
        </w:rPr>
      </w:pPr>
      <w:r>
        <w:rPr>
          <w:rFonts w:hint="eastAsia" w:ascii="宋体" w:hAnsi="宋体" w:cs="宋体"/>
          <w:color w:val="auto"/>
          <w:highlight w:val="none"/>
        </w:rPr>
        <w:t>备注：表格可以延续</w:t>
      </w:r>
      <w:bookmarkEnd w:id="83"/>
    </w:p>
    <w:p>
      <w:pPr>
        <w:pStyle w:val="12"/>
        <w:tabs>
          <w:tab w:val="left" w:pos="1069"/>
          <w:tab w:val="left" w:pos="2352"/>
        </w:tabs>
        <w:spacing w:line="360" w:lineRule="exact"/>
        <w:rPr>
          <w:rFonts w:hAnsi="宋体" w:cs="宋体"/>
          <w:color w:val="auto"/>
          <w:sz w:val="2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二</w:t>
      </w:r>
    </w:p>
    <w:p>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2024年泰顺县天然富硒士地资源调查项目</w:t>
      </w:r>
    </w:p>
    <w:p>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 xml:space="preserve">TSCG202405003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ind w:left="5250"/>
              <w:rPr>
                <w:rFonts w:ascii="宋体" w:hAnsi="宋体" w:cs="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pPr>
              <w:tabs>
                <w:tab w:val="left" w:pos="1069"/>
                <w:tab w:val="left" w:pos="2352"/>
              </w:tabs>
              <w:spacing w:line="360" w:lineRule="auto"/>
              <w:rPr>
                <w:rFonts w:ascii="宋体" w:hAnsi="宋体" w:cs="宋体"/>
                <w:color w:val="auto"/>
                <w:sz w:val="22"/>
                <w:highlight w:val="none"/>
              </w:rPr>
            </w:pPr>
          </w:p>
        </w:tc>
        <w:tc>
          <w:tcPr>
            <w:tcW w:w="25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720" w:type="dxa"/>
            <w:vAlign w:val="center"/>
          </w:tcPr>
          <w:p>
            <w:pPr>
              <w:tabs>
                <w:tab w:val="left" w:pos="1069"/>
                <w:tab w:val="left" w:pos="2352"/>
              </w:tabs>
              <w:spacing w:line="360" w:lineRule="auto"/>
              <w:rPr>
                <w:rFonts w:ascii="宋体" w:hAnsi="宋体" w:cs="宋体"/>
                <w:color w:val="auto"/>
                <w:sz w:val="22"/>
                <w:highlight w:val="none"/>
              </w:rPr>
            </w:pPr>
          </w:p>
        </w:tc>
        <w:tc>
          <w:tcPr>
            <w:tcW w:w="1080" w:type="dxa"/>
            <w:vAlign w:val="center"/>
          </w:tcPr>
          <w:p>
            <w:pPr>
              <w:tabs>
                <w:tab w:val="left" w:pos="1069"/>
                <w:tab w:val="left" w:pos="2352"/>
              </w:tabs>
              <w:spacing w:line="360" w:lineRule="auto"/>
              <w:rPr>
                <w:rFonts w:ascii="宋体" w:hAnsi="宋体" w:cs="宋体"/>
                <w:color w:val="auto"/>
                <w:sz w:val="22"/>
                <w:highlight w:val="none"/>
              </w:rPr>
            </w:pPr>
          </w:p>
        </w:tc>
        <w:tc>
          <w:tcPr>
            <w:tcW w:w="1458" w:type="dxa"/>
            <w:vAlign w:val="center"/>
          </w:tcPr>
          <w:p>
            <w:pPr>
              <w:tabs>
                <w:tab w:val="left" w:pos="1069"/>
                <w:tab w:val="left" w:pos="2352"/>
              </w:tabs>
              <w:spacing w:line="360" w:lineRule="auto"/>
              <w:rPr>
                <w:rFonts w:ascii="宋体" w:hAnsi="宋体" w:cs="宋体"/>
                <w:color w:val="auto"/>
                <w:sz w:val="22"/>
                <w:highlight w:val="none"/>
              </w:rPr>
            </w:pPr>
          </w:p>
        </w:tc>
        <w:tc>
          <w:tcPr>
            <w:tcW w:w="1560" w:type="dxa"/>
            <w:vAlign w:val="center"/>
          </w:tcPr>
          <w:p>
            <w:pPr>
              <w:tabs>
                <w:tab w:val="left" w:pos="1069"/>
                <w:tab w:val="left" w:pos="2352"/>
              </w:tabs>
              <w:spacing w:line="360" w:lineRule="auto"/>
              <w:rPr>
                <w:rFonts w:ascii="宋体" w:hAnsi="宋体" w:cs="宋体"/>
                <w:color w:val="auto"/>
                <w:sz w:val="22"/>
                <w:highlight w:val="none"/>
              </w:rPr>
            </w:pPr>
          </w:p>
        </w:tc>
      </w:tr>
    </w:tbl>
    <w:p>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pPr>
        <w:pStyle w:val="12"/>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pPr>
        <w:pStyle w:val="12"/>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12"/>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三</w:t>
      </w:r>
    </w:p>
    <w:p>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4" w:name="_Toc28287_WPSOffice_Level3"/>
      <w:r>
        <w:rPr>
          <w:rFonts w:hint="eastAsia" w:ascii="宋体" w:hAnsi="宋体" w:cs="宋体"/>
          <w:b/>
          <w:bCs/>
          <w:color w:val="auto"/>
          <w:sz w:val="32"/>
          <w:highlight w:val="none"/>
        </w:rPr>
        <w:t>供应商项目业绩清单</w:t>
      </w:r>
      <w:bookmarkEnd w:id="84"/>
    </w:p>
    <w:p>
      <w:pPr>
        <w:pStyle w:val="12"/>
        <w:tabs>
          <w:tab w:val="left" w:pos="1069"/>
          <w:tab w:val="left" w:pos="2352"/>
        </w:tabs>
        <w:spacing w:line="360" w:lineRule="exact"/>
        <w:jc w:val="center"/>
        <w:rPr>
          <w:rFonts w:hAnsi="宋体" w:cs="宋体"/>
          <w:color w:val="auto"/>
          <w:sz w:val="22"/>
          <w:highlight w:val="none"/>
        </w:rPr>
      </w:pPr>
    </w:p>
    <w:tbl>
      <w:tblPr>
        <w:tblStyle w:val="29"/>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pPr>
        <w:pStyle w:val="12"/>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pPr>
        <w:tabs>
          <w:tab w:val="left" w:pos="1069"/>
          <w:tab w:val="left" w:pos="2352"/>
        </w:tabs>
        <w:rPr>
          <w:rFonts w:ascii="宋体" w:hAnsi="宋体" w:cs="宋体"/>
          <w:color w:val="auto"/>
          <w:spacing w:val="20"/>
          <w:sz w:val="22"/>
          <w:highlight w:val="none"/>
        </w:rPr>
      </w:pPr>
    </w:p>
    <w:p>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pPr>
        <w:pStyle w:val="12"/>
        <w:tabs>
          <w:tab w:val="left" w:pos="1069"/>
          <w:tab w:val="left" w:pos="2352"/>
        </w:tabs>
        <w:spacing w:line="360" w:lineRule="exact"/>
        <w:jc w:val="left"/>
        <w:rPr>
          <w:rFonts w:hAnsi="宋体" w:cs="宋体"/>
          <w:color w:val="auto"/>
          <w:sz w:val="22"/>
          <w:szCs w:val="22"/>
          <w:highlight w:val="none"/>
        </w:rPr>
      </w:pPr>
    </w:p>
    <w:p>
      <w:pPr>
        <w:tabs>
          <w:tab w:val="left" w:pos="1069"/>
          <w:tab w:val="left" w:pos="2352"/>
        </w:tabs>
        <w:spacing w:line="400" w:lineRule="exact"/>
        <w:jc w:val="left"/>
        <w:rPr>
          <w:rFonts w:ascii="宋体" w:hAnsi="宋体" w:cs="宋体"/>
          <w:b/>
          <w:bCs/>
          <w:color w:val="auto"/>
          <w:sz w:val="30"/>
          <w:highlight w:val="none"/>
        </w:rPr>
      </w:pPr>
    </w:p>
    <w:p>
      <w:pPr>
        <w:tabs>
          <w:tab w:val="left" w:pos="1069"/>
          <w:tab w:val="left" w:pos="2352"/>
        </w:tabs>
        <w:spacing w:line="400" w:lineRule="exact"/>
        <w:jc w:val="left"/>
        <w:rPr>
          <w:rFonts w:hint="eastAsia" w:ascii="宋体" w:hAnsi="宋体" w:cs="宋体"/>
          <w:b/>
          <w:bCs/>
          <w:color w:val="auto"/>
          <w:sz w:val="30"/>
          <w:highlight w:val="none"/>
        </w:rPr>
      </w:pPr>
    </w:p>
    <w:p>
      <w:pPr>
        <w:tabs>
          <w:tab w:val="left" w:pos="1069"/>
          <w:tab w:val="left" w:pos="2352"/>
        </w:tabs>
        <w:spacing w:line="400" w:lineRule="exact"/>
        <w:jc w:val="left"/>
        <w:rPr>
          <w:rFonts w:hint="eastAsia" w:ascii="宋体" w:hAnsi="宋体" w:cs="宋体"/>
          <w:b/>
          <w:bCs/>
          <w:color w:val="auto"/>
          <w:sz w:val="30"/>
          <w:highlight w:val="none"/>
        </w:rPr>
      </w:pPr>
    </w:p>
    <w:p>
      <w:pPr>
        <w:tabs>
          <w:tab w:val="left" w:pos="1069"/>
          <w:tab w:val="left" w:pos="2352"/>
        </w:tabs>
        <w:spacing w:line="400" w:lineRule="exact"/>
        <w:jc w:val="left"/>
        <w:rPr>
          <w:rFonts w:hint="eastAsia" w:ascii="宋体" w:hAnsi="宋体" w:cs="宋体"/>
          <w:b/>
          <w:bCs/>
          <w:color w:val="auto"/>
          <w:sz w:val="30"/>
          <w:highlight w:val="none"/>
        </w:rPr>
      </w:pPr>
    </w:p>
    <w:p>
      <w:pPr>
        <w:tabs>
          <w:tab w:val="left" w:pos="1069"/>
          <w:tab w:val="left" w:pos="2352"/>
        </w:tabs>
        <w:spacing w:line="40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四</w:t>
      </w:r>
    </w:p>
    <w:p>
      <w:pPr>
        <w:tabs>
          <w:tab w:val="left" w:pos="1069"/>
          <w:tab w:val="left" w:pos="2352"/>
        </w:tabs>
        <w:spacing w:line="420" w:lineRule="exact"/>
        <w:jc w:val="center"/>
        <w:rPr>
          <w:rFonts w:ascii="宋体" w:hAnsi="宋体" w:cs="宋体"/>
          <w:b/>
          <w:bCs/>
          <w:color w:val="auto"/>
          <w:sz w:val="30"/>
          <w:highlight w:val="none"/>
        </w:rPr>
      </w:pPr>
      <w:bookmarkStart w:id="85" w:name="_Toc31819"/>
      <w:r>
        <w:rPr>
          <w:rFonts w:hint="eastAsia" w:ascii="宋体" w:hAnsi="宋体" w:cs="宋体"/>
          <w:b/>
          <w:bCs/>
          <w:color w:val="auto"/>
          <w:sz w:val="30"/>
          <w:highlight w:val="none"/>
        </w:rPr>
        <w:t>政府采购活动现场确认声明书</w:t>
      </w:r>
      <w:bookmarkEnd w:id="85"/>
    </w:p>
    <w:p>
      <w:pPr>
        <w:pStyle w:val="43"/>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pPr>
        <w:pStyle w:val="43"/>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pPr>
        <w:pStyle w:val="43"/>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2024年泰顺县天然富硒士地资源调查项目</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 xml:space="preserve">TSCG202405003 </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pPr>
        <w:pStyle w:val="44"/>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44"/>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pPr>
        <w:pStyle w:val="44"/>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pPr>
        <w:pStyle w:val="44"/>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43"/>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pPr>
        <w:pStyle w:val="44"/>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pPr>
        <w:pStyle w:val="44"/>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pPr>
        <w:pStyle w:val="43"/>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pPr>
        <w:pStyle w:val="43"/>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pPr>
        <w:pStyle w:val="8"/>
        <w:tabs>
          <w:tab w:val="left" w:pos="1069"/>
          <w:tab w:val="left" w:pos="2352"/>
        </w:tabs>
        <w:spacing w:line="400" w:lineRule="exact"/>
        <w:ind w:left="490" w:hanging="490"/>
        <w:rPr>
          <w:rFonts w:ascii="宋体" w:hAnsi="宋体" w:cs="宋体"/>
          <w:b/>
          <w:bCs/>
          <w:color w:val="auto"/>
          <w:szCs w:val="21"/>
          <w:highlight w:val="none"/>
        </w:rPr>
      </w:pPr>
    </w:p>
    <w:p>
      <w:pPr>
        <w:pStyle w:val="12"/>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6"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6"/>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7" w:name="_Toc32552_WPSOffice_Level2"/>
      <w:r>
        <w:rPr>
          <w:rFonts w:hint="eastAsia" w:ascii="宋体" w:hAnsi="宋体" w:cs="宋体"/>
          <w:b/>
          <w:color w:val="auto"/>
          <w:sz w:val="22"/>
          <w:highlight w:val="none"/>
        </w:rPr>
        <w:t>一、总则</w:t>
      </w:r>
      <w:bookmarkEnd w:id="87"/>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8" w:name="_Toc15399_WPSOffice_Level2"/>
      <w:r>
        <w:rPr>
          <w:rFonts w:hint="eastAsia" w:ascii="宋体" w:hAnsi="宋体" w:cs="宋体"/>
          <w:b/>
          <w:color w:val="auto"/>
          <w:sz w:val="22"/>
          <w:highlight w:val="none"/>
        </w:rPr>
        <w:t>二、评审组织</w:t>
      </w:r>
      <w:bookmarkEnd w:id="88"/>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pPr>
        <w:tabs>
          <w:tab w:val="left" w:pos="1069"/>
          <w:tab w:val="left" w:pos="2352"/>
        </w:tabs>
        <w:snapToGrid w:val="0"/>
        <w:spacing w:line="380" w:lineRule="exact"/>
        <w:ind w:firstLine="1774" w:firstLineChars="796"/>
        <w:rPr>
          <w:rFonts w:ascii="宋体" w:hAnsi="宋体" w:cs="宋体"/>
          <w:color w:val="auto"/>
          <w:sz w:val="22"/>
          <w:highlight w:val="none"/>
        </w:rPr>
      </w:pPr>
      <w:bookmarkStart w:id="89" w:name="_Toc7010_WPSOffice_Level2"/>
      <w:r>
        <w:rPr>
          <w:rFonts w:hint="eastAsia" w:ascii="宋体" w:hAnsi="宋体" w:cs="宋体"/>
          <w:b/>
          <w:color w:val="auto"/>
          <w:sz w:val="22"/>
          <w:highlight w:val="none"/>
        </w:rPr>
        <w:t>三、投标（响应）文件递交截止、磋商程序、磋商原则和方式</w:t>
      </w:r>
      <w:bookmarkEnd w:id="89"/>
    </w:p>
    <w:p>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pPr>
        <w:pStyle w:val="12"/>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pPr>
        <w:pStyle w:val="12"/>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pPr>
        <w:pStyle w:val="12"/>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pPr>
        <w:pStyle w:val="12"/>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pPr>
        <w:tabs>
          <w:tab w:val="left" w:pos="1069"/>
          <w:tab w:val="left" w:pos="2352"/>
        </w:tabs>
        <w:rPr>
          <w:color w:val="auto"/>
          <w:highlight w:val="none"/>
        </w:rPr>
      </w:pPr>
      <w:bookmarkStart w:id="90" w:name="_Toc28287_WPSOffice_Level2"/>
    </w:p>
    <w:p>
      <w:pPr>
        <w:pStyle w:val="12"/>
        <w:numPr>
          <w:ilvl w:val="0"/>
          <w:numId w:val="9"/>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90"/>
      <w:bookmarkStart w:id="91" w:name="_Toc20707_WPSOffice_Level3"/>
    </w:p>
    <w:bookmarkEnd w:id="91"/>
    <w:p>
      <w:pPr>
        <w:pStyle w:val="38"/>
        <w:tabs>
          <w:tab w:val="left" w:pos="2352"/>
        </w:tabs>
        <w:adjustRightInd w:val="0"/>
        <w:snapToGrid w:val="0"/>
        <w:spacing w:line="380" w:lineRule="exact"/>
        <w:ind w:firstLine="446" w:firstLineChars="200"/>
        <w:rPr>
          <w:rFonts w:hAnsi="宋体" w:cs="宋体"/>
          <w:b w:val="0"/>
          <w:bCs w:val="0"/>
          <w:color w:val="auto"/>
          <w:sz w:val="22"/>
          <w:highlight w:val="none"/>
        </w:rPr>
      </w:pPr>
      <w:r>
        <w:rPr>
          <w:rFonts w:hint="eastAsia" w:hAnsi="宋体" w:cs="宋体"/>
          <w:b w:val="0"/>
          <w:bCs w:val="0"/>
          <w:color w:val="auto"/>
          <w:sz w:val="22"/>
          <w:highlight w:val="none"/>
        </w:rPr>
        <w:t>（一）报价评分</w:t>
      </w:r>
      <w:r>
        <w:rPr>
          <w:rFonts w:hint="eastAsia" w:ascii="Calibri" w:hAnsi="Calibri"/>
          <w:b w:val="0"/>
          <w:bCs w:val="0"/>
          <w:color w:val="auto"/>
          <w:sz w:val="22"/>
          <w:szCs w:val="22"/>
          <w:highlight w:val="none"/>
        </w:rPr>
        <w:t>（满分</w:t>
      </w:r>
      <w:r>
        <w:rPr>
          <w:rFonts w:hint="eastAsia" w:ascii="Calibri" w:hAnsi="Calibri"/>
          <w:b w:val="0"/>
          <w:bCs w:val="0"/>
          <w:color w:val="auto"/>
          <w:sz w:val="22"/>
          <w:szCs w:val="22"/>
          <w:highlight w:val="none"/>
          <w:lang w:val="en-US" w:eastAsia="zh-CN"/>
        </w:rPr>
        <w:t>20</w:t>
      </w:r>
      <w:r>
        <w:rPr>
          <w:rFonts w:hint="eastAsia" w:ascii="Calibri" w:hAnsi="Calibri"/>
          <w:b w:val="0"/>
          <w:bCs w:val="0"/>
          <w:color w:val="auto"/>
          <w:sz w:val="22"/>
          <w:szCs w:val="22"/>
          <w:highlight w:val="none"/>
        </w:rPr>
        <w:t>分）</w:t>
      </w:r>
    </w:p>
    <w:p>
      <w:pPr>
        <w:pStyle w:val="12"/>
        <w:tabs>
          <w:tab w:val="left" w:pos="1069"/>
          <w:tab w:val="left" w:pos="2352"/>
        </w:tabs>
        <w:adjustRightInd w:val="0"/>
        <w:snapToGrid w:val="0"/>
        <w:spacing w:line="380" w:lineRule="exact"/>
        <w:ind w:firstLine="450"/>
        <w:rPr>
          <w:rFonts w:hAnsi="宋体" w:cs="宋体"/>
          <w:b w:val="0"/>
          <w:bCs w:val="0"/>
          <w:color w:val="auto"/>
          <w:sz w:val="22"/>
          <w:highlight w:val="none"/>
        </w:rPr>
      </w:pPr>
      <w:r>
        <w:rPr>
          <w:rFonts w:hint="eastAsia" w:hAnsi="宋体" w:cs="宋体"/>
          <w:b w:val="0"/>
          <w:bCs w:val="0"/>
          <w:color w:val="auto"/>
          <w:sz w:val="22"/>
          <w:highlight w:val="none"/>
        </w:rPr>
        <w:t>1、以满足竞争性磋商文件要求且最终报价最低的有效供应商的价格为磋商基准价，其价格分为满分。其他供应商的价格分统一按照下列公式计算：</w:t>
      </w:r>
    </w:p>
    <w:p>
      <w:pPr>
        <w:pStyle w:val="12"/>
        <w:tabs>
          <w:tab w:val="left" w:pos="1069"/>
          <w:tab w:val="left" w:pos="2352"/>
        </w:tabs>
        <w:adjustRightInd w:val="0"/>
        <w:snapToGrid w:val="0"/>
        <w:spacing w:line="380" w:lineRule="exact"/>
        <w:ind w:left="443" w:leftChars="208" w:firstLine="28" w:firstLineChars="13"/>
        <w:rPr>
          <w:rFonts w:hAnsi="宋体" w:cs="宋体"/>
          <w:b w:val="0"/>
          <w:bCs w:val="0"/>
          <w:color w:val="auto"/>
          <w:sz w:val="22"/>
          <w:highlight w:val="none"/>
        </w:rPr>
      </w:pPr>
      <w:r>
        <w:rPr>
          <w:rFonts w:hint="eastAsia" w:hAnsi="宋体" w:cs="宋体"/>
          <w:b w:val="0"/>
          <w:bCs w:val="0"/>
          <w:color w:val="auto"/>
          <w:sz w:val="22"/>
          <w:highlight w:val="none"/>
        </w:rPr>
        <w:t>磋商报价得分=（磋商基准价/最终报价）×</w:t>
      </w:r>
      <w:r>
        <w:rPr>
          <w:rFonts w:hint="eastAsia" w:hAnsi="宋体" w:cs="宋体"/>
          <w:b w:val="0"/>
          <w:bCs w:val="0"/>
          <w:color w:val="auto"/>
          <w:sz w:val="22"/>
          <w:highlight w:val="none"/>
          <w:lang w:val="en-US" w:eastAsia="zh-CN"/>
        </w:rPr>
        <w:t>20</w:t>
      </w:r>
      <w:r>
        <w:rPr>
          <w:rFonts w:hint="eastAsia" w:hAnsi="宋体" w:cs="宋体"/>
          <w:b w:val="0"/>
          <w:bCs w:val="0"/>
          <w:color w:val="auto"/>
          <w:sz w:val="22"/>
          <w:highlight w:val="none"/>
        </w:rPr>
        <w:t>%×100</w:t>
      </w:r>
    </w:p>
    <w:p>
      <w:pPr>
        <w:pStyle w:val="12"/>
        <w:tabs>
          <w:tab w:val="left" w:pos="1069"/>
          <w:tab w:val="left" w:pos="2352"/>
        </w:tabs>
        <w:adjustRightInd w:val="0"/>
        <w:snapToGrid w:val="0"/>
        <w:spacing w:line="380" w:lineRule="exact"/>
        <w:ind w:firstLine="450"/>
        <w:rPr>
          <w:rFonts w:hint="eastAsia" w:hAnsi="宋体" w:eastAsia="宋体" w:cs="宋体"/>
          <w:b w:val="0"/>
          <w:bCs w:val="0"/>
          <w:color w:val="auto"/>
          <w:sz w:val="22"/>
          <w:highlight w:val="none"/>
          <w:lang w:eastAsia="zh-CN"/>
        </w:rPr>
      </w:pPr>
      <w:r>
        <w:rPr>
          <w:rFonts w:hint="eastAsia" w:hAnsi="宋体" w:cs="宋体"/>
          <w:b w:val="0"/>
          <w:bCs w:val="0"/>
          <w:color w:val="auto"/>
          <w:sz w:val="22"/>
          <w:highlight w:val="none"/>
        </w:rPr>
        <w:t>2、本项目专门面向中小企业采购，不再执行价格评审优惠的扶持政策</w:t>
      </w:r>
      <w:r>
        <w:rPr>
          <w:rFonts w:hint="eastAsia" w:hAnsi="宋体" w:cs="宋体"/>
          <w:b w:val="0"/>
          <w:bCs w:val="0"/>
          <w:color w:val="auto"/>
          <w:sz w:val="22"/>
          <w:highlight w:val="none"/>
          <w:lang w:eastAsia="zh-CN"/>
        </w:rPr>
        <w:t>。</w:t>
      </w:r>
    </w:p>
    <w:p>
      <w:pPr>
        <w:pStyle w:val="12"/>
        <w:tabs>
          <w:tab w:val="left" w:pos="1069"/>
          <w:tab w:val="left" w:pos="2352"/>
        </w:tabs>
        <w:adjustRightInd w:val="0"/>
        <w:snapToGrid w:val="0"/>
        <w:spacing w:line="420" w:lineRule="exact"/>
        <w:ind w:left="335"/>
        <w:rPr>
          <w:rFonts w:hint="eastAsia" w:hAnsi="宋体" w:cs="宋体"/>
          <w:bCs/>
          <w:color w:val="auto"/>
          <w:sz w:val="22"/>
          <w:highlight w:val="none"/>
        </w:rPr>
      </w:pPr>
      <w:r>
        <w:rPr>
          <w:rFonts w:hint="eastAsia" w:hAnsi="宋体" w:cs="宋体"/>
          <w:b w:val="0"/>
          <w:bCs w:val="0"/>
          <w:color w:val="auto"/>
          <w:sz w:val="22"/>
          <w:highlight w:val="none"/>
        </w:rPr>
        <w:t>（二）商务技术评分（满分</w:t>
      </w:r>
      <w:r>
        <w:rPr>
          <w:rFonts w:hint="eastAsia" w:hAnsi="宋体" w:cs="宋体"/>
          <w:b w:val="0"/>
          <w:bCs w:val="0"/>
          <w:color w:val="auto"/>
          <w:sz w:val="22"/>
          <w:highlight w:val="none"/>
          <w:lang w:val="en-US" w:eastAsia="zh-CN"/>
        </w:rPr>
        <w:t>80</w:t>
      </w:r>
      <w:r>
        <w:rPr>
          <w:rFonts w:hint="eastAsia" w:hAnsi="宋体" w:cs="宋体"/>
          <w:b w:val="0"/>
          <w:bCs w:val="0"/>
          <w:color w:val="auto"/>
          <w:sz w:val="22"/>
          <w:highlight w:val="none"/>
        </w:rPr>
        <w:t>分）</w:t>
      </w:r>
    </w:p>
    <w:tbl>
      <w:tblPr>
        <w:tblStyle w:val="29"/>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440"/>
        <w:gridCol w:w="632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09"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评分项目</w:t>
            </w:r>
          </w:p>
        </w:tc>
        <w:tc>
          <w:tcPr>
            <w:tcW w:w="632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评审细则</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09" w:type="dxa"/>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综合情况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分）</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类似项目实施业绩（2分）</w:t>
            </w:r>
          </w:p>
        </w:tc>
        <w:tc>
          <w:tcPr>
            <w:tcW w:w="63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投标人承担过类似项目（</w:t>
            </w:r>
            <w:r>
              <w:rPr>
                <w:rFonts w:hint="eastAsia" w:ascii="宋体" w:hAnsi="宋体" w:cs="宋体"/>
                <w:i w:val="0"/>
                <w:iCs w:val="0"/>
                <w:color w:val="000000"/>
                <w:kern w:val="0"/>
                <w:sz w:val="22"/>
                <w:szCs w:val="22"/>
                <w:u w:val="none"/>
                <w:lang w:val="en-US" w:eastAsia="zh-CN" w:bidi="ar"/>
              </w:rPr>
              <w:t>土地质量调查、</w:t>
            </w:r>
            <w:r>
              <w:rPr>
                <w:rFonts w:hint="eastAsia" w:ascii="宋体" w:hAnsi="宋体" w:eastAsia="宋体" w:cs="宋体"/>
                <w:i w:val="0"/>
                <w:iCs w:val="0"/>
                <w:color w:val="000000"/>
                <w:kern w:val="0"/>
                <w:sz w:val="22"/>
                <w:szCs w:val="22"/>
                <w:u w:val="none"/>
                <w:lang w:val="en-US" w:eastAsia="zh-CN" w:bidi="ar"/>
              </w:rPr>
              <w:t>土地资源调查、耕地调查等）的业绩，每提供1个业绩得1分，最高2分</w:t>
            </w:r>
            <w:r>
              <w:rPr>
                <w:rStyle w:val="57"/>
                <w:sz w:val="22"/>
                <w:szCs w:val="22"/>
                <w:lang w:val="en-US" w:eastAsia="zh-CN" w:bidi="ar"/>
              </w:rPr>
              <w:t>（投标文件中须提供与委托单位签订的合同复印件加盖公章）</w:t>
            </w:r>
            <w:r>
              <w:rPr>
                <w:rFonts w:hint="eastAsia" w:ascii="宋体" w:hAnsi="宋体" w:eastAsia="宋体" w:cs="宋体"/>
                <w:i w:val="0"/>
                <w:iCs w:val="0"/>
                <w:color w:val="000000"/>
                <w:kern w:val="0"/>
                <w:sz w:val="22"/>
                <w:szCs w:val="22"/>
                <w:u w:val="none"/>
                <w:lang w:val="en-US" w:eastAsia="zh-CN" w:bidi="ar"/>
              </w:rPr>
              <w:t>。</w:t>
            </w:r>
            <w:r>
              <w:rPr>
                <w:rStyle w:val="57"/>
                <w:sz w:val="22"/>
                <w:szCs w:val="22"/>
                <w:lang w:val="en-US" w:eastAsia="zh-CN" w:bidi="ar"/>
              </w:rPr>
              <w:t xml:space="preserve"> </w:t>
            </w:r>
          </w:p>
        </w:tc>
        <w:tc>
          <w:tcPr>
            <w:tcW w:w="10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10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土壤检测能力</w:t>
            </w:r>
            <w:r>
              <w:rPr>
                <w:rFonts w:hint="eastAsia" w:ascii="宋体" w:hAnsi="宋体" w:cs="宋体"/>
                <w:i w:val="0"/>
                <w:iCs w:val="0"/>
                <w:color w:val="000000"/>
                <w:kern w:val="0"/>
                <w:sz w:val="22"/>
                <w:szCs w:val="22"/>
                <w:u w:val="none"/>
                <w:lang w:val="en-US" w:eastAsia="zh-CN" w:bidi="ar"/>
              </w:rPr>
              <w:t>（2分）</w:t>
            </w:r>
          </w:p>
        </w:tc>
        <w:tc>
          <w:tcPr>
            <w:tcW w:w="6320" w:type="dxa"/>
            <w:noWrap w:val="0"/>
            <w:vAlign w:val="center"/>
          </w:tcPr>
          <w:p>
            <w:pPr>
              <w:pStyle w:val="7"/>
              <w:keepNext w:val="0"/>
              <w:keepLines w:val="0"/>
              <w:pageBreakBefore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投标人具有质量技术监督管理部门颁发的CMA检验检测机构资质认定证书的得</w:t>
            </w:r>
            <w:r>
              <w:rPr>
                <w:rFonts w:hint="eastAsia"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auto"/>
                <w:sz w:val="22"/>
                <w:szCs w:val="22"/>
                <w:highlight w:val="none"/>
              </w:rPr>
              <w:t>注：投标文件中需提供清晰的相关证书原件扫描件，不提供不得分。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09"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0" w:type="dxa"/>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相关荣誉</w:t>
            </w:r>
          </w:p>
          <w:p>
            <w:pPr>
              <w:pStyle w:val="2"/>
              <w:rPr>
                <w:rFonts w:hint="eastAsia" w:ascii="宋体" w:hAnsi="Arial" w:eastAsia="宋体" w:cs="Arial"/>
                <w:snapToGrid w:val="0"/>
                <w:kern w:val="2"/>
                <w:sz w:val="22"/>
                <w:szCs w:val="22"/>
                <w:lang w:val="en-US" w:eastAsia="zh-CN" w:bidi="ar-SA"/>
              </w:rPr>
            </w:pPr>
            <w:r>
              <w:rPr>
                <w:rFonts w:hint="eastAsia" w:ascii="宋体" w:hAnsi="宋体" w:cs="宋体"/>
                <w:i w:val="0"/>
                <w:iCs w:val="0"/>
                <w:color w:val="000000"/>
                <w:kern w:val="0"/>
                <w:sz w:val="22"/>
                <w:szCs w:val="22"/>
                <w:u w:val="none"/>
                <w:lang w:val="en-US" w:eastAsia="zh-CN" w:bidi="ar"/>
              </w:rPr>
              <w:t>（</w:t>
            </w:r>
            <w:r>
              <w:rPr>
                <w:rFonts w:hint="eastAsia" w:hAnsi="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分）</w:t>
            </w:r>
          </w:p>
        </w:tc>
        <w:tc>
          <w:tcPr>
            <w:tcW w:w="6320" w:type="dxa"/>
            <w:noWrap w:val="0"/>
            <w:vAlign w:val="center"/>
          </w:tcPr>
          <w:p>
            <w:pPr>
              <w:keepNext w:val="0"/>
              <w:keepLines w:val="0"/>
              <w:widowControl/>
              <w:suppressLineNumbers w:val="0"/>
              <w:jc w:val="left"/>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投标人承担完成项目荣获土壤领域荣誉或富硒土地详查地块取得认证的，</w:t>
            </w:r>
            <w:r>
              <w:rPr>
                <w:rFonts w:hint="eastAsia" w:ascii="宋体" w:hAnsi="宋体" w:cs="宋体"/>
                <w:b w:val="0"/>
                <w:bCs w:val="0"/>
                <w:color w:val="auto"/>
                <w:sz w:val="22"/>
                <w:szCs w:val="22"/>
                <w:highlight w:val="none"/>
                <w:lang w:val="en-US" w:eastAsia="zh-CN"/>
              </w:rPr>
              <w:t>省（部）级以上</w:t>
            </w:r>
            <w:r>
              <w:rPr>
                <w:rFonts w:hint="eastAsia" w:ascii="宋体" w:hAnsi="宋体" w:eastAsia="宋体" w:cs="宋体"/>
                <w:b w:val="0"/>
                <w:bCs w:val="0"/>
                <w:color w:val="auto"/>
                <w:sz w:val="22"/>
                <w:szCs w:val="22"/>
                <w:highlight w:val="none"/>
                <w:lang w:val="en-US" w:eastAsia="zh-CN"/>
              </w:rPr>
              <w:t>得</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r>
              <w:rPr>
                <w:rFonts w:hint="eastAsia" w:ascii="宋体" w:hAnsi="宋体" w:cs="宋体"/>
                <w:b w:val="0"/>
                <w:bCs w:val="0"/>
                <w:color w:val="auto"/>
                <w:sz w:val="22"/>
                <w:szCs w:val="22"/>
                <w:highlight w:val="none"/>
                <w:lang w:val="en-US" w:eastAsia="zh-CN"/>
              </w:rPr>
              <w:t>，市（厅）级得1分</w:t>
            </w:r>
            <w:r>
              <w:rPr>
                <w:rFonts w:hint="eastAsia" w:ascii="宋体" w:hAnsi="宋体" w:eastAsia="宋体" w:cs="宋体"/>
                <w:b w:val="0"/>
                <w:bCs w:val="0"/>
                <w:color w:val="auto"/>
                <w:sz w:val="22"/>
                <w:szCs w:val="22"/>
                <w:highlight w:val="none"/>
                <w:lang w:val="en-US" w:eastAsia="zh-CN"/>
              </w:rPr>
              <w:t>。</w:t>
            </w:r>
          </w:p>
          <w:p>
            <w:pPr>
              <w:keepNext w:val="0"/>
              <w:keepLines w:val="0"/>
              <w:widowControl/>
              <w:suppressLineNumbers w:val="0"/>
              <w:jc w:val="left"/>
              <w:textAlignment w:val="center"/>
              <w:rPr>
                <w:rFonts w:hint="eastAsia" w:ascii="宋体" w:hAnsi="Arial" w:eastAsia="宋体" w:cs="Arial"/>
                <w:snapToGrid w:val="0"/>
                <w:kern w:val="2"/>
                <w:sz w:val="22"/>
                <w:szCs w:val="22"/>
                <w:lang w:val="en-US" w:eastAsia="zh-CN" w:bidi="ar-SA"/>
              </w:rPr>
            </w:pPr>
            <w:r>
              <w:rPr>
                <w:rFonts w:hint="eastAsia" w:ascii="宋体" w:hAnsi="宋体" w:eastAsia="宋体" w:cs="宋体"/>
                <w:b/>
                <w:bCs/>
                <w:color w:val="auto"/>
                <w:sz w:val="22"/>
                <w:szCs w:val="22"/>
                <w:highlight w:val="none"/>
                <w:lang w:val="en-US" w:eastAsia="zh-CN"/>
              </w:rPr>
              <w:t>注：投标文件中需提供清晰的相关证书原件扫描件，不提供不得分。</w:t>
            </w:r>
          </w:p>
        </w:tc>
        <w:tc>
          <w:tcPr>
            <w:tcW w:w="10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w:t>
            </w:r>
            <w:r>
              <w:rPr>
                <w:rFonts w:hint="eastAsia" w:ascii="宋体" w:hAnsi="宋体" w:cs="宋体"/>
                <w:i w:val="0"/>
                <w:iCs w:val="0"/>
                <w:color w:val="000000"/>
                <w:kern w:val="0"/>
                <w:sz w:val="22"/>
                <w:szCs w:val="22"/>
                <w:u w:val="none"/>
                <w:lang w:val="en-US" w:eastAsia="zh-CN" w:bidi="ar"/>
              </w:rPr>
              <w:t>74</w:t>
            </w:r>
            <w:r>
              <w:rPr>
                <w:rFonts w:hint="eastAsia" w:ascii="宋体" w:hAnsi="宋体" w:eastAsia="宋体" w:cs="宋体"/>
                <w:i w:val="0"/>
                <w:iCs w:val="0"/>
                <w:color w:val="000000"/>
                <w:kern w:val="0"/>
                <w:sz w:val="22"/>
                <w:szCs w:val="22"/>
                <w:u w:val="none"/>
                <w:lang w:val="en-US" w:eastAsia="zh-CN" w:bidi="ar"/>
              </w:rPr>
              <w:t>分）</w:t>
            </w:r>
          </w:p>
        </w:tc>
        <w:tc>
          <w:tcPr>
            <w:tcW w:w="144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对本项目的了解及分析</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63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根据投标人①对本项目地质背景的了解程度（0-5分）、②对本项目土壤环境的了解情况（0-5分）、③对本项目农业和农产品的了解情况（0-5分）等由专家综合评分。（每项5分，分项打分，满分15分），具体如下：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lang w:bidi="ar"/>
              </w:rPr>
              <w:t>针对本项目的情况分析项目实施重点、难点，分析符合实际情况，采取的应对措施到位，</w:t>
            </w:r>
            <w:r>
              <w:rPr>
                <w:rFonts w:hint="eastAsia" w:asciiTheme="minorEastAsia" w:hAnsiTheme="minorEastAsia" w:eastAsiaTheme="minorEastAsia" w:cstheme="minorEastAsia"/>
                <w:color w:val="auto"/>
                <w:sz w:val="22"/>
                <w:szCs w:val="22"/>
                <w:highlight w:val="none"/>
              </w:rPr>
              <w:t>内容全面详尽有针对性的得</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分；较为详细的得</w:t>
            </w:r>
            <w:r>
              <w:rPr>
                <w:rFonts w:hint="eastAsia" w:asciiTheme="minorEastAsia" w:hAnsiTheme="minorEastAsia" w:eastAsiaTheme="minorEastAsia" w:cstheme="minorEastAsia"/>
                <w:color w:val="auto"/>
                <w:sz w:val="22"/>
                <w:szCs w:val="22"/>
                <w:highlight w:val="none"/>
                <w:lang w:val="en-US" w:eastAsia="zh-CN"/>
              </w:rPr>
              <w:t>3分</w:t>
            </w:r>
            <w:r>
              <w:rPr>
                <w:rFonts w:hint="eastAsia" w:asciiTheme="minorEastAsia" w:hAnsiTheme="minorEastAsia" w:eastAsiaTheme="minorEastAsia" w:cstheme="minorEastAsia"/>
                <w:color w:val="auto"/>
                <w:sz w:val="22"/>
                <w:szCs w:val="22"/>
                <w:highlight w:val="none"/>
              </w:rPr>
              <w:t>；内容简单的得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分；未提供的不得分。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项目实施方案</w:t>
            </w:r>
          </w:p>
          <w:p>
            <w:pPr>
              <w:keepNext w:val="0"/>
              <w:keepLines w:val="0"/>
              <w:widowControl/>
              <w:suppressLineNumbers w:val="0"/>
              <w:jc w:val="both"/>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根据投标人对前期土地质量调查成果的了解程度及理解准确性，进行打分。</w:t>
            </w:r>
            <w:r>
              <w:rPr>
                <w:rFonts w:hint="eastAsia" w:asciiTheme="minorEastAsia" w:hAnsiTheme="minorEastAsia" w:eastAsiaTheme="minorEastAsia" w:cstheme="minorEastAsia"/>
                <w:color w:val="auto"/>
                <w:sz w:val="22"/>
                <w:szCs w:val="22"/>
                <w:highlight w:val="none"/>
                <w:lang w:val="en-US" w:eastAsia="zh-CN" w:bidi="ar"/>
              </w:rPr>
              <w:br w:type="textWrapping"/>
            </w:r>
            <w:r>
              <w:rPr>
                <w:rFonts w:hint="eastAsia" w:asciiTheme="minorEastAsia" w:hAnsiTheme="minorEastAsia" w:eastAsiaTheme="minorEastAsia" w:cstheme="minorEastAsia"/>
                <w:color w:val="auto"/>
                <w:sz w:val="22"/>
                <w:szCs w:val="22"/>
                <w:highlight w:val="none"/>
                <w:lang w:bidi="ar"/>
              </w:rPr>
              <w:t>针对本项目的情况分析项目实施重点、难点，分析符合实际情况，采取的应对措施到位，内容全面详尽有针对性的得</w:t>
            </w:r>
            <w:r>
              <w:rPr>
                <w:rFonts w:hint="eastAsia" w:asciiTheme="minorEastAsia" w:hAnsiTheme="minorEastAsia" w:eastAsiaTheme="minorEastAsia" w:cstheme="minorEastAsia"/>
                <w:color w:val="auto"/>
                <w:sz w:val="22"/>
                <w:szCs w:val="22"/>
                <w:highlight w:val="none"/>
                <w:lang w:val="en-US" w:eastAsia="zh-CN" w:bidi="ar"/>
              </w:rPr>
              <w:t>6</w:t>
            </w:r>
            <w:r>
              <w:rPr>
                <w:rFonts w:hint="eastAsia" w:asciiTheme="minorEastAsia" w:hAnsiTheme="minorEastAsia" w:eastAsiaTheme="minorEastAsia" w:cstheme="minorEastAsia"/>
                <w:color w:val="auto"/>
                <w:sz w:val="22"/>
                <w:szCs w:val="22"/>
                <w:highlight w:val="none"/>
                <w:lang w:bidi="ar"/>
              </w:rPr>
              <w:t>分；较为详细的得</w:t>
            </w:r>
            <w:r>
              <w:rPr>
                <w:rFonts w:hint="eastAsia" w:asciiTheme="minorEastAsia" w:hAnsiTheme="minorEastAsia" w:eastAsiaTheme="minorEastAsia" w:cstheme="minorEastAsia"/>
                <w:color w:val="auto"/>
                <w:sz w:val="22"/>
                <w:szCs w:val="22"/>
                <w:highlight w:val="none"/>
                <w:lang w:val="en-US" w:eastAsia="zh-CN" w:bidi="ar"/>
              </w:rPr>
              <w:t>4分</w:t>
            </w:r>
            <w:r>
              <w:rPr>
                <w:rFonts w:hint="eastAsia" w:asciiTheme="minorEastAsia" w:hAnsiTheme="minorEastAsia" w:eastAsiaTheme="minorEastAsia" w:cstheme="minorEastAsia"/>
                <w:color w:val="auto"/>
                <w:sz w:val="22"/>
                <w:szCs w:val="22"/>
                <w:highlight w:val="none"/>
                <w:lang w:bidi="ar"/>
              </w:rPr>
              <w:t>；内容简单的得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分；未提供的不得分。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根据投标人提供的工作方法是否准确理解国家有关调查技术要求，具有较强的可操作性进行打分。</w:t>
            </w:r>
            <w:r>
              <w:rPr>
                <w:rFonts w:hint="eastAsia" w:asciiTheme="minorEastAsia" w:hAnsiTheme="minorEastAsia" w:eastAsiaTheme="minorEastAsia" w:cstheme="minorEastAsia"/>
                <w:color w:val="auto"/>
                <w:sz w:val="22"/>
                <w:szCs w:val="22"/>
                <w:highlight w:val="none"/>
                <w:lang w:val="en-US" w:eastAsia="zh-CN" w:bidi="ar"/>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1.4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0.8</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default" w:asciiTheme="minorEastAsia" w:hAnsiTheme="minorEastAsia" w:eastAsiaTheme="minorEastAsia" w:cstheme="minorEastAsia"/>
                <w:color w:val="auto"/>
                <w:sz w:val="22"/>
                <w:szCs w:val="22"/>
                <w:highlight w:val="none"/>
                <w:lang w:val="en-US" w:eastAsia="zh-CN" w:bidi="ar"/>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sz w:val="22"/>
                <w:szCs w:val="22"/>
                <w:u w:val="none"/>
                <w:lang w:val="en-US" w:eastAsia="zh-CN"/>
              </w:rPr>
              <w:t>根据投标人提供的工作内容能否涵盖调查总体工作要求进行打分。</w:t>
            </w:r>
            <w:r>
              <w:rPr>
                <w:rFonts w:hint="eastAsia" w:ascii="宋体" w:hAnsi="宋体" w:eastAsia="宋体" w:cs="宋体"/>
                <w:i w:val="0"/>
                <w:iCs w:val="0"/>
                <w:color w:val="000000"/>
                <w:sz w:val="22"/>
                <w:szCs w:val="22"/>
                <w:u w:val="none"/>
                <w:lang w:val="en-US" w:eastAsia="zh-CN"/>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3</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1</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sz w:val="22"/>
                <w:szCs w:val="22"/>
                <w:u w:val="none"/>
                <w:lang w:val="en-US" w:eastAsia="zh-CN"/>
              </w:rPr>
              <w:t>根据投标人对本项目详细工作方案的完整性和针对进行打分。</w:t>
            </w:r>
            <w:r>
              <w:rPr>
                <w:rFonts w:hint="eastAsia" w:ascii="宋体" w:hAnsi="宋体" w:eastAsia="宋体" w:cs="宋体"/>
                <w:i w:val="0"/>
                <w:iCs w:val="0"/>
                <w:color w:val="000000"/>
                <w:sz w:val="22"/>
                <w:szCs w:val="22"/>
                <w:u w:val="none"/>
                <w:lang w:val="en-US" w:eastAsia="zh-CN"/>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8</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6</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根据投标人对本项目的重点、难点和其他可预见问题（0-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5</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heme="minorEastAsia" w:hAnsiTheme="minorEastAsia" w:eastAsiaTheme="minorEastAsia" w:cstheme="minorEastAsia"/>
                <w:color w:val="auto"/>
                <w:sz w:val="22"/>
                <w:szCs w:val="22"/>
                <w:highlight w:val="none"/>
                <w:lang w:bidi="ar"/>
              </w:rPr>
              <w:t>未提供不得分。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所提出的合理化建议和相应的解决措施(0-</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5</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根据投标人对项目工作进度安排的合理性、计划的可操作性进行打分。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6</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根据投标人提供的保密制度和实施制度具有完整性、可行性等进行打分。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3</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1</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质量保障措施（5分）</w:t>
            </w:r>
          </w:p>
        </w:tc>
        <w:tc>
          <w:tcPr>
            <w:tcW w:w="632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对投标人提供的成果质量保障措施进行综合评审，在0-5分的区间内进行打分。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color w:val="auto"/>
                <w:sz w:val="22"/>
                <w:szCs w:val="22"/>
                <w:highlight w:val="none"/>
                <w:lang w:val="en-US" w:eastAsia="zh-CN" w:bidi="ar"/>
              </w:rPr>
              <w:t>方案具有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针对性、可行性及科学性强，得</w:t>
            </w:r>
            <w:r>
              <w:rPr>
                <w:rFonts w:hint="eastAsia" w:asciiTheme="minorEastAsia" w:hAnsiTheme="minorEastAsia" w:eastAsiaTheme="minorEastAsia" w:cstheme="minorEastAsia"/>
                <w:color w:val="auto"/>
                <w:sz w:val="22"/>
                <w:szCs w:val="22"/>
                <w:highlight w:val="none"/>
                <w:lang w:val="en-US" w:eastAsia="zh-CN" w:bidi="ar"/>
              </w:rPr>
              <w:t>5</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方案基本具有</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val="en-US" w:eastAsia="zh-CN" w:bidi="ar"/>
              </w:rPr>
              <w:t>有一定针对性，</w:t>
            </w:r>
            <w:r>
              <w:rPr>
                <w:rFonts w:hint="eastAsia" w:asciiTheme="minorEastAsia" w:hAnsiTheme="minorEastAsia" w:eastAsiaTheme="minorEastAsia" w:cstheme="minorEastAsia"/>
                <w:color w:val="auto"/>
                <w:sz w:val="22"/>
                <w:szCs w:val="22"/>
                <w:highlight w:val="none"/>
                <w:lang w:bidi="ar"/>
              </w:rPr>
              <w:t>可行性及科学性，得</w:t>
            </w:r>
            <w:r>
              <w:rPr>
                <w:rFonts w:hint="eastAsia" w:asciiTheme="minorEastAsia" w:hAnsiTheme="minorEastAsia" w:eastAsiaTheme="minorEastAsia" w:cstheme="minorEastAsia"/>
                <w:color w:val="auto"/>
                <w:sz w:val="22"/>
                <w:szCs w:val="22"/>
                <w:highlight w:val="none"/>
                <w:lang w:val="en-US" w:eastAsia="zh-CN" w:bidi="ar"/>
              </w:rPr>
              <w:t>4</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val="en-US" w:eastAsia="zh-CN" w:bidi="ar"/>
              </w:rPr>
              <w:t>方案</w:t>
            </w:r>
            <w:r>
              <w:rPr>
                <w:rFonts w:hint="eastAsia" w:asciiTheme="minorEastAsia" w:hAnsiTheme="minorEastAsia" w:eastAsiaTheme="minorEastAsia" w:cstheme="minorEastAsia"/>
                <w:color w:val="auto"/>
                <w:sz w:val="22"/>
                <w:szCs w:val="22"/>
                <w:highlight w:val="none"/>
                <w:lang w:bidi="ar"/>
              </w:rPr>
              <w:t>完整性</w:t>
            </w:r>
            <w:r>
              <w:rPr>
                <w:rFonts w:hint="eastAsia" w:asciiTheme="minorEastAsia" w:hAnsiTheme="minorEastAsia" w:eastAsiaTheme="minorEastAsia" w:cstheme="minorEastAsia"/>
                <w:color w:val="auto"/>
                <w:sz w:val="22"/>
                <w:szCs w:val="22"/>
                <w:highlight w:val="none"/>
                <w:lang w:val="en-US" w:eastAsia="zh-CN" w:bidi="ar"/>
              </w:rPr>
              <w:t>欠缺，不够有</w:t>
            </w:r>
            <w:r>
              <w:rPr>
                <w:rFonts w:hint="eastAsia" w:asciiTheme="minorEastAsia" w:hAnsiTheme="minorEastAsia" w:eastAsiaTheme="minorEastAsia" w:cstheme="minorEastAsia"/>
                <w:color w:val="auto"/>
                <w:sz w:val="22"/>
                <w:szCs w:val="22"/>
                <w:highlight w:val="none"/>
                <w:lang w:bidi="ar"/>
              </w:rPr>
              <w:t>针对性</w:t>
            </w:r>
            <w:r>
              <w:rPr>
                <w:rFonts w:hint="eastAsia" w:asciiTheme="minorEastAsia" w:hAnsiTheme="minorEastAsia" w:eastAsiaTheme="minorEastAsia" w:cstheme="minorEastAsia"/>
                <w:color w:val="auto"/>
                <w:sz w:val="22"/>
                <w:szCs w:val="22"/>
                <w:highlight w:val="none"/>
                <w:lang w:eastAsia="zh-CN" w:bidi="ar"/>
              </w:rPr>
              <w:t>，</w:t>
            </w:r>
            <w:r>
              <w:rPr>
                <w:rFonts w:hint="eastAsia" w:asciiTheme="minorEastAsia" w:hAnsiTheme="minorEastAsia" w:eastAsiaTheme="minorEastAsia" w:cstheme="minorEastAsia"/>
                <w:color w:val="auto"/>
                <w:sz w:val="22"/>
                <w:szCs w:val="22"/>
                <w:highlight w:val="none"/>
                <w:lang w:bidi="ar"/>
              </w:rPr>
              <w:t>可行性及科学性较差，得</w:t>
            </w:r>
            <w:r>
              <w:rPr>
                <w:rFonts w:hint="eastAsia" w:asciiTheme="minorEastAsia" w:hAnsiTheme="minorEastAsia" w:eastAsiaTheme="minorEastAsia" w:cstheme="minorEastAsia"/>
                <w:color w:val="auto"/>
                <w:sz w:val="22"/>
                <w:szCs w:val="22"/>
                <w:highlight w:val="none"/>
                <w:lang w:val="en-US" w:eastAsia="zh-CN" w:bidi="ar"/>
              </w:rPr>
              <w:t>2</w:t>
            </w:r>
            <w:r>
              <w:rPr>
                <w:rFonts w:hint="eastAsia" w:asciiTheme="minorEastAsia" w:hAnsiTheme="minorEastAsia" w:eastAsiaTheme="minorEastAsia" w:cstheme="minorEastAsia"/>
                <w:color w:val="auto"/>
                <w:sz w:val="22"/>
                <w:szCs w:val="22"/>
                <w:highlight w:val="none"/>
                <w:lang w:bidi="ar"/>
              </w:rPr>
              <w:t>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color w:val="auto"/>
                <w:sz w:val="22"/>
                <w:szCs w:val="22"/>
                <w:highlight w:val="none"/>
                <w:lang w:bidi="ar"/>
              </w:rPr>
              <w:t>未提供不得分。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restart"/>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投入本项目人员情况（</w:t>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分）</w:t>
            </w:r>
          </w:p>
        </w:tc>
        <w:tc>
          <w:tcPr>
            <w:tcW w:w="63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拟派项目负责人具有地质类或环保类，正高级职称的得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分，副高级职称的得</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分，中级职称的得1分；本项最高</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分。【提供有效的职称证书及2024年01月起任意连续三个月在投标人企业缴纳的显示已到账的社保说明。】</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vMerge w:val="continue"/>
            <w:noWrap w:val="0"/>
            <w:vAlign w:val="center"/>
          </w:tcPr>
          <w:p>
            <w:pPr>
              <w:jc w:val="both"/>
              <w:rPr>
                <w:rFonts w:hint="eastAsia" w:ascii="宋体" w:hAnsi="宋体" w:eastAsia="宋体" w:cs="宋体"/>
                <w:i w:val="0"/>
                <w:iCs w:val="0"/>
                <w:color w:val="000000"/>
                <w:sz w:val="22"/>
                <w:szCs w:val="22"/>
                <w:u w:val="none"/>
              </w:rPr>
            </w:pPr>
          </w:p>
        </w:tc>
        <w:tc>
          <w:tcPr>
            <w:tcW w:w="6320"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拟派项目组员（不含项目负责人）须满足基本配置至少</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人，拟派项目组员（不含项目负责人）具有地质类或环保类副高级及以上职称的每人得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分，地质类或环保类中级职称的每人得</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FF"/>
                <w:kern w:val="0"/>
                <w:sz w:val="22"/>
                <w:szCs w:val="22"/>
                <w:u w:val="none"/>
                <w:lang w:val="en-US" w:eastAsia="zh-CN" w:bidi="ar"/>
              </w:rPr>
              <w:t>同一人员不重复得分，</w:t>
            </w:r>
            <w:r>
              <w:rPr>
                <w:rFonts w:hint="eastAsia" w:ascii="宋体" w:hAnsi="宋体" w:eastAsia="宋体" w:cs="宋体"/>
                <w:i w:val="0"/>
                <w:iCs w:val="0"/>
                <w:color w:val="000000"/>
                <w:kern w:val="0"/>
                <w:sz w:val="22"/>
                <w:szCs w:val="22"/>
                <w:u w:val="none"/>
                <w:lang w:val="en-US" w:eastAsia="zh-CN" w:bidi="ar"/>
              </w:rPr>
              <w:t>最高</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项目组成员具有地质工程、地质学、地球化学、土壤学、农业资源与环境、生态学等6个专业的，每具有1个专业得0.5分，最高3分。</w:t>
            </w:r>
          </w:p>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须提供项目组人员的学历或学位证、职称证书、</w:t>
            </w:r>
            <w:r>
              <w:rPr>
                <w:rFonts w:hint="eastAsia" w:ascii="宋体" w:hAnsi="宋体" w:eastAsia="宋体" w:cs="宋体"/>
                <w:i w:val="0"/>
                <w:iCs w:val="0"/>
                <w:color w:val="000000"/>
                <w:kern w:val="0"/>
                <w:sz w:val="22"/>
                <w:szCs w:val="22"/>
                <w:u w:val="none"/>
                <w:lang w:val="en-US" w:eastAsia="zh-CN" w:bidi="ar"/>
              </w:rPr>
              <w:t>2024年01月起任意连续三个月在投标人企业缴纳的显示已到账的社保说明</w:t>
            </w:r>
            <w:r>
              <w:rPr>
                <w:rStyle w:val="58"/>
                <w:sz w:val="22"/>
                <w:szCs w:val="22"/>
                <w:lang w:val="en-US" w:eastAsia="zh-CN" w:bidi="ar"/>
              </w:rPr>
              <w:t>。</w:t>
            </w:r>
          </w:p>
        </w:tc>
        <w:tc>
          <w:tcPr>
            <w:tcW w:w="1059" w:type="dxa"/>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w:t>
            </w:r>
          </w:p>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09" w:type="dxa"/>
            <w:vMerge w:val="continue"/>
            <w:noWrap w:val="0"/>
            <w:vAlign w:val="center"/>
          </w:tcPr>
          <w:p>
            <w:pPr>
              <w:jc w:val="center"/>
              <w:rPr>
                <w:rFonts w:hint="eastAsia" w:ascii="宋体" w:hAnsi="宋体" w:eastAsia="宋体" w:cs="宋体"/>
                <w:i w:val="0"/>
                <w:iCs w:val="0"/>
                <w:color w:val="000000"/>
                <w:sz w:val="22"/>
                <w:szCs w:val="22"/>
                <w:u w:val="none"/>
              </w:rPr>
            </w:pP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服务承诺（</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6320" w:type="dxa"/>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sz w:val="22"/>
                <w:szCs w:val="22"/>
                <w:highlight w:val="none"/>
                <w:lang w:val="en-US" w:eastAsia="zh-CN"/>
              </w:rPr>
            </w:pPr>
            <w:r>
              <w:rPr>
                <w:rFonts w:hint="eastAsia"/>
                <w:sz w:val="22"/>
                <w:szCs w:val="22"/>
                <w:highlight w:val="none"/>
              </w:rPr>
              <w:t>根据</w:t>
            </w:r>
            <w:r>
              <w:rPr>
                <w:rFonts w:hint="eastAsia"/>
                <w:sz w:val="22"/>
                <w:szCs w:val="22"/>
                <w:highlight w:val="none"/>
                <w:lang w:eastAsia="zh-CN"/>
              </w:rPr>
              <w:t>投标人</w:t>
            </w:r>
            <w:r>
              <w:rPr>
                <w:rFonts w:hint="eastAsia"/>
                <w:sz w:val="22"/>
                <w:szCs w:val="22"/>
                <w:highlight w:val="none"/>
              </w:rPr>
              <w:t>提供</w:t>
            </w:r>
            <w:r>
              <w:rPr>
                <w:rFonts w:hint="eastAsia"/>
                <w:sz w:val="22"/>
                <w:szCs w:val="22"/>
                <w:highlight w:val="none"/>
                <w:lang w:eastAsia="zh-CN"/>
              </w:rPr>
              <w:t>的</w:t>
            </w:r>
            <w:r>
              <w:rPr>
                <w:rFonts w:hint="eastAsia"/>
                <w:sz w:val="22"/>
                <w:szCs w:val="22"/>
                <w:highlight w:val="none"/>
                <w:lang w:val="en-US" w:eastAsia="zh-CN"/>
              </w:rPr>
              <w:t>售后服务措施及方案进行打分：</w:t>
            </w:r>
          </w:p>
          <w:p>
            <w:pPr>
              <w:keepNext w:val="0"/>
              <w:keepLines w:val="0"/>
              <w:pageBreakBefore w:val="0"/>
              <w:numPr>
                <w:ilvl w:val="0"/>
                <w:numId w:val="10"/>
              </w:numPr>
              <w:kinsoku/>
              <w:wordWrap/>
              <w:overflowPunct/>
              <w:topLinePunct w:val="0"/>
              <w:autoSpaceDE/>
              <w:autoSpaceDN/>
              <w:bidi w:val="0"/>
              <w:spacing w:line="240" w:lineRule="auto"/>
              <w:textAlignment w:val="auto"/>
              <w:rPr>
                <w:rFonts w:hint="eastAsia"/>
                <w:sz w:val="22"/>
                <w:szCs w:val="22"/>
                <w:highlight w:val="none"/>
              </w:rPr>
            </w:pPr>
            <w:r>
              <w:rPr>
                <w:rFonts w:hint="eastAsia"/>
                <w:sz w:val="22"/>
                <w:szCs w:val="22"/>
                <w:highlight w:val="none"/>
                <w:lang w:val="en-US" w:eastAsia="zh-CN"/>
              </w:rPr>
              <w:t>在满足采购需求的前提下，能提供详细完整的售后服务措施及方案（包括服务能力、服务措施、服务承诺等方面）的得3分；售后服务措施及方案</w:t>
            </w:r>
            <w:r>
              <w:rPr>
                <w:rFonts w:hint="eastAsia"/>
                <w:sz w:val="22"/>
                <w:szCs w:val="22"/>
                <w:highlight w:val="none"/>
              </w:rPr>
              <w:t>描述简单</w:t>
            </w:r>
            <w:r>
              <w:rPr>
                <w:rFonts w:hint="eastAsia"/>
                <w:sz w:val="22"/>
                <w:szCs w:val="22"/>
                <w:highlight w:val="none"/>
                <w:lang w:eastAsia="zh-CN"/>
              </w:rPr>
              <w:t>，</w:t>
            </w:r>
            <w:r>
              <w:rPr>
                <w:rFonts w:hint="eastAsia"/>
                <w:sz w:val="22"/>
                <w:szCs w:val="22"/>
                <w:highlight w:val="none"/>
                <w:lang w:val="en-US" w:eastAsia="zh-CN"/>
              </w:rPr>
              <w:t>基本</w:t>
            </w:r>
            <w:r>
              <w:rPr>
                <w:rFonts w:hint="eastAsia"/>
                <w:sz w:val="22"/>
                <w:szCs w:val="22"/>
                <w:highlight w:val="none"/>
              </w:rPr>
              <w:t>可行的得</w:t>
            </w:r>
            <w:r>
              <w:rPr>
                <w:rFonts w:hint="eastAsia"/>
                <w:sz w:val="22"/>
                <w:szCs w:val="22"/>
                <w:highlight w:val="none"/>
                <w:lang w:val="en-US" w:eastAsia="zh-CN"/>
              </w:rPr>
              <w:t>2</w:t>
            </w:r>
            <w:r>
              <w:rPr>
                <w:rFonts w:hint="eastAsia"/>
                <w:sz w:val="22"/>
                <w:szCs w:val="22"/>
                <w:highlight w:val="none"/>
              </w:rPr>
              <w:t>分；</w:t>
            </w:r>
            <w:r>
              <w:rPr>
                <w:rFonts w:hint="eastAsia"/>
                <w:sz w:val="22"/>
                <w:szCs w:val="22"/>
                <w:highlight w:val="none"/>
                <w:lang w:val="en-US" w:eastAsia="zh-CN"/>
              </w:rPr>
              <w:t>售后服务措施及方案</w:t>
            </w:r>
            <w:r>
              <w:rPr>
                <w:rFonts w:hint="eastAsia"/>
                <w:sz w:val="22"/>
                <w:szCs w:val="22"/>
                <w:highlight w:val="none"/>
              </w:rPr>
              <w:t>有缺陷或缺少任一项内容的得</w:t>
            </w:r>
            <w:r>
              <w:rPr>
                <w:rFonts w:hint="eastAsia"/>
                <w:sz w:val="22"/>
                <w:szCs w:val="22"/>
                <w:highlight w:val="none"/>
                <w:lang w:val="en-US" w:eastAsia="zh-CN"/>
              </w:rPr>
              <w:t>1</w:t>
            </w:r>
            <w:r>
              <w:rPr>
                <w:rFonts w:hint="eastAsia"/>
                <w:sz w:val="22"/>
                <w:szCs w:val="22"/>
                <w:highlight w:val="none"/>
              </w:rPr>
              <w:t>分；未提供或明显不符合要求的不得分</w:t>
            </w:r>
            <w:r>
              <w:rPr>
                <w:rFonts w:hint="eastAsia"/>
                <w:sz w:val="22"/>
                <w:szCs w:val="22"/>
                <w:highlight w:val="none"/>
                <w:lang w:eastAsia="zh-CN"/>
              </w:rPr>
              <w:t>。</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sz w:val="22"/>
                <w:szCs w:val="22"/>
                <w:highlight w:val="none"/>
                <w:lang w:val="en-US" w:eastAsia="zh-CN"/>
              </w:rPr>
              <w:t>（2）售后服务响应时间（0-2分）：接到采购人通知（电话、电传等）后3小时以内到现场响应的得2分，5小时以内到现场响应的得1分，按最高分计。需以项目网点到采购单位所需时间为准。</w:t>
            </w:r>
            <w:r>
              <w:rPr>
                <w:rFonts w:hint="eastAsia"/>
                <w:b/>
                <w:bCs/>
                <w:sz w:val="22"/>
                <w:szCs w:val="22"/>
                <w:highlight w:val="none"/>
                <w:lang w:val="en-US" w:eastAsia="zh-CN"/>
              </w:rPr>
              <w:t>（须提供详细的网点地址及营业执照、联系人、联系方式、承诺书、高德地图导航时间等，未提供的不得分。）</w:t>
            </w:r>
          </w:p>
        </w:tc>
        <w:tc>
          <w:tcPr>
            <w:tcW w:w="10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r>
    </w:tbl>
    <w:p>
      <w:pPr>
        <w:pStyle w:val="12"/>
        <w:tabs>
          <w:tab w:val="left" w:pos="1069"/>
          <w:tab w:val="left" w:pos="2352"/>
        </w:tabs>
        <w:adjustRightInd w:val="0"/>
        <w:snapToGrid w:val="0"/>
        <w:spacing w:line="420" w:lineRule="exact"/>
        <w:ind w:left="335"/>
        <w:rPr>
          <w:rFonts w:hint="eastAsia" w:hAnsi="宋体" w:cs="宋体"/>
          <w:bCs/>
          <w:color w:val="auto"/>
          <w:sz w:val="22"/>
          <w:highlight w:val="none"/>
        </w:rPr>
      </w:pPr>
    </w:p>
    <w:p>
      <w:pPr>
        <w:pStyle w:val="12"/>
        <w:tabs>
          <w:tab w:val="left" w:pos="1069"/>
          <w:tab w:val="left" w:pos="2352"/>
        </w:tabs>
        <w:adjustRightInd w:val="0"/>
        <w:snapToGrid w:val="0"/>
        <w:spacing w:line="420" w:lineRule="exact"/>
        <w:ind w:left="335"/>
        <w:rPr>
          <w:rFonts w:hAnsi="宋体" w:cs="宋体"/>
          <w:bCs/>
          <w:color w:val="auto"/>
          <w:sz w:val="22"/>
          <w:highlight w:val="none"/>
        </w:rPr>
      </w:pPr>
    </w:p>
    <w:p>
      <w:pPr>
        <w:pStyle w:val="12"/>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2" w:name="_Toc18541_WPSOffice_Level2"/>
      <w:r>
        <w:rPr>
          <w:rFonts w:hint="eastAsia" w:hAnsi="宋体" w:cs="宋体"/>
          <w:b/>
          <w:bCs/>
          <w:color w:val="auto"/>
          <w:sz w:val="22"/>
          <w:szCs w:val="22"/>
          <w:highlight w:val="none"/>
        </w:rPr>
        <w:t>五、说明</w:t>
      </w:r>
      <w:bookmarkEnd w:id="92"/>
    </w:p>
    <w:p>
      <w:pPr>
        <w:pStyle w:val="12"/>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pPr>
        <w:pStyle w:val="12"/>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pPr>
        <w:pStyle w:val="12"/>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pPr>
        <w:pStyle w:val="12"/>
        <w:tabs>
          <w:tab w:val="left" w:pos="1069"/>
          <w:tab w:val="left" w:pos="2352"/>
        </w:tabs>
        <w:adjustRightInd w:val="0"/>
        <w:snapToGrid w:val="0"/>
        <w:spacing w:line="440" w:lineRule="atLeast"/>
        <w:rPr>
          <w:color w:val="auto"/>
          <w:highlight w:val="none"/>
        </w:rPr>
      </w:pPr>
      <w:r>
        <w:rPr>
          <w:rFonts w:hint="eastAsia" w:hAnsi="宋体" w:cs="宋体"/>
          <w:color w:val="auto"/>
          <w:sz w:val="22"/>
          <w:highlight w:val="none"/>
        </w:rPr>
        <w:t>参见本竞争性磋商文件第三部分：“供应商须知”中的相关内容，未尽事宜按有关法律规定处理。</w:t>
      </w:r>
    </w:p>
    <w:sectPr>
      <w:headerReference r:id="rId13" w:type="first"/>
      <w:footerReference r:id="rId15" w:type="first"/>
      <w:headerReference r:id="rId12" w:type="default"/>
      <w:footerReference r:id="rId14" w:type="default"/>
      <w:pgSz w:w="11906" w:h="16838"/>
      <w:pgMar w:top="1440" w:right="1247" w:bottom="1440" w:left="1247" w:header="851" w:footer="992" w:gutter="0"/>
      <w:pgNumType w:fmt="decimal"/>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2628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9525">
                        <a:noFill/>
                      </a:ln>
                      <a:effectLst/>
                    </wps:spPr>
                    <wps:txbx>
                      <w:txbxContent>
                        <w:p>
                          <w:pPr>
                            <w:pStyle w:val="1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10</w:t>
                          </w:r>
                          <w:r>
                            <w:rPr>
                              <w:szCs w:val="21"/>
                            </w:rPr>
                            <w:fldChar w:fldCharType="end"/>
                          </w:r>
                          <w:r>
                            <w:rPr>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2336;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4JRNDRAAAAAwEAAA8AAAAAAAAAAQAg&#10;AAAAIgAAAGRycy9kb3ducmV2LnhtbFBLAQIUABQAAAAIAIdO4kDtbJcC3AEAAK4DAAAOAAAAAAAA&#10;AAEAIAAAACABAABkcnMvZTJvRG9jLnhtbFBLBQYAAAAABgAGAFkBAABuBQAAAAA=&#10;">
              <v:fill on="f" focussize="0,0"/>
              <v:stroke on="f"/>
              <v:imagedata o:title=""/>
              <o:lock v:ext="edit" aspectratio="f"/>
              <v:textbox inset="0mm,0mm,0mm,0mm" style="mso-fit-shape-to-text:t;">
                <w:txbxContent>
                  <w:p>
                    <w:pPr>
                      <w:pStyle w:val="1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10</w:t>
                    </w:r>
                    <w:r>
                      <w:rPr>
                        <w:szCs w:val="21"/>
                      </w:rPr>
                      <w:fldChar w:fldCharType="end"/>
                    </w:r>
                    <w:r>
                      <w:rPr>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7650" cy="2628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w="9525">
                        <a:noFill/>
                      </a:ln>
                      <a:effectLst/>
                    </wps:spPr>
                    <wps:txbx>
                      <w:txbxContent>
                        <w:p>
                          <w:pPr>
                            <w:pStyle w:val="1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336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UTQ0QAAAAMBAAAPAAAAAAAAAAEA&#10;IAAAACIAAABkcnMvZG93bnJldi54bWxQSwECFAAUAAAACACHTuJAaTmN7t0BAACuAwAADgAAAAAA&#10;AAABACAAAAAgAQAAZHJzL2Uyb0RvYy54bWxQSwUGAAAAAAYABgBZAQAAbwUAAAAA&#10;">
              <v:fill on="f" focussize="0,0"/>
              <v:stroke on="f"/>
              <v:imagedata o:title=""/>
              <o:lock v:ext="edit" aspectratio="f"/>
              <v:textbox inset="0mm,0mm,0mm,0mm" style="mso-fit-shape-to-text:t;">
                <w:txbxContent>
                  <w:p>
                    <w:pPr>
                      <w:pStyle w:val="15"/>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- 27 -</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uTihM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dEWJ4xYHfvnx/fLz9+XXN7Ks&#10;Xt9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bk4oT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620"/>
        <w:tab w:val="clear" w:pos="4153"/>
      </w:tabs>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- 26 -</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Ol5MssBAACc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vaHEcYsDv3z/dvnx6/LzK1lW&#10;N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zpeTL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6"/>
        <w:szCs w:val="16"/>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hd w:val="clear" w:color="auto" w:fill="FFFFFF"/>
    </w:pPr>
    <w:r>
      <w:rPr>
        <w:rFonts w:hint="eastAsia" w:ascii="宋体"/>
        <w:u w:val="single"/>
      </w:rPr>
      <w:t>泰顺县政府采购</w:t>
    </w:r>
    <w:r>
      <w:rPr>
        <w:rFonts w:ascii="宋体"/>
        <w:u w:val="single"/>
      </w:rPr>
      <w:t>-----</w:t>
    </w:r>
    <w:r>
      <w:rPr>
        <w:rFonts w:hint="eastAsia" w:ascii="宋体"/>
        <w:u w:val="single"/>
      </w:rPr>
      <w:t xml:space="preserve">竞争性磋商文件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hd w:val="clear" w:color="auto" w:fill="FFFFFF"/>
    </w:pPr>
    <w:r>
      <w:rPr>
        <w:rFonts w:hint="eastAsia" w:ascii="宋体"/>
        <w:u w:val="single"/>
      </w:rPr>
      <w:t>泰顺县政府采购</w:t>
    </w:r>
    <w:r>
      <w:rPr>
        <w:rFonts w:ascii="宋体"/>
        <w:u w:val="single"/>
      </w:rPr>
      <w:t>-----</w:t>
    </w:r>
    <w:r>
      <w:rPr>
        <w:rFonts w:hint="eastAsia" w:ascii="宋体"/>
        <w:u w:val="single"/>
      </w:rPr>
      <w:t xml:space="preserve">竞争性磋商文件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u w:val="single"/>
      </w:rPr>
      <w:t>杭州华旗招标代理有限公司</w:t>
    </w:r>
    <w:r>
      <w:rPr>
        <w:rFonts w:hint="eastAsia"/>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374CF"/>
    <w:multiLevelType w:val="singleLevel"/>
    <w:tmpl w:val="DDC374CF"/>
    <w:lvl w:ilvl="0" w:tentative="0">
      <w:start w:val="1"/>
      <w:numFmt w:val="decimal"/>
      <w:lvlText w:val="%1."/>
      <w:lvlJc w:val="left"/>
      <w:pPr>
        <w:ind w:left="425" w:hanging="425"/>
      </w:pPr>
      <w:rPr>
        <w:rFonts w:hint="default"/>
      </w:rPr>
    </w:lvl>
  </w:abstractNum>
  <w:abstractNum w:abstractNumId="1">
    <w:nsid w:val="F8780FCD"/>
    <w:multiLevelType w:val="singleLevel"/>
    <w:tmpl w:val="F8780FCD"/>
    <w:lvl w:ilvl="0" w:tentative="0">
      <w:start w:val="1"/>
      <w:numFmt w:val="decimal"/>
      <w:suff w:val="nothing"/>
      <w:lvlText w:val="（%1）"/>
      <w:lvlJc w:val="left"/>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3EF4D7FB"/>
    <w:multiLevelType w:val="singleLevel"/>
    <w:tmpl w:val="3EF4D7FB"/>
    <w:lvl w:ilvl="0" w:tentative="0">
      <w:start w:val="3"/>
      <w:numFmt w:val="decimal"/>
      <w:suff w:val="nothing"/>
      <w:lvlText w:val="%1、"/>
      <w:lvlJc w:val="left"/>
      <w:rPr>
        <w:rFonts w:cs="Times New Roman"/>
      </w:r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61BD0F6F"/>
    <w:multiLevelType w:val="singleLevel"/>
    <w:tmpl w:val="61BD0F6F"/>
    <w:lvl w:ilvl="0" w:tentative="0">
      <w:start w:val="1"/>
      <w:numFmt w:val="decimal"/>
      <w:suff w:val="nothing"/>
      <w:lvlText w:val="（%1）"/>
      <w:lvlJc w:val="left"/>
    </w:lvl>
  </w:abstractNum>
  <w:abstractNum w:abstractNumId="9">
    <w:nsid w:val="69A5B887"/>
    <w:multiLevelType w:val="singleLevel"/>
    <w:tmpl w:val="69A5B887"/>
    <w:lvl w:ilvl="0" w:tentative="0">
      <w:start w:val="1"/>
      <w:numFmt w:val="decimal"/>
      <w:suff w:val="nothing"/>
      <w:lvlText w:val="%1、"/>
      <w:lvlJc w:val="left"/>
    </w:lvl>
  </w:abstractNum>
  <w:num w:numId="1">
    <w:abstractNumId w:val="4"/>
  </w:num>
  <w:num w:numId="2">
    <w:abstractNumId w:val="9"/>
  </w:num>
  <w:num w:numId="3">
    <w:abstractNumId w:val="5"/>
  </w:num>
  <w:num w:numId="4">
    <w:abstractNumId w:val="6"/>
  </w:num>
  <w:num w:numId="5">
    <w:abstractNumId w:val="7"/>
  </w:num>
  <w:num w:numId="6">
    <w:abstractNumId w:val="8"/>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dit="forms" w:formatting="1" w:enforcement="1" w:cryptProviderType="rsaFull" w:cryptAlgorithmClass="hash" w:cryptAlgorithmType="typeAny" w:cryptAlgorithmSid="4" w:cryptSpinCount="0" w:hash="a/jDZT1NSLMHHBKlw+LxOsZL/yc=" w:salt="PAWDf3xDLoYFHazwdyZipg=="/>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ZmY3NWEzMmY4ODM2ZmNlZDdjOTY1YjdmNzljYjUifQ=="/>
  </w:docVars>
  <w:rsids>
    <w:rsidRoot w:val="004F60FC"/>
    <w:rsid w:val="00023435"/>
    <w:rsid w:val="00091417"/>
    <w:rsid w:val="000C043C"/>
    <w:rsid w:val="00106D69"/>
    <w:rsid w:val="00160D18"/>
    <w:rsid w:val="001D49DD"/>
    <w:rsid w:val="00297DC5"/>
    <w:rsid w:val="002A5492"/>
    <w:rsid w:val="002D48AB"/>
    <w:rsid w:val="00372055"/>
    <w:rsid w:val="00391E34"/>
    <w:rsid w:val="0045081A"/>
    <w:rsid w:val="004619BD"/>
    <w:rsid w:val="004674B6"/>
    <w:rsid w:val="00497A01"/>
    <w:rsid w:val="004F60FC"/>
    <w:rsid w:val="00570F07"/>
    <w:rsid w:val="005D37D9"/>
    <w:rsid w:val="005E4E2E"/>
    <w:rsid w:val="00607FC1"/>
    <w:rsid w:val="006609EF"/>
    <w:rsid w:val="0066330D"/>
    <w:rsid w:val="006A39CC"/>
    <w:rsid w:val="006F7683"/>
    <w:rsid w:val="00751F34"/>
    <w:rsid w:val="00880BD5"/>
    <w:rsid w:val="008E57EA"/>
    <w:rsid w:val="008F302E"/>
    <w:rsid w:val="009513F3"/>
    <w:rsid w:val="00A54CAA"/>
    <w:rsid w:val="00A56D88"/>
    <w:rsid w:val="00B22860"/>
    <w:rsid w:val="00B459C4"/>
    <w:rsid w:val="00B932F4"/>
    <w:rsid w:val="00BA57B7"/>
    <w:rsid w:val="00BF2E34"/>
    <w:rsid w:val="00C053D9"/>
    <w:rsid w:val="00C257AC"/>
    <w:rsid w:val="00C5319B"/>
    <w:rsid w:val="00D408FA"/>
    <w:rsid w:val="00D7119F"/>
    <w:rsid w:val="00E2309A"/>
    <w:rsid w:val="00F1629E"/>
    <w:rsid w:val="00FA6280"/>
    <w:rsid w:val="00FD7DD1"/>
    <w:rsid w:val="012B538B"/>
    <w:rsid w:val="01456567"/>
    <w:rsid w:val="01501794"/>
    <w:rsid w:val="01603061"/>
    <w:rsid w:val="017D59D9"/>
    <w:rsid w:val="01B17394"/>
    <w:rsid w:val="0284372F"/>
    <w:rsid w:val="03147BC1"/>
    <w:rsid w:val="03CD1A9F"/>
    <w:rsid w:val="03D35307"/>
    <w:rsid w:val="03EA7172"/>
    <w:rsid w:val="04041B26"/>
    <w:rsid w:val="04296BE6"/>
    <w:rsid w:val="04E46D57"/>
    <w:rsid w:val="04F53C1B"/>
    <w:rsid w:val="051C746F"/>
    <w:rsid w:val="0612468B"/>
    <w:rsid w:val="061C75AE"/>
    <w:rsid w:val="06E24909"/>
    <w:rsid w:val="07264835"/>
    <w:rsid w:val="07A23F20"/>
    <w:rsid w:val="07DB2D71"/>
    <w:rsid w:val="07E55732"/>
    <w:rsid w:val="083E4B5E"/>
    <w:rsid w:val="0854720E"/>
    <w:rsid w:val="08980CBF"/>
    <w:rsid w:val="089C0A80"/>
    <w:rsid w:val="096E430B"/>
    <w:rsid w:val="097C674F"/>
    <w:rsid w:val="098D5F59"/>
    <w:rsid w:val="09A17DBA"/>
    <w:rsid w:val="09BC2D71"/>
    <w:rsid w:val="09C5110F"/>
    <w:rsid w:val="09E35CE4"/>
    <w:rsid w:val="0A0472E9"/>
    <w:rsid w:val="0A405A8E"/>
    <w:rsid w:val="0AC6281A"/>
    <w:rsid w:val="0B2D72EE"/>
    <w:rsid w:val="0B8C09BB"/>
    <w:rsid w:val="0B8E5FB8"/>
    <w:rsid w:val="0B976B42"/>
    <w:rsid w:val="0BE12DDB"/>
    <w:rsid w:val="0C033BE7"/>
    <w:rsid w:val="0C1267C6"/>
    <w:rsid w:val="0C225961"/>
    <w:rsid w:val="0D500D26"/>
    <w:rsid w:val="0E234421"/>
    <w:rsid w:val="0E336A63"/>
    <w:rsid w:val="0E3A5799"/>
    <w:rsid w:val="0EF4695B"/>
    <w:rsid w:val="0EF6634E"/>
    <w:rsid w:val="0F1A5440"/>
    <w:rsid w:val="0FBE7A18"/>
    <w:rsid w:val="111A3546"/>
    <w:rsid w:val="11567578"/>
    <w:rsid w:val="119C3DB8"/>
    <w:rsid w:val="1286080A"/>
    <w:rsid w:val="12DB3C9D"/>
    <w:rsid w:val="136A29F0"/>
    <w:rsid w:val="136F12CF"/>
    <w:rsid w:val="13A90D64"/>
    <w:rsid w:val="13B013CC"/>
    <w:rsid w:val="13DA6B42"/>
    <w:rsid w:val="13E45553"/>
    <w:rsid w:val="142360B8"/>
    <w:rsid w:val="143E4B55"/>
    <w:rsid w:val="156C2EC6"/>
    <w:rsid w:val="15851759"/>
    <w:rsid w:val="161C6052"/>
    <w:rsid w:val="165E3157"/>
    <w:rsid w:val="16E1530E"/>
    <w:rsid w:val="17120E2C"/>
    <w:rsid w:val="171F2164"/>
    <w:rsid w:val="177978A3"/>
    <w:rsid w:val="17B472A4"/>
    <w:rsid w:val="17C10B62"/>
    <w:rsid w:val="17F124E3"/>
    <w:rsid w:val="194F1722"/>
    <w:rsid w:val="19640C22"/>
    <w:rsid w:val="19895A33"/>
    <w:rsid w:val="1A400DC5"/>
    <w:rsid w:val="1AF9795F"/>
    <w:rsid w:val="1B084740"/>
    <w:rsid w:val="1B3306B6"/>
    <w:rsid w:val="1B8847D2"/>
    <w:rsid w:val="1C15318E"/>
    <w:rsid w:val="1C252021"/>
    <w:rsid w:val="1C33621A"/>
    <w:rsid w:val="1C36331D"/>
    <w:rsid w:val="1CC23A9D"/>
    <w:rsid w:val="1CDB3C3A"/>
    <w:rsid w:val="1D1D1605"/>
    <w:rsid w:val="1D707EA3"/>
    <w:rsid w:val="1D8D4321"/>
    <w:rsid w:val="1E195356"/>
    <w:rsid w:val="1E975C04"/>
    <w:rsid w:val="1ED85F51"/>
    <w:rsid w:val="1EF57228"/>
    <w:rsid w:val="1F0274CC"/>
    <w:rsid w:val="1F1E3555"/>
    <w:rsid w:val="203B617F"/>
    <w:rsid w:val="2068045B"/>
    <w:rsid w:val="206967F2"/>
    <w:rsid w:val="20FB29C9"/>
    <w:rsid w:val="2107515C"/>
    <w:rsid w:val="21315848"/>
    <w:rsid w:val="21B707B2"/>
    <w:rsid w:val="21D91EF7"/>
    <w:rsid w:val="22097D0C"/>
    <w:rsid w:val="225B7F85"/>
    <w:rsid w:val="227B5C0F"/>
    <w:rsid w:val="22800419"/>
    <w:rsid w:val="22C36646"/>
    <w:rsid w:val="244D0E6E"/>
    <w:rsid w:val="247500F5"/>
    <w:rsid w:val="251E5786"/>
    <w:rsid w:val="25277F29"/>
    <w:rsid w:val="261A5207"/>
    <w:rsid w:val="26492DAF"/>
    <w:rsid w:val="26CD1C32"/>
    <w:rsid w:val="27A3338F"/>
    <w:rsid w:val="27C92EAF"/>
    <w:rsid w:val="27D35027"/>
    <w:rsid w:val="28137B19"/>
    <w:rsid w:val="28666CF2"/>
    <w:rsid w:val="28757E8C"/>
    <w:rsid w:val="29F556C0"/>
    <w:rsid w:val="2A2D2A30"/>
    <w:rsid w:val="2A9B2FB4"/>
    <w:rsid w:val="2B102DA4"/>
    <w:rsid w:val="2B4C2F63"/>
    <w:rsid w:val="2BF35C97"/>
    <w:rsid w:val="2BFB4597"/>
    <w:rsid w:val="2C8D5567"/>
    <w:rsid w:val="2CB9652E"/>
    <w:rsid w:val="2D03015C"/>
    <w:rsid w:val="2DA33247"/>
    <w:rsid w:val="2EE4719A"/>
    <w:rsid w:val="2F051B36"/>
    <w:rsid w:val="2F766742"/>
    <w:rsid w:val="30913CD1"/>
    <w:rsid w:val="30B75796"/>
    <w:rsid w:val="311E58BA"/>
    <w:rsid w:val="313E73BD"/>
    <w:rsid w:val="335635C0"/>
    <w:rsid w:val="340F2862"/>
    <w:rsid w:val="349027AE"/>
    <w:rsid w:val="349E4639"/>
    <w:rsid w:val="34CF157B"/>
    <w:rsid w:val="35357180"/>
    <w:rsid w:val="353E6CD0"/>
    <w:rsid w:val="357F23AC"/>
    <w:rsid w:val="35E00751"/>
    <w:rsid w:val="35E8584B"/>
    <w:rsid w:val="36264516"/>
    <w:rsid w:val="3627071D"/>
    <w:rsid w:val="364C4FDC"/>
    <w:rsid w:val="371D7C1F"/>
    <w:rsid w:val="37272639"/>
    <w:rsid w:val="37336CE9"/>
    <w:rsid w:val="375546D0"/>
    <w:rsid w:val="379F6F0D"/>
    <w:rsid w:val="37D14649"/>
    <w:rsid w:val="37F54B45"/>
    <w:rsid w:val="38CD349A"/>
    <w:rsid w:val="38DC44B8"/>
    <w:rsid w:val="39111E53"/>
    <w:rsid w:val="39382F3B"/>
    <w:rsid w:val="3976376D"/>
    <w:rsid w:val="397B7E11"/>
    <w:rsid w:val="398845E4"/>
    <w:rsid w:val="399D36E6"/>
    <w:rsid w:val="39B747A8"/>
    <w:rsid w:val="39DB63D0"/>
    <w:rsid w:val="3A2C0D8D"/>
    <w:rsid w:val="3A3633B4"/>
    <w:rsid w:val="3A4B7A64"/>
    <w:rsid w:val="3AE34E80"/>
    <w:rsid w:val="3AFC3044"/>
    <w:rsid w:val="3B0C350F"/>
    <w:rsid w:val="3BC24658"/>
    <w:rsid w:val="3BE227C7"/>
    <w:rsid w:val="3C4A0508"/>
    <w:rsid w:val="3D2B1331"/>
    <w:rsid w:val="3D4D7F51"/>
    <w:rsid w:val="3D813F9B"/>
    <w:rsid w:val="3DC32724"/>
    <w:rsid w:val="3DDA6D30"/>
    <w:rsid w:val="3E2D7CCF"/>
    <w:rsid w:val="3EF573A8"/>
    <w:rsid w:val="3F042033"/>
    <w:rsid w:val="3F8A684E"/>
    <w:rsid w:val="3FA22F1E"/>
    <w:rsid w:val="3FD67B1B"/>
    <w:rsid w:val="412A7199"/>
    <w:rsid w:val="41554988"/>
    <w:rsid w:val="41765DD5"/>
    <w:rsid w:val="423673C6"/>
    <w:rsid w:val="435D13AE"/>
    <w:rsid w:val="43CD3B5E"/>
    <w:rsid w:val="44896D41"/>
    <w:rsid w:val="44904AEE"/>
    <w:rsid w:val="44B23146"/>
    <w:rsid w:val="44D2693A"/>
    <w:rsid w:val="44E02446"/>
    <w:rsid w:val="44F01788"/>
    <w:rsid w:val="456606D9"/>
    <w:rsid w:val="45860F7B"/>
    <w:rsid w:val="45CC3389"/>
    <w:rsid w:val="45F5336E"/>
    <w:rsid w:val="46014823"/>
    <w:rsid w:val="46152F39"/>
    <w:rsid w:val="46B75FF3"/>
    <w:rsid w:val="47BC2F72"/>
    <w:rsid w:val="488A4131"/>
    <w:rsid w:val="48A30A78"/>
    <w:rsid w:val="49121A4C"/>
    <w:rsid w:val="49225ED0"/>
    <w:rsid w:val="493A685C"/>
    <w:rsid w:val="499C16AC"/>
    <w:rsid w:val="49D373CD"/>
    <w:rsid w:val="49F106F9"/>
    <w:rsid w:val="4B0A52C1"/>
    <w:rsid w:val="4B9C55AC"/>
    <w:rsid w:val="4C967B61"/>
    <w:rsid w:val="4CE500FB"/>
    <w:rsid w:val="4D065F7A"/>
    <w:rsid w:val="4D666E75"/>
    <w:rsid w:val="4E712899"/>
    <w:rsid w:val="4E946D33"/>
    <w:rsid w:val="4EA2615B"/>
    <w:rsid w:val="4EA70518"/>
    <w:rsid w:val="4EB41737"/>
    <w:rsid w:val="4EBB56AA"/>
    <w:rsid w:val="4ED03E2A"/>
    <w:rsid w:val="4F4C553B"/>
    <w:rsid w:val="4F5675D7"/>
    <w:rsid w:val="4FB503C8"/>
    <w:rsid w:val="4FEA67E9"/>
    <w:rsid w:val="504A73D1"/>
    <w:rsid w:val="50777615"/>
    <w:rsid w:val="5090185C"/>
    <w:rsid w:val="519235A2"/>
    <w:rsid w:val="52470AB7"/>
    <w:rsid w:val="527305F3"/>
    <w:rsid w:val="5293435A"/>
    <w:rsid w:val="52EB2126"/>
    <w:rsid w:val="536D4938"/>
    <w:rsid w:val="53707B48"/>
    <w:rsid w:val="53C95D85"/>
    <w:rsid w:val="53E867BD"/>
    <w:rsid w:val="540B32CF"/>
    <w:rsid w:val="541E5346"/>
    <w:rsid w:val="54221B64"/>
    <w:rsid w:val="54E87AB4"/>
    <w:rsid w:val="55A1236C"/>
    <w:rsid w:val="567970CB"/>
    <w:rsid w:val="56AC1CAB"/>
    <w:rsid w:val="57415546"/>
    <w:rsid w:val="5747701F"/>
    <w:rsid w:val="57A203EE"/>
    <w:rsid w:val="58086B27"/>
    <w:rsid w:val="581642B8"/>
    <w:rsid w:val="58543536"/>
    <w:rsid w:val="58B2640F"/>
    <w:rsid w:val="591D33F7"/>
    <w:rsid w:val="59C65D64"/>
    <w:rsid w:val="59CF47E5"/>
    <w:rsid w:val="5A186745"/>
    <w:rsid w:val="5A774440"/>
    <w:rsid w:val="5B195D22"/>
    <w:rsid w:val="5B3351F8"/>
    <w:rsid w:val="5B5211E4"/>
    <w:rsid w:val="5C0A1FAF"/>
    <w:rsid w:val="5C415E64"/>
    <w:rsid w:val="5CC52615"/>
    <w:rsid w:val="5CD13DCB"/>
    <w:rsid w:val="5CF87471"/>
    <w:rsid w:val="5D04165A"/>
    <w:rsid w:val="5D7925BB"/>
    <w:rsid w:val="5EDB55D1"/>
    <w:rsid w:val="5EE200F5"/>
    <w:rsid w:val="5EF25C65"/>
    <w:rsid w:val="5F2D38CA"/>
    <w:rsid w:val="5F3D3E70"/>
    <w:rsid w:val="5F5801E1"/>
    <w:rsid w:val="5F6D6279"/>
    <w:rsid w:val="5FF66790"/>
    <w:rsid w:val="6092669C"/>
    <w:rsid w:val="60ED35FB"/>
    <w:rsid w:val="61044DE8"/>
    <w:rsid w:val="61056E3D"/>
    <w:rsid w:val="612E1D3E"/>
    <w:rsid w:val="61810D2A"/>
    <w:rsid w:val="61AF49EB"/>
    <w:rsid w:val="61E65824"/>
    <w:rsid w:val="61E744FB"/>
    <w:rsid w:val="62093E87"/>
    <w:rsid w:val="621F4BCC"/>
    <w:rsid w:val="627666FF"/>
    <w:rsid w:val="629E17B2"/>
    <w:rsid w:val="632E1990"/>
    <w:rsid w:val="632E6FDA"/>
    <w:rsid w:val="642C601E"/>
    <w:rsid w:val="643402DA"/>
    <w:rsid w:val="6450297C"/>
    <w:rsid w:val="64EB4D95"/>
    <w:rsid w:val="64F0086B"/>
    <w:rsid w:val="65100493"/>
    <w:rsid w:val="6646256E"/>
    <w:rsid w:val="66A870A3"/>
    <w:rsid w:val="67C779FD"/>
    <w:rsid w:val="67E83F23"/>
    <w:rsid w:val="67FF7197"/>
    <w:rsid w:val="682A2C53"/>
    <w:rsid w:val="68B61BDB"/>
    <w:rsid w:val="68C10F6E"/>
    <w:rsid w:val="68DF2431"/>
    <w:rsid w:val="69072F07"/>
    <w:rsid w:val="696D56D5"/>
    <w:rsid w:val="69EC27BC"/>
    <w:rsid w:val="69F91590"/>
    <w:rsid w:val="6A204DBF"/>
    <w:rsid w:val="6A271F9E"/>
    <w:rsid w:val="6A274783"/>
    <w:rsid w:val="6A8103F8"/>
    <w:rsid w:val="6B846F4B"/>
    <w:rsid w:val="6BAC3D4E"/>
    <w:rsid w:val="6BE46F7E"/>
    <w:rsid w:val="6C9F6913"/>
    <w:rsid w:val="6D21296A"/>
    <w:rsid w:val="6D5017F5"/>
    <w:rsid w:val="6D82064E"/>
    <w:rsid w:val="6D9076B8"/>
    <w:rsid w:val="6DEC7CFF"/>
    <w:rsid w:val="6FA40449"/>
    <w:rsid w:val="6FBA71E9"/>
    <w:rsid w:val="706B3D8C"/>
    <w:rsid w:val="70CA75FC"/>
    <w:rsid w:val="70DA4E8F"/>
    <w:rsid w:val="70FB2DB2"/>
    <w:rsid w:val="715E0A8A"/>
    <w:rsid w:val="715E7C7F"/>
    <w:rsid w:val="729B073E"/>
    <w:rsid w:val="72EF49C6"/>
    <w:rsid w:val="7357515C"/>
    <w:rsid w:val="738B06D8"/>
    <w:rsid w:val="73E57241"/>
    <w:rsid w:val="73F6757F"/>
    <w:rsid w:val="7459689C"/>
    <w:rsid w:val="74702755"/>
    <w:rsid w:val="74C90551"/>
    <w:rsid w:val="74D72C53"/>
    <w:rsid w:val="752547F0"/>
    <w:rsid w:val="752E06C7"/>
    <w:rsid w:val="758437FF"/>
    <w:rsid w:val="75A629FF"/>
    <w:rsid w:val="75B25E4D"/>
    <w:rsid w:val="76321DFF"/>
    <w:rsid w:val="76E45CE3"/>
    <w:rsid w:val="78B100F5"/>
    <w:rsid w:val="78F11143"/>
    <w:rsid w:val="79E37743"/>
    <w:rsid w:val="79F74C03"/>
    <w:rsid w:val="7A07271E"/>
    <w:rsid w:val="7A2B2283"/>
    <w:rsid w:val="7ACA1666"/>
    <w:rsid w:val="7AD80D2C"/>
    <w:rsid w:val="7AEF4D9D"/>
    <w:rsid w:val="7B4B52C9"/>
    <w:rsid w:val="7B5555AF"/>
    <w:rsid w:val="7B560A24"/>
    <w:rsid w:val="7B6320B7"/>
    <w:rsid w:val="7B911EA2"/>
    <w:rsid w:val="7BD26F5F"/>
    <w:rsid w:val="7C313083"/>
    <w:rsid w:val="7C781F8D"/>
    <w:rsid w:val="7C815F74"/>
    <w:rsid w:val="7C914409"/>
    <w:rsid w:val="7CBF66A9"/>
    <w:rsid w:val="7CD67B7C"/>
    <w:rsid w:val="7D2F72CC"/>
    <w:rsid w:val="7D897AFB"/>
    <w:rsid w:val="7E0635C9"/>
    <w:rsid w:val="7E5526A6"/>
    <w:rsid w:val="7E8565A7"/>
    <w:rsid w:val="7E912EDE"/>
    <w:rsid w:val="7F4B40EF"/>
    <w:rsid w:val="7F6A60A9"/>
    <w:rsid w:val="7F904EA3"/>
    <w:rsid w:val="7FB80D77"/>
    <w:rsid w:val="7FCA040F"/>
    <w:rsid w:val="7FCD619B"/>
    <w:rsid w:val="7FE50AE2"/>
    <w:rsid w:val="7FFD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9"/>
    <w:pPr>
      <w:spacing w:beforeLines="50" w:afterLines="50" w:line="360" w:lineRule="auto"/>
      <w:outlineLvl w:val="0"/>
    </w:pPr>
    <w:rPr>
      <w:rFonts w:ascii="仿宋_GB2312" w:eastAsia="仿宋_GB2312"/>
      <w:b/>
      <w:bCs/>
      <w:sz w:val="32"/>
      <w:szCs w:val="32"/>
    </w:rPr>
  </w:style>
  <w:style w:type="paragraph" w:styleId="5">
    <w:name w:val="heading 2"/>
    <w:basedOn w:val="1"/>
    <w:next w:val="1"/>
    <w:autoRedefine/>
    <w:qFormat/>
    <w:uiPriority w:val="0"/>
    <w:pPr>
      <w:widowControl/>
      <w:spacing w:before="100" w:beforeAutospacing="1" w:after="100" w:afterAutospacing="1"/>
      <w:jc w:val="left"/>
      <w:outlineLvl w:val="1"/>
    </w:pPr>
    <w:rPr>
      <w:rFonts w:eastAsia="等线"/>
      <w:kern w:val="0"/>
      <w:sz w:val="36"/>
      <w:szCs w:val="36"/>
    </w:rPr>
  </w:style>
  <w:style w:type="paragraph" w:styleId="6">
    <w:name w:val="heading 3"/>
    <w:basedOn w:val="1"/>
    <w:next w:val="1"/>
    <w:autoRedefine/>
    <w:semiHidden/>
    <w:unhideWhenUsed/>
    <w:qFormat/>
    <w:uiPriority w:val="9"/>
    <w:pPr>
      <w:keepNext/>
      <w:keepLines/>
      <w:spacing w:before="260" w:after="260" w:line="416" w:lineRule="auto"/>
      <w:outlineLvl w:val="2"/>
    </w:pPr>
    <w:rPr>
      <w:b/>
      <w:bCs/>
      <w:sz w:val="32"/>
      <w:szCs w:val="32"/>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kern w:val="0"/>
      <w:sz w:val="20"/>
      <w:szCs w:val="20"/>
    </w:rPr>
  </w:style>
  <w:style w:type="paragraph" w:styleId="3">
    <w:name w:val="Body Text First Indent"/>
    <w:basedOn w:val="2"/>
    <w:next w:val="1"/>
    <w:autoRedefine/>
    <w:qFormat/>
    <w:uiPriority w:val="0"/>
    <w:pPr>
      <w:spacing w:line="312" w:lineRule="auto"/>
      <w:ind w:firstLine="420"/>
    </w:pPr>
    <w:rPr>
      <w:szCs w:val="24"/>
    </w:rPr>
  </w:style>
  <w:style w:type="paragraph" w:styleId="7">
    <w:name w:val="Normal Indent"/>
    <w:basedOn w:val="1"/>
    <w:next w:val="8"/>
    <w:autoRedefine/>
    <w:qFormat/>
    <w:uiPriority w:val="99"/>
    <w:pPr>
      <w:ind w:firstLine="420"/>
    </w:pPr>
    <w:rPr>
      <w:szCs w:val="20"/>
    </w:rPr>
  </w:style>
  <w:style w:type="paragraph" w:styleId="8">
    <w:name w:val="Body Text Indent"/>
    <w:basedOn w:val="1"/>
    <w:next w:val="9"/>
    <w:autoRedefine/>
    <w:qFormat/>
    <w:uiPriority w:val="0"/>
    <w:pPr>
      <w:ind w:left="480" w:hanging="480" w:hangingChars="200"/>
    </w:pPr>
    <w:rPr>
      <w:sz w:val="24"/>
    </w:rPr>
  </w:style>
  <w:style w:type="paragraph" w:styleId="9">
    <w:name w:val="Body Text First Indent 2"/>
    <w:basedOn w:val="8"/>
    <w:next w:val="3"/>
    <w:autoRedefine/>
    <w:qFormat/>
    <w:uiPriority w:val="0"/>
    <w:pPr>
      <w:spacing w:after="120"/>
      <w:ind w:left="420" w:leftChars="200" w:firstLine="420"/>
    </w:pPr>
    <w:rPr>
      <w:rFonts w:cs="宋体"/>
      <w:sz w:val="21"/>
      <w:szCs w:val="21"/>
    </w:rPr>
  </w:style>
  <w:style w:type="paragraph" w:styleId="10">
    <w:name w:val="annotation text"/>
    <w:basedOn w:val="1"/>
    <w:link w:val="49"/>
    <w:autoRedefine/>
    <w:qFormat/>
    <w:uiPriority w:val="0"/>
    <w:pPr>
      <w:jc w:val="left"/>
    </w:pPr>
  </w:style>
  <w:style w:type="paragraph" w:styleId="11">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2">
    <w:name w:val="Plain Text"/>
    <w:basedOn w:val="1"/>
    <w:next w:val="1"/>
    <w:autoRedefine/>
    <w:qFormat/>
    <w:uiPriority w:val="0"/>
    <w:rPr>
      <w:rFonts w:ascii="宋体" w:hAnsi="Courier New"/>
      <w:kern w:val="0"/>
      <w:szCs w:val="21"/>
    </w:rPr>
  </w:style>
  <w:style w:type="paragraph" w:styleId="13">
    <w:name w:val="Body Text Indent 2"/>
    <w:basedOn w:val="1"/>
    <w:autoRedefine/>
    <w:qFormat/>
    <w:uiPriority w:val="99"/>
    <w:pPr>
      <w:widowControl/>
      <w:spacing w:line="480" w:lineRule="atLeast"/>
      <w:ind w:firstLine="480"/>
    </w:pPr>
    <w:rPr>
      <w:kern w:val="0"/>
      <w:sz w:val="20"/>
      <w:szCs w:val="20"/>
    </w:rPr>
  </w:style>
  <w:style w:type="paragraph" w:styleId="14">
    <w:name w:val="Balloon Text"/>
    <w:basedOn w:val="1"/>
    <w:link w:val="48"/>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kern w:val="0"/>
      <w:sz w:val="18"/>
      <w:szCs w:val="18"/>
    </w:rPr>
  </w:style>
  <w:style w:type="paragraph" w:styleId="16">
    <w:name w:val="envelope return"/>
    <w:basedOn w:val="1"/>
    <w:autoRedefine/>
    <w:qFormat/>
    <w:uiPriority w:val="99"/>
    <w:pPr>
      <w:snapToGrid w:val="0"/>
    </w:pPr>
    <w:rPr>
      <w:rFonts w:ascii="Arial" w:hAnsi="Arial"/>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8">
    <w:name w:val="toc 1"/>
    <w:basedOn w:val="19"/>
    <w:next w:val="1"/>
    <w:autoRedefine/>
    <w:semiHidden/>
    <w:unhideWhenUsed/>
    <w:qFormat/>
    <w:uiPriority w:val="39"/>
  </w:style>
  <w:style w:type="paragraph" w:styleId="19">
    <w:name w:val="index 1"/>
    <w:basedOn w:val="1"/>
    <w:next w:val="1"/>
    <w:autoRedefine/>
    <w:qFormat/>
    <w:uiPriority w:val="0"/>
    <w:pPr>
      <w:spacing w:line="220" w:lineRule="exact"/>
      <w:jc w:val="center"/>
    </w:pPr>
    <w:rPr>
      <w:rFonts w:ascii="仿宋_GB2312" w:eastAsia="仿宋_GB2312"/>
      <w:szCs w:val="21"/>
    </w:rPr>
  </w:style>
  <w:style w:type="paragraph" w:styleId="20">
    <w:name w:val="toc 4"/>
    <w:basedOn w:val="1"/>
    <w:next w:val="1"/>
    <w:autoRedefine/>
    <w:semiHidden/>
    <w:qFormat/>
    <w:uiPriority w:val="0"/>
    <w:pPr>
      <w:ind w:left="1260" w:leftChars="600"/>
    </w:pPr>
  </w:style>
  <w:style w:type="paragraph" w:styleId="21">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2">
    <w:name w:val="toc 6"/>
    <w:basedOn w:val="1"/>
    <w:next w:val="1"/>
    <w:autoRedefine/>
    <w:qFormat/>
    <w:uiPriority w:val="0"/>
    <w:pPr>
      <w:ind w:left="1050"/>
      <w:jc w:val="left"/>
    </w:pPr>
    <w:rPr>
      <w:rFonts w:ascii="Century Gothic" w:hAnsi="Century Gothic"/>
      <w:sz w:val="18"/>
      <w:szCs w:val="18"/>
    </w:rPr>
  </w:style>
  <w:style w:type="paragraph" w:styleId="23">
    <w:name w:val="table of figures"/>
    <w:basedOn w:val="1"/>
    <w:next w:val="1"/>
    <w:autoRedefine/>
    <w:unhideWhenUsed/>
    <w:qFormat/>
    <w:uiPriority w:val="99"/>
    <w:pPr>
      <w:ind w:left="200" w:leftChars="200" w:hanging="200" w:hangingChars="200"/>
    </w:pPr>
  </w:style>
  <w:style w:type="paragraph" w:styleId="24">
    <w:name w:val="toc 2"/>
    <w:basedOn w:val="1"/>
    <w:next w:val="1"/>
    <w:autoRedefine/>
    <w:qFormat/>
    <w:uiPriority w:val="0"/>
    <w:pPr>
      <w:ind w:left="420" w:leftChars="200"/>
    </w:pPr>
    <w:rPr>
      <w:szCs w:val="24"/>
    </w:rPr>
  </w:style>
  <w:style w:type="paragraph" w:styleId="25">
    <w:name w:val="Body Text 2"/>
    <w:basedOn w:val="1"/>
    <w:autoRedefine/>
    <w:qFormat/>
    <w:uiPriority w:val="0"/>
    <w:pPr>
      <w:ind w:right="-512" w:rightChars="-244"/>
    </w:pPr>
    <w:rPr>
      <w:rFonts w:ascii="宋体"/>
      <w:sz w:val="24"/>
    </w:rPr>
  </w:style>
  <w:style w:type="paragraph" w:styleId="26">
    <w:name w:val="Normal (Web)"/>
    <w:basedOn w:val="1"/>
    <w:autoRedefine/>
    <w:qFormat/>
    <w:uiPriority w:val="0"/>
    <w:pPr>
      <w:widowControl/>
      <w:spacing w:afterLines="50"/>
      <w:jc w:val="left"/>
    </w:pPr>
    <w:rPr>
      <w:rFonts w:ascii="长城仿宋" w:hAnsi="长城仿宋" w:eastAsia="Arial Unicode MS"/>
      <w:sz w:val="24"/>
    </w:rPr>
  </w:style>
  <w:style w:type="paragraph" w:styleId="27">
    <w:name w:val="Title"/>
    <w:basedOn w:val="1"/>
    <w:next w:val="1"/>
    <w:autoRedefine/>
    <w:qFormat/>
    <w:uiPriority w:val="0"/>
    <w:pPr>
      <w:spacing w:before="240" w:after="60"/>
      <w:jc w:val="center"/>
      <w:outlineLvl w:val="0"/>
    </w:pPr>
    <w:rPr>
      <w:rFonts w:ascii="Arial" w:hAnsi="Arial"/>
      <w:sz w:val="32"/>
      <w:szCs w:val="32"/>
    </w:rPr>
  </w:style>
  <w:style w:type="paragraph" w:styleId="28">
    <w:name w:val="annotation subject"/>
    <w:basedOn w:val="10"/>
    <w:next w:val="10"/>
    <w:link w:val="50"/>
    <w:autoRedefine/>
    <w:qFormat/>
    <w:uiPriority w:val="0"/>
    <w:rPr>
      <w:b/>
      <w:bCs/>
    </w:rPr>
  </w:style>
  <w:style w:type="table" w:styleId="30">
    <w:name w:val="Table Grid"/>
    <w:basedOn w:val="2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rPr>
      <w:b/>
      <w:bCs/>
    </w:rPr>
  </w:style>
  <w:style w:type="character" w:styleId="33">
    <w:name w:val="Hyperlink"/>
    <w:autoRedefine/>
    <w:qFormat/>
    <w:uiPriority w:val="0"/>
    <w:rPr>
      <w:color w:val="0000FF"/>
      <w:u w:val="single"/>
    </w:rPr>
  </w:style>
  <w:style w:type="character" w:styleId="34">
    <w:name w:val="annotation reference"/>
    <w:basedOn w:val="31"/>
    <w:autoRedefine/>
    <w:qFormat/>
    <w:uiPriority w:val="0"/>
    <w:rPr>
      <w:sz w:val="21"/>
      <w:szCs w:val="21"/>
    </w:rPr>
  </w:style>
  <w:style w:type="paragraph" w:customStyle="1" w:styleId="35">
    <w:name w:val="表格文字"/>
    <w:basedOn w:val="36"/>
    <w:next w:val="2"/>
    <w:autoRedefine/>
    <w:qFormat/>
    <w:uiPriority w:val="99"/>
    <w:pPr>
      <w:adjustRightInd w:val="0"/>
      <w:spacing w:line="420" w:lineRule="atLeast"/>
      <w:jc w:val="left"/>
      <w:textAlignment w:val="baseline"/>
    </w:pPr>
    <w:rPr>
      <w:szCs w:val="24"/>
    </w:rPr>
  </w:style>
  <w:style w:type="paragraph" w:customStyle="1" w:styleId="36">
    <w:name w:val="表格文字（两侧对齐）"/>
    <w:basedOn w:val="1"/>
    <w:autoRedefine/>
    <w:qFormat/>
    <w:uiPriority w:val="0"/>
    <w:pPr>
      <w:snapToGrid w:val="0"/>
    </w:pPr>
    <w:rPr>
      <w:sz w:val="20"/>
    </w:rPr>
  </w:style>
  <w:style w:type="paragraph" w:customStyle="1" w:styleId="37">
    <w:name w:val="Normal Indent1"/>
    <w:basedOn w:val="1"/>
    <w:autoRedefine/>
    <w:qFormat/>
    <w:uiPriority w:val="0"/>
    <w:pPr>
      <w:ind w:firstLine="420" w:firstLineChars="200"/>
    </w:pPr>
  </w:style>
  <w:style w:type="paragraph" w:customStyle="1" w:styleId="38">
    <w:name w:val="Plain Text1"/>
    <w:basedOn w:val="1"/>
    <w:autoRedefine/>
    <w:qFormat/>
    <w:uiPriority w:val="0"/>
    <w:rPr>
      <w:rFonts w:ascii="宋体" w:hAnsi="Courier New"/>
      <w:szCs w:val="20"/>
    </w:rPr>
  </w:style>
  <w:style w:type="paragraph" w:customStyle="1" w:styleId="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
    <w:name w:val="正文2"/>
    <w:basedOn w:val="1"/>
    <w:next w:val="18"/>
    <w:autoRedefine/>
    <w:qFormat/>
    <w:uiPriority w:val="0"/>
    <w:pPr>
      <w:spacing w:before="156" w:line="360" w:lineRule="auto"/>
      <w:ind w:firstLine="510" w:firstLineChars="200"/>
    </w:pPr>
    <w:rPr>
      <w:sz w:val="24"/>
      <w:szCs w:val="20"/>
    </w:rPr>
  </w:style>
  <w:style w:type="paragraph" w:customStyle="1" w:styleId="41">
    <w:name w:val="列出段落1"/>
    <w:basedOn w:val="1"/>
    <w:autoRedefine/>
    <w:qFormat/>
    <w:uiPriority w:val="34"/>
    <w:pPr>
      <w:ind w:firstLine="420" w:firstLineChars="200"/>
    </w:pPr>
  </w:style>
  <w:style w:type="paragraph" w:customStyle="1" w:styleId="42">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43">
    <w:name w:val="纯文本1"/>
    <w:basedOn w:val="44"/>
    <w:autoRedefine/>
    <w:qFormat/>
    <w:uiPriority w:val="0"/>
    <w:pPr>
      <w:widowControl/>
      <w:jc w:val="left"/>
    </w:pPr>
    <w:rPr>
      <w:rFonts w:hint="default" w:ascii="宋体" w:hAnsi="Courier New"/>
    </w:rPr>
  </w:style>
  <w:style w:type="paragraph" w:customStyle="1" w:styleId="44">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章正文"/>
    <w:basedOn w:val="1"/>
    <w:autoRedefine/>
    <w:qFormat/>
    <w:locked/>
    <w:uiPriority w:val="99"/>
    <w:pPr>
      <w:spacing w:beforeLines="50" w:after="120" w:line="300" w:lineRule="auto"/>
      <w:ind w:firstLine="480"/>
    </w:pPr>
    <w:rPr>
      <w:rFonts w:ascii="Helvetica" w:hAnsi="Helvetica"/>
      <w:kern w:val="0"/>
    </w:rPr>
  </w:style>
  <w:style w:type="character" w:customStyle="1" w:styleId="46">
    <w:name w:val="font21"/>
    <w:basedOn w:val="31"/>
    <w:autoRedefine/>
    <w:qFormat/>
    <w:uiPriority w:val="0"/>
    <w:rPr>
      <w:rFonts w:hint="eastAsia" w:ascii="宋体" w:hAnsi="宋体" w:eastAsia="宋体" w:cs="宋体"/>
      <w:color w:val="000000"/>
      <w:sz w:val="21"/>
      <w:szCs w:val="21"/>
      <w:u w:val="none"/>
    </w:rPr>
  </w:style>
  <w:style w:type="character" w:customStyle="1" w:styleId="47">
    <w:name w:val="font31"/>
    <w:basedOn w:val="31"/>
    <w:autoRedefine/>
    <w:qFormat/>
    <w:uiPriority w:val="0"/>
    <w:rPr>
      <w:rFonts w:hint="eastAsia" w:ascii="宋体" w:hAnsi="宋体" w:eastAsia="宋体" w:cs="宋体"/>
      <w:color w:val="000000"/>
      <w:sz w:val="24"/>
      <w:szCs w:val="24"/>
      <w:u w:val="none"/>
    </w:rPr>
  </w:style>
  <w:style w:type="character" w:customStyle="1" w:styleId="48">
    <w:name w:val="批注框文本 Char"/>
    <w:basedOn w:val="31"/>
    <w:link w:val="14"/>
    <w:autoRedefine/>
    <w:qFormat/>
    <w:uiPriority w:val="0"/>
    <w:rPr>
      <w:rFonts w:ascii="Times New Roman" w:hAnsi="Times New Roman" w:eastAsia="宋体" w:cs="Times New Roman"/>
      <w:kern w:val="2"/>
      <w:sz w:val="18"/>
      <w:szCs w:val="18"/>
    </w:rPr>
  </w:style>
  <w:style w:type="character" w:customStyle="1" w:styleId="49">
    <w:name w:val="批注文字 Char"/>
    <w:basedOn w:val="31"/>
    <w:link w:val="10"/>
    <w:autoRedefine/>
    <w:qFormat/>
    <w:uiPriority w:val="0"/>
    <w:rPr>
      <w:rFonts w:ascii="Times New Roman" w:hAnsi="Times New Roman" w:eastAsia="宋体" w:cs="Times New Roman"/>
      <w:kern w:val="2"/>
      <w:sz w:val="21"/>
      <w:szCs w:val="22"/>
    </w:rPr>
  </w:style>
  <w:style w:type="character" w:customStyle="1" w:styleId="50">
    <w:name w:val="批注主题 Char"/>
    <w:basedOn w:val="49"/>
    <w:link w:val="28"/>
    <w:autoRedefine/>
    <w:qFormat/>
    <w:uiPriority w:val="0"/>
    <w:rPr>
      <w:rFonts w:ascii="Times New Roman" w:hAnsi="Times New Roman" w:eastAsia="宋体" w:cs="Times New Roman"/>
      <w:b/>
      <w:bCs/>
      <w:kern w:val="2"/>
      <w:sz w:val="21"/>
      <w:szCs w:val="22"/>
    </w:rPr>
  </w:style>
  <w:style w:type="paragraph" w:styleId="51">
    <w:name w:val="List Paragraph"/>
    <w:basedOn w:val="1"/>
    <w:autoRedefine/>
    <w:qFormat/>
    <w:uiPriority w:val="34"/>
    <w:pPr>
      <w:ind w:firstLine="420" w:firstLineChars="200"/>
    </w:pPr>
  </w:style>
  <w:style w:type="paragraph" w:customStyle="1" w:styleId="52">
    <w:name w:val="正文C"/>
    <w:basedOn w:val="1"/>
    <w:autoRedefine/>
    <w:qFormat/>
    <w:uiPriority w:val="0"/>
    <w:pPr>
      <w:spacing w:line="360" w:lineRule="auto"/>
      <w:ind w:firstLine="480" w:firstLineChars="200"/>
    </w:pPr>
    <w:rPr>
      <w:sz w:val="24"/>
      <w:szCs w:val="24"/>
    </w:rPr>
  </w:style>
  <w:style w:type="paragraph" w:customStyle="1" w:styleId="53">
    <w:name w:val="BodyText1I2"/>
    <w:basedOn w:val="54"/>
    <w:autoRedefine/>
    <w:qFormat/>
    <w:uiPriority w:val="0"/>
    <w:pPr>
      <w:ind w:firstLine="420" w:firstLineChars="200"/>
    </w:pPr>
  </w:style>
  <w:style w:type="paragraph" w:customStyle="1" w:styleId="54">
    <w:name w:val="BodyTextIndent"/>
    <w:basedOn w:val="1"/>
    <w:autoRedefine/>
    <w:qFormat/>
    <w:uiPriority w:val="0"/>
    <w:pPr>
      <w:spacing w:after="120"/>
      <w:ind w:left="420" w:leftChars="200"/>
      <w:textAlignment w:val="baseline"/>
    </w:pPr>
    <w:rPr>
      <w:rFonts w:ascii="Times New Roman" w:hAnsi="Times New Roman"/>
      <w:kern w:val="2"/>
      <w:sz w:val="21"/>
      <w:szCs w:val="24"/>
    </w:rPr>
  </w:style>
  <w:style w:type="paragraph" w:customStyle="1" w:styleId="55">
    <w:name w:val="列表段落1"/>
    <w:basedOn w:val="1"/>
    <w:autoRedefine/>
    <w:qFormat/>
    <w:uiPriority w:val="1"/>
    <w:pPr>
      <w:ind w:right="238" w:firstLine="420"/>
    </w:pPr>
    <w:rPr>
      <w:rFonts w:ascii="Calibri" w:hAnsi="Calibri"/>
      <w:sz w:val="24"/>
    </w:rPr>
  </w:style>
  <w:style w:type="paragraph" w:customStyle="1" w:styleId="56">
    <w:name w:val="msolistparagraph"/>
    <w:basedOn w:val="1"/>
    <w:autoRedefine/>
    <w:qFormat/>
    <w:uiPriority w:val="0"/>
    <w:pPr>
      <w:adjustRightInd w:val="0"/>
      <w:spacing w:line="360" w:lineRule="auto"/>
      <w:ind w:firstLine="200" w:firstLineChars="200"/>
    </w:pPr>
    <w:rPr>
      <w:rFonts w:eastAsia="楷体_GB2312"/>
      <w:sz w:val="24"/>
    </w:rPr>
  </w:style>
  <w:style w:type="character" w:customStyle="1" w:styleId="57">
    <w:name w:val="font71"/>
    <w:autoRedefine/>
    <w:qFormat/>
    <w:uiPriority w:val="0"/>
    <w:rPr>
      <w:rFonts w:hint="eastAsia" w:ascii="宋体" w:hAnsi="宋体" w:eastAsia="宋体" w:cs="宋体"/>
      <w:b/>
      <w:bCs/>
      <w:color w:val="000000"/>
      <w:sz w:val="24"/>
      <w:szCs w:val="24"/>
      <w:u w:val="none"/>
    </w:rPr>
  </w:style>
  <w:style w:type="character" w:customStyle="1" w:styleId="58">
    <w:name w:val="font81"/>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32301</Words>
  <Characters>34483</Characters>
  <Lines>262</Lines>
  <Paragraphs>73</Paragraphs>
  <TotalTime>25</TotalTime>
  <ScaleCrop>false</ScaleCrop>
  <LinksUpToDate>false</LinksUpToDate>
  <CharactersWithSpaces>35613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huawei</dc:creator>
  <cp:lastModifiedBy>Administrator</cp:lastModifiedBy>
  <cp:lastPrinted>2022-12-09T03:11:00Z</cp:lastPrinted>
  <dcterms:modified xsi:type="dcterms:W3CDTF">2024-05-09T01:43:11Z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126CE7F4AA4049D6B4807228CC959A1F_13</vt:lpwstr>
  </property>
</Properties>
</file>