
<file path=[Content_Types].xml><?xml version="1.0" encoding="utf-8"?>
<Types xmlns="http://schemas.openxmlformats.org/package/2006/content-types">
  <Default Extension="xml" ContentType="application/xml"/>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69"/>
          <w:tab w:val="left" w:pos="2352"/>
        </w:tabs>
        <w:jc w:val="center"/>
        <w:rPr>
          <w:rFonts w:ascii="宋体" w:hAnsi="宋体" w:cs="宋体"/>
          <w:b/>
          <w:bCs/>
          <w:color w:val="auto"/>
          <w:spacing w:val="100"/>
          <w:sz w:val="72"/>
          <w:szCs w:val="72"/>
          <w:highlight w:val="none"/>
        </w:rPr>
      </w:pPr>
      <w:bookmarkStart w:id="99" w:name="_GoBack"/>
      <w:bookmarkEnd w:id="99"/>
    </w:p>
    <w:p>
      <w:pPr>
        <w:tabs>
          <w:tab w:val="left" w:pos="1069"/>
          <w:tab w:val="left" w:pos="2352"/>
        </w:tabs>
        <w:jc w:val="center"/>
        <w:rPr>
          <w:rFonts w:ascii="宋体" w:hAnsi="宋体" w:cs="宋体"/>
          <w:b/>
          <w:bCs/>
          <w:color w:val="auto"/>
          <w:spacing w:val="100"/>
          <w:sz w:val="72"/>
          <w:szCs w:val="72"/>
          <w:highlight w:val="none"/>
        </w:rPr>
      </w:pPr>
      <w:r>
        <w:rPr>
          <w:rFonts w:hint="eastAsia" w:ascii="宋体" w:hAnsi="宋体" w:cs="宋体"/>
          <w:b/>
          <w:bCs/>
          <w:color w:val="auto"/>
          <w:spacing w:val="100"/>
          <w:sz w:val="72"/>
          <w:szCs w:val="72"/>
          <w:highlight w:val="none"/>
        </w:rPr>
        <w:t>泰顺县政府采购</w:t>
      </w:r>
    </w:p>
    <w:p>
      <w:pPr>
        <w:tabs>
          <w:tab w:val="left" w:pos="1069"/>
          <w:tab w:val="left" w:pos="2352"/>
        </w:tabs>
        <w:jc w:val="center"/>
        <w:rPr>
          <w:rFonts w:ascii="宋体" w:hAnsi="宋体" w:cs="宋体"/>
          <w:b/>
          <w:bCs/>
          <w:color w:val="auto"/>
          <w:kern w:val="0"/>
          <w:szCs w:val="24"/>
          <w:highlight w:val="none"/>
        </w:rPr>
      </w:pPr>
    </w:p>
    <w:p>
      <w:pPr>
        <w:pStyle w:val="29"/>
        <w:tabs>
          <w:tab w:val="left" w:pos="1069"/>
          <w:tab w:val="left" w:pos="2352"/>
        </w:tabs>
        <w:rPr>
          <w:rFonts w:ascii="宋体" w:hAnsi="宋体" w:cs="宋体"/>
          <w:color w:val="auto"/>
          <w:highlight w:val="none"/>
        </w:rPr>
      </w:pPr>
    </w:p>
    <w:p>
      <w:pPr>
        <w:tabs>
          <w:tab w:val="left" w:pos="1069"/>
          <w:tab w:val="left" w:pos="2352"/>
        </w:tabs>
        <w:jc w:val="center"/>
        <w:rPr>
          <w:rFonts w:ascii="宋体" w:hAnsi="宋体" w:cs="宋体"/>
          <w:b/>
          <w:bCs/>
          <w:color w:val="auto"/>
          <w:kern w:val="0"/>
          <w:szCs w:val="24"/>
          <w:highlight w:val="none"/>
        </w:rPr>
      </w:pPr>
    </w:p>
    <w:p>
      <w:pPr>
        <w:tabs>
          <w:tab w:val="left" w:pos="1069"/>
          <w:tab w:val="left" w:pos="2352"/>
        </w:tabs>
        <w:jc w:val="center"/>
        <w:rPr>
          <w:rFonts w:ascii="宋体" w:hAnsi="宋体" w:cs="宋体"/>
          <w:b/>
          <w:bCs/>
          <w:color w:val="auto"/>
          <w:kern w:val="0"/>
          <w:szCs w:val="24"/>
          <w:highlight w:val="none"/>
        </w:rPr>
      </w:pPr>
    </w:p>
    <w:p>
      <w:pPr>
        <w:pStyle w:val="9"/>
        <w:tabs>
          <w:tab w:val="left" w:pos="1069"/>
          <w:tab w:val="left" w:pos="2352"/>
        </w:tabs>
        <w:rPr>
          <w:rFonts w:ascii="宋体" w:hAnsi="宋体" w:cs="宋体"/>
          <w:b/>
          <w:color w:val="auto"/>
          <w:szCs w:val="24"/>
          <w:highlight w:val="none"/>
        </w:rPr>
      </w:pPr>
    </w:p>
    <w:p>
      <w:pPr>
        <w:pStyle w:val="9"/>
        <w:tabs>
          <w:tab w:val="left" w:pos="1069"/>
          <w:tab w:val="left" w:pos="2352"/>
        </w:tabs>
        <w:rPr>
          <w:rFonts w:ascii="宋体" w:hAnsi="宋体" w:cs="宋体"/>
          <w:b/>
          <w:color w:val="auto"/>
          <w:szCs w:val="24"/>
          <w:highlight w:val="none"/>
        </w:rPr>
      </w:pPr>
    </w:p>
    <w:p>
      <w:pPr>
        <w:pStyle w:val="9"/>
        <w:tabs>
          <w:tab w:val="left" w:pos="1069"/>
          <w:tab w:val="left" w:pos="2352"/>
        </w:tabs>
        <w:rPr>
          <w:rFonts w:ascii="宋体" w:hAnsi="宋体" w:cs="宋体"/>
          <w:b/>
          <w:color w:val="auto"/>
          <w:szCs w:val="24"/>
          <w:highlight w:val="none"/>
        </w:rPr>
      </w:pPr>
    </w:p>
    <w:p>
      <w:pPr>
        <w:pStyle w:val="9"/>
        <w:tabs>
          <w:tab w:val="left" w:pos="1069"/>
          <w:tab w:val="left" w:pos="2352"/>
        </w:tabs>
        <w:rPr>
          <w:rFonts w:ascii="宋体" w:hAnsi="宋体" w:cs="宋体"/>
          <w:b/>
          <w:color w:val="auto"/>
          <w:szCs w:val="24"/>
          <w:highlight w:val="none"/>
        </w:rPr>
      </w:pPr>
    </w:p>
    <w:p>
      <w:pPr>
        <w:tabs>
          <w:tab w:val="left" w:pos="1069"/>
          <w:tab w:val="left" w:pos="2352"/>
        </w:tabs>
        <w:spacing w:line="900" w:lineRule="exact"/>
        <w:jc w:val="center"/>
        <w:rPr>
          <w:rFonts w:ascii="宋体" w:hAnsi="宋体" w:cs="宋体"/>
          <w:b/>
          <w:bCs/>
          <w:color w:val="auto"/>
          <w:spacing w:val="140"/>
          <w:sz w:val="72"/>
          <w:szCs w:val="72"/>
          <w:highlight w:val="none"/>
        </w:rPr>
      </w:pPr>
      <w:r>
        <w:rPr>
          <w:rFonts w:hint="eastAsia" w:ascii="宋体" w:hAnsi="宋体" w:cs="宋体"/>
          <w:b/>
          <w:bCs/>
          <w:color w:val="auto"/>
          <w:spacing w:val="140"/>
          <w:sz w:val="72"/>
          <w:szCs w:val="72"/>
          <w:highlight w:val="none"/>
        </w:rPr>
        <w:t>竞争性磋商文件</w:t>
      </w:r>
    </w:p>
    <w:p>
      <w:pPr>
        <w:tabs>
          <w:tab w:val="left" w:pos="1069"/>
          <w:tab w:val="left" w:pos="2352"/>
        </w:tabs>
        <w:jc w:val="center"/>
        <w:rPr>
          <w:rFonts w:ascii="宋体" w:hAnsi="宋体" w:cs="宋体"/>
          <w:b/>
          <w:color w:val="auto"/>
          <w:sz w:val="36"/>
          <w:szCs w:val="36"/>
          <w:highlight w:val="none"/>
        </w:rPr>
      </w:pPr>
    </w:p>
    <w:p>
      <w:pPr>
        <w:tabs>
          <w:tab w:val="left" w:pos="1069"/>
          <w:tab w:val="left" w:pos="2352"/>
        </w:tabs>
        <w:jc w:val="center"/>
        <w:rPr>
          <w:rFonts w:ascii="宋体" w:hAnsi="宋体" w:cs="宋体"/>
          <w:b/>
          <w:color w:val="auto"/>
          <w:sz w:val="36"/>
          <w:szCs w:val="36"/>
          <w:highlight w:val="none"/>
        </w:rPr>
      </w:pPr>
      <w:r>
        <w:rPr>
          <w:rFonts w:hint="eastAsia" w:ascii="宋体" w:hAnsi="宋体" w:cs="宋体"/>
          <w:b/>
          <w:color w:val="auto"/>
          <w:sz w:val="36"/>
          <w:szCs w:val="36"/>
          <w:highlight w:val="none"/>
        </w:rPr>
        <w:t>（线上电子招投标）</w:t>
      </w:r>
    </w:p>
    <w:p>
      <w:pPr>
        <w:pStyle w:val="20"/>
        <w:tabs>
          <w:tab w:val="left" w:pos="2352"/>
        </w:tabs>
        <w:ind w:left="856" w:hanging="428"/>
        <w:rPr>
          <w:color w:val="auto"/>
          <w:highlight w:val="none"/>
        </w:rPr>
      </w:pPr>
    </w:p>
    <w:tbl>
      <w:tblPr>
        <w:tblStyle w:val="24"/>
        <w:tblpPr w:leftFromText="180" w:rightFromText="180" w:vertAnchor="text" w:tblpXSpec="right" w:tblpY="1"/>
        <w:tblOverlap w:val="never"/>
        <w:tblW w:w="0" w:type="auto"/>
        <w:tblInd w:w="0"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2590"/>
        <w:gridCol w:w="6574"/>
      </w:tblGrid>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590" w:type="dxa"/>
            <w:vAlign w:val="center"/>
          </w:tcPr>
          <w:p>
            <w:pPr>
              <w:tabs>
                <w:tab w:val="left" w:pos="1069"/>
                <w:tab w:val="left" w:pos="2352"/>
              </w:tabs>
              <w:rPr>
                <w:rFonts w:ascii="宋体" w:hAnsi="宋体" w:cs="宋体"/>
                <w:b/>
                <w:color w:val="auto"/>
                <w:sz w:val="30"/>
                <w:szCs w:val="30"/>
                <w:highlight w:val="none"/>
              </w:rPr>
            </w:pPr>
            <w:r>
              <w:rPr>
                <w:rFonts w:hint="eastAsia" w:ascii="宋体" w:hAnsi="宋体" w:cs="宋体"/>
                <w:b/>
                <w:color w:val="auto"/>
                <w:sz w:val="30"/>
                <w:szCs w:val="30"/>
                <w:highlight w:val="none"/>
              </w:rPr>
              <w:t>采购编号</w:t>
            </w:r>
          </w:p>
        </w:tc>
        <w:tc>
          <w:tcPr>
            <w:tcW w:w="6574" w:type="dxa"/>
            <w:vAlign w:val="center"/>
          </w:tcPr>
          <w:p>
            <w:pPr>
              <w:tabs>
                <w:tab w:val="left" w:pos="1069"/>
                <w:tab w:val="left" w:pos="2352"/>
              </w:tabs>
              <w:rPr>
                <w:rFonts w:ascii="宋体" w:hAnsi="宋体" w:cs="宋体"/>
                <w:b/>
                <w:color w:val="auto"/>
                <w:sz w:val="30"/>
                <w:szCs w:val="30"/>
                <w:highlight w:val="none"/>
              </w:rPr>
            </w:pPr>
            <w:r>
              <w:rPr>
                <w:rFonts w:hint="eastAsia" w:ascii="宋体" w:hAnsi="宋体" w:cs="宋体"/>
                <w:b/>
                <w:color w:val="auto"/>
                <w:sz w:val="30"/>
                <w:szCs w:val="30"/>
                <w:highlight w:val="none"/>
              </w:rPr>
              <w:t>TSCG202207022</w:t>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590" w:type="dxa"/>
            <w:vAlign w:val="center"/>
          </w:tcPr>
          <w:p>
            <w:pPr>
              <w:tabs>
                <w:tab w:val="left" w:pos="1069"/>
                <w:tab w:val="left" w:pos="2352"/>
              </w:tabs>
              <w:rPr>
                <w:rFonts w:ascii="宋体" w:hAnsi="宋体" w:cs="宋体"/>
                <w:b/>
                <w:color w:val="auto"/>
                <w:sz w:val="30"/>
                <w:szCs w:val="30"/>
                <w:highlight w:val="none"/>
              </w:rPr>
            </w:pPr>
            <w:r>
              <w:rPr>
                <w:rFonts w:hint="eastAsia" w:ascii="宋体" w:hAnsi="宋体" w:cs="宋体"/>
                <w:b/>
                <w:color w:val="auto"/>
                <w:sz w:val="30"/>
                <w:szCs w:val="30"/>
                <w:highlight w:val="none"/>
              </w:rPr>
              <w:t>项目名称</w:t>
            </w:r>
          </w:p>
        </w:tc>
        <w:tc>
          <w:tcPr>
            <w:tcW w:w="6574" w:type="dxa"/>
            <w:vAlign w:val="center"/>
          </w:tcPr>
          <w:p>
            <w:pPr>
              <w:tabs>
                <w:tab w:val="left" w:pos="1069"/>
                <w:tab w:val="left" w:pos="2352"/>
              </w:tabs>
              <w:rPr>
                <w:rFonts w:ascii="宋体" w:hAnsi="宋体" w:cs="宋体"/>
                <w:b/>
                <w:color w:val="auto"/>
                <w:sz w:val="30"/>
                <w:szCs w:val="30"/>
                <w:highlight w:val="none"/>
              </w:rPr>
            </w:pPr>
            <w:r>
              <w:rPr>
                <w:rFonts w:hint="eastAsia" w:ascii="宋体" w:hAnsi="宋体" w:cs="宋体"/>
                <w:b/>
                <w:bCs/>
                <w:color w:val="auto"/>
                <w:sz w:val="30"/>
                <w:szCs w:val="30"/>
                <w:highlight w:val="none"/>
              </w:rPr>
              <w:t>泰顺县集体土地所有权确权登记成果更新</w:t>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590" w:type="dxa"/>
            <w:vAlign w:val="center"/>
          </w:tcPr>
          <w:p>
            <w:pPr>
              <w:tabs>
                <w:tab w:val="left" w:pos="1069"/>
                <w:tab w:val="left" w:pos="2352"/>
              </w:tabs>
              <w:rPr>
                <w:rFonts w:ascii="宋体" w:hAnsi="宋体" w:cs="宋体"/>
                <w:b/>
                <w:color w:val="auto"/>
                <w:sz w:val="30"/>
                <w:szCs w:val="30"/>
                <w:highlight w:val="none"/>
              </w:rPr>
            </w:pPr>
            <w:r>
              <w:rPr>
                <w:rFonts w:hint="eastAsia" w:ascii="宋体" w:hAnsi="宋体" w:cs="宋体"/>
                <w:b/>
                <w:color w:val="auto"/>
                <w:sz w:val="30"/>
                <w:szCs w:val="30"/>
                <w:highlight w:val="none"/>
              </w:rPr>
              <w:t>采购方式</w:t>
            </w:r>
          </w:p>
        </w:tc>
        <w:tc>
          <w:tcPr>
            <w:tcW w:w="6574" w:type="dxa"/>
            <w:vAlign w:val="center"/>
          </w:tcPr>
          <w:p>
            <w:pPr>
              <w:tabs>
                <w:tab w:val="left" w:pos="1069"/>
                <w:tab w:val="left" w:pos="2352"/>
              </w:tabs>
              <w:rPr>
                <w:rFonts w:ascii="宋体" w:hAnsi="宋体" w:cs="宋体"/>
                <w:b/>
                <w:color w:val="auto"/>
                <w:sz w:val="30"/>
                <w:szCs w:val="30"/>
                <w:highlight w:val="none"/>
              </w:rPr>
            </w:pPr>
            <w:r>
              <w:rPr>
                <w:rFonts w:hint="eastAsia" w:ascii="宋体" w:hAnsi="宋体" w:cs="宋体"/>
                <w:b/>
                <w:color w:val="auto"/>
                <w:sz w:val="30"/>
                <w:szCs w:val="30"/>
                <w:highlight w:val="none"/>
              </w:rPr>
              <w:t>竞争性磋商</w:t>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590" w:type="dxa"/>
            <w:vAlign w:val="center"/>
          </w:tcPr>
          <w:p>
            <w:pPr>
              <w:tabs>
                <w:tab w:val="left" w:pos="1069"/>
                <w:tab w:val="left" w:pos="2352"/>
              </w:tabs>
              <w:rPr>
                <w:rFonts w:ascii="宋体" w:hAnsi="宋体" w:cs="宋体"/>
                <w:b/>
                <w:color w:val="auto"/>
                <w:sz w:val="30"/>
                <w:szCs w:val="30"/>
                <w:highlight w:val="none"/>
              </w:rPr>
            </w:pPr>
            <w:r>
              <w:rPr>
                <w:rFonts w:hint="eastAsia" w:ascii="宋体" w:hAnsi="宋体" w:cs="宋体"/>
                <w:b/>
                <w:color w:val="auto"/>
                <w:sz w:val="30"/>
                <w:szCs w:val="30"/>
                <w:highlight w:val="none"/>
              </w:rPr>
              <w:t>采购单位</w:t>
            </w:r>
          </w:p>
        </w:tc>
        <w:tc>
          <w:tcPr>
            <w:tcW w:w="6574" w:type="dxa"/>
            <w:vAlign w:val="center"/>
          </w:tcPr>
          <w:p>
            <w:pPr>
              <w:tabs>
                <w:tab w:val="left" w:pos="1069"/>
                <w:tab w:val="left" w:pos="2352"/>
              </w:tabs>
              <w:snapToGrid w:val="0"/>
              <w:spacing w:line="500" w:lineRule="atLeast"/>
              <w:rPr>
                <w:rFonts w:ascii="宋体" w:hAnsi="宋体" w:cs="宋体"/>
                <w:b/>
                <w:color w:val="auto"/>
                <w:sz w:val="30"/>
                <w:szCs w:val="30"/>
                <w:highlight w:val="none"/>
              </w:rPr>
            </w:pPr>
            <w:r>
              <w:rPr>
                <w:rFonts w:hint="eastAsia" w:ascii="宋体" w:hAnsi="宋体" w:cs="宋体"/>
                <w:b/>
                <w:color w:val="auto"/>
                <w:sz w:val="30"/>
                <w:szCs w:val="30"/>
                <w:highlight w:val="none"/>
              </w:rPr>
              <w:t>泰顺县自然资源和规划局</w:t>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590" w:type="dxa"/>
            <w:vAlign w:val="center"/>
          </w:tcPr>
          <w:p>
            <w:pPr>
              <w:tabs>
                <w:tab w:val="left" w:pos="1069"/>
                <w:tab w:val="left" w:pos="2352"/>
              </w:tabs>
              <w:rPr>
                <w:rFonts w:ascii="宋体" w:hAnsi="宋体" w:cs="宋体"/>
                <w:b/>
                <w:color w:val="auto"/>
                <w:sz w:val="30"/>
                <w:szCs w:val="30"/>
                <w:highlight w:val="none"/>
              </w:rPr>
            </w:pPr>
            <w:r>
              <w:rPr>
                <w:rFonts w:hint="eastAsia" w:ascii="宋体" w:hAnsi="宋体" w:cs="宋体"/>
                <w:b/>
                <w:color w:val="auto"/>
                <w:sz w:val="30"/>
                <w:szCs w:val="30"/>
                <w:highlight w:val="none"/>
              </w:rPr>
              <w:t>招标代理机构</w:t>
            </w:r>
          </w:p>
        </w:tc>
        <w:tc>
          <w:tcPr>
            <w:tcW w:w="6574" w:type="dxa"/>
            <w:vAlign w:val="center"/>
          </w:tcPr>
          <w:p>
            <w:pPr>
              <w:tabs>
                <w:tab w:val="left" w:pos="1069"/>
                <w:tab w:val="left" w:pos="2352"/>
              </w:tabs>
              <w:rPr>
                <w:rFonts w:ascii="宋体" w:hAnsi="宋体" w:cs="宋体"/>
                <w:b/>
                <w:color w:val="auto"/>
                <w:sz w:val="30"/>
                <w:szCs w:val="30"/>
                <w:highlight w:val="none"/>
              </w:rPr>
            </w:pPr>
            <w:r>
              <w:rPr>
                <w:rFonts w:hint="eastAsia" w:ascii="宋体" w:hAnsi="宋体" w:cs="宋体"/>
                <w:b/>
                <w:color w:val="auto"/>
                <w:sz w:val="30"/>
                <w:szCs w:val="30"/>
                <w:highlight w:val="none"/>
              </w:rPr>
              <w:t>杭州华旗招标代理有限公司</w:t>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590" w:type="dxa"/>
            <w:vAlign w:val="center"/>
          </w:tcPr>
          <w:p>
            <w:pPr>
              <w:tabs>
                <w:tab w:val="left" w:pos="1069"/>
                <w:tab w:val="left" w:pos="2352"/>
              </w:tabs>
              <w:rPr>
                <w:rFonts w:ascii="宋体" w:hAnsi="宋体" w:cs="宋体"/>
                <w:b/>
                <w:bCs/>
                <w:color w:val="auto"/>
                <w:sz w:val="28"/>
                <w:szCs w:val="28"/>
                <w:highlight w:val="none"/>
              </w:rPr>
            </w:pPr>
            <w:r>
              <w:rPr>
                <w:rFonts w:hint="eastAsia" w:ascii="宋体" w:hAnsi="宋体" w:cs="宋体"/>
                <w:b/>
                <w:color w:val="auto"/>
                <w:sz w:val="30"/>
                <w:szCs w:val="30"/>
                <w:highlight w:val="none"/>
              </w:rPr>
              <w:t>监督及备案机构</w:t>
            </w:r>
          </w:p>
        </w:tc>
        <w:tc>
          <w:tcPr>
            <w:tcW w:w="6574" w:type="dxa"/>
            <w:vAlign w:val="center"/>
          </w:tcPr>
          <w:p>
            <w:pPr>
              <w:tabs>
                <w:tab w:val="left" w:pos="1069"/>
                <w:tab w:val="left" w:pos="2352"/>
              </w:tabs>
              <w:rPr>
                <w:rFonts w:ascii="宋体" w:hAnsi="宋体" w:cs="宋体"/>
                <w:b/>
                <w:bCs/>
                <w:color w:val="auto"/>
                <w:sz w:val="28"/>
                <w:szCs w:val="28"/>
                <w:highlight w:val="none"/>
              </w:rPr>
            </w:pPr>
            <w:bookmarkStart w:id="0" w:name="B20_同级政府采购监督管理部门"/>
            <w:r>
              <w:rPr>
                <w:rFonts w:hint="eastAsia" w:ascii="宋体" w:hAnsi="宋体" w:cs="宋体"/>
                <w:b/>
                <w:color w:val="auto"/>
                <w:sz w:val="30"/>
                <w:szCs w:val="30"/>
                <w:highlight w:val="none"/>
              </w:rPr>
              <w:t>泰顺县</w:t>
            </w:r>
            <w:bookmarkEnd w:id="0"/>
            <w:r>
              <w:rPr>
                <w:rFonts w:hint="eastAsia" w:ascii="宋体" w:hAnsi="宋体" w:cs="宋体"/>
                <w:b/>
                <w:color w:val="auto"/>
                <w:sz w:val="30"/>
                <w:szCs w:val="30"/>
                <w:highlight w:val="none"/>
              </w:rPr>
              <w:t>财政局</w:t>
            </w:r>
          </w:p>
        </w:tc>
      </w:tr>
    </w:tbl>
    <w:p>
      <w:pPr>
        <w:tabs>
          <w:tab w:val="left" w:pos="1069"/>
          <w:tab w:val="left" w:pos="2352"/>
        </w:tabs>
        <w:autoSpaceDE w:val="0"/>
        <w:autoSpaceDN w:val="0"/>
        <w:adjustRightInd w:val="0"/>
        <w:spacing w:line="440" w:lineRule="atLeast"/>
        <w:jc w:val="center"/>
        <w:rPr>
          <w:rFonts w:ascii="宋体" w:hAnsi="宋体" w:cs="宋体"/>
          <w:b/>
          <w:color w:val="auto"/>
          <w:sz w:val="30"/>
          <w:szCs w:val="30"/>
          <w:highlight w:val="none"/>
        </w:rPr>
      </w:pPr>
    </w:p>
    <w:p>
      <w:pPr>
        <w:tabs>
          <w:tab w:val="left" w:pos="1069"/>
          <w:tab w:val="left" w:pos="2352"/>
        </w:tabs>
        <w:autoSpaceDE w:val="0"/>
        <w:autoSpaceDN w:val="0"/>
        <w:adjustRightInd w:val="0"/>
        <w:spacing w:line="440" w:lineRule="atLeast"/>
        <w:jc w:val="center"/>
        <w:rPr>
          <w:rFonts w:ascii="宋体" w:hAnsi="宋体" w:cs="宋体"/>
          <w:color w:val="auto"/>
          <w:highlight w:val="none"/>
        </w:rPr>
        <w:sectPr>
          <w:headerReference r:id="rId5" w:type="first"/>
          <w:headerReference r:id="rId3" w:type="default"/>
          <w:headerReference r:id="rId4" w:type="even"/>
          <w:footerReference r:id="rId6" w:type="even"/>
          <w:pgSz w:w="11906" w:h="16838"/>
          <w:pgMar w:top="1440" w:right="1247" w:bottom="1440" w:left="1247" w:header="851" w:footer="992" w:gutter="0"/>
          <w:pgNumType w:fmt="numberInDash"/>
          <w:cols w:space="720" w:num="1"/>
          <w:titlePg/>
          <w:docGrid w:type="linesAndChars" w:linePitch="317" w:charSpace="800"/>
        </w:sectPr>
      </w:pPr>
      <w:r>
        <w:rPr>
          <w:rFonts w:hint="eastAsia" w:ascii="宋体" w:hAnsi="宋体" w:cs="宋体"/>
          <w:b/>
          <w:color w:val="auto"/>
          <w:sz w:val="30"/>
          <w:szCs w:val="30"/>
          <w:highlight w:val="none"/>
        </w:rPr>
        <w:t>二○二二年七月</w:t>
      </w:r>
    </w:p>
    <w:p>
      <w:pPr>
        <w:tabs>
          <w:tab w:val="left" w:pos="1069"/>
          <w:tab w:val="left" w:pos="1080"/>
          <w:tab w:val="left" w:pos="2352"/>
        </w:tabs>
        <w:autoSpaceDE w:val="0"/>
        <w:autoSpaceDN w:val="0"/>
        <w:adjustRightInd w:val="0"/>
        <w:spacing w:line="500" w:lineRule="atLeast"/>
        <w:textAlignment w:val="baseline"/>
        <w:rPr>
          <w:rFonts w:ascii="宋体" w:hAnsi="宋体" w:cs="宋体"/>
          <w:b/>
          <w:bCs/>
          <w:color w:val="auto"/>
          <w:sz w:val="32"/>
          <w:szCs w:val="32"/>
          <w:highlight w:val="none"/>
          <w:lang w:val="zh-CN"/>
        </w:rPr>
      </w:pPr>
      <w:bookmarkStart w:id="1" w:name="_Toc6035_WPSOffice_Level1"/>
    </w:p>
    <w:p>
      <w:pPr>
        <w:tabs>
          <w:tab w:val="left" w:pos="1069"/>
          <w:tab w:val="left" w:pos="1080"/>
          <w:tab w:val="left" w:pos="2352"/>
        </w:tabs>
        <w:autoSpaceDE w:val="0"/>
        <w:autoSpaceDN w:val="0"/>
        <w:adjustRightInd w:val="0"/>
        <w:spacing w:line="500" w:lineRule="atLeast"/>
        <w:jc w:val="center"/>
        <w:textAlignment w:val="baseline"/>
        <w:rPr>
          <w:rFonts w:ascii="宋体" w:hAnsi="宋体" w:cs="宋体"/>
          <w:b/>
          <w:bCs/>
          <w:color w:val="auto"/>
          <w:sz w:val="32"/>
          <w:szCs w:val="32"/>
          <w:highlight w:val="none"/>
        </w:rPr>
      </w:pPr>
    </w:p>
    <w:p>
      <w:pPr>
        <w:tabs>
          <w:tab w:val="left" w:pos="1069"/>
          <w:tab w:val="left" w:pos="1080"/>
          <w:tab w:val="left" w:pos="2352"/>
        </w:tabs>
        <w:autoSpaceDE w:val="0"/>
        <w:autoSpaceDN w:val="0"/>
        <w:adjustRightInd w:val="0"/>
        <w:spacing w:line="500" w:lineRule="atLeast"/>
        <w:jc w:val="center"/>
        <w:textAlignment w:val="baseline"/>
        <w:rPr>
          <w:rFonts w:ascii="宋体" w:hAnsi="宋体" w:cs="宋体"/>
          <w:b/>
          <w:bCs/>
          <w:color w:val="auto"/>
          <w:sz w:val="32"/>
          <w:szCs w:val="32"/>
          <w:highlight w:val="none"/>
        </w:rPr>
      </w:pPr>
      <w:r>
        <w:rPr>
          <w:rFonts w:hint="eastAsia" w:ascii="宋体" w:hAnsi="宋体" w:cs="宋体"/>
          <w:b/>
          <w:bCs/>
          <w:color w:val="auto"/>
          <w:sz w:val="32"/>
          <w:szCs w:val="32"/>
          <w:highlight w:val="none"/>
        </w:rPr>
        <w:t>竞争性磋商文件目录</w:t>
      </w:r>
    </w:p>
    <w:p>
      <w:pPr>
        <w:tabs>
          <w:tab w:val="left" w:pos="1069"/>
          <w:tab w:val="left" w:pos="1080"/>
          <w:tab w:val="left" w:pos="2352"/>
        </w:tabs>
        <w:autoSpaceDE w:val="0"/>
        <w:autoSpaceDN w:val="0"/>
        <w:adjustRightInd w:val="0"/>
        <w:spacing w:line="500" w:lineRule="atLeast"/>
        <w:textAlignment w:val="baseline"/>
        <w:rPr>
          <w:rFonts w:ascii="宋体" w:hAnsi="宋体" w:cs="宋体"/>
          <w:color w:val="auto"/>
          <w:sz w:val="28"/>
          <w:szCs w:val="28"/>
          <w:highlight w:val="none"/>
        </w:rPr>
      </w:pPr>
    </w:p>
    <w:p>
      <w:pPr>
        <w:tabs>
          <w:tab w:val="left" w:pos="1069"/>
          <w:tab w:val="left" w:pos="1080"/>
          <w:tab w:val="left" w:pos="2352"/>
        </w:tabs>
        <w:autoSpaceDE w:val="0"/>
        <w:autoSpaceDN w:val="0"/>
        <w:adjustRightInd w:val="0"/>
        <w:spacing w:line="800" w:lineRule="exact"/>
        <w:textAlignment w:val="baseline"/>
        <w:rPr>
          <w:rFonts w:ascii="宋体" w:hAnsi="宋体" w:cs="宋体"/>
          <w:b/>
          <w:bCs/>
          <w:color w:val="auto"/>
          <w:sz w:val="32"/>
          <w:szCs w:val="32"/>
          <w:highlight w:val="none"/>
        </w:rPr>
      </w:pPr>
      <w:r>
        <w:rPr>
          <w:rFonts w:hint="eastAsia" w:ascii="宋体" w:hAnsi="宋体" w:cs="宋体"/>
          <w:color w:val="auto"/>
          <w:sz w:val="28"/>
          <w:szCs w:val="28"/>
          <w:highlight w:val="none"/>
        </w:rPr>
        <w:t>第一部分、投标邀请函（投标须知前附表）.....................2</w:t>
      </w:r>
    </w:p>
    <w:p>
      <w:pPr>
        <w:tabs>
          <w:tab w:val="left" w:pos="1069"/>
          <w:tab w:val="left" w:pos="1080"/>
          <w:tab w:val="left" w:pos="2352"/>
        </w:tabs>
        <w:autoSpaceDE w:val="0"/>
        <w:autoSpaceDN w:val="0"/>
        <w:adjustRightInd w:val="0"/>
        <w:spacing w:line="800" w:lineRule="exact"/>
        <w:textAlignment w:val="baseline"/>
        <w:rPr>
          <w:rFonts w:ascii="宋体" w:hAnsi="宋体" w:cs="宋体"/>
          <w:color w:val="auto"/>
          <w:sz w:val="28"/>
          <w:szCs w:val="28"/>
          <w:highlight w:val="none"/>
        </w:rPr>
      </w:pPr>
      <w:r>
        <w:rPr>
          <w:rFonts w:hint="eastAsia" w:ascii="宋体" w:hAnsi="宋体" w:cs="宋体"/>
          <w:color w:val="auto"/>
          <w:sz w:val="28"/>
          <w:szCs w:val="28"/>
          <w:highlight w:val="none"/>
        </w:rPr>
        <w:t>第二部分、采购内容及要求...................................6</w:t>
      </w:r>
    </w:p>
    <w:p>
      <w:pPr>
        <w:tabs>
          <w:tab w:val="left" w:pos="1069"/>
          <w:tab w:val="left" w:pos="1080"/>
          <w:tab w:val="left" w:pos="2352"/>
        </w:tabs>
        <w:autoSpaceDE w:val="0"/>
        <w:autoSpaceDN w:val="0"/>
        <w:adjustRightInd w:val="0"/>
        <w:spacing w:line="800" w:lineRule="exact"/>
        <w:textAlignment w:val="baseline"/>
        <w:rPr>
          <w:rFonts w:ascii="宋体" w:hAnsi="宋体" w:cs="宋体"/>
          <w:color w:val="auto"/>
          <w:sz w:val="28"/>
          <w:szCs w:val="28"/>
          <w:highlight w:val="none"/>
        </w:rPr>
      </w:pPr>
      <w:r>
        <w:rPr>
          <w:rFonts w:hint="eastAsia" w:ascii="宋体" w:hAnsi="宋体" w:cs="宋体"/>
          <w:color w:val="auto"/>
          <w:sz w:val="28"/>
          <w:szCs w:val="28"/>
          <w:highlight w:val="none"/>
        </w:rPr>
        <w:t>第三部分、供应商须知......................................11</w:t>
      </w:r>
    </w:p>
    <w:p>
      <w:pPr>
        <w:tabs>
          <w:tab w:val="left" w:pos="1069"/>
          <w:tab w:val="left" w:pos="1080"/>
          <w:tab w:val="left" w:pos="2352"/>
        </w:tabs>
        <w:autoSpaceDE w:val="0"/>
        <w:autoSpaceDN w:val="0"/>
        <w:adjustRightInd w:val="0"/>
        <w:spacing w:line="800" w:lineRule="exact"/>
        <w:textAlignment w:val="baseline"/>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第四部分、政府采购政策功能相关说明........................2</w:t>
      </w:r>
      <w:r>
        <w:rPr>
          <w:rFonts w:hint="eastAsia" w:ascii="宋体" w:hAnsi="宋体" w:cs="宋体"/>
          <w:color w:val="auto"/>
          <w:sz w:val="28"/>
          <w:szCs w:val="28"/>
          <w:highlight w:val="none"/>
          <w:lang w:val="en-US" w:eastAsia="zh-CN"/>
        </w:rPr>
        <w:t>1</w:t>
      </w:r>
    </w:p>
    <w:p>
      <w:pPr>
        <w:tabs>
          <w:tab w:val="left" w:pos="1069"/>
          <w:tab w:val="left" w:pos="1080"/>
          <w:tab w:val="left" w:pos="2352"/>
        </w:tabs>
        <w:autoSpaceDE w:val="0"/>
        <w:autoSpaceDN w:val="0"/>
        <w:adjustRightInd w:val="0"/>
        <w:spacing w:line="800" w:lineRule="exact"/>
        <w:textAlignment w:val="baseline"/>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第五部分、合同格式........................................2</w:t>
      </w:r>
      <w:r>
        <w:rPr>
          <w:rFonts w:hint="eastAsia" w:ascii="宋体" w:hAnsi="宋体" w:cs="宋体"/>
          <w:color w:val="auto"/>
          <w:sz w:val="28"/>
          <w:szCs w:val="28"/>
          <w:highlight w:val="none"/>
          <w:lang w:val="en-US" w:eastAsia="zh-CN"/>
        </w:rPr>
        <w:t>6</w:t>
      </w:r>
    </w:p>
    <w:p>
      <w:pPr>
        <w:tabs>
          <w:tab w:val="left" w:pos="1069"/>
          <w:tab w:val="left" w:pos="1080"/>
          <w:tab w:val="left" w:pos="2352"/>
        </w:tabs>
        <w:autoSpaceDE w:val="0"/>
        <w:autoSpaceDN w:val="0"/>
        <w:adjustRightInd w:val="0"/>
        <w:spacing w:line="800" w:lineRule="exact"/>
        <w:textAlignment w:val="baseline"/>
        <w:rPr>
          <w:rFonts w:ascii="宋体" w:hAnsi="宋体" w:cs="宋体"/>
          <w:color w:val="auto"/>
          <w:sz w:val="28"/>
          <w:szCs w:val="28"/>
          <w:highlight w:val="none"/>
        </w:rPr>
      </w:pPr>
      <w:r>
        <w:rPr>
          <w:rFonts w:hint="eastAsia" w:ascii="宋体" w:hAnsi="宋体" w:cs="宋体"/>
          <w:color w:val="auto"/>
          <w:sz w:val="28"/>
          <w:szCs w:val="28"/>
          <w:highlight w:val="none"/>
        </w:rPr>
        <w:t>第六部分、投标（响应）文件格式...........................3</w:t>
      </w:r>
      <w:r>
        <w:rPr>
          <w:rFonts w:hint="eastAsia" w:ascii="宋体" w:hAnsi="宋体" w:cs="宋体"/>
          <w:color w:val="auto"/>
          <w:sz w:val="28"/>
          <w:szCs w:val="28"/>
          <w:highlight w:val="none"/>
          <w:lang w:val="en-US" w:eastAsia="zh-CN"/>
        </w:rPr>
        <w:t>1</w:t>
      </w:r>
      <w:r>
        <w:rPr>
          <w:rFonts w:hint="eastAsia" w:ascii="宋体" w:hAnsi="宋体" w:cs="宋体"/>
          <w:color w:val="auto"/>
          <w:sz w:val="28"/>
          <w:szCs w:val="28"/>
          <w:highlight w:val="none"/>
        </w:rPr>
        <w:t>第七部分、评标办法........................................46</w:t>
      </w:r>
    </w:p>
    <w:p>
      <w:pPr>
        <w:pStyle w:val="18"/>
        <w:tabs>
          <w:tab w:val="left" w:pos="2352"/>
        </w:tabs>
        <w:rPr>
          <w:color w:val="auto"/>
          <w:highlight w:val="none"/>
        </w:rPr>
      </w:pPr>
    </w:p>
    <w:p>
      <w:pPr>
        <w:tabs>
          <w:tab w:val="left" w:pos="1069"/>
          <w:tab w:val="left" w:pos="1080"/>
          <w:tab w:val="left" w:pos="2352"/>
        </w:tabs>
        <w:autoSpaceDE w:val="0"/>
        <w:autoSpaceDN w:val="0"/>
        <w:adjustRightInd w:val="0"/>
        <w:spacing w:line="360" w:lineRule="auto"/>
        <w:textAlignment w:val="baseline"/>
        <w:rPr>
          <w:rFonts w:ascii="宋体" w:hAnsi="宋体" w:cs="宋体"/>
          <w:color w:val="auto"/>
          <w:sz w:val="28"/>
          <w:szCs w:val="28"/>
          <w:highlight w:val="none"/>
        </w:rPr>
      </w:pPr>
    </w:p>
    <w:p>
      <w:pPr>
        <w:tabs>
          <w:tab w:val="left" w:pos="1069"/>
          <w:tab w:val="left" w:pos="1080"/>
          <w:tab w:val="left" w:pos="2352"/>
        </w:tabs>
        <w:autoSpaceDE w:val="0"/>
        <w:autoSpaceDN w:val="0"/>
        <w:adjustRightInd w:val="0"/>
        <w:spacing w:line="360" w:lineRule="auto"/>
        <w:textAlignment w:val="baseline"/>
        <w:rPr>
          <w:rFonts w:ascii="宋体" w:hAnsi="宋体" w:cs="宋体"/>
          <w:color w:val="auto"/>
          <w:sz w:val="28"/>
          <w:szCs w:val="28"/>
          <w:highlight w:val="none"/>
        </w:rPr>
      </w:pPr>
    </w:p>
    <w:p>
      <w:pPr>
        <w:tabs>
          <w:tab w:val="left" w:pos="1069"/>
          <w:tab w:val="left" w:pos="1080"/>
          <w:tab w:val="left" w:pos="2352"/>
        </w:tabs>
        <w:autoSpaceDE w:val="0"/>
        <w:autoSpaceDN w:val="0"/>
        <w:adjustRightInd w:val="0"/>
        <w:spacing w:line="360" w:lineRule="auto"/>
        <w:textAlignment w:val="baseline"/>
        <w:rPr>
          <w:rFonts w:ascii="宋体" w:hAnsi="宋体" w:cs="宋体"/>
          <w:b/>
          <w:bCs/>
          <w:color w:val="auto"/>
          <w:sz w:val="24"/>
          <w:szCs w:val="24"/>
          <w:highlight w:val="none"/>
          <w:u w:val="single"/>
        </w:rPr>
      </w:pPr>
      <w:r>
        <w:rPr>
          <w:rFonts w:hint="eastAsia" w:ascii="宋体" w:hAnsi="宋体" w:cs="宋体"/>
          <w:color w:val="auto"/>
          <w:sz w:val="28"/>
          <w:szCs w:val="28"/>
          <w:highlight w:val="none"/>
        </w:rPr>
        <w:t xml:space="preserve">  </w:t>
      </w:r>
      <w:r>
        <w:rPr>
          <w:rFonts w:hint="eastAsia" w:ascii="宋体" w:hAnsi="宋体" w:cs="宋体"/>
          <w:b/>
          <w:bCs/>
          <w:color w:val="auto"/>
          <w:sz w:val="24"/>
          <w:szCs w:val="24"/>
          <w:highlight w:val="none"/>
          <w:u w:val="single"/>
        </w:rPr>
        <w:t>注：竞争性磋商文件中标“▲”号的为招标的实质性要求和条件，着重提醒各供应商必须响应。各供应商必须认真阅读和理解竞争性磋商文件中的每一个条款及要求，因误读竞争性磋商文件而造成的后果，采购人概不负责。</w:t>
      </w:r>
    </w:p>
    <w:p>
      <w:pPr>
        <w:tabs>
          <w:tab w:val="left" w:pos="1069"/>
          <w:tab w:val="left" w:pos="1080"/>
          <w:tab w:val="left" w:pos="2352"/>
        </w:tabs>
        <w:autoSpaceDE w:val="0"/>
        <w:autoSpaceDN w:val="0"/>
        <w:adjustRightInd w:val="0"/>
        <w:spacing w:line="360" w:lineRule="auto"/>
        <w:textAlignment w:val="baseline"/>
        <w:rPr>
          <w:rFonts w:ascii="宋体" w:hAnsi="宋体" w:cs="宋体"/>
          <w:color w:val="auto"/>
          <w:sz w:val="28"/>
          <w:szCs w:val="28"/>
          <w:highlight w:val="none"/>
        </w:rPr>
      </w:pPr>
    </w:p>
    <w:p>
      <w:pPr>
        <w:pStyle w:val="18"/>
        <w:tabs>
          <w:tab w:val="left" w:pos="2352"/>
        </w:tabs>
        <w:rPr>
          <w:color w:val="auto"/>
          <w:highlight w:val="none"/>
        </w:rPr>
      </w:pPr>
    </w:p>
    <w:p>
      <w:pPr>
        <w:pStyle w:val="18"/>
        <w:tabs>
          <w:tab w:val="left" w:pos="2352"/>
        </w:tabs>
        <w:rPr>
          <w:color w:val="auto"/>
          <w:highlight w:val="none"/>
        </w:rPr>
      </w:pPr>
    </w:p>
    <w:p>
      <w:pPr>
        <w:tabs>
          <w:tab w:val="left" w:pos="1069"/>
          <w:tab w:val="left" w:pos="1080"/>
          <w:tab w:val="left" w:pos="2352"/>
        </w:tabs>
        <w:autoSpaceDE w:val="0"/>
        <w:autoSpaceDN w:val="0"/>
        <w:adjustRightInd w:val="0"/>
        <w:spacing w:line="500" w:lineRule="atLeast"/>
        <w:jc w:val="center"/>
        <w:textAlignment w:val="baseline"/>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第一部分、投标邀请函（投标须知前附表）</w:t>
      </w:r>
      <w:bookmarkEnd w:id="1"/>
    </w:p>
    <w:tbl>
      <w:tblPr>
        <w:tblStyle w:val="24"/>
        <w:tblW w:w="101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952"/>
        <w:gridCol w:w="1600"/>
        <w:gridCol w:w="76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54" w:hRule="atLeast"/>
          <w:jc w:val="center"/>
        </w:trPr>
        <w:tc>
          <w:tcPr>
            <w:tcW w:w="952" w:type="dxa"/>
            <w:tcBorders>
              <w:top w:val="single" w:color="auto" w:sz="12" w:space="0"/>
            </w:tcBorders>
            <w:vAlign w:val="center"/>
          </w:tcPr>
          <w:p>
            <w:pPr>
              <w:tabs>
                <w:tab w:val="left" w:pos="1069"/>
                <w:tab w:val="left" w:pos="2352"/>
              </w:tabs>
              <w:spacing w:line="400" w:lineRule="atLeast"/>
              <w:jc w:val="right"/>
              <w:rPr>
                <w:rFonts w:ascii="宋体" w:hAnsi="宋体" w:cs="宋体"/>
                <w:color w:val="auto"/>
                <w:sz w:val="22"/>
                <w:highlight w:val="none"/>
              </w:rPr>
            </w:pPr>
            <w:r>
              <w:rPr>
                <w:rFonts w:hint="eastAsia" w:ascii="宋体" w:hAnsi="宋体" w:cs="宋体"/>
                <w:color w:val="auto"/>
                <w:sz w:val="22"/>
                <w:highlight w:val="none"/>
              </w:rPr>
              <w:t>项号</w:t>
            </w:r>
          </w:p>
        </w:tc>
        <w:tc>
          <w:tcPr>
            <w:tcW w:w="1600" w:type="dxa"/>
            <w:tcBorders>
              <w:top w:val="single" w:color="auto" w:sz="12" w:space="0"/>
            </w:tcBorders>
            <w:vAlign w:val="center"/>
          </w:tcPr>
          <w:p>
            <w:pPr>
              <w:tabs>
                <w:tab w:val="left" w:pos="1069"/>
                <w:tab w:val="left" w:pos="2352"/>
              </w:tabs>
              <w:spacing w:line="400" w:lineRule="atLeast"/>
              <w:jc w:val="center"/>
              <w:rPr>
                <w:rFonts w:ascii="宋体" w:hAnsi="宋体" w:cs="宋体"/>
                <w:color w:val="auto"/>
                <w:sz w:val="22"/>
                <w:highlight w:val="none"/>
              </w:rPr>
            </w:pPr>
            <w:r>
              <w:rPr>
                <w:rFonts w:hint="eastAsia" w:ascii="宋体" w:hAnsi="宋体" w:cs="宋体"/>
                <w:color w:val="auto"/>
                <w:sz w:val="22"/>
                <w:highlight w:val="none"/>
              </w:rPr>
              <w:t>内容</w:t>
            </w:r>
          </w:p>
        </w:tc>
        <w:tc>
          <w:tcPr>
            <w:tcW w:w="7619" w:type="dxa"/>
            <w:tcBorders>
              <w:top w:val="single" w:color="auto" w:sz="12" w:space="0"/>
            </w:tcBorders>
            <w:vAlign w:val="center"/>
          </w:tcPr>
          <w:p>
            <w:pPr>
              <w:tabs>
                <w:tab w:val="left" w:pos="1069"/>
                <w:tab w:val="left" w:pos="2352"/>
              </w:tabs>
              <w:spacing w:line="400" w:lineRule="atLeast"/>
              <w:jc w:val="center"/>
              <w:rPr>
                <w:rFonts w:ascii="宋体" w:hAnsi="宋体" w:cs="宋体"/>
                <w:color w:val="auto"/>
                <w:sz w:val="22"/>
                <w:highlight w:val="none"/>
              </w:rPr>
            </w:pPr>
            <w:r>
              <w:rPr>
                <w:rFonts w:hint="eastAsia" w:ascii="宋体" w:hAnsi="宋体" w:cs="宋体"/>
                <w:color w:val="auto"/>
                <w:sz w:val="22"/>
                <w:highlight w:val="none"/>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项目名称</w:t>
            </w:r>
          </w:p>
        </w:tc>
        <w:tc>
          <w:tcPr>
            <w:tcW w:w="7619" w:type="dxa"/>
            <w:vAlign w:val="center"/>
          </w:tcPr>
          <w:p>
            <w:pPr>
              <w:tabs>
                <w:tab w:val="left" w:pos="1069"/>
                <w:tab w:val="left" w:pos="2352"/>
              </w:tabs>
              <w:rPr>
                <w:rFonts w:ascii="宋体" w:hAnsi="宋体" w:cs="宋体"/>
                <w:color w:val="auto"/>
                <w:sz w:val="22"/>
                <w:highlight w:val="none"/>
              </w:rPr>
            </w:pPr>
            <w:r>
              <w:rPr>
                <w:rFonts w:hint="eastAsia" w:ascii="宋体" w:hAnsi="宋体" w:cs="宋体"/>
                <w:bCs/>
                <w:color w:val="auto"/>
                <w:sz w:val="22"/>
                <w:highlight w:val="none"/>
              </w:rPr>
              <w:t>泰顺县集体土地所有权确权登记成果更新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项目编号</w:t>
            </w:r>
          </w:p>
        </w:tc>
        <w:tc>
          <w:tcPr>
            <w:tcW w:w="7619" w:type="dxa"/>
            <w:vAlign w:val="center"/>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TSCG202207022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资金来源</w:t>
            </w:r>
          </w:p>
        </w:tc>
        <w:tc>
          <w:tcPr>
            <w:tcW w:w="7619" w:type="dxa"/>
            <w:vAlign w:val="center"/>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采购方式</w:t>
            </w:r>
          </w:p>
        </w:tc>
        <w:tc>
          <w:tcPr>
            <w:tcW w:w="7619" w:type="dxa"/>
            <w:vAlign w:val="center"/>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竞争性磋商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采购预算</w:t>
            </w:r>
          </w:p>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（最高限价）</w:t>
            </w:r>
          </w:p>
        </w:tc>
        <w:tc>
          <w:tcPr>
            <w:tcW w:w="7619" w:type="dxa"/>
            <w:vAlign w:val="center"/>
          </w:tcPr>
          <w:p>
            <w:pPr>
              <w:tabs>
                <w:tab w:val="left" w:pos="1069"/>
                <w:tab w:val="left" w:pos="2352"/>
              </w:tabs>
              <w:rPr>
                <w:rFonts w:ascii="宋体" w:hAnsi="宋体" w:cs="宋体"/>
                <w:color w:val="auto"/>
                <w:sz w:val="22"/>
                <w:highlight w:val="none"/>
              </w:rPr>
            </w:pPr>
            <w:r>
              <w:rPr>
                <w:rFonts w:hint="eastAsia" w:ascii="宋体" w:hAnsi="宋体" w:cs="宋体"/>
                <w:bCs/>
                <w:color w:val="auto"/>
                <w:sz w:val="22"/>
                <w:highlight w:val="none"/>
                <w:u w:val="single"/>
              </w:rPr>
              <w:t>220</w:t>
            </w:r>
            <w:r>
              <w:rPr>
                <w:rFonts w:hint="eastAsia" w:ascii="宋体" w:hAnsi="宋体" w:cs="宋体"/>
                <w:bCs/>
                <w:color w:val="auto"/>
                <w:sz w:val="22"/>
                <w:highlight w:val="none"/>
              </w:rPr>
              <w:t>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s>
              <w:adjustRightInd w:val="0"/>
              <w:jc w:val="center"/>
              <w:rPr>
                <w:rFonts w:ascii="宋体" w:hAnsi="宋体" w:cs="宋体"/>
                <w:color w:val="auto"/>
                <w:sz w:val="22"/>
                <w:highlight w:val="none"/>
              </w:rPr>
            </w:pPr>
            <w:r>
              <w:rPr>
                <w:rFonts w:hint="eastAsia" w:ascii="宋体" w:hAnsi="宋体" w:cs="宋体"/>
                <w:color w:val="auto"/>
                <w:sz w:val="22"/>
                <w:highlight w:val="none"/>
              </w:rPr>
              <w:t>采购人</w:t>
            </w:r>
          </w:p>
        </w:tc>
        <w:tc>
          <w:tcPr>
            <w:tcW w:w="7619" w:type="dxa"/>
            <w:vAlign w:val="center"/>
          </w:tcPr>
          <w:p>
            <w:pPr>
              <w:tabs>
                <w:tab w:val="left" w:pos="1069"/>
              </w:tabs>
              <w:adjustRightInd w:val="0"/>
              <w:jc w:val="left"/>
              <w:rPr>
                <w:rFonts w:ascii="宋体" w:hAnsi="宋体" w:cs="宋体"/>
                <w:color w:val="auto"/>
                <w:sz w:val="22"/>
                <w:highlight w:val="none"/>
              </w:rPr>
            </w:pPr>
            <w:r>
              <w:rPr>
                <w:rFonts w:hint="eastAsia" w:ascii="宋体" w:hAnsi="宋体" w:cs="宋体"/>
                <w:color w:val="auto"/>
                <w:sz w:val="22"/>
                <w:highlight w:val="none"/>
              </w:rPr>
              <w:t>名称：泰顺县自然资源和规划局 </w:t>
            </w:r>
          </w:p>
          <w:p>
            <w:pPr>
              <w:tabs>
                <w:tab w:val="left" w:pos="1069"/>
              </w:tabs>
              <w:adjustRightInd w:val="0"/>
              <w:jc w:val="left"/>
              <w:rPr>
                <w:rFonts w:ascii="宋体" w:hAnsi="宋体" w:cs="宋体"/>
                <w:color w:val="auto"/>
                <w:sz w:val="22"/>
                <w:highlight w:val="none"/>
              </w:rPr>
            </w:pPr>
            <w:r>
              <w:rPr>
                <w:rFonts w:hint="eastAsia" w:ascii="宋体" w:hAnsi="宋体" w:cs="宋体"/>
                <w:color w:val="auto"/>
                <w:sz w:val="22"/>
                <w:highlight w:val="none"/>
              </w:rPr>
              <w:t>地址：温州市泰顺县罗阳镇常青路25号 </w:t>
            </w:r>
          </w:p>
          <w:p>
            <w:pPr>
              <w:tabs>
                <w:tab w:val="left" w:pos="1069"/>
              </w:tabs>
              <w:adjustRightInd w:val="0"/>
              <w:jc w:val="left"/>
              <w:rPr>
                <w:rFonts w:ascii="宋体" w:hAnsi="宋体" w:cs="宋体"/>
                <w:color w:val="auto"/>
                <w:sz w:val="22"/>
                <w:highlight w:val="none"/>
              </w:rPr>
            </w:pPr>
            <w:r>
              <w:rPr>
                <w:rFonts w:hint="eastAsia" w:ascii="宋体" w:hAnsi="宋体" w:cs="宋体"/>
                <w:color w:val="auto"/>
                <w:sz w:val="22"/>
                <w:highlight w:val="none"/>
              </w:rPr>
              <w:t>传真：/  </w:t>
            </w:r>
          </w:p>
          <w:p>
            <w:pPr>
              <w:tabs>
                <w:tab w:val="left" w:pos="1069"/>
              </w:tabs>
              <w:adjustRightInd w:val="0"/>
              <w:jc w:val="left"/>
              <w:rPr>
                <w:rFonts w:ascii="宋体" w:hAnsi="宋体" w:cs="宋体"/>
                <w:color w:val="auto"/>
                <w:sz w:val="22"/>
                <w:highlight w:val="none"/>
              </w:rPr>
            </w:pPr>
            <w:r>
              <w:rPr>
                <w:rFonts w:hint="eastAsia" w:ascii="宋体" w:hAnsi="宋体" w:cs="宋体"/>
                <w:color w:val="auto"/>
                <w:sz w:val="22"/>
                <w:highlight w:val="none"/>
              </w:rPr>
              <w:t>项目联系人（询问）：夏菲  </w:t>
            </w:r>
          </w:p>
          <w:p>
            <w:pPr>
              <w:tabs>
                <w:tab w:val="left" w:pos="1069"/>
              </w:tabs>
              <w:adjustRightInd w:val="0"/>
              <w:jc w:val="left"/>
              <w:rPr>
                <w:rFonts w:ascii="宋体" w:hAnsi="宋体" w:cs="宋体"/>
                <w:color w:val="auto"/>
                <w:sz w:val="22"/>
                <w:highlight w:val="none"/>
              </w:rPr>
            </w:pPr>
            <w:r>
              <w:rPr>
                <w:rFonts w:hint="eastAsia" w:ascii="宋体" w:hAnsi="宋体" w:cs="宋体"/>
                <w:color w:val="auto"/>
                <w:sz w:val="22"/>
                <w:highlight w:val="none"/>
              </w:rPr>
              <w:t>项目联系方式（询问）：13858812858</w:t>
            </w:r>
          </w:p>
          <w:p>
            <w:pPr>
              <w:tabs>
                <w:tab w:val="left" w:pos="1069"/>
              </w:tabs>
              <w:adjustRightInd w:val="0"/>
              <w:jc w:val="left"/>
              <w:rPr>
                <w:rFonts w:ascii="宋体" w:hAnsi="宋体" w:cs="宋体"/>
                <w:color w:val="auto"/>
                <w:sz w:val="22"/>
                <w:highlight w:val="none"/>
              </w:rPr>
            </w:pPr>
            <w:r>
              <w:rPr>
                <w:rFonts w:hint="eastAsia" w:ascii="宋体" w:hAnsi="宋体" w:cs="宋体"/>
                <w:color w:val="auto"/>
                <w:sz w:val="22"/>
                <w:highlight w:val="none"/>
              </w:rPr>
              <w:t>质疑联系人：项应才   </w:t>
            </w:r>
          </w:p>
          <w:p>
            <w:pPr>
              <w:tabs>
                <w:tab w:val="left" w:pos="1069"/>
              </w:tabs>
              <w:adjustRightInd w:val="0"/>
              <w:jc w:val="left"/>
              <w:rPr>
                <w:rFonts w:ascii="宋体" w:hAnsi="宋体" w:cs="宋体"/>
                <w:color w:val="auto"/>
                <w:sz w:val="22"/>
                <w:highlight w:val="none"/>
              </w:rPr>
            </w:pPr>
            <w:r>
              <w:rPr>
                <w:rFonts w:hint="eastAsia" w:ascii="宋体" w:hAnsi="宋体" w:cs="宋体"/>
                <w:color w:val="auto"/>
                <w:sz w:val="22"/>
                <w:highlight w:val="none"/>
              </w:rPr>
              <w:t>质疑联系方式：0577-67562033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1"/>
              </w:numPr>
              <w:tabs>
                <w:tab w:val="left" w:pos="420"/>
                <w:tab w:val="left" w:pos="1069"/>
                <w:tab w:val="left" w:pos="2352"/>
                <w:tab w:val="clear" w:pos="720"/>
              </w:tabs>
              <w:ind w:left="420" w:right="105" w:hanging="420"/>
              <w:jc w:val="right"/>
              <w:rPr>
                <w:rFonts w:ascii="宋体" w:hAnsi="宋体" w:cs="宋体"/>
                <w:color w:val="auto"/>
                <w:sz w:val="22"/>
                <w:highlight w:val="none"/>
              </w:rPr>
            </w:pPr>
          </w:p>
        </w:tc>
        <w:tc>
          <w:tcPr>
            <w:tcW w:w="1600" w:type="dxa"/>
            <w:vAlign w:val="center"/>
          </w:tcPr>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招标代理机构</w:t>
            </w:r>
          </w:p>
        </w:tc>
        <w:tc>
          <w:tcPr>
            <w:tcW w:w="7619" w:type="dxa"/>
            <w:vAlign w:val="center"/>
          </w:tcPr>
          <w:p>
            <w:pPr>
              <w:tabs>
                <w:tab w:val="left" w:pos="1069"/>
                <w:tab w:val="left" w:pos="2352"/>
              </w:tabs>
              <w:adjustRightInd w:val="0"/>
              <w:jc w:val="left"/>
              <w:rPr>
                <w:rFonts w:ascii="宋体" w:hAnsi="宋体" w:cs="宋体"/>
                <w:color w:val="auto"/>
                <w:sz w:val="22"/>
                <w:highlight w:val="none"/>
              </w:rPr>
            </w:pPr>
            <w:r>
              <w:rPr>
                <w:rFonts w:hint="eastAsia" w:ascii="宋体" w:hAnsi="宋体" w:cs="宋体"/>
                <w:color w:val="auto"/>
                <w:sz w:val="22"/>
                <w:highlight w:val="none"/>
              </w:rPr>
              <w:t>名称：杭州华旗招标代理有限公司             </w:t>
            </w:r>
          </w:p>
          <w:p>
            <w:pPr>
              <w:tabs>
                <w:tab w:val="left" w:pos="1069"/>
                <w:tab w:val="left" w:pos="2352"/>
              </w:tabs>
              <w:adjustRightInd w:val="0"/>
              <w:jc w:val="left"/>
              <w:rPr>
                <w:rFonts w:ascii="宋体" w:hAnsi="宋体" w:cs="宋体"/>
                <w:color w:val="auto"/>
                <w:sz w:val="22"/>
                <w:highlight w:val="none"/>
              </w:rPr>
            </w:pPr>
            <w:r>
              <w:rPr>
                <w:rFonts w:hint="eastAsia" w:ascii="宋体" w:hAnsi="宋体" w:cs="宋体"/>
                <w:color w:val="auto"/>
                <w:sz w:val="22"/>
                <w:highlight w:val="none"/>
              </w:rPr>
              <w:t>地址：温州市泰顺县罗阳镇湖滨花苑B8幢401             </w:t>
            </w:r>
          </w:p>
          <w:p>
            <w:pPr>
              <w:tabs>
                <w:tab w:val="left" w:pos="1069"/>
                <w:tab w:val="left" w:pos="2352"/>
              </w:tabs>
              <w:adjustRightInd w:val="0"/>
              <w:jc w:val="left"/>
              <w:rPr>
                <w:rFonts w:ascii="宋体" w:hAnsi="宋体" w:cs="宋体"/>
                <w:color w:val="auto"/>
                <w:sz w:val="22"/>
                <w:highlight w:val="none"/>
              </w:rPr>
            </w:pPr>
            <w:r>
              <w:rPr>
                <w:rFonts w:hint="eastAsia" w:ascii="宋体" w:hAnsi="宋体" w:cs="宋体"/>
                <w:color w:val="auto"/>
                <w:sz w:val="22"/>
                <w:highlight w:val="none"/>
              </w:rPr>
              <w:t>传真：/             </w:t>
            </w:r>
          </w:p>
          <w:p>
            <w:pPr>
              <w:tabs>
                <w:tab w:val="left" w:pos="1069"/>
                <w:tab w:val="left" w:pos="2352"/>
              </w:tabs>
              <w:adjustRightInd w:val="0"/>
              <w:jc w:val="left"/>
              <w:rPr>
                <w:rFonts w:ascii="宋体" w:hAnsi="宋体" w:cs="宋体"/>
                <w:color w:val="auto"/>
                <w:sz w:val="22"/>
                <w:highlight w:val="none"/>
              </w:rPr>
            </w:pPr>
            <w:r>
              <w:rPr>
                <w:rFonts w:hint="eastAsia" w:ascii="宋体" w:hAnsi="宋体" w:cs="宋体"/>
                <w:color w:val="auto"/>
                <w:sz w:val="22"/>
                <w:highlight w:val="none"/>
              </w:rPr>
              <w:t>项目联系人（询问）：翁爱霜              </w:t>
            </w:r>
          </w:p>
          <w:p>
            <w:pPr>
              <w:tabs>
                <w:tab w:val="left" w:pos="1069"/>
                <w:tab w:val="left" w:pos="2352"/>
              </w:tabs>
              <w:adjustRightInd w:val="0"/>
              <w:jc w:val="left"/>
              <w:rPr>
                <w:rFonts w:ascii="宋体" w:hAnsi="宋体" w:cs="宋体"/>
                <w:color w:val="auto"/>
                <w:sz w:val="22"/>
                <w:highlight w:val="none"/>
              </w:rPr>
            </w:pPr>
            <w:r>
              <w:rPr>
                <w:rFonts w:hint="eastAsia" w:ascii="宋体" w:hAnsi="宋体" w:cs="宋体"/>
                <w:color w:val="auto"/>
                <w:sz w:val="22"/>
                <w:highlight w:val="none"/>
              </w:rPr>
              <w:t>项目联系方式（询问）：17858065131 </w:t>
            </w:r>
          </w:p>
          <w:p>
            <w:pPr>
              <w:tabs>
                <w:tab w:val="left" w:pos="1069"/>
                <w:tab w:val="left" w:pos="2352"/>
              </w:tabs>
              <w:adjustRightInd w:val="0"/>
              <w:jc w:val="left"/>
              <w:rPr>
                <w:rFonts w:ascii="宋体" w:hAnsi="宋体" w:cs="宋体"/>
                <w:color w:val="auto"/>
                <w:sz w:val="22"/>
                <w:highlight w:val="none"/>
              </w:rPr>
            </w:pPr>
            <w:r>
              <w:rPr>
                <w:rFonts w:hint="eastAsia" w:ascii="宋体" w:hAnsi="宋体" w:cs="宋体"/>
                <w:color w:val="auto"/>
                <w:sz w:val="22"/>
                <w:highlight w:val="none"/>
              </w:rPr>
              <w:t>质疑联系人：苏红             </w:t>
            </w:r>
          </w:p>
          <w:p>
            <w:pPr>
              <w:tabs>
                <w:tab w:val="left" w:pos="1069"/>
                <w:tab w:val="left" w:pos="2352"/>
              </w:tabs>
              <w:adjustRightInd w:val="0"/>
              <w:jc w:val="left"/>
              <w:rPr>
                <w:rFonts w:ascii="宋体" w:hAnsi="宋体" w:cs="宋体"/>
                <w:color w:val="auto"/>
                <w:sz w:val="22"/>
                <w:highlight w:val="none"/>
              </w:rPr>
            </w:pPr>
            <w:r>
              <w:rPr>
                <w:rFonts w:hint="eastAsia" w:ascii="宋体" w:hAnsi="宋体" w:cs="宋体"/>
                <w:color w:val="auto"/>
                <w:sz w:val="22"/>
                <w:highlight w:val="none"/>
              </w:rPr>
              <w:t>质疑联系方式：0571-88107579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1"/>
              </w:numPr>
              <w:tabs>
                <w:tab w:val="left" w:pos="420"/>
                <w:tab w:val="left" w:pos="1069"/>
                <w:tab w:val="left" w:pos="2352"/>
                <w:tab w:val="clear" w:pos="720"/>
              </w:tabs>
              <w:ind w:left="420" w:right="105" w:hanging="420"/>
              <w:jc w:val="right"/>
              <w:rPr>
                <w:rFonts w:ascii="宋体" w:hAnsi="宋体" w:cs="宋体"/>
                <w:color w:val="auto"/>
                <w:sz w:val="22"/>
                <w:highlight w:val="none"/>
              </w:rPr>
            </w:pPr>
          </w:p>
        </w:tc>
        <w:tc>
          <w:tcPr>
            <w:tcW w:w="1600" w:type="dxa"/>
            <w:vAlign w:val="center"/>
          </w:tcPr>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评标办法</w:t>
            </w:r>
          </w:p>
        </w:tc>
        <w:tc>
          <w:tcPr>
            <w:tcW w:w="7619" w:type="dxa"/>
            <w:vAlign w:val="center"/>
          </w:tcPr>
          <w:p>
            <w:pPr>
              <w:tabs>
                <w:tab w:val="left" w:pos="1069"/>
                <w:tab w:val="left" w:pos="2352"/>
              </w:tabs>
              <w:adjustRightInd w:val="0"/>
              <w:rPr>
                <w:rFonts w:ascii="宋体" w:hAnsi="宋体" w:cs="宋体"/>
                <w:color w:val="auto"/>
                <w:sz w:val="22"/>
                <w:highlight w:val="none"/>
              </w:rPr>
            </w:pPr>
            <w:r>
              <w:rPr>
                <w:rFonts w:hint="eastAsia" w:ascii="宋体" w:hAnsi="宋体" w:cs="宋体"/>
                <w:color w:val="auto"/>
                <w:sz w:val="22"/>
                <w:highlight w:val="none"/>
              </w:rPr>
              <w:t>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招标内容</w:t>
            </w:r>
          </w:p>
        </w:tc>
        <w:tc>
          <w:tcPr>
            <w:tcW w:w="7619" w:type="dxa"/>
            <w:vAlign w:val="center"/>
          </w:tcPr>
          <w:p>
            <w:pPr>
              <w:tabs>
                <w:tab w:val="left" w:pos="1069"/>
                <w:tab w:val="left" w:pos="2352"/>
              </w:tabs>
              <w:adjustRightInd w:val="0"/>
              <w:rPr>
                <w:rFonts w:ascii="宋体" w:hAnsi="宋体" w:cs="宋体"/>
                <w:color w:val="auto"/>
                <w:sz w:val="22"/>
                <w:highlight w:val="none"/>
              </w:rPr>
            </w:pPr>
            <w:r>
              <w:rPr>
                <w:rFonts w:hint="eastAsia" w:ascii="宋体" w:hAnsi="宋体" w:cs="宋体"/>
                <w:color w:val="auto"/>
                <w:sz w:val="22"/>
                <w:highlight w:val="none"/>
              </w:rPr>
              <w:t>具体内容见竞争性磋商文件。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52" w:type="dxa"/>
            <w:vAlign w:val="center"/>
          </w:tcPr>
          <w:p>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投标供应商</w:t>
            </w:r>
          </w:p>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资格要求</w:t>
            </w:r>
          </w:p>
        </w:tc>
        <w:tc>
          <w:tcPr>
            <w:tcW w:w="7619" w:type="dxa"/>
            <w:vAlign w:val="center"/>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一）满足《中华人民共和国政府采购法》第二十二条规定：1.具有独立承担民事责任的能力；2.具有良好的商业信誉和健全的财务会计制度；3.具有履行合同所必需的设备和专业技术能力；4.有依法缴纳税收和社会保障资金的良好记录；5.参加政府采购活动前三年，在经营活动中没有重大违法记录；6.法律、行政法规规定的其他条件。</w:t>
            </w:r>
          </w:p>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二）符合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（三）本项目不允许联合体投标。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adjustRightInd w:val="0"/>
              <w:jc w:val="center"/>
              <w:rPr>
                <w:rFonts w:ascii="宋体" w:hAnsi="宋体" w:cs="宋体"/>
                <w:color w:val="auto"/>
                <w:sz w:val="22"/>
                <w:highlight w:val="none"/>
              </w:rPr>
            </w:pPr>
            <w:r>
              <w:rPr>
                <w:rFonts w:hint="eastAsia" w:ascii="宋体" w:hAnsi="宋体" w:cs="宋体"/>
                <w:color w:val="auto"/>
                <w:sz w:val="22"/>
                <w:highlight w:val="none"/>
              </w:rPr>
              <w:t>踏勘现场</w:t>
            </w:r>
          </w:p>
        </w:tc>
        <w:tc>
          <w:tcPr>
            <w:tcW w:w="7619" w:type="dxa"/>
            <w:vAlign w:val="center"/>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fldChar w:fldCharType="begin"/>
            </w:r>
            <w:r>
              <w:rPr>
                <w:rFonts w:hint="eastAsia" w:ascii="宋体" w:hAnsi="宋体" w:cs="宋体"/>
                <w:color w:val="auto"/>
                <w:sz w:val="22"/>
                <w:highlight w:val="none"/>
              </w:rPr>
              <w:instrText xml:space="preserve"> eq \o\ac(□,</w:instrText>
            </w:r>
            <w:r>
              <w:rPr>
                <w:rFonts w:hint="eastAsia" w:ascii="宋体" w:hAnsi="宋体" w:cs="宋体"/>
                <w:color w:val="auto"/>
                <w:position w:val="2"/>
                <w:sz w:val="15"/>
                <w:highlight w:val="none"/>
              </w:rPr>
              <w:instrText xml:space="preserve">√</w:instrText>
            </w:r>
            <w:r>
              <w:rPr>
                <w:rFonts w:hint="eastAsia" w:ascii="宋体" w:hAnsi="宋体" w:cs="宋体"/>
                <w:color w:val="auto"/>
                <w:sz w:val="22"/>
                <w:highlight w:val="none"/>
              </w:rPr>
              <w:instrText xml:space="preserve">)</w:instrText>
            </w:r>
            <w:r>
              <w:rPr>
                <w:rFonts w:hint="eastAsia" w:ascii="宋体" w:hAnsi="宋体" w:cs="宋体"/>
                <w:color w:val="auto"/>
                <w:sz w:val="22"/>
                <w:highlight w:val="none"/>
              </w:rPr>
              <w:fldChar w:fldCharType="end"/>
            </w:r>
            <w:r>
              <w:rPr>
                <w:rFonts w:hint="eastAsia" w:ascii="宋体" w:hAnsi="宋体" w:cs="宋体"/>
                <w:color w:val="auto"/>
                <w:sz w:val="22"/>
                <w:highlight w:val="none"/>
              </w:rPr>
              <w:t>不组织</w:t>
            </w:r>
          </w:p>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fldChar w:fldCharType="begin"/>
            </w:r>
            <w:r>
              <w:rPr>
                <w:rFonts w:hint="eastAsia" w:ascii="宋体" w:hAnsi="宋体" w:cs="宋体"/>
                <w:color w:val="auto"/>
                <w:sz w:val="22"/>
                <w:highlight w:val="none"/>
              </w:rPr>
              <w:instrText xml:space="preserve"> eq \o\ac(□)</w:instrText>
            </w:r>
            <w:r>
              <w:rPr>
                <w:rFonts w:hint="eastAsia" w:ascii="宋体" w:hAnsi="宋体" w:cs="宋体"/>
                <w:color w:val="auto"/>
                <w:sz w:val="22"/>
                <w:highlight w:val="none"/>
              </w:rPr>
              <w:fldChar w:fldCharType="end"/>
            </w:r>
            <w:r>
              <w:rPr>
                <w:rFonts w:hint="eastAsia" w:ascii="宋体" w:hAnsi="宋体" w:cs="宋体"/>
                <w:color w:val="auto"/>
                <w:sz w:val="22"/>
                <w:highlight w:val="none"/>
              </w:rPr>
              <w:t>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52" w:type="dxa"/>
            <w:vAlign w:val="center"/>
          </w:tcPr>
          <w:p>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adjustRightInd w:val="0"/>
              <w:jc w:val="center"/>
              <w:rPr>
                <w:rFonts w:ascii="宋体" w:hAnsi="宋体" w:cs="宋体"/>
                <w:color w:val="auto"/>
                <w:sz w:val="22"/>
                <w:highlight w:val="none"/>
              </w:rPr>
            </w:pPr>
            <w:r>
              <w:rPr>
                <w:rFonts w:hint="eastAsia" w:ascii="宋体" w:hAnsi="宋体" w:cs="宋体"/>
                <w:color w:val="auto"/>
                <w:sz w:val="22"/>
                <w:highlight w:val="none"/>
              </w:rPr>
              <w:t>是否允许递交备选投标方案</w:t>
            </w:r>
          </w:p>
        </w:tc>
        <w:tc>
          <w:tcPr>
            <w:tcW w:w="7619" w:type="dxa"/>
            <w:vAlign w:val="center"/>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fldChar w:fldCharType="begin"/>
            </w:r>
            <w:r>
              <w:rPr>
                <w:rFonts w:hint="eastAsia" w:ascii="宋体" w:hAnsi="宋体" w:cs="宋体"/>
                <w:color w:val="auto"/>
                <w:sz w:val="22"/>
                <w:highlight w:val="none"/>
              </w:rPr>
              <w:instrText xml:space="preserve"> eq \o\ac(□,√)</w:instrText>
            </w:r>
            <w:r>
              <w:rPr>
                <w:rFonts w:hint="eastAsia" w:ascii="宋体" w:hAnsi="宋体" w:cs="宋体"/>
                <w:color w:val="auto"/>
                <w:sz w:val="22"/>
                <w:highlight w:val="none"/>
              </w:rPr>
              <w:fldChar w:fldCharType="end"/>
            </w:r>
            <w:r>
              <w:rPr>
                <w:rFonts w:hint="eastAsia" w:ascii="宋体" w:hAnsi="宋体" w:cs="宋体"/>
                <w:color w:val="auto"/>
                <w:sz w:val="22"/>
                <w:highlight w:val="none"/>
              </w:rPr>
              <w:t>不允许</w:t>
            </w:r>
          </w:p>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952" w:type="dxa"/>
            <w:vAlign w:val="center"/>
          </w:tcPr>
          <w:p>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adjustRightInd w:val="0"/>
              <w:jc w:val="center"/>
              <w:rPr>
                <w:rFonts w:ascii="宋体" w:hAnsi="宋体" w:cs="宋体"/>
                <w:color w:val="auto"/>
                <w:sz w:val="22"/>
                <w:highlight w:val="none"/>
              </w:rPr>
            </w:pPr>
            <w:r>
              <w:rPr>
                <w:rFonts w:hint="eastAsia" w:ascii="宋体" w:hAnsi="宋体" w:cs="宋体"/>
                <w:color w:val="auto"/>
                <w:sz w:val="22"/>
                <w:highlight w:val="none"/>
              </w:rPr>
              <w:t>投标货币</w:t>
            </w:r>
          </w:p>
        </w:tc>
        <w:tc>
          <w:tcPr>
            <w:tcW w:w="7619" w:type="dxa"/>
            <w:vAlign w:val="center"/>
          </w:tcPr>
          <w:p>
            <w:pPr>
              <w:tabs>
                <w:tab w:val="left" w:pos="1069"/>
                <w:tab w:val="left" w:pos="2352"/>
              </w:tabs>
              <w:adjustRightInd w:val="0"/>
              <w:rPr>
                <w:rFonts w:ascii="宋体" w:hAnsi="宋体" w:cs="宋体"/>
                <w:color w:val="auto"/>
                <w:sz w:val="22"/>
                <w:highlight w:val="none"/>
              </w:rPr>
            </w:pPr>
            <w:r>
              <w:rPr>
                <w:rFonts w:hint="eastAsia" w:ascii="宋体" w:hAnsi="宋体" w:cs="宋体"/>
                <w:color w:val="auto"/>
                <w:sz w:val="22"/>
                <w:highlight w:val="none"/>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952" w:type="dxa"/>
            <w:vAlign w:val="center"/>
          </w:tcPr>
          <w:p>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adjustRightInd w:val="0"/>
              <w:jc w:val="center"/>
              <w:rPr>
                <w:rFonts w:ascii="宋体" w:hAnsi="宋体" w:cs="宋体"/>
                <w:color w:val="auto"/>
                <w:sz w:val="22"/>
                <w:highlight w:val="none"/>
              </w:rPr>
            </w:pPr>
            <w:r>
              <w:rPr>
                <w:rFonts w:hint="eastAsia" w:ascii="宋体" w:hAnsi="宋体" w:cs="宋体"/>
                <w:color w:val="auto"/>
                <w:sz w:val="22"/>
                <w:highlight w:val="none"/>
              </w:rPr>
              <w:t>投标语言</w:t>
            </w:r>
          </w:p>
        </w:tc>
        <w:tc>
          <w:tcPr>
            <w:tcW w:w="7619" w:type="dxa"/>
            <w:vAlign w:val="center"/>
          </w:tcPr>
          <w:p>
            <w:pPr>
              <w:tabs>
                <w:tab w:val="left" w:pos="1069"/>
                <w:tab w:val="left" w:pos="2352"/>
              </w:tabs>
              <w:adjustRightInd w:val="0"/>
              <w:rPr>
                <w:rFonts w:ascii="宋体" w:hAnsi="宋体" w:cs="宋体"/>
                <w:color w:val="auto"/>
                <w:sz w:val="22"/>
                <w:highlight w:val="none"/>
              </w:rPr>
            </w:pPr>
            <w:r>
              <w:rPr>
                <w:rFonts w:hint="eastAsia" w:ascii="宋体" w:hAnsi="宋体" w:cs="宋体"/>
                <w:color w:val="auto"/>
                <w:sz w:val="22"/>
                <w:highlight w:val="none"/>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952" w:type="dxa"/>
            <w:vAlign w:val="center"/>
          </w:tcPr>
          <w:p>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lang w:val="zh-CN"/>
              </w:rPr>
              <w:t>投标文件</w:t>
            </w:r>
            <w:r>
              <w:rPr>
                <w:rFonts w:hint="eastAsia" w:ascii="宋体" w:hAnsi="宋体" w:cs="宋体"/>
                <w:color w:val="auto"/>
                <w:sz w:val="22"/>
                <w:highlight w:val="none"/>
              </w:rPr>
              <w:t>说明</w:t>
            </w:r>
          </w:p>
        </w:tc>
        <w:tc>
          <w:tcPr>
            <w:tcW w:w="7619" w:type="dxa"/>
            <w:vAlign w:val="center"/>
          </w:tcPr>
          <w:p>
            <w:pPr>
              <w:tabs>
                <w:tab w:val="left" w:pos="1069"/>
                <w:tab w:val="left" w:pos="2352"/>
              </w:tabs>
              <w:autoSpaceDE w:val="0"/>
              <w:autoSpaceDN w:val="0"/>
              <w:adjustRightInd w:val="0"/>
              <w:jc w:val="left"/>
              <w:rPr>
                <w:rFonts w:ascii="宋体" w:hAnsi="宋体" w:cs="宋体"/>
                <w:color w:val="auto"/>
                <w:sz w:val="22"/>
                <w:highlight w:val="none"/>
                <w:lang w:val="zh-CN"/>
              </w:rPr>
            </w:pPr>
            <w:r>
              <w:rPr>
                <w:rFonts w:hint="eastAsia" w:ascii="宋体" w:hAnsi="宋体" w:cs="宋体"/>
                <w:color w:val="auto"/>
                <w:sz w:val="22"/>
                <w:highlight w:val="none"/>
                <w:lang w:val="zh-CN"/>
              </w:rPr>
              <w:t>1、</w:t>
            </w:r>
            <w:r>
              <w:rPr>
                <w:rFonts w:hint="eastAsia" w:ascii="宋体" w:hAnsi="宋体" w:cs="宋体"/>
                <w:b/>
                <w:bCs/>
                <w:color w:val="auto"/>
                <w:sz w:val="22"/>
                <w:highlight w:val="none"/>
                <w:lang w:val="zh-CN"/>
              </w:rPr>
              <w:t>投标文件组成：</w:t>
            </w:r>
            <w:r>
              <w:rPr>
                <w:rFonts w:hint="eastAsia" w:ascii="宋体" w:hAnsi="宋体" w:cs="宋体"/>
                <w:color w:val="auto"/>
                <w:sz w:val="22"/>
                <w:highlight w:val="none"/>
                <w:lang w:val="zh-CN"/>
              </w:rPr>
              <w:t>《资格文件》及《商务技术文件》和《报价文件》。</w:t>
            </w:r>
          </w:p>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2、</w:t>
            </w:r>
            <w:r>
              <w:rPr>
                <w:rFonts w:hint="eastAsia" w:ascii="宋体" w:hAnsi="宋体" w:cs="宋体"/>
                <w:b/>
                <w:bCs/>
                <w:color w:val="auto"/>
                <w:sz w:val="22"/>
                <w:highlight w:val="none"/>
              </w:rPr>
              <w:t>投标文件编制：</w:t>
            </w:r>
            <w:r>
              <w:rPr>
                <w:rFonts w:hint="eastAsia" w:ascii="宋体" w:hAnsi="宋体" w:cs="宋体"/>
                <w:color w:val="auto"/>
                <w:sz w:val="22"/>
                <w:highlight w:val="none"/>
              </w:rPr>
              <w:t>供应商应先安装“政采云电子交易客户端”，并按照本采购文件和“政府采购云平台”的要求，通过“政采云电子交易客户端”编制并加密投标文件。</w:t>
            </w:r>
          </w:p>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3、</w:t>
            </w:r>
            <w:r>
              <w:rPr>
                <w:rFonts w:hint="eastAsia" w:ascii="宋体" w:hAnsi="宋体" w:cs="宋体"/>
                <w:b/>
                <w:bCs/>
                <w:color w:val="auto"/>
                <w:sz w:val="22"/>
                <w:highlight w:val="none"/>
              </w:rPr>
              <w:t>投标文件的签章：</w:t>
            </w:r>
            <w:r>
              <w:rPr>
                <w:rFonts w:hint="eastAsia" w:ascii="宋体" w:hAnsi="宋体" w:cs="宋体"/>
                <w:color w:val="auto"/>
                <w:sz w:val="22"/>
                <w:highlight w:val="none"/>
              </w:rPr>
              <w:t>电子签章。</w:t>
            </w:r>
          </w:p>
          <w:p>
            <w:pPr>
              <w:tabs>
                <w:tab w:val="left" w:pos="1069"/>
                <w:tab w:val="left" w:pos="2352"/>
              </w:tabs>
              <w:rPr>
                <w:rFonts w:ascii="宋体" w:hAnsi="宋体" w:cs="宋体"/>
                <w:color w:val="auto"/>
                <w:sz w:val="22"/>
                <w:highlight w:val="none"/>
                <w:lang w:bidi="ar"/>
              </w:rPr>
            </w:pPr>
            <w:r>
              <w:rPr>
                <w:rFonts w:hint="eastAsia" w:ascii="宋体" w:hAnsi="宋体" w:cs="宋体"/>
                <w:color w:val="auto"/>
                <w:sz w:val="22"/>
                <w:highlight w:val="none"/>
              </w:rPr>
              <w:t>4、</w:t>
            </w:r>
            <w:r>
              <w:rPr>
                <w:rFonts w:hint="eastAsia" w:ascii="宋体" w:hAnsi="宋体" w:cs="宋体"/>
                <w:b/>
                <w:bCs/>
                <w:color w:val="auto"/>
                <w:sz w:val="22"/>
                <w:highlight w:val="none"/>
              </w:rPr>
              <w:t>投标文件的形式：</w:t>
            </w:r>
            <w:r>
              <w:rPr>
                <w:rFonts w:hint="eastAsia" w:ascii="宋体" w:hAnsi="宋体" w:cs="宋体"/>
                <w:color w:val="auto"/>
                <w:sz w:val="22"/>
                <w:highlight w:val="none"/>
              </w:rPr>
              <w:t>☑电子投标文件（“</w:t>
            </w:r>
            <w:r>
              <w:rPr>
                <w:rFonts w:hint="eastAsia" w:ascii="宋体" w:hAnsi="宋体" w:cs="宋体"/>
                <w:color w:val="auto"/>
                <w:sz w:val="22"/>
                <w:highlight w:val="none"/>
                <w:lang w:bidi="ar"/>
              </w:rPr>
              <w:t>电子加密投标文件”，在投标文件编制完成后生成）；</w:t>
            </w:r>
          </w:p>
          <w:p>
            <w:pPr>
              <w:tabs>
                <w:tab w:val="left" w:pos="1069"/>
                <w:tab w:val="left" w:pos="2352"/>
              </w:tabs>
              <w:rPr>
                <w:rFonts w:ascii="宋体" w:hAnsi="宋体" w:cs="宋体"/>
                <w:color w:val="auto"/>
                <w:sz w:val="22"/>
                <w:highlight w:val="none"/>
                <w:lang w:bidi="ar"/>
              </w:rPr>
            </w:pPr>
            <w:r>
              <w:rPr>
                <w:rFonts w:hint="eastAsia" w:ascii="宋体" w:hAnsi="宋体" w:cs="宋体"/>
                <w:color w:val="auto"/>
                <w:sz w:val="22"/>
                <w:highlight w:val="none"/>
                <w:lang w:bidi="ar"/>
              </w:rPr>
              <w:t>“电子加密投标文件”是指通过“政采云电子交易客户端”完成投标文件编制后生成并加密的数据电文形式的投标文件。</w:t>
            </w:r>
          </w:p>
          <w:p>
            <w:pPr>
              <w:tabs>
                <w:tab w:val="left" w:pos="1069"/>
                <w:tab w:val="left" w:pos="2352"/>
              </w:tabs>
              <w:autoSpaceDE w:val="0"/>
              <w:autoSpaceDN w:val="0"/>
              <w:adjustRightInd w:val="0"/>
              <w:jc w:val="left"/>
              <w:rPr>
                <w:rFonts w:ascii="宋体" w:hAnsi="宋体" w:cs="宋体"/>
                <w:color w:val="auto"/>
                <w:sz w:val="22"/>
                <w:highlight w:val="none"/>
                <w:lang w:bidi="ar"/>
              </w:rPr>
            </w:pPr>
            <w:r>
              <w:rPr>
                <w:rFonts w:hint="eastAsia" w:ascii="宋体" w:hAnsi="宋体" w:cs="宋体"/>
                <w:b/>
                <w:bCs/>
                <w:color w:val="auto"/>
                <w:sz w:val="22"/>
                <w:highlight w:val="none"/>
                <w:lang w:bidi="ar"/>
              </w:rPr>
              <w:t>5、投标文件份数：</w:t>
            </w:r>
            <w:r>
              <w:rPr>
                <w:rFonts w:hint="eastAsia" w:ascii="宋体" w:hAnsi="宋体" w:cs="宋体"/>
                <w:color w:val="auto"/>
                <w:sz w:val="22"/>
                <w:highlight w:val="none"/>
                <w:lang w:bidi="ar"/>
              </w:rPr>
              <w:t>“电子加密投标文件”：在线上传递交。</w:t>
            </w:r>
          </w:p>
          <w:p>
            <w:pPr>
              <w:tabs>
                <w:tab w:val="left" w:pos="1069"/>
                <w:tab w:val="left" w:pos="2352"/>
              </w:tabs>
              <w:rPr>
                <w:rFonts w:ascii="宋体" w:hAnsi="宋体" w:cs="宋体"/>
                <w:b/>
                <w:bCs/>
                <w:color w:val="auto"/>
                <w:sz w:val="22"/>
                <w:highlight w:val="none"/>
                <w:lang w:bidi="ar"/>
              </w:rPr>
            </w:pPr>
            <w:r>
              <w:rPr>
                <w:rFonts w:hint="eastAsia" w:ascii="宋体" w:hAnsi="宋体" w:cs="宋体"/>
                <w:color w:val="auto"/>
                <w:sz w:val="22"/>
                <w:highlight w:val="none"/>
                <w:lang w:bidi="ar"/>
              </w:rPr>
              <w:t>6、</w:t>
            </w:r>
            <w:r>
              <w:rPr>
                <w:rFonts w:hint="eastAsia" w:ascii="宋体" w:hAnsi="宋体" w:cs="宋体"/>
                <w:b/>
                <w:bCs/>
                <w:color w:val="auto"/>
                <w:sz w:val="22"/>
                <w:highlight w:val="none"/>
                <w:lang w:bidi="ar"/>
              </w:rPr>
              <w:t>投标文件的上传和递交：</w:t>
            </w:r>
          </w:p>
          <w:p>
            <w:pPr>
              <w:tabs>
                <w:tab w:val="left" w:pos="1069"/>
                <w:tab w:val="left" w:pos="2352"/>
              </w:tabs>
              <w:rPr>
                <w:rFonts w:ascii="宋体" w:hAnsi="宋体" w:cs="宋体"/>
                <w:color w:val="auto"/>
                <w:sz w:val="22"/>
                <w:highlight w:val="none"/>
                <w:lang w:bidi="ar"/>
              </w:rPr>
            </w:pPr>
            <w:r>
              <w:rPr>
                <w:rFonts w:hint="eastAsia" w:ascii="宋体" w:hAnsi="宋体" w:cs="宋体"/>
                <w:color w:val="auto"/>
                <w:sz w:val="22"/>
                <w:highlight w:val="none"/>
                <w:lang w:bidi="ar"/>
              </w:rPr>
              <w:t>“电子加密投标文件”的上传、递交：</w:t>
            </w:r>
          </w:p>
          <w:p>
            <w:pPr>
              <w:tabs>
                <w:tab w:val="left" w:pos="1069"/>
                <w:tab w:val="left" w:pos="2352"/>
              </w:tabs>
              <w:rPr>
                <w:rFonts w:ascii="宋体" w:hAnsi="宋体" w:cs="宋体"/>
                <w:color w:val="auto"/>
                <w:sz w:val="22"/>
                <w:highlight w:val="none"/>
                <w:lang w:bidi="ar"/>
              </w:rPr>
            </w:pPr>
            <w:r>
              <w:rPr>
                <w:rFonts w:hint="eastAsia" w:ascii="宋体" w:hAnsi="宋体" w:cs="宋体"/>
                <w:color w:val="auto"/>
                <w:sz w:val="22"/>
                <w:highlight w:val="none"/>
                <w:lang w:bidi="ar"/>
              </w:rPr>
              <w:t>a.供应商应在投标截止时间前将“电子加密投标文件”成功上传递交至“政府采购云平台”，否则投标无效。</w:t>
            </w:r>
          </w:p>
          <w:p>
            <w:pPr>
              <w:tabs>
                <w:tab w:val="left" w:pos="1069"/>
                <w:tab w:val="left" w:pos="2352"/>
              </w:tabs>
              <w:rPr>
                <w:rFonts w:ascii="宋体" w:hAnsi="宋体" w:cs="宋体"/>
                <w:color w:val="auto"/>
                <w:sz w:val="22"/>
                <w:highlight w:val="none"/>
                <w:lang w:bidi="ar"/>
              </w:rPr>
            </w:pPr>
            <w:r>
              <w:rPr>
                <w:rFonts w:hint="eastAsia" w:ascii="宋体" w:hAnsi="宋体" w:cs="宋体"/>
                <w:color w:val="auto"/>
                <w:sz w:val="22"/>
                <w:highlight w:val="none"/>
                <w:lang w:bidi="ar"/>
              </w:rPr>
              <w:t>b.“电子加密投标文件”成功上传递交后，供应商可自行打印投标文件接收回执。</w:t>
            </w:r>
          </w:p>
          <w:p>
            <w:pPr>
              <w:tabs>
                <w:tab w:val="left" w:pos="1069"/>
                <w:tab w:val="left" w:pos="2352"/>
              </w:tabs>
              <w:rPr>
                <w:rFonts w:ascii="宋体" w:hAnsi="宋体" w:cs="宋体"/>
                <w:b/>
                <w:bCs/>
                <w:color w:val="auto"/>
                <w:sz w:val="22"/>
                <w:highlight w:val="none"/>
                <w:lang w:bidi="ar"/>
              </w:rPr>
            </w:pPr>
            <w:r>
              <w:rPr>
                <w:rFonts w:hint="eastAsia" w:ascii="宋体" w:hAnsi="宋体" w:cs="宋体"/>
                <w:b/>
                <w:bCs/>
                <w:color w:val="auto"/>
                <w:sz w:val="22"/>
                <w:highlight w:val="none"/>
                <w:lang w:bidi="ar"/>
              </w:rPr>
              <w:t>7、电子加密投标文件的解密和异常情况处理：</w:t>
            </w:r>
          </w:p>
          <w:p>
            <w:pPr>
              <w:tabs>
                <w:tab w:val="left" w:pos="1069"/>
                <w:tab w:val="left" w:pos="2352"/>
              </w:tabs>
              <w:autoSpaceDE w:val="0"/>
              <w:autoSpaceDN w:val="0"/>
              <w:adjustRightInd w:val="0"/>
              <w:jc w:val="left"/>
              <w:rPr>
                <w:rFonts w:ascii="宋体" w:hAnsi="宋体" w:cs="宋体"/>
                <w:color w:val="auto"/>
                <w:sz w:val="22"/>
                <w:highlight w:val="none"/>
                <w:lang w:bidi="ar"/>
              </w:rPr>
            </w:pPr>
            <w:r>
              <w:rPr>
                <w:rFonts w:hint="eastAsia" w:ascii="宋体" w:hAnsi="宋体" w:cs="宋体"/>
                <w:color w:val="auto"/>
                <w:sz w:val="22"/>
                <w:highlight w:val="none"/>
                <w:lang w:bidi="ar"/>
              </w:rPr>
              <w:t>（1）开标后，采购组织机构将向各供应商发出“电子加密投标文件”的解密通知，各供应商代表应当在接到解密通知后30分钟内自行完成“电子加密投标文件”的在线解密。</w:t>
            </w:r>
          </w:p>
          <w:p>
            <w:pPr>
              <w:tabs>
                <w:tab w:val="left" w:pos="1069"/>
                <w:tab w:val="left" w:pos="2352"/>
              </w:tabs>
              <w:autoSpaceDE w:val="0"/>
              <w:autoSpaceDN w:val="0"/>
              <w:adjustRightInd w:val="0"/>
              <w:jc w:val="left"/>
              <w:rPr>
                <w:rFonts w:ascii="宋体" w:hAnsi="宋体" w:cs="宋体"/>
                <w:color w:val="auto"/>
                <w:sz w:val="22"/>
                <w:highlight w:val="none"/>
                <w:lang w:bidi="ar"/>
              </w:rPr>
            </w:pPr>
            <w:r>
              <w:rPr>
                <w:rFonts w:hint="eastAsia" w:ascii="宋体" w:hAnsi="宋体" w:cs="宋体"/>
                <w:color w:val="auto"/>
                <w:sz w:val="22"/>
                <w:highlight w:val="none"/>
                <w:lang w:bidi="ar"/>
              </w:rPr>
              <w:t>（2）</w:t>
            </w:r>
            <w:r>
              <w:rPr>
                <w:rStyle w:val="27"/>
                <w:rFonts w:hint="eastAsia" w:ascii="宋体" w:hAnsi="宋体" w:cs="宋体"/>
                <w:b w:val="0"/>
                <w:color w:val="auto"/>
                <w:sz w:val="22"/>
                <w:highlight w:val="none"/>
              </w:rPr>
              <w:t>通过“政府采购云平台”上传递交的“电子加密投标文件”无法按时解密的，其投标无效。</w:t>
            </w:r>
          </w:p>
          <w:p>
            <w:pPr>
              <w:tabs>
                <w:tab w:val="left" w:pos="1069"/>
                <w:tab w:val="left" w:pos="2352"/>
              </w:tabs>
              <w:snapToGrid w:val="0"/>
              <w:rPr>
                <w:rFonts w:ascii="宋体" w:hAnsi="宋体" w:cs="宋体"/>
                <w:color w:val="auto"/>
                <w:sz w:val="22"/>
                <w:highlight w:val="none"/>
                <w:lang w:bidi="ar"/>
              </w:rPr>
            </w:pPr>
            <w:r>
              <w:rPr>
                <w:rFonts w:hint="eastAsia" w:ascii="宋体" w:hAnsi="宋体" w:cs="宋体"/>
                <w:b/>
                <w:bCs/>
                <w:color w:val="auto"/>
                <w:sz w:val="22"/>
                <w:highlight w:val="none"/>
                <w:lang w:bidi="ar"/>
              </w:rPr>
              <w:t>8、</w:t>
            </w:r>
            <w:r>
              <w:rPr>
                <w:rFonts w:hint="eastAsia" w:ascii="宋体" w:hAnsi="宋体" w:cs="宋体"/>
                <w:color w:val="auto"/>
                <w:sz w:val="22"/>
                <w:highlight w:val="none"/>
                <w:lang w:bidi="ar"/>
              </w:rPr>
              <w:t>投标截止后，在投标有效期内，供应商不能撤销投标文件。</w:t>
            </w:r>
          </w:p>
          <w:p>
            <w:pPr>
              <w:tabs>
                <w:tab w:val="left" w:pos="1069"/>
                <w:tab w:val="left" w:pos="2352"/>
              </w:tabs>
              <w:snapToGrid w:val="0"/>
              <w:rPr>
                <w:rFonts w:ascii="宋体" w:hAnsi="宋体" w:cs="宋体"/>
                <w:color w:val="auto"/>
                <w:sz w:val="22"/>
                <w:highlight w:val="none"/>
                <w:lang w:bidi="ar"/>
              </w:rPr>
            </w:pPr>
            <w:r>
              <w:rPr>
                <w:rFonts w:hint="eastAsia" w:ascii="宋体" w:hAnsi="宋体" w:cs="宋体"/>
                <w:color w:val="auto"/>
                <w:sz w:val="22"/>
                <w:highlight w:val="none"/>
                <w:lang w:bidi="ar"/>
              </w:rPr>
              <w:t>9、存在下列行为的，招标代理机构将其失信行为上报政府采购主管部门，由主管部门按有关规定对其违法失信行为记录进行公开：</w:t>
            </w:r>
          </w:p>
          <w:p>
            <w:pPr>
              <w:tabs>
                <w:tab w:val="left" w:pos="1069"/>
                <w:tab w:val="left" w:pos="2352"/>
              </w:tabs>
              <w:snapToGrid w:val="0"/>
              <w:rPr>
                <w:rFonts w:ascii="宋体" w:hAnsi="宋体" w:cs="宋体"/>
                <w:color w:val="auto"/>
                <w:sz w:val="22"/>
                <w:highlight w:val="none"/>
                <w:lang w:bidi="ar"/>
              </w:rPr>
            </w:pPr>
            <w:r>
              <w:rPr>
                <w:rFonts w:hint="eastAsia" w:ascii="宋体" w:hAnsi="宋体" w:cs="宋体"/>
                <w:color w:val="auto"/>
                <w:sz w:val="22"/>
                <w:highlight w:val="none"/>
                <w:lang w:bidi="ar"/>
              </w:rPr>
              <w:t>（1）中标或者成交后，拒绝签订政府采购合同的；</w:t>
            </w:r>
          </w:p>
          <w:p>
            <w:pPr>
              <w:tabs>
                <w:tab w:val="left" w:pos="1069"/>
                <w:tab w:val="left" w:pos="2352"/>
              </w:tabs>
              <w:rPr>
                <w:rFonts w:ascii="宋体" w:hAnsi="宋体" w:cs="宋体"/>
                <w:color w:val="auto"/>
                <w:sz w:val="22"/>
                <w:highlight w:val="none"/>
                <w:lang w:bidi="ar"/>
              </w:rPr>
            </w:pPr>
            <w:r>
              <w:rPr>
                <w:rFonts w:hint="eastAsia" w:ascii="宋体" w:hAnsi="宋体" w:cs="宋体"/>
                <w:color w:val="auto"/>
                <w:sz w:val="22"/>
                <w:highlight w:val="none"/>
                <w:lang w:bidi="ar"/>
              </w:rPr>
              <w:t>（2）投标有效期内撤销投标文件的</w:t>
            </w:r>
          </w:p>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lang w:bidi="ar"/>
              </w:rPr>
              <w:t>10、</w:t>
            </w:r>
            <w:r>
              <w:rPr>
                <w:rFonts w:hint="eastAsia" w:ascii="宋体" w:hAnsi="宋体" w:cs="宋体"/>
                <w:b/>
                <w:bCs/>
                <w:color w:val="auto"/>
                <w:sz w:val="22"/>
                <w:highlight w:val="none"/>
                <w:u w:val="single"/>
                <w:lang w:bidi="ar"/>
              </w:rPr>
              <w:t>中标后，中标（成交）供应商须提供4份纸质投标文件至招标代理机构处作为纸质存档。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8" w:hRule="atLeast"/>
          <w:jc w:val="center"/>
        </w:trPr>
        <w:tc>
          <w:tcPr>
            <w:tcW w:w="952" w:type="dxa"/>
            <w:vAlign w:val="center"/>
          </w:tcPr>
          <w:p>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adjustRightInd w:val="0"/>
              <w:jc w:val="center"/>
              <w:rPr>
                <w:rFonts w:ascii="宋体" w:hAnsi="宋体" w:cs="宋体"/>
                <w:color w:val="auto"/>
                <w:sz w:val="22"/>
                <w:highlight w:val="none"/>
              </w:rPr>
            </w:pPr>
            <w:r>
              <w:rPr>
                <w:rFonts w:hint="eastAsia" w:ascii="宋体" w:hAnsi="宋体" w:cs="宋体"/>
                <w:color w:val="auto"/>
                <w:sz w:val="22"/>
                <w:highlight w:val="none"/>
              </w:rPr>
              <w:t>投标样品</w:t>
            </w:r>
          </w:p>
        </w:tc>
        <w:tc>
          <w:tcPr>
            <w:tcW w:w="7619" w:type="dxa"/>
            <w:vAlign w:val="center"/>
          </w:tcPr>
          <w:p>
            <w:pPr>
              <w:tabs>
                <w:tab w:val="left" w:pos="1069"/>
                <w:tab w:val="left" w:pos="2352"/>
              </w:tabs>
              <w:adjustRightInd w:val="0"/>
              <w:snapToGrid w:val="0"/>
              <w:rPr>
                <w:rFonts w:ascii="宋体" w:hAnsi="宋体" w:cs="宋体"/>
                <w:color w:val="auto"/>
                <w:kern w:val="0"/>
                <w:sz w:val="22"/>
                <w:highlight w:val="none"/>
              </w:rPr>
            </w:pPr>
            <w:r>
              <w:rPr>
                <w:rFonts w:hint="eastAsia" w:ascii="宋体" w:hAnsi="宋体" w:cs="宋体"/>
                <w:b/>
                <w:bCs/>
                <w:color w:val="auto"/>
                <w:kern w:val="0"/>
                <w:sz w:val="22"/>
                <w:highlight w:val="none"/>
              </w:rPr>
              <w:fldChar w:fldCharType="begin"/>
            </w:r>
            <w:r>
              <w:rPr>
                <w:rFonts w:hint="eastAsia" w:ascii="宋体" w:hAnsi="宋体" w:cs="宋体"/>
                <w:b/>
                <w:bCs/>
                <w:color w:val="auto"/>
                <w:kern w:val="0"/>
                <w:sz w:val="22"/>
                <w:highlight w:val="none"/>
              </w:rPr>
              <w:instrText xml:space="preserve"> eq \o\ac(□,</w:instrText>
            </w:r>
            <w:r>
              <w:rPr>
                <w:rFonts w:hint="eastAsia" w:ascii="宋体" w:hAnsi="宋体" w:cs="宋体"/>
                <w:b/>
                <w:bCs/>
                <w:color w:val="auto"/>
                <w:kern w:val="0"/>
                <w:position w:val="2"/>
                <w:sz w:val="15"/>
                <w:highlight w:val="none"/>
              </w:rPr>
              <w:instrText xml:space="preserve">√</w:instrText>
            </w:r>
            <w:r>
              <w:rPr>
                <w:rFonts w:hint="eastAsia" w:ascii="宋体" w:hAnsi="宋体" w:cs="宋体"/>
                <w:b/>
                <w:bCs/>
                <w:color w:val="auto"/>
                <w:kern w:val="0"/>
                <w:sz w:val="22"/>
                <w:highlight w:val="none"/>
              </w:rPr>
              <w:instrText xml:space="preserve">)</w:instrText>
            </w:r>
            <w:r>
              <w:rPr>
                <w:rFonts w:hint="eastAsia" w:ascii="宋体" w:hAnsi="宋体" w:cs="宋体"/>
                <w:b/>
                <w:bCs/>
                <w:color w:val="auto"/>
                <w:kern w:val="0"/>
                <w:sz w:val="22"/>
                <w:highlight w:val="none"/>
              </w:rPr>
              <w:fldChar w:fldCharType="end"/>
            </w:r>
            <w:r>
              <w:rPr>
                <w:rFonts w:hint="eastAsia" w:ascii="宋体" w:hAnsi="宋体" w:cs="宋体"/>
                <w:color w:val="auto"/>
                <w:kern w:val="0"/>
                <w:sz w:val="22"/>
                <w:highlight w:val="none"/>
              </w:rPr>
              <w:t>不需要</w:t>
            </w:r>
          </w:p>
          <w:p>
            <w:pPr>
              <w:tabs>
                <w:tab w:val="left" w:pos="1069"/>
                <w:tab w:val="left" w:pos="2352"/>
              </w:tabs>
              <w:adjustRightInd w:val="0"/>
              <w:snapToGrid w:val="0"/>
              <w:rPr>
                <w:rFonts w:ascii="宋体" w:hAnsi="宋体" w:cs="宋体"/>
                <w:color w:val="auto"/>
                <w:sz w:val="22"/>
                <w:highlight w:val="none"/>
              </w:rPr>
            </w:pPr>
            <w:r>
              <w:rPr>
                <w:rFonts w:hint="eastAsia" w:ascii="宋体" w:hAnsi="宋体" w:cs="宋体"/>
                <w:color w:val="auto"/>
                <w:kern w:val="0"/>
                <w:sz w:val="22"/>
                <w:highlight w:val="none"/>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77" w:hRule="atLeast"/>
          <w:jc w:val="center"/>
        </w:trPr>
        <w:tc>
          <w:tcPr>
            <w:tcW w:w="952" w:type="dxa"/>
            <w:vAlign w:val="center"/>
          </w:tcPr>
          <w:p>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投标保证金</w:t>
            </w:r>
          </w:p>
        </w:tc>
        <w:tc>
          <w:tcPr>
            <w:tcW w:w="7619" w:type="dxa"/>
            <w:vAlign w:val="center"/>
          </w:tcPr>
          <w:p>
            <w:pPr>
              <w:tabs>
                <w:tab w:val="left" w:pos="1069"/>
                <w:tab w:val="left" w:pos="2352"/>
              </w:tabs>
              <w:adjustRightInd w:val="0"/>
              <w:snapToGrid w:val="0"/>
              <w:rPr>
                <w:rFonts w:ascii="宋体" w:hAnsi="宋体" w:cs="宋体"/>
                <w:color w:val="auto"/>
                <w:kern w:val="0"/>
                <w:sz w:val="22"/>
                <w:highlight w:val="none"/>
              </w:rPr>
            </w:pPr>
            <w:r>
              <w:rPr>
                <w:rFonts w:hint="eastAsia" w:ascii="宋体" w:hAnsi="宋体" w:cs="宋体"/>
                <w:b/>
                <w:bCs/>
                <w:color w:val="auto"/>
                <w:kern w:val="0"/>
                <w:sz w:val="22"/>
                <w:highlight w:val="none"/>
              </w:rPr>
              <w:fldChar w:fldCharType="begin"/>
            </w:r>
            <w:r>
              <w:rPr>
                <w:rFonts w:hint="eastAsia" w:ascii="宋体" w:hAnsi="宋体" w:cs="宋体"/>
                <w:b/>
                <w:bCs/>
                <w:color w:val="auto"/>
                <w:kern w:val="0"/>
                <w:sz w:val="22"/>
                <w:highlight w:val="none"/>
              </w:rPr>
              <w:instrText xml:space="preserve"> eq \o\ac(□,√)</w:instrText>
            </w:r>
            <w:r>
              <w:rPr>
                <w:rFonts w:hint="eastAsia" w:ascii="宋体" w:hAnsi="宋体" w:cs="宋体"/>
                <w:b/>
                <w:bCs/>
                <w:color w:val="auto"/>
                <w:kern w:val="0"/>
                <w:sz w:val="22"/>
                <w:highlight w:val="none"/>
              </w:rPr>
              <w:fldChar w:fldCharType="end"/>
            </w:r>
            <w:r>
              <w:rPr>
                <w:rFonts w:hint="eastAsia" w:ascii="宋体" w:hAnsi="宋体" w:cs="宋体"/>
                <w:color w:val="auto"/>
                <w:kern w:val="0"/>
                <w:sz w:val="22"/>
                <w:highlight w:val="none"/>
              </w:rPr>
              <w:t>不需要</w:t>
            </w:r>
          </w:p>
          <w:p>
            <w:pPr>
              <w:widowControl/>
              <w:tabs>
                <w:tab w:val="left" w:pos="1069"/>
                <w:tab w:val="left" w:pos="2352"/>
              </w:tabs>
              <w:ind w:left="440" w:hanging="440" w:hangingChars="200"/>
              <w:jc w:val="left"/>
              <w:rPr>
                <w:rFonts w:ascii="宋体" w:hAnsi="宋体" w:cs="宋体"/>
                <w:color w:val="auto"/>
                <w:sz w:val="22"/>
                <w:highlight w:val="none"/>
              </w:rPr>
            </w:pPr>
            <w:r>
              <w:rPr>
                <w:rFonts w:hint="eastAsia" w:ascii="宋体" w:hAnsi="宋体" w:cs="宋体"/>
                <w:color w:val="auto"/>
                <w:kern w:val="0"/>
                <w:sz w:val="22"/>
                <w:highlight w:val="none"/>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952" w:type="dxa"/>
            <w:vAlign w:val="center"/>
          </w:tcPr>
          <w:p>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adjustRightInd w:val="0"/>
              <w:jc w:val="center"/>
              <w:rPr>
                <w:rFonts w:ascii="宋体" w:hAnsi="宋体" w:cs="宋体"/>
                <w:color w:val="auto"/>
                <w:sz w:val="22"/>
                <w:highlight w:val="none"/>
              </w:rPr>
            </w:pPr>
            <w:r>
              <w:rPr>
                <w:rFonts w:hint="eastAsia" w:ascii="宋体" w:hAnsi="宋体" w:cs="宋体"/>
                <w:color w:val="auto"/>
                <w:sz w:val="22"/>
                <w:highlight w:val="none"/>
              </w:rPr>
              <w:t>履约担保</w:t>
            </w:r>
          </w:p>
        </w:tc>
        <w:tc>
          <w:tcPr>
            <w:tcW w:w="7619" w:type="dxa"/>
            <w:vAlign w:val="center"/>
          </w:tcPr>
          <w:p>
            <w:pPr>
              <w:tabs>
                <w:tab w:val="left" w:pos="1069"/>
                <w:tab w:val="left" w:pos="2352"/>
              </w:tabs>
              <w:rPr>
                <w:rFonts w:ascii="宋体" w:hAnsi="宋体" w:cs="宋体"/>
                <w:color w:val="auto"/>
                <w:sz w:val="22"/>
                <w:highlight w:val="none"/>
              </w:rPr>
            </w:pPr>
            <w:r>
              <w:rPr>
                <w:rFonts w:hint="eastAsia" w:ascii="宋体" w:hAnsi="宋体" w:cs="宋体"/>
                <w:b/>
                <w:bCs/>
                <w:color w:val="auto"/>
                <w:kern w:val="0"/>
                <w:sz w:val="22"/>
                <w:highlight w:val="none"/>
              </w:rPr>
              <w:fldChar w:fldCharType="begin"/>
            </w:r>
            <w:r>
              <w:rPr>
                <w:rFonts w:hint="eastAsia" w:ascii="宋体" w:hAnsi="宋体" w:cs="宋体"/>
                <w:b/>
                <w:bCs/>
                <w:color w:val="auto"/>
                <w:kern w:val="0"/>
                <w:sz w:val="22"/>
                <w:highlight w:val="none"/>
              </w:rPr>
              <w:instrText xml:space="preserve"> eq \o\ac(□)</w:instrText>
            </w:r>
            <w:r>
              <w:rPr>
                <w:rFonts w:hint="eastAsia" w:ascii="宋体" w:hAnsi="宋体" w:cs="宋体"/>
                <w:b/>
                <w:bCs/>
                <w:color w:val="auto"/>
                <w:kern w:val="0"/>
                <w:sz w:val="22"/>
                <w:highlight w:val="none"/>
              </w:rPr>
              <w:fldChar w:fldCharType="end"/>
            </w:r>
            <w:r>
              <w:rPr>
                <w:rFonts w:hint="eastAsia" w:ascii="宋体" w:hAnsi="宋体" w:cs="宋体"/>
                <w:color w:val="auto"/>
                <w:sz w:val="22"/>
                <w:highlight w:val="none"/>
              </w:rPr>
              <w:t>不需要</w:t>
            </w:r>
          </w:p>
          <w:p>
            <w:pPr>
              <w:tabs>
                <w:tab w:val="left" w:pos="1069"/>
                <w:tab w:val="left" w:pos="2352"/>
              </w:tabs>
              <w:rPr>
                <w:rFonts w:ascii="宋体" w:hAnsi="宋体" w:cs="宋体"/>
                <w:color w:val="auto"/>
                <w:sz w:val="22"/>
                <w:highlight w:val="none"/>
              </w:rPr>
            </w:pPr>
            <w:r>
              <w:rPr>
                <w:rFonts w:hint="eastAsia" w:ascii="宋体" w:hAnsi="宋体" w:cs="宋体"/>
                <w:color w:val="auto"/>
                <w:kern w:val="0"/>
                <w:sz w:val="22"/>
                <w:highlight w:val="none"/>
              </w:rPr>
              <w:sym w:font="Wingdings 2" w:char="0052"/>
            </w:r>
            <w:r>
              <w:rPr>
                <w:rFonts w:hint="eastAsia" w:ascii="宋体" w:hAnsi="宋体" w:cs="宋体"/>
                <w:color w:val="auto"/>
                <w:kern w:val="0"/>
                <w:sz w:val="22"/>
                <w:highlight w:val="none"/>
              </w:rPr>
              <w:t>需要：</w:t>
            </w:r>
            <w:r>
              <w:rPr>
                <w:rFonts w:hint="eastAsia" w:hAnsi="宋体" w:cs="宋体"/>
                <w:color w:val="auto"/>
                <w:sz w:val="22"/>
                <w:highlight w:val="none"/>
                <w:lang w:val="zh-CN"/>
              </w:rPr>
              <w:t>合同签订前，中标（成交）供应商应向采购人提供合同总金额</w:t>
            </w:r>
            <w:r>
              <w:rPr>
                <w:rFonts w:hint="eastAsia" w:hAnsi="宋体" w:cs="宋体"/>
                <w:color w:val="auto"/>
                <w:sz w:val="22"/>
                <w:highlight w:val="none"/>
              </w:rPr>
              <w:t>1%</w:t>
            </w:r>
            <w:r>
              <w:rPr>
                <w:rFonts w:hint="eastAsia" w:hAnsi="宋体" w:cs="宋体"/>
                <w:color w:val="auto"/>
                <w:sz w:val="22"/>
                <w:highlight w:val="none"/>
                <w:lang w:val="zh-CN"/>
              </w:rPr>
              <w:t>的履约保证金</w:t>
            </w:r>
            <w:r>
              <w:rPr>
                <w:rFonts w:hint="eastAsia" w:ascii="宋体" w:hAnsi="宋体" w:cs="宋体"/>
                <w:color w:val="auto"/>
                <w:sz w:val="22"/>
                <w:highlight w:val="none"/>
                <w:lang w:val="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18" w:hRule="atLeast"/>
          <w:jc w:val="center"/>
        </w:trPr>
        <w:tc>
          <w:tcPr>
            <w:tcW w:w="952" w:type="dxa"/>
            <w:vAlign w:val="center"/>
          </w:tcPr>
          <w:p>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竞争性磋商文件发售时间及获取方式</w:t>
            </w:r>
          </w:p>
        </w:tc>
        <w:tc>
          <w:tcPr>
            <w:tcW w:w="7619" w:type="dxa"/>
            <w:vAlign w:val="center"/>
          </w:tcPr>
          <w:p>
            <w:pPr>
              <w:tabs>
                <w:tab w:val="left" w:pos="1069"/>
                <w:tab w:val="left" w:pos="2352"/>
              </w:tabs>
              <w:jc w:val="left"/>
              <w:rPr>
                <w:rFonts w:ascii="宋体" w:hAnsi="宋体" w:cs="宋体"/>
                <w:color w:val="auto"/>
                <w:sz w:val="22"/>
                <w:highlight w:val="none"/>
                <w:lang w:bidi="ar"/>
              </w:rPr>
            </w:pPr>
            <w:r>
              <w:rPr>
                <w:rFonts w:hint="eastAsia" w:ascii="宋体" w:hAnsi="宋体" w:cs="宋体"/>
                <w:color w:val="auto"/>
                <w:sz w:val="22"/>
                <w:highlight w:val="none"/>
                <w:lang w:bidi="ar"/>
              </w:rPr>
              <w:t>登录浙江省政府采购网（网址：</w:t>
            </w:r>
            <w:r>
              <w:rPr>
                <w:rFonts w:hint="eastAsia" w:ascii="宋体" w:hAnsi="宋体" w:cs="宋体"/>
                <w:color w:val="auto"/>
                <w:sz w:val="22"/>
                <w:highlight w:val="none"/>
                <w:lang w:bidi="ar"/>
              </w:rPr>
              <w:fldChar w:fldCharType="begin"/>
            </w:r>
            <w:r>
              <w:rPr>
                <w:rFonts w:hint="eastAsia" w:ascii="宋体" w:hAnsi="宋体" w:cs="宋体"/>
                <w:color w:val="auto"/>
                <w:sz w:val="22"/>
                <w:highlight w:val="none"/>
                <w:lang w:bidi="ar"/>
              </w:rPr>
              <w:instrText xml:space="preserve"> HYPERLINK "http://www.zjzfcg.gov.cn）查找本项目并获取采购文件，获取采购文件时应填写正确的电子邮箱。" </w:instrText>
            </w:r>
            <w:r>
              <w:rPr>
                <w:rFonts w:hint="eastAsia" w:ascii="宋体" w:hAnsi="宋体" w:cs="宋体"/>
                <w:color w:val="auto"/>
                <w:sz w:val="22"/>
                <w:highlight w:val="none"/>
                <w:lang w:bidi="ar"/>
              </w:rPr>
              <w:fldChar w:fldCharType="separate"/>
            </w:r>
            <w:r>
              <w:rPr>
                <w:rFonts w:hint="eastAsia" w:ascii="宋体" w:hAnsi="宋体" w:cs="宋体"/>
                <w:color w:val="auto"/>
                <w:sz w:val="22"/>
                <w:highlight w:val="none"/>
                <w:lang w:bidi="ar"/>
              </w:rPr>
              <w:t>http://zfcg.czt.zj.gov.cn/）查找本项目并获取采购文件，获取采购文件时应填写正确的电子邮箱（开标时若有文件传输均发至此邮箱）。</w:t>
            </w:r>
          </w:p>
          <w:p>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lang w:bidi="ar"/>
              </w:rPr>
              <w:fldChar w:fldCharType="end"/>
            </w:r>
            <w:r>
              <w:rPr>
                <w:rFonts w:hint="eastAsia" w:ascii="宋体" w:hAnsi="宋体" w:cs="宋体"/>
                <w:color w:val="auto"/>
                <w:sz w:val="22"/>
                <w:highlight w:val="none"/>
                <w:lang w:bidi="ar"/>
              </w:rPr>
              <w:t>采购文件获取截止时间：本项目开标时间。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39" w:hRule="atLeast"/>
          <w:jc w:val="center"/>
        </w:trPr>
        <w:tc>
          <w:tcPr>
            <w:tcW w:w="952" w:type="dxa"/>
            <w:vAlign w:val="center"/>
          </w:tcPr>
          <w:p>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投标文件递交截止时间及地点</w:t>
            </w:r>
          </w:p>
        </w:tc>
        <w:tc>
          <w:tcPr>
            <w:tcW w:w="7619" w:type="dxa"/>
            <w:vAlign w:val="center"/>
          </w:tcPr>
          <w:p>
            <w:pPr>
              <w:tabs>
                <w:tab w:val="left" w:pos="1069"/>
                <w:tab w:val="left" w:pos="2352"/>
              </w:tabs>
              <w:jc w:val="left"/>
              <w:rPr>
                <w:rFonts w:hint="eastAsia" w:ascii="宋体" w:hAnsi="宋体" w:cs="宋体"/>
                <w:color w:val="auto"/>
                <w:sz w:val="22"/>
                <w:highlight w:val="none"/>
              </w:rPr>
            </w:pPr>
            <w:r>
              <w:rPr>
                <w:rFonts w:hint="eastAsia" w:ascii="宋体" w:hAnsi="宋体" w:cs="宋体"/>
                <w:color w:val="auto"/>
                <w:sz w:val="22"/>
                <w:highlight w:val="none"/>
              </w:rPr>
              <w:t>2022年</w:t>
            </w:r>
            <w:r>
              <w:rPr>
                <w:rFonts w:hint="eastAsia" w:ascii="宋体" w:hAnsi="宋体" w:cs="宋体"/>
                <w:color w:val="auto"/>
                <w:sz w:val="22"/>
                <w:highlight w:val="none"/>
                <w:lang w:val="en-US" w:eastAsia="zh-CN"/>
              </w:rPr>
              <w:t>8</w:t>
            </w:r>
            <w:r>
              <w:rPr>
                <w:rFonts w:hint="eastAsia" w:ascii="宋体" w:hAnsi="宋体" w:cs="宋体"/>
                <w:color w:val="auto"/>
                <w:sz w:val="22"/>
                <w:highlight w:val="none"/>
              </w:rPr>
              <w:t>月</w:t>
            </w:r>
            <w:r>
              <w:rPr>
                <w:rFonts w:hint="eastAsia" w:ascii="宋体" w:hAnsi="宋体" w:cs="宋体"/>
                <w:color w:val="auto"/>
                <w:sz w:val="22"/>
                <w:highlight w:val="none"/>
                <w:lang w:val="en-US" w:eastAsia="zh-CN"/>
              </w:rPr>
              <w:t>3</w:t>
            </w:r>
            <w:r>
              <w:rPr>
                <w:rFonts w:hint="eastAsia" w:ascii="宋体" w:hAnsi="宋体" w:cs="宋体"/>
                <w:color w:val="auto"/>
                <w:sz w:val="22"/>
                <w:highlight w:val="none"/>
              </w:rPr>
              <w:t>日</w:t>
            </w:r>
            <w:r>
              <w:rPr>
                <w:rFonts w:hint="eastAsia" w:ascii="宋体" w:hAnsi="宋体" w:cs="宋体"/>
                <w:color w:val="auto"/>
                <w:sz w:val="22"/>
                <w:highlight w:val="none"/>
                <w:lang w:val="en-US" w:eastAsia="zh-CN"/>
              </w:rPr>
              <w:t>09</w:t>
            </w:r>
            <w:r>
              <w:rPr>
                <w:rFonts w:hint="eastAsia" w:ascii="宋体" w:hAnsi="宋体" w:cs="宋体"/>
                <w:color w:val="auto"/>
                <w:sz w:val="22"/>
                <w:highlight w:val="none"/>
              </w:rPr>
              <w:t>点00分；</w:t>
            </w:r>
          </w:p>
          <w:p>
            <w:pPr>
              <w:tabs>
                <w:tab w:val="left" w:pos="1069"/>
                <w:tab w:val="left" w:pos="2352"/>
              </w:tabs>
              <w:jc w:val="left"/>
              <w:rPr>
                <w:rFonts w:hint="eastAsia" w:ascii="宋体" w:hAnsi="宋体" w:cs="宋体"/>
                <w:color w:val="auto"/>
                <w:sz w:val="22"/>
                <w:highlight w:val="none"/>
              </w:rPr>
            </w:pPr>
            <w:r>
              <w:rPr>
                <w:rFonts w:hint="eastAsia" w:ascii="宋体" w:hAnsi="宋体" w:cs="宋体"/>
                <w:color w:val="auto"/>
                <w:sz w:val="22"/>
                <w:highlight w:val="none"/>
              </w:rPr>
              <w:t>投标文件递交地点：“政府采购云平台（http://zfcg.czt.zj.gov.cn/）”在线递交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952" w:type="dxa"/>
            <w:vAlign w:val="center"/>
          </w:tcPr>
          <w:p>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开标时间</w:t>
            </w:r>
          </w:p>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开标地点</w:t>
            </w:r>
          </w:p>
        </w:tc>
        <w:tc>
          <w:tcPr>
            <w:tcW w:w="7619" w:type="dxa"/>
            <w:vAlign w:val="center"/>
          </w:tcPr>
          <w:p>
            <w:pPr>
              <w:tabs>
                <w:tab w:val="left" w:pos="1069"/>
                <w:tab w:val="left" w:pos="2352"/>
              </w:tabs>
              <w:jc w:val="left"/>
              <w:rPr>
                <w:rFonts w:hint="eastAsia" w:ascii="宋体" w:hAnsi="宋体" w:cs="宋体"/>
                <w:color w:val="auto"/>
                <w:sz w:val="22"/>
                <w:highlight w:val="none"/>
              </w:rPr>
            </w:pPr>
            <w:r>
              <w:rPr>
                <w:rFonts w:hint="eastAsia" w:ascii="宋体" w:hAnsi="宋体" w:cs="宋体"/>
                <w:color w:val="auto"/>
                <w:sz w:val="22"/>
                <w:highlight w:val="none"/>
              </w:rPr>
              <w:t>开标时间：2022年</w:t>
            </w:r>
            <w:r>
              <w:rPr>
                <w:rFonts w:hint="eastAsia" w:ascii="宋体" w:hAnsi="宋体" w:cs="宋体"/>
                <w:color w:val="auto"/>
                <w:sz w:val="22"/>
                <w:highlight w:val="none"/>
                <w:lang w:val="en-US" w:eastAsia="zh-CN"/>
              </w:rPr>
              <w:t>8</w:t>
            </w:r>
            <w:r>
              <w:rPr>
                <w:rFonts w:hint="eastAsia" w:ascii="宋体" w:hAnsi="宋体" w:cs="宋体"/>
                <w:color w:val="auto"/>
                <w:sz w:val="22"/>
                <w:highlight w:val="none"/>
              </w:rPr>
              <w:t>月</w:t>
            </w:r>
            <w:r>
              <w:rPr>
                <w:rFonts w:hint="eastAsia" w:ascii="宋体" w:hAnsi="宋体" w:cs="宋体"/>
                <w:color w:val="auto"/>
                <w:sz w:val="22"/>
                <w:highlight w:val="none"/>
                <w:lang w:val="en-US" w:eastAsia="zh-CN"/>
              </w:rPr>
              <w:t>3</w:t>
            </w:r>
            <w:r>
              <w:rPr>
                <w:rFonts w:hint="eastAsia" w:ascii="宋体" w:hAnsi="宋体" w:cs="宋体"/>
                <w:color w:val="auto"/>
                <w:sz w:val="22"/>
                <w:highlight w:val="none"/>
              </w:rPr>
              <w:t>日</w:t>
            </w:r>
            <w:r>
              <w:rPr>
                <w:rFonts w:hint="eastAsia" w:ascii="宋体" w:hAnsi="宋体" w:cs="宋体"/>
                <w:color w:val="auto"/>
                <w:sz w:val="22"/>
                <w:highlight w:val="none"/>
                <w:lang w:val="en-US" w:eastAsia="zh-CN"/>
              </w:rPr>
              <w:t>09</w:t>
            </w:r>
            <w:r>
              <w:rPr>
                <w:rFonts w:hint="eastAsia" w:ascii="宋体" w:hAnsi="宋体" w:cs="宋体"/>
                <w:color w:val="auto"/>
                <w:sz w:val="22"/>
                <w:highlight w:val="none"/>
              </w:rPr>
              <w:t>点00分 (北京时间)</w:t>
            </w:r>
          </w:p>
          <w:p>
            <w:pPr>
              <w:tabs>
                <w:tab w:val="left" w:pos="1069"/>
                <w:tab w:val="left" w:pos="2352"/>
              </w:tabs>
              <w:jc w:val="left"/>
              <w:rPr>
                <w:rFonts w:hint="eastAsia" w:ascii="宋体" w:hAnsi="宋体" w:cs="宋体"/>
                <w:color w:val="auto"/>
                <w:sz w:val="22"/>
                <w:highlight w:val="none"/>
              </w:rPr>
            </w:pPr>
            <w:r>
              <w:rPr>
                <w:rFonts w:hint="eastAsia" w:ascii="宋体" w:hAnsi="宋体" w:cs="宋体"/>
                <w:color w:val="auto"/>
                <w:sz w:val="22"/>
                <w:highlight w:val="none"/>
              </w:rPr>
              <w:t>开标地点：“政府采购云平台（http://zfcg.czt.zj.gov.cn/）”在线开标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952" w:type="dxa"/>
            <w:vAlign w:val="center"/>
          </w:tcPr>
          <w:p>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评审地点</w:t>
            </w:r>
          </w:p>
        </w:tc>
        <w:tc>
          <w:tcPr>
            <w:tcW w:w="7619" w:type="dxa"/>
            <w:vAlign w:val="center"/>
          </w:tcPr>
          <w:p>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泰顺县公共资源交易中心5楼评标室1（温州市泰顺县罗阳镇新城大道123号）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2" w:hRule="atLeast"/>
          <w:jc w:val="center"/>
        </w:trPr>
        <w:tc>
          <w:tcPr>
            <w:tcW w:w="952" w:type="dxa"/>
            <w:vAlign w:val="center"/>
          </w:tcPr>
          <w:p>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开标程序</w:t>
            </w:r>
          </w:p>
        </w:tc>
        <w:tc>
          <w:tcPr>
            <w:tcW w:w="7619" w:type="dxa"/>
            <w:vAlign w:val="center"/>
          </w:tcPr>
          <w:p>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（一）开标准备</w:t>
            </w:r>
          </w:p>
          <w:p>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1.采购组织机构原则上采用电子评标，按照响应文件规定的时间通过“政府采购云平台”组织开标、开启响应文件，所有供应商均应当准时在线参加。供应商如不参加磋商大会的，视同认可磋商结果，事后不得对采购相关人员、磋商过程和磋商结果提出异议，同时供应商因未在线参加磋商而导致响应文件无法按时解密等一切后果由供应商自己承担。</w:t>
            </w:r>
          </w:p>
          <w:p>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2.若磋商供应商在规定时间内无法解密或解密失败的，其投标无效。</w:t>
            </w:r>
          </w:p>
          <w:p>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3.所有二次报价询标流程，均在线上完成，请各供应商务必不要离开电脑太久，并留意手机短信。（请提前检查“政采云”内，关于‘项目采购’的岗位权限是否已勾选上。如有问题，请致电400-881-7190）。</w:t>
            </w:r>
          </w:p>
          <w:p>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（二）电子招投标开标及评审程序</w:t>
            </w:r>
          </w:p>
          <w:p>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1.磋商会由采购代理机构主持，磋商响应截止时间后，供应商登录政采云平台，用“项目采购-开标评标”功能对电子响应文件进行在线解密，各供应商代表在收到解密通知后30分钟内自行完成“电子加密投标文件”的在线解密。</w:t>
            </w:r>
          </w:p>
          <w:p>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2.投标文件解密结束，开启响应文件，磋商小组对资格和商务技术响应文件进行评审；</w:t>
            </w:r>
          </w:p>
          <w:p>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3.供应商按签到的前后顺序决定磋商的顺序，就价格、服务等认为需要磋商的内容进行磋商，供应商逐家回答磋商小组的提问，响应人作出最终承诺和最终报价。</w:t>
            </w:r>
          </w:p>
          <w:p>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5.在系统上公开资格和</w:t>
            </w:r>
            <w:r>
              <w:rPr>
                <w:rFonts w:hint="eastAsia" w:hAnsi="宋体" w:cs="宋体"/>
                <w:color w:val="auto"/>
                <w:sz w:val="22"/>
                <w:highlight w:val="none"/>
              </w:rPr>
              <w:t>技术商务资信评分</w:t>
            </w:r>
            <w:r>
              <w:rPr>
                <w:rFonts w:hint="eastAsia" w:ascii="宋体" w:hAnsi="宋体" w:cs="宋体"/>
                <w:color w:val="auto"/>
                <w:sz w:val="22"/>
                <w:highlight w:val="none"/>
              </w:rPr>
              <w:t>评审结果；</w:t>
            </w:r>
          </w:p>
          <w:p>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6.在系统上录入最终报价情况；</w:t>
            </w:r>
          </w:p>
          <w:p>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7.磋商小组对报价情况进行评审；</w:t>
            </w:r>
          </w:p>
          <w:p>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8.在系统上公布评审结果。</w:t>
            </w:r>
          </w:p>
          <w:p>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特别说明：政采云公司如对电子化开标及评审程序有调整的，按调整后的程序操作。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评审小组的</w:t>
            </w:r>
          </w:p>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组建</w:t>
            </w:r>
          </w:p>
        </w:tc>
        <w:tc>
          <w:tcPr>
            <w:tcW w:w="7619" w:type="dxa"/>
            <w:vAlign w:val="center"/>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评审小组构成：由采购人代表以及有关技术、经济等方面的专家组成，成员为3人及以上单数，其中技术、经济类专家不得少于总人数的2/3；评标专家确定方式：按相关规定从专家库中抽取。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adjustRightInd w:val="0"/>
              <w:jc w:val="center"/>
              <w:rPr>
                <w:rFonts w:ascii="宋体" w:hAnsi="宋体" w:cs="宋体"/>
                <w:b/>
                <w:bCs/>
                <w:color w:val="auto"/>
                <w:sz w:val="22"/>
                <w:highlight w:val="none"/>
              </w:rPr>
            </w:pPr>
            <w:r>
              <w:rPr>
                <w:rFonts w:hint="eastAsia" w:ascii="宋体" w:hAnsi="宋体" w:cs="宋体"/>
                <w:b/>
                <w:bCs/>
                <w:color w:val="auto"/>
                <w:sz w:val="22"/>
                <w:highlight w:val="none"/>
              </w:rPr>
              <w:t>政府采购</w:t>
            </w:r>
          </w:p>
          <w:p>
            <w:pPr>
              <w:adjustRightInd w:val="0"/>
              <w:jc w:val="center"/>
              <w:rPr>
                <w:rFonts w:ascii="宋体" w:hAnsi="宋体" w:cs="宋体"/>
                <w:b/>
                <w:bCs/>
                <w:color w:val="auto"/>
                <w:sz w:val="22"/>
                <w:highlight w:val="none"/>
              </w:rPr>
            </w:pPr>
            <w:r>
              <w:rPr>
                <w:rFonts w:hint="eastAsia" w:ascii="宋体" w:hAnsi="宋体" w:cs="宋体"/>
                <w:b/>
                <w:bCs/>
                <w:color w:val="auto"/>
                <w:sz w:val="22"/>
                <w:highlight w:val="none"/>
              </w:rPr>
              <w:t>扶持政策</w:t>
            </w:r>
          </w:p>
        </w:tc>
        <w:tc>
          <w:tcPr>
            <w:tcW w:w="7619" w:type="dxa"/>
            <w:vAlign w:val="center"/>
          </w:tcPr>
          <w:p>
            <w:pPr>
              <w:rPr>
                <w:rFonts w:ascii="宋体" w:hAnsi="宋体" w:cs="宋体"/>
                <w:b/>
                <w:bCs/>
                <w:color w:val="auto"/>
                <w:sz w:val="22"/>
                <w:highlight w:val="none"/>
              </w:rPr>
            </w:pPr>
            <w:r>
              <w:rPr>
                <w:rFonts w:hint="eastAsia" w:ascii="宋体" w:hAnsi="宋体" w:cs="宋体"/>
                <w:b/>
                <w:bCs/>
                <w:color w:val="auto"/>
                <w:sz w:val="22"/>
                <w:highlight w:val="none"/>
              </w:rPr>
              <w:t>1、对符合财政扶持政策的小微企业（或监狱企业、或残疾人福利性单位）给予评标价格折扣。供应商企业属于以上多种性质的，不重复享受扶持政策。</w:t>
            </w:r>
          </w:p>
          <w:p>
            <w:pPr>
              <w:rPr>
                <w:rFonts w:ascii="宋体" w:hAnsi="宋体" w:cs="宋体"/>
                <w:b/>
                <w:bCs/>
                <w:color w:val="auto"/>
                <w:sz w:val="22"/>
                <w:highlight w:val="none"/>
              </w:rPr>
            </w:pPr>
            <w:r>
              <w:rPr>
                <w:rFonts w:hint="eastAsia" w:ascii="宋体" w:hAnsi="宋体" w:cs="宋体"/>
                <w:b/>
                <w:bCs/>
                <w:color w:val="auto"/>
                <w:sz w:val="22"/>
                <w:highlight w:val="none"/>
              </w:rPr>
              <w:t>2、对节能、环保产品优先采购。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952" w:type="dxa"/>
            <w:vAlign w:val="center"/>
          </w:tcPr>
          <w:p>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供应商信用查询</w:t>
            </w:r>
          </w:p>
        </w:tc>
        <w:tc>
          <w:tcPr>
            <w:tcW w:w="7619" w:type="dxa"/>
            <w:vAlign w:val="center"/>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1、投标供应商信用信息查询的查询渠道：“信用中国”(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sz w:val="22"/>
                <w:highlight w:val="none"/>
              </w:rPr>
              <w:t>www.creditchina.gov.cn</w:t>
            </w:r>
            <w:r>
              <w:rPr>
                <w:rFonts w:hint="eastAsia" w:ascii="宋体" w:hAnsi="宋体" w:cs="宋体"/>
                <w:color w:val="auto"/>
                <w:sz w:val="22"/>
                <w:highlight w:val="none"/>
              </w:rPr>
              <w:fldChar w:fldCharType="end"/>
            </w:r>
            <w:r>
              <w:rPr>
                <w:rFonts w:hint="eastAsia" w:ascii="宋体" w:hAnsi="宋体" w:cs="宋体"/>
                <w:color w:val="auto"/>
                <w:sz w:val="22"/>
                <w:highlight w:val="none"/>
              </w:rPr>
              <w:t>)；“中国政府采购网”（http://www.ccgp.gov.cn/）；</w:t>
            </w:r>
          </w:p>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2、投标供应商信用信息查询截止时点：本项目投标截止时间前。</w:t>
            </w:r>
          </w:p>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3、投标供应商信用信息查询记录和证据留存的具体方式：网页截图打印；</w:t>
            </w:r>
          </w:p>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4、信用信息的使用规则：信用中国”被列入失信被执行人名单、重大税收违法案件当事人名单的供应商，或“中国政府采购网”具有严重违法失信行为信息记录的供应商，其投标做无效投标处理；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合同备案</w:t>
            </w:r>
          </w:p>
        </w:tc>
        <w:tc>
          <w:tcPr>
            <w:tcW w:w="7619" w:type="dxa"/>
            <w:vAlign w:val="center"/>
          </w:tcPr>
          <w:p>
            <w:pPr>
              <w:numPr>
                <w:ilvl w:val="0"/>
                <w:numId w:val="2"/>
              </w:num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中标（成交）供应商须在发出中标（成交）通知书之日起30日历天内与</w:t>
            </w:r>
          </w:p>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采购人签订合同。</w:t>
            </w:r>
          </w:p>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2、中标（成交）供应商与采购人签订合同后，2日历天内将合同原件交招标代理机构备案。</w:t>
            </w:r>
          </w:p>
          <w:p>
            <w:pPr>
              <w:numPr>
                <w:ilvl w:val="0"/>
                <w:numId w:val="3"/>
              </w:num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本项目政府采购合同按规定在浙江政府采购网（http://zfcg.czt.zj.gov.cn/）予以公告。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合同履约管理</w:t>
            </w:r>
          </w:p>
        </w:tc>
        <w:tc>
          <w:tcPr>
            <w:tcW w:w="7619" w:type="dxa"/>
            <w:vAlign w:val="center"/>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合同签订后，采购人依法加强对合同履约进行管理，并在中标（成交）单位供货（或服务）、项目验收等重要关节，如实填写《合同验收报告》（表附合同条款中），并及时向同级财政部门报告验收过程中遇到的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免责声明</w:t>
            </w:r>
          </w:p>
        </w:tc>
        <w:tc>
          <w:tcPr>
            <w:tcW w:w="7619" w:type="dxa"/>
            <w:vAlign w:val="center"/>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1、投标供应商自行承担投标过程中产生的费用。无论何种因素导致采购项目延期开标、废标（流标）、投标供应商未成交、项目终止采购的，采购人与代理机构均不承担供应商投标费用。</w:t>
            </w:r>
          </w:p>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2、投标供应商在投标、合同履行过程中必须做好安全保障工作，不因项目实施而危及自身及第三方人员、财产安全。若发生任何安全事故，由中标（成交）供应商自行承担一切责任并赔偿损失。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解释权</w:t>
            </w:r>
          </w:p>
        </w:tc>
        <w:tc>
          <w:tcPr>
            <w:tcW w:w="7619" w:type="dxa"/>
            <w:vAlign w:val="center"/>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构成本竞争性磋商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响应）文件格式的先后顺序解释；同一文件中就同一事项的约定不一致的，以逻辑顺序在后者为准；同一文件不同版本之间有不一致的，以形成时间在后者为准。按本款前述约定仍不能形成结论的，由招标代理机构或采购人负责解释。</w:t>
            </w:r>
          </w:p>
        </w:tc>
      </w:tr>
    </w:tbl>
    <w:p>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lang w:val="zh-CN"/>
        </w:rPr>
      </w:pPr>
      <w:bookmarkStart w:id="2" w:name="_Toc758_WPSOffice_Level1"/>
    </w:p>
    <w:p>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lang w:val="zh-CN"/>
        </w:rPr>
      </w:pPr>
    </w:p>
    <w:p>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lang w:val="zh-CN"/>
        </w:rPr>
      </w:pPr>
    </w:p>
    <w:p>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lang w:val="zh-CN"/>
        </w:rPr>
      </w:pPr>
    </w:p>
    <w:p>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lang w:val="zh-CN"/>
        </w:rPr>
      </w:pPr>
    </w:p>
    <w:p>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lang w:val="zh-CN"/>
        </w:rPr>
      </w:pPr>
    </w:p>
    <w:p>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lang w:val="zh-CN"/>
        </w:rPr>
      </w:pPr>
    </w:p>
    <w:p>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lang w:val="zh-CN"/>
        </w:rPr>
      </w:pPr>
    </w:p>
    <w:p>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lang w:val="zh-CN"/>
        </w:rPr>
      </w:pPr>
    </w:p>
    <w:p>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lang w:val="zh-CN"/>
        </w:rPr>
      </w:pPr>
    </w:p>
    <w:p>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lang w:val="zh-CN"/>
        </w:rPr>
      </w:pPr>
    </w:p>
    <w:p>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lang w:val="zh-CN"/>
        </w:rPr>
      </w:pPr>
    </w:p>
    <w:p>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lang w:val="zh-CN"/>
        </w:rPr>
      </w:pPr>
      <w:r>
        <w:rPr>
          <w:rFonts w:hint="eastAsia" w:ascii="宋体" w:hAnsi="宋体" w:cs="宋体"/>
          <w:b/>
          <w:color w:val="auto"/>
          <w:sz w:val="32"/>
          <w:szCs w:val="32"/>
          <w:highlight w:val="none"/>
          <w:lang w:val="zh-CN"/>
        </w:rPr>
        <w:t>第二部分、采购内容</w:t>
      </w:r>
      <w:bookmarkEnd w:id="2"/>
    </w:p>
    <w:p>
      <w:pPr>
        <w:spacing w:line="400" w:lineRule="exact"/>
        <w:ind w:firstLine="480"/>
        <w:rPr>
          <w:rFonts w:asciiTheme="minorEastAsia" w:hAnsiTheme="minorEastAsia" w:eastAsiaTheme="minorEastAsia" w:cstheme="minorEastAsia"/>
          <w:b/>
          <w:bCs/>
          <w:color w:val="auto"/>
          <w:sz w:val="22"/>
          <w:highlight w:val="none"/>
        </w:rPr>
      </w:pPr>
      <w:bookmarkStart w:id="3" w:name="_Toc15997"/>
      <w:bookmarkStart w:id="4" w:name="_Toc27826"/>
      <w:bookmarkStart w:id="5" w:name="_Toc99470323"/>
      <w:bookmarkStart w:id="6" w:name="_Toc474761105"/>
      <w:bookmarkStart w:id="7" w:name="_Toc5493_WPSOffice_Level1"/>
      <w:r>
        <w:rPr>
          <w:rFonts w:hint="eastAsia" w:asciiTheme="minorEastAsia" w:hAnsiTheme="minorEastAsia" w:eastAsiaTheme="minorEastAsia" w:cstheme="minorEastAsia"/>
          <w:b/>
          <w:bCs/>
          <w:color w:val="auto"/>
          <w:sz w:val="22"/>
          <w:highlight w:val="none"/>
        </w:rPr>
        <w:t>一、项目背景</w:t>
      </w:r>
      <w:bookmarkEnd w:id="3"/>
      <w:bookmarkEnd w:id="4"/>
      <w:bookmarkEnd w:id="5"/>
    </w:p>
    <w:p>
      <w:pPr>
        <w:spacing w:line="400" w:lineRule="exact"/>
        <w:ind w:firstLine="48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为了搞好集体土地所有权确权登记工作，全国各地按照党中央、国务院决策部署及自然资源部工作安排，于2011年至2013年基本完成了集体土地所有权确权登记工作。将集体土地所有权确权登记成果应用于土地征收、土地开发利用、执法督察等业务，对提升土地管理水平、促进农业农村发展、维护农民土地权益等发挥了重要的基础性作用。</w:t>
      </w:r>
    </w:p>
    <w:p>
      <w:pPr>
        <w:spacing w:line="400" w:lineRule="exact"/>
        <w:ind w:firstLine="48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但10年来仍有不少地方对于土地征收、农民集体变化等原因导致集体土地所有权变化的，未办理相应注销、变更等登记手续，未及时更新登记成果。为依法维护农民土地权益，支撑集体经营性建设用地入市等自然资源改革工作， 2022年1月自然资源部发布《关于加快完成集体土地所有权确权登记成果更新汇交的通知》（自然资发〔2022〕19号），决定在已有工作基础上，要求</w:t>
      </w:r>
      <w:r>
        <w:rPr>
          <w:rFonts w:hint="eastAsia" w:asciiTheme="minorEastAsia" w:hAnsiTheme="minorEastAsia" w:eastAsiaTheme="minorEastAsia" w:cstheme="minorEastAsia"/>
          <w:color w:val="auto"/>
          <w:sz w:val="22"/>
          <w:highlight w:val="none"/>
          <w:lang w:val="en-US" w:eastAsia="zh-CN"/>
        </w:rPr>
        <w:t>进行</w:t>
      </w:r>
      <w:r>
        <w:rPr>
          <w:rFonts w:hint="eastAsia" w:asciiTheme="minorEastAsia" w:hAnsiTheme="minorEastAsia" w:eastAsiaTheme="minorEastAsia" w:cstheme="minorEastAsia"/>
          <w:color w:val="auto"/>
          <w:sz w:val="22"/>
          <w:highlight w:val="none"/>
        </w:rPr>
        <w:t>全面更新汇交集体土地所有权确权登记成果，现对泰顺县域295个行政村（社区）2022年6月底前集体土地所有权确权登记成果进行更新。</w:t>
      </w:r>
    </w:p>
    <w:tbl>
      <w:tblPr>
        <w:tblStyle w:val="25"/>
        <w:tblpPr w:leftFromText="180" w:rightFromText="180" w:vertAnchor="text" w:tblpX="-292" w:tblpY="678"/>
        <w:tblOverlap w:val="never"/>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4454"/>
        <w:gridCol w:w="885"/>
        <w:gridCol w:w="953"/>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60" w:type="dxa"/>
          </w:tcPr>
          <w:p>
            <w:pPr>
              <w:spacing w:line="400" w:lineRule="exact"/>
              <w:jc w:val="center"/>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序号</w:t>
            </w:r>
          </w:p>
        </w:tc>
        <w:tc>
          <w:tcPr>
            <w:tcW w:w="4454" w:type="dxa"/>
          </w:tcPr>
          <w:p>
            <w:pPr>
              <w:spacing w:line="400" w:lineRule="exact"/>
              <w:jc w:val="center"/>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工作内容</w:t>
            </w:r>
          </w:p>
        </w:tc>
        <w:tc>
          <w:tcPr>
            <w:tcW w:w="885" w:type="dxa"/>
          </w:tcPr>
          <w:p>
            <w:pPr>
              <w:spacing w:line="400" w:lineRule="exact"/>
              <w:jc w:val="center"/>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单位</w:t>
            </w:r>
          </w:p>
        </w:tc>
        <w:tc>
          <w:tcPr>
            <w:tcW w:w="953" w:type="dxa"/>
          </w:tcPr>
          <w:p>
            <w:pPr>
              <w:spacing w:line="400" w:lineRule="exact"/>
              <w:jc w:val="center"/>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数量</w:t>
            </w:r>
          </w:p>
        </w:tc>
        <w:tc>
          <w:tcPr>
            <w:tcW w:w="2205" w:type="dxa"/>
          </w:tcPr>
          <w:p>
            <w:pPr>
              <w:spacing w:line="400" w:lineRule="exact"/>
              <w:jc w:val="center"/>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单项限价（万元）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60" w:type="dxa"/>
          </w:tcPr>
          <w:p>
            <w:pPr>
              <w:spacing w:line="400" w:lineRule="exact"/>
              <w:jc w:val="center"/>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w:t>
            </w:r>
          </w:p>
        </w:tc>
        <w:tc>
          <w:tcPr>
            <w:tcW w:w="4454" w:type="dxa"/>
          </w:tcPr>
          <w:p>
            <w:pPr>
              <w:spacing w:line="400" w:lineRule="exact"/>
              <w:jc w:val="center"/>
              <w:rPr>
                <w:rFonts w:hint="default" w:asciiTheme="minorEastAsia" w:hAnsiTheme="minorEastAsia" w:eastAsiaTheme="minorEastAsia" w:cstheme="minorEastAsia"/>
                <w:color w:val="auto"/>
                <w:sz w:val="22"/>
                <w:highlight w:val="none"/>
                <w:lang w:val="en-US" w:eastAsia="zh-CN"/>
              </w:rPr>
            </w:pPr>
            <w:r>
              <w:rPr>
                <w:rFonts w:hint="eastAsia" w:asciiTheme="minorEastAsia" w:hAnsiTheme="minorEastAsia" w:eastAsiaTheme="minorEastAsia" w:cstheme="minorEastAsia"/>
                <w:color w:val="auto"/>
                <w:sz w:val="22"/>
                <w:highlight w:val="none"/>
                <w:lang w:val="en-US" w:eastAsia="zh-CN"/>
              </w:rPr>
              <w:t>对原有</w:t>
            </w:r>
            <w:r>
              <w:rPr>
                <w:rFonts w:hint="eastAsia" w:asciiTheme="minorEastAsia" w:hAnsiTheme="minorEastAsia" w:eastAsiaTheme="minorEastAsia" w:cstheme="minorEastAsia"/>
                <w:color w:val="auto"/>
                <w:sz w:val="22"/>
                <w:highlight w:val="none"/>
              </w:rPr>
              <w:t>集体土地所有权确权登记成果</w:t>
            </w:r>
            <w:r>
              <w:rPr>
                <w:rFonts w:hint="eastAsia" w:asciiTheme="minorEastAsia" w:hAnsiTheme="minorEastAsia" w:eastAsiaTheme="minorEastAsia" w:cstheme="minorEastAsia"/>
                <w:color w:val="auto"/>
                <w:sz w:val="22"/>
                <w:highlight w:val="none"/>
                <w:lang w:val="en-US" w:eastAsia="zh-CN"/>
              </w:rPr>
              <w:t>数据</w:t>
            </w:r>
            <w:r>
              <w:rPr>
                <w:rFonts w:hint="eastAsia" w:asciiTheme="minorEastAsia" w:hAnsiTheme="minorEastAsia" w:eastAsiaTheme="minorEastAsia" w:cstheme="minorEastAsia"/>
                <w:color w:val="auto"/>
                <w:sz w:val="22"/>
                <w:highlight w:val="none"/>
              </w:rPr>
              <w:t>库</w:t>
            </w:r>
            <w:r>
              <w:rPr>
                <w:rFonts w:hint="eastAsia" w:asciiTheme="minorEastAsia" w:hAnsiTheme="minorEastAsia" w:eastAsiaTheme="minorEastAsia" w:cstheme="minorEastAsia"/>
                <w:color w:val="auto"/>
                <w:sz w:val="22"/>
                <w:highlight w:val="none"/>
                <w:lang w:val="en-US" w:eastAsia="zh-CN"/>
              </w:rPr>
              <w:t>分析整理入库</w:t>
            </w:r>
          </w:p>
        </w:tc>
        <w:tc>
          <w:tcPr>
            <w:tcW w:w="885" w:type="dxa"/>
            <w:vAlign w:val="center"/>
          </w:tcPr>
          <w:p>
            <w:pPr>
              <w:spacing w:line="400" w:lineRule="exact"/>
              <w:jc w:val="center"/>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项</w:t>
            </w:r>
          </w:p>
        </w:tc>
        <w:tc>
          <w:tcPr>
            <w:tcW w:w="953" w:type="dxa"/>
            <w:vAlign w:val="center"/>
          </w:tcPr>
          <w:p>
            <w:pPr>
              <w:spacing w:line="400" w:lineRule="exact"/>
              <w:jc w:val="center"/>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w:t>
            </w:r>
          </w:p>
        </w:tc>
        <w:tc>
          <w:tcPr>
            <w:tcW w:w="2205" w:type="dxa"/>
          </w:tcPr>
          <w:p>
            <w:pPr>
              <w:spacing w:line="400" w:lineRule="exact"/>
              <w:jc w:val="center"/>
              <w:rPr>
                <w:rFonts w:hint="default" w:asciiTheme="minorEastAsia" w:hAnsiTheme="minorEastAsia" w:eastAsiaTheme="minorEastAsia" w:cstheme="minorEastAsia"/>
                <w:color w:val="auto"/>
                <w:sz w:val="22"/>
                <w:highlight w:val="none"/>
                <w:lang w:val="en-US" w:eastAsia="zh-CN"/>
              </w:rPr>
            </w:pPr>
            <w:r>
              <w:rPr>
                <w:rFonts w:hint="eastAsia" w:asciiTheme="minorEastAsia" w:hAnsiTheme="minorEastAsia" w:eastAsiaTheme="minorEastAsia" w:cstheme="minorEastAsia"/>
                <w:color w:val="auto"/>
                <w:sz w:val="22"/>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0" w:type="dxa"/>
          </w:tcPr>
          <w:p>
            <w:pPr>
              <w:spacing w:line="400" w:lineRule="exact"/>
              <w:jc w:val="center"/>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w:t>
            </w:r>
          </w:p>
        </w:tc>
        <w:tc>
          <w:tcPr>
            <w:tcW w:w="4454" w:type="dxa"/>
          </w:tcPr>
          <w:p>
            <w:pPr>
              <w:spacing w:line="400" w:lineRule="exact"/>
              <w:jc w:val="center"/>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信息补充采集工作、数据清理工作、不动产单元代码编制工作、数据整合关联</w:t>
            </w:r>
          </w:p>
        </w:tc>
        <w:tc>
          <w:tcPr>
            <w:tcW w:w="885" w:type="dxa"/>
            <w:vAlign w:val="center"/>
          </w:tcPr>
          <w:p>
            <w:pPr>
              <w:spacing w:line="400" w:lineRule="exact"/>
              <w:jc w:val="center"/>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项</w:t>
            </w:r>
          </w:p>
        </w:tc>
        <w:tc>
          <w:tcPr>
            <w:tcW w:w="953" w:type="dxa"/>
            <w:vAlign w:val="center"/>
          </w:tcPr>
          <w:p>
            <w:pPr>
              <w:spacing w:line="400" w:lineRule="exact"/>
              <w:jc w:val="center"/>
              <w:rPr>
                <w:rFonts w:hint="eastAsia" w:asciiTheme="minorEastAsia" w:hAnsiTheme="minorEastAsia" w:eastAsiaTheme="minorEastAsia" w:cstheme="minorEastAsia"/>
                <w:color w:val="auto"/>
                <w:sz w:val="22"/>
                <w:highlight w:val="none"/>
                <w:lang w:eastAsia="zh-CN"/>
              </w:rPr>
            </w:pPr>
            <w:r>
              <w:rPr>
                <w:rFonts w:hint="eastAsia" w:asciiTheme="minorEastAsia" w:hAnsiTheme="minorEastAsia" w:eastAsiaTheme="minorEastAsia" w:cstheme="minorEastAsia"/>
                <w:color w:val="auto"/>
                <w:sz w:val="22"/>
                <w:highlight w:val="none"/>
                <w:lang w:val="en-US" w:eastAsia="zh-CN"/>
              </w:rPr>
              <w:t>4</w:t>
            </w:r>
          </w:p>
        </w:tc>
        <w:tc>
          <w:tcPr>
            <w:tcW w:w="2205" w:type="dxa"/>
          </w:tcPr>
          <w:p>
            <w:pPr>
              <w:spacing w:line="400" w:lineRule="exact"/>
              <w:jc w:val="center"/>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60" w:type="dxa"/>
          </w:tcPr>
          <w:p>
            <w:pPr>
              <w:spacing w:line="400" w:lineRule="exact"/>
              <w:jc w:val="center"/>
              <w:rPr>
                <w:rFonts w:hint="eastAsia" w:asciiTheme="minorEastAsia" w:hAnsiTheme="minorEastAsia" w:eastAsiaTheme="minorEastAsia" w:cstheme="minorEastAsia"/>
                <w:color w:val="auto"/>
                <w:sz w:val="22"/>
                <w:highlight w:val="none"/>
                <w:lang w:eastAsia="zh-CN"/>
              </w:rPr>
            </w:pPr>
            <w:r>
              <w:rPr>
                <w:rFonts w:hint="eastAsia" w:asciiTheme="minorEastAsia" w:hAnsiTheme="minorEastAsia" w:eastAsiaTheme="minorEastAsia" w:cstheme="minorEastAsia"/>
                <w:color w:val="auto"/>
                <w:sz w:val="22"/>
                <w:highlight w:val="none"/>
                <w:lang w:val="en-US" w:eastAsia="zh-CN"/>
              </w:rPr>
              <w:t>3</w:t>
            </w:r>
          </w:p>
        </w:tc>
        <w:tc>
          <w:tcPr>
            <w:tcW w:w="4454" w:type="dxa"/>
          </w:tcPr>
          <w:p>
            <w:pPr>
              <w:spacing w:line="400" w:lineRule="exact"/>
              <w:jc w:val="center"/>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lang w:val="en-US" w:eastAsia="zh-CN"/>
              </w:rPr>
              <w:t>工作底图制作</w:t>
            </w:r>
            <w:r>
              <w:rPr>
                <w:rFonts w:hint="eastAsia" w:asciiTheme="minorEastAsia" w:hAnsiTheme="minorEastAsia" w:eastAsiaTheme="minorEastAsia" w:cstheme="minorEastAsia"/>
                <w:color w:val="auto"/>
                <w:sz w:val="22"/>
                <w:highlight w:val="none"/>
              </w:rPr>
              <w:t>补充外业测量调查</w:t>
            </w:r>
          </w:p>
        </w:tc>
        <w:tc>
          <w:tcPr>
            <w:tcW w:w="885" w:type="dxa"/>
            <w:vAlign w:val="center"/>
          </w:tcPr>
          <w:p>
            <w:pPr>
              <w:spacing w:line="400" w:lineRule="exact"/>
              <w:jc w:val="center"/>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村</w:t>
            </w:r>
          </w:p>
        </w:tc>
        <w:tc>
          <w:tcPr>
            <w:tcW w:w="953" w:type="dxa"/>
            <w:vAlign w:val="center"/>
          </w:tcPr>
          <w:p>
            <w:pPr>
              <w:spacing w:line="400" w:lineRule="exact"/>
              <w:jc w:val="center"/>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295</w:t>
            </w:r>
          </w:p>
        </w:tc>
        <w:tc>
          <w:tcPr>
            <w:tcW w:w="2205" w:type="dxa"/>
          </w:tcPr>
          <w:p>
            <w:pPr>
              <w:spacing w:line="400" w:lineRule="exact"/>
              <w:jc w:val="center"/>
              <w:rPr>
                <w:rFonts w:hint="default" w:asciiTheme="minorEastAsia" w:hAnsiTheme="minorEastAsia" w:eastAsiaTheme="minorEastAsia" w:cstheme="minorEastAsia"/>
                <w:color w:val="auto"/>
                <w:sz w:val="22"/>
                <w:highlight w:val="none"/>
                <w:lang w:val="en-US" w:eastAsia="zh-CN"/>
              </w:rPr>
            </w:pPr>
            <w:r>
              <w:rPr>
                <w:rFonts w:hint="eastAsia" w:asciiTheme="minorEastAsia" w:hAnsiTheme="minorEastAsia" w:eastAsiaTheme="minorEastAsia" w:cstheme="minorEastAsia"/>
                <w:color w:val="auto"/>
                <w:sz w:val="22"/>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60" w:type="dxa"/>
          </w:tcPr>
          <w:p>
            <w:pPr>
              <w:spacing w:line="400" w:lineRule="exact"/>
              <w:jc w:val="center"/>
              <w:rPr>
                <w:rFonts w:hint="eastAsia" w:asciiTheme="minorEastAsia" w:hAnsiTheme="minorEastAsia" w:eastAsiaTheme="minorEastAsia" w:cstheme="minorEastAsia"/>
                <w:color w:val="auto"/>
                <w:sz w:val="22"/>
                <w:highlight w:val="none"/>
                <w:lang w:eastAsia="zh-CN"/>
              </w:rPr>
            </w:pPr>
            <w:r>
              <w:rPr>
                <w:rFonts w:hint="eastAsia" w:asciiTheme="minorEastAsia" w:hAnsiTheme="minorEastAsia" w:eastAsiaTheme="minorEastAsia" w:cstheme="minorEastAsia"/>
                <w:color w:val="auto"/>
                <w:sz w:val="22"/>
                <w:highlight w:val="none"/>
                <w:lang w:val="en-US" w:eastAsia="zh-CN"/>
              </w:rPr>
              <w:t>4</w:t>
            </w:r>
          </w:p>
        </w:tc>
        <w:tc>
          <w:tcPr>
            <w:tcW w:w="4454" w:type="dxa"/>
          </w:tcPr>
          <w:p>
            <w:pPr>
              <w:spacing w:line="400" w:lineRule="exact"/>
              <w:jc w:val="center"/>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集中更新集体土地所有权确权登记成果</w:t>
            </w:r>
          </w:p>
        </w:tc>
        <w:tc>
          <w:tcPr>
            <w:tcW w:w="885" w:type="dxa"/>
            <w:vAlign w:val="center"/>
          </w:tcPr>
          <w:p>
            <w:pPr>
              <w:spacing w:line="400" w:lineRule="exact"/>
              <w:jc w:val="center"/>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项</w:t>
            </w:r>
          </w:p>
        </w:tc>
        <w:tc>
          <w:tcPr>
            <w:tcW w:w="953" w:type="dxa"/>
            <w:vAlign w:val="center"/>
          </w:tcPr>
          <w:p>
            <w:pPr>
              <w:spacing w:line="400" w:lineRule="exact"/>
              <w:jc w:val="center"/>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w:t>
            </w:r>
          </w:p>
        </w:tc>
        <w:tc>
          <w:tcPr>
            <w:tcW w:w="2205" w:type="dxa"/>
          </w:tcPr>
          <w:p>
            <w:pPr>
              <w:spacing w:line="400" w:lineRule="exact"/>
              <w:jc w:val="center"/>
              <w:rPr>
                <w:rFonts w:hint="eastAsia" w:asciiTheme="minorEastAsia" w:hAnsiTheme="minorEastAsia" w:eastAsiaTheme="minorEastAsia" w:cstheme="minorEastAsia"/>
                <w:color w:val="auto"/>
                <w:sz w:val="22"/>
                <w:highlight w:val="none"/>
                <w:lang w:eastAsia="zh-CN"/>
              </w:rPr>
            </w:pPr>
            <w:r>
              <w:rPr>
                <w:rFonts w:hint="eastAsia" w:asciiTheme="minorEastAsia" w:hAnsiTheme="minorEastAsia" w:eastAsiaTheme="minorEastAsia" w:cstheme="minorEastAsia"/>
                <w:color w:val="auto"/>
                <w:sz w:val="22"/>
                <w:highlight w:val="none"/>
              </w:rPr>
              <w:t>4</w:t>
            </w:r>
            <w:r>
              <w:rPr>
                <w:rFonts w:hint="eastAsia" w:asciiTheme="minorEastAsia" w:hAnsiTheme="minorEastAsia" w:eastAsiaTheme="minorEastAsia" w:cstheme="minorEastAsia"/>
                <w:color w:val="auto"/>
                <w:sz w:val="22"/>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60" w:type="dxa"/>
          </w:tcPr>
          <w:p>
            <w:pPr>
              <w:spacing w:line="400" w:lineRule="exact"/>
              <w:jc w:val="center"/>
              <w:rPr>
                <w:rFonts w:hint="eastAsia" w:asciiTheme="minorEastAsia" w:hAnsiTheme="minorEastAsia" w:eastAsiaTheme="minorEastAsia" w:cstheme="minorEastAsia"/>
                <w:color w:val="auto"/>
                <w:sz w:val="22"/>
                <w:highlight w:val="none"/>
                <w:lang w:eastAsia="zh-CN"/>
              </w:rPr>
            </w:pPr>
            <w:r>
              <w:rPr>
                <w:rFonts w:hint="eastAsia" w:asciiTheme="minorEastAsia" w:hAnsiTheme="minorEastAsia" w:eastAsiaTheme="minorEastAsia" w:cstheme="minorEastAsia"/>
                <w:color w:val="auto"/>
                <w:sz w:val="22"/>
                <w:highlight w:val="none"/>
                <w:lang w:val="en-US" w:eastAsia="zh-CN"/>
              </w:rPr>
              <w:t>5</w:t>
            </w:r>
          </w:p>
        </w:tc>
        <w:tc>
          <w:tcPr>
            <w:tcW w:w="4454" w:type="dxa"/>
          </w:tcPr>
          <w:p>
            <w:pPr>
              <w:spacing w:line="400" w:lineRule="exact"/>
              <w:jc w:val="center"/>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统一汇交集体土地所有权确权登记成果</w:t>
            </w:r>
          </w:p>
        </w:tc>
        <w:tc>
          <w:tcPr>
            <w:tcW w:w="885" w:type="dxa"/>
            <w:vAlign w:val="center"/>
          </w:tcPr>
          <w:p>
            <w:pPr>
              <w:spacing w:line="400" w:lineRule="exact"/>
              <w:jc w:val="center"/>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项</w:t>
            </w:r>
          </w:p>
        </w:tc>
        <w:tc>
          <w:tcPr>
            <w:tcW w:w="953" w:type="dxa"/>
            <w:vAlign w:val="center"/>
          </w:tcPr>
          <w:p>
            <w:pPr>
              <w:spacing w:line="400" w:lineRule="exact"/>
              <w:jc w:val="center"/>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w:t>
            </w:r>
          </w:p>
        </w:tc>
        <w:tc>
          <w:tcPr>
            <w:tcW w:w="2205" w:type="dxa"/>
          </w:tcPr>
          <w:p>
            <w:pPr>
              <w:spacing w:line="400" w:lineRule="exact"/>
              <w:jc w:val="center"/>
              <w:rPr>
                <w:rFonts w:hint="default" w:asciiTheme="minorEastAsia" w:hAnsiTheme="minorEastAsia" w:eastAsiaTheme="minorEastAsia" w:cstheme="minorEastAsia"/>
                <w:color w:val="auto"/>
                <w:sz w:val="22"/>
                <w:highlight w:val="none"/>
                <w:lang w:val="en-US"/>
              </w:rPr>
            </w:pPr>
            <w:r>
              <w:rPr>
                <w:rFonts w:hint="eastAsia" w:asciiTheme="minorEastAsia" w:hAnsiTheme="minorEastAsia" w:eastAsiaTheme="minorEastAsia" w:cstheme="minorEastAsia"/>
                <w:color w:val="auto"/>
                <w:sz w:val="22"/>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60" w:type="dxa"/>
          </w:tcPr>
          <w:p>
            <w:pPr>
              <w:spacing w:line="400" w:lineRule="exact"/>
              <w:jc w:val="center"/>
              <w:rPr>
                <w:rFonts w:hint="eastAsia" w:asciiTheme="minorEastAsia" w:hAnsiTheme="minorEastAsia" w:eastAsiaTheme="minorEastAsia" w:cstheme="minorEastAsia"/>
                <w:color w:val="auto"/>
                <w:sz w:val="22"/>
                <w:highlight w:val="none"/>
                <w:lang w:eastAsia="zh-CN"/>
              </w:rPr>
            </w:pPr>
            <w:r>
              <w:rPr>
                <w:rFonts w:hint="eastAsia" w:asciiTheme="minorEastAsia" w:hAnsiTheme="minorEastAsia" w:eastAsiaTheme="minorEastAsia" w:cstheme="minorEastAsia"/>
                <w:color w:val="auto"/>
                <w:sz w:val="22"/>
                <w:highlight w:val="none"/>
                <w:lang w:val="en-US" w:eastAsia="zh-CN"/>
              </w:rPr>
              <w:t>6</w:t>
            </w:r>
          </w:p>
        </w:tc>
        <w:tc>
          <w:tcPr>
            <w:tcW w:w="4454" w:type="dxa"/>
          </w:tcPr>
          <w:p>
            <w:pPr>
              <w:spacing w:line="400" w:lineRule="exact"/>
              <w:jc w:val="center"/>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 xml:space="preserve">完成登记档案归档及数字化工作 </w:t>
            </w:r>
          </w:p>
        </w:tc>
        <w:tc>
          <w:tcPr>
            <w:tcW w:w="885" w:type="dxa"/>
            <w:vAlign w:val="center"/>
          </w:tcPr>
          <w:p>
            <w:pPr>
              <w:spacing w:line="400" w:lineRule="exact"/>
              <w:jc w:val="center"/>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项</w:t>
            </w:r>
          </w:p>
        </w:tc>
        <w:tc>
          <w:tcPr>
            <w:tcW w:w="953" w:type="dxa"/>
            <w:vAlign w:val="center"/>
          </w:tcPr>
          <w:p>
            <w:pPr>
              <w:spacing w:line="400" w:lineRule="exact"/>
              <w:jc w:val="center"/>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w:t>
            </w:r>
          </w:p>
        </w:tc>
        <w:tc>
          <w:tcPr>
            <w:tcW w:w="2205" w:type="dxa"/>
          </w:tcPr>
          <w:p>
            <w:pPr>
              <w:spacing w:line="400" w:lineRule="exact"/>
              <w:jc w:val="center"/>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60" w:type="dxa"/>
          </w:tcPr>
          <w:p>
            <w:pPr>
              <w:spacing w:line="400" w:lineRule="exact"/>
              <w:jc w:val="center"/>
              <w:rPr>
                <w:rFonts w:hint="eastAsia" w:asciiTheme="minorEastAsia" w:hAnsiTheme="minorEastAsia" w:eastAsiaTheme="minorEastAsia" w:cstheme="minorEastAsia"/>
                <w:color w:val="auto"/>
                <w:sz w:val="22"/>
                <w:highlight w:val="none"/>
                <w:lang w:eastAsia="zh-CN"/>
              </w:rPr>
            </w:pPr>
            <w:r>
              <w:rPr>
                <w:rFonts w:hint="eastAsia" w:asciiTheme="minorEastAsia" w:hAnsiTheme="minorEastAsia" w:eastAsiaTheme="minorEastAsia" w:cstheme="minorEastAsia"/>
                <w:color w:val="auto"/>
                <w:sz w:val="22"/>
                <w:highlight w:val="none"/>
                <w:lang w:val="en-US" w:eastAsia="zh-CN"/>
              </w:rPr>
              <w:t>7</w:t>
            </w:r>
          </w:p>
        </w:tc>
        <w:tc>
          <w:tcPr>
            <w:tcW w:w="4454" w:type="dxa"/>
          </w:tcPr>
          <w:p>
            <w:pPr>
              <w:spacing w:line="400" w:lineRule="exact"/>
              <w:jc w:val="center"/>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 xml:space="preserve">配合登记发证  </w:t>
            </w:r>
          </w:p>
        </w:tc>
        <w:tc>
          <w:tcPr>
            <w:tcW w:w="885" w:type="dxa"/>
            <w:vAlign w:val="center"/>
          </w:tcPr>
          <w:p>
            <w:pPr>
              <w:spacing w:line="400" w:lineRule="exact"/>
              <w:jc w:val="center"/>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项</w:t>
            </w:r>
          </w:p>
        </w:tc>
        <w:tc>
          <w:tcPr>
            <w:tcW w:w="953" w:type="dxa"/>
            <w:vAlign w:val="center"/>
          </w:tcPr>
          <w:p>
            <w:pPr>
              <w:spacing w:line="400" w:lineRule="exact"/>
              <w:jc w:val="center"/>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w:t>
            </w:r>
          </w:p>
        </w:tc>
        <w:tc>
          <w:tcPr>
            <w:tcW w:w="2205" w:type="dxa"/>
          </w:tcPr>
          <w:p>
            <w:pPr>
              <w:spacing w:line="400" w:lineRule="exact"/>
              <w:jc w:val="center"/>
              <w:rPr>
                <w:rFonts w:hint="default" w:asciiTheme="minorEastAsia" w:hAnsiTheme="minorEastAsia" w:eastAsiaTheme="minorEastAsia" w:cstheme="minorEastAsia"/>
                <w:color w:val="auto"/>
                <w:sz w:val="22"/>
                <w:highlight w:val="none"/>
                <w:lang w:val="en-US" w:eastAsia="zh-CN"/>
              </w:rPr>
            </w:pPr>
            <w:r>
              <w:rPr>
                <w:rFonts w:hint="eastAsia" w:asciiTheme="minorEastAsia" w:hAnsiTheme="minorEastAsia" w:eastAsiaTheme="minorEastAsia" w:cstheme="minorEastAsia"/>
                <w:color w:val="auto"/>
                <w:sz w:val="22"/>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60" w:type="dxa"/>
          </w:tcPr>
          <w:p>
            <w:pPr>
              <w:spacing w:line="400" w:lineRule="exact"/>
              <w:jc w:val="center"/>
              <w:rPr>
                <w:rFonts w:hint="eastAsia" w:asciiTheme="minorEastAsia" w:hAnsiTheme="minorEastAsia" w:eastAsiaTheme="minorEastAsia" w:cstheme="minorEastAsia"/>
                <w:color w:val="auto"/>
                <w:sz w:val="22"/>
                <w:highlight w:val="none"/>
                <w:lang w:eastAsia="zh-CN"/>
              </w:rPr>
            </w:pPr>
            <w:r>
              <w:rPr>
                <w:rFonts w:hint="eastAsia" w:asciiTheme="minorEastAsia" w:hAnsiTheme="minorEastAsia" w:eastAsiaTheme="minorEastAsia" w:cstheme="minorEastAsia"/>
                <w:color w:val="auto"/>
                <w:sz w:val="22"/>
                <w:highlight w:val="none"/>
                <w:lang w:val="en-US" w:eastAsia="zh-CN"/>
              </w:rPr>
              <w:t>8</w:t>
            </w:r>
          </w:p>
        </w:tc>
        <w:tc>
          <w:tcPr>
            <w:tcW w:w="4454" w:type="dxa"/>
          </w:tcPr>
          <w:p>
            <w:pPr>
              <w:spacing w:line="400" w:lineRule="exact"/>
              <w:jc w:val="center"/>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（不动产）集体土地所有权登记管理模块部署培训维护</w:t>
            </w:r>
          </w:p>
        </w:tc>
        <w:tc>
          <w:tcPr>
            <w:tcW w:w="885" w:type="dxa"/>
            <w:vAlign w:val="center"/>
          </w:tcPr>
          <w:p>
            <w:pPr>
              <w:spacing w:line="400" w:lineRule="exact"/>
              <w:jc w:val="center"/>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次</w:t>
            </w:r>
          </w:p>
        </w:tc>
        <w:tc>
          <w:tcPr>
            <w:tcW w:w="953" w:type="dxa"/>
            <w:vAlign w:val="center"/>
          </w:tcPr>
          <w:p>
            <w:pPr>
              <w:spacing w:line="400" w:lineRule="exact"/>
              <w:jc w:val="center"/>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w:t>
            </w:r>
          </w:p>
        </w:tc>
        <w:tc>
          <w:tcPr>
            <w:tcW w:w="2205" w:type="dxa"/>
          </w:tcPr>
          <w:p>
            <w:pPr>
              <w:spacing w:line="400" w:lineRule="exact"/>
              <w:jc w:val="center"/>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5</w:t>
            </w:r>
          </w:p>
        </w:tc>
      </w:tr>
    </w:tbl>
    <w:p>
      <w:pPr>
        <w:numPr>
          <w:ilvl w:val="0"/>
          <w:numId w:val="4"/>
        </w:numPr>
        <w:spacing w:line="400" w:lineRule="exact"/>
        <w:ind w:firstLine="480"/>
        <w:rPr>
          <w:rFonts w:asciiTheme="minorEastAsia" w:hAnsiTheme="minorEastAsia" w:eastAsiaTheme="minorEastAsia" w:cstheme="minorEastAsia"/>
          <w:b/>
          <w:bCs/>
          <w:color w:val="auto"/>
          <w:sz w:val="22"/>
          <w:highlight w:val="none"/>
        </w:rPr>
      </w:pPr>
      <w:r>
        <w:rPr>
          <w:rFonts w:hint="eastAsia" w:asciiTheme="minorEastAsia" w:hAnsiTheme="minorEastAsia" w:eastAsiaTheme="minorEastAsia" w:cstheme="minorEastAsia"/>
          <w:b/>
          <w:bCs/>
          <w:color w:val="auto"/>
          <w:sz w:val="22"/>
          <w:highlight w:val="none"/>
        </w:rPr>
        <w:t>采购清单</w:t>
      </w:r>
    </w:p>
    <w:p>
      <w:pPr>
        <w:spacing w:line="400" w:lineRule="exact"/>
        <w:rPr>
          <w:rFonts w:hint="eastAsia" w:asciiTheme="minorEastAsia" w:hAnsiTheme="minorEastAsia" w:eastAsiaTheme="minorEastAsia" w:cstheme="minorEastAsia"/>
          <w:b/>
          <w:bCs/>
          <w:color w:val="auto"/>
          <w:sz w:val="22"/>
          <w:highlight w:val="none"/>
          <w:lang w:val="en-US" w:eastAsia="zh-CN"/>
        </w:rPr>
      </w:pPr>
      <w:r>
        <w:rPr>
          <w:rFonts w:hint="eastAsia" w:asciiTheme="minorEastAsia" w:hAnsiTheme="minorEastAsia" w:eastAsiaTheme="minorEastAsia" w:cstheme="minorEastAsia"/>
          <w:b/>
          <w:bCs/>
          <w:color w:val="auto"/>
          <w:sz w:val="22"/>
          <w:highlight w:val="none"/>
        </w:rPr>
        <w:t xml:space="preserve"> 三、工作依据</w:t>
      </w:r>
      <w:r>
        <w:rPr>
          <w:rFonts w:hint="eastAsia" w:asciiTheme="minorEastAsia" w:hAnsiTheme="minorEastAsia" w:eastAsiaTheme="minorEastAsia" w:cstheme="minorEastAsia"/>
          <w:b/>
          <w:bCs/>
          <w:color w:val="auto"/>
          <w:sz w:val="22"/>
          <w:highlight w:val="none"/>
          <w:lang w:val="en-US" w:eastAsia="zh-CN"/>
        </w:rPr>
        <w:t xml:space="preserve"> </w:t>
      </w:r>
    </w:p>
    <w:p>
      <w:pPr>
        <w:spacing w:line="400" w:lineRule="exact"/>
        <w:ind w:firstLine="220" w:firstLineChars="100"/>
        <w:rPr>
          <w:rFonts w:asciiTheme="minorEastAsia" w:hAnsiTheme="minorEastAsia" w:eastAsiaTheme="minorEastAsia" w:cstheme="minorEastAsia"/>
          <w:b/>
          <w:bCs/>
          <w:color w:val="auto"/>
          <w:sz w:val="22"/>
          <w:highlight w:val="none"/>
        </w:rPr>
      </w:pPr>
      <w:r>
        <w:rPr>
          <w:rFonts w:hint="eastAsia" w:asciiTheme="minorEastAsia" w:hAnsiTheme="minorEastAsia" w:eastAsiaTheme="minorEastAsia" w:cstheme="minorEastAsia"/>
          <w:color w:val="auto"/>
          <w:sz w:val="22"/>
          <w:highlight w:val="none"/>
          <w:lang w:val="en-US" w:eastAsia="zh-CN"/>
        </w:rPr>
        <w:t>1.</w:t>
      </w:r>
      <w:r>
        <w:rPr>
          <w:rFonts w:hint="eastAsia" w:asciiTheme="minorEastAsia" w:hAnsiTheme="minorEastAsia" w:eastAsiaTheme="minorEastAsia" w:cstheme="minorEastAsia"/>
          <w:color w:val="auto"/>
          <w:sz w:val="22"/>
          <w:highlight w:val="none"/>
        </w:rPr>
        <w:t>自然资源部《关于加快完成集体土地所有权确权登记成果更新汇交的通知》</w:t>
      </w:r>
    </w:p>
    <w:p>
      <w:pPr>
        <w:spacing w:line="400" w:lineRule="exact"/>
        <w:ind w:firstLine="220" w:firstLineChars="100"/>
        <w:rPr>
          <w:rFonts w:asciiTheme="minorEastAsia" w:hAnsiTheme="minorEastAsia" w:eastAsiaTheme="minorEastAsia" w:cstheme="minorEastAsia"/>
          <w:b/>
          <w:bCs/>
          <w:color w:val="auto"/>
          <w:sz w:val="22"/>
          <w:highlight w:val="none"/>
        </w:rPr>
      </w:pPr>
      <w:r>
        <w:rPr>
          <w:rFonts w:hint="eastAsia" w:asciiTheme="minorEastAsia" w:hAnsiTheme="minorEastAsia" w:eastAsiaTheme="minorEastAsia" w:cstheme="minorEastAsia"/>
          <w:color w:val="auto"/>
          <w:sz w:val="22"/>
          <w:highlight w:val="none"/>
        </w:rPr>
        <w:t>2</w:t>
      </w:r>
      <w:r>
        <w:rPr>
          <w:rFonts w:hint="eastAsia" w:asciiTheme="minorEastAsia" w:hAnsiTheme="minorEastAsia" w:eastAsiaTheme="minorEastAsia" w:cstheme="minorEastAsia"/>
          <w:color w:val="auto"/>
          <w:sz w:val="22"/>
          <w:highlight w:val="none"/>
          <w:lang w:eastAsia="zh-CN"/>
        </w:rPr>
        <w:t>.</w:t>
      </w:r>
      <w:r>
        <w:rPr>
          <w:rFonts w:hint="eastAsia" w:asciiTheme="minorEastAsia" w:hAnsiTheme="minorEastAsia" w:eastAsiaTheme="minorEastAsia" w:cstheme="minorEastAsia"/>
          <w:color w:val="auto"/>
          <w:sz w:val="22"/>
          <w:highlight w:val="none"/>
        </w:rPr>
        <w:t>浙自然资函〔2022〕25号+浙江省自然资源厅关于印发《浙江省集体土地所有权确权登记成果更新汇交工作实施方案》的通知</w:t>
      </w:r>
    </w:p>
    <w:p>
      <w:pPr>
        <w:spacing w:line="400" w:lineRule="exact"/>
        <w:ind w:firstLine="220" w:firstLineChars="1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3</w:t>
      </w:r>
      <w:r>
        <w:rPr>
          <w:rFonts w:hint="eastAsia" w:asciiTheme="minorEastAsia" w:hAnsiTheme="minorEastAsia" w:eastAsiaTheme="minorEastAsia" w:cstheme="minorEastAsia"/>
          <w:color w:val="auto"/>
          <w:sz w:val="22"/>
          <w:highlight w:val="none"/>
          <w:lang w:eastAsia="zh-CN"/>
        </w:rPr>
        <w:t>.</w:t>
      </w:r>
      <w:r>
        <w:rPr>
          <w:rFonts w:hint="eastAsia" w:asciiTheme="minorEastAsia" w:hAnsiTheme="minorEastAsia" w:eastAsiaTheme="minorEastAsia" w:cstheme="minorEastAsia"/>
          <w:color w:val="auto"/>
          <w:sz w:val="22"/>
          <w:highlight w:val="none"/>
        </w:rPr>
        <w:t>温资规发[2022]32号（关于印发温州市集体土地所有权确权登记成果更新汇交工作实施方案的通知）</w:t>
      </w:r>
    </w:p>
    <w:p>
      <w:pPr>
        <w:spacing w:line="400" w:lineRule="exact"/>
        <w:ind w:firstLine="220" w:firstLineChars="100"/>
        <w:rPr>
          <w:color w:val="auto"/>
          <w:highlight w:val="none"/>
        </w:rPr>
      </w:pPr>
      <w:r>
        <w:rPr>
          <w:rFonts w:hint="eastAsia" w:asciiTheme="minorEastAsia" w:hAnsiTheme="minorEastAsia" w:eastAsiaTheme="minorEastAsia" w:cstheme="minorEastAsia"/>
          <w:color w:val="auto"/>
          <w:sz w:val="22"/>
          <w:highlight w:val="none"/>
        </w:rPr>
        <w:t>4</w:t>
      </w:r>
      <w:r>
        <w:rPr>
          <w:rFonts w:hint="eastAsia" w:asciiTheme="minorEastAsia" w:hAnsiTheme="minorEastAsia" w:eastAsiaTheme="minorEastAsia" w:cstheme="minorEastAsia"/>
          <w:color w:val="auto"/>
          <w:sz w:val="22"/>
          <w:highlight w:val="none"/>
          <w:lang w:eastAsia="zh-CN"/>
        </w:rPr>
        <w:t>.</w:t>
      </w:r>
      <w:r>
        <w:rPr>
          <w:rFonts w:hint="eastAsia" w:asciiTheme="minorEastAsia" w:hAnsiTheme="minorEastAsia" w:eastAsiaTheme="minorEastAsia" w:cstheme="minorEastAsia"/>
          <w:color w:val="auto"/>
          <w:sz w:val="22"/>
          <w:highlight w:val="none"/>
        </w:rPr>
        <w:t>《关于印泰顺县集体土地所有权确权登记成果更新汇交工作实施方案的通知》</w:t>
      </w:r>
    </w:p>
    <w:p>
      <w:pPr>
        <w:spacing w:line="400" w:lineRule="exact"/>
        <w:ind w:firstLine="442" w:firstLineChars="200"/>
        <w:rPr>
          <w:rFonts w:asciiTheme="minorEastAsia" w:hAnsiTheme="minorEastAsia" w:eastAsiaTheme="minorEastAsia" w:cstheme="minorEastAsia"/>
          <w:b/>
          <w:bCs/>
          <w:color w:val="auto"/>
          <w:sz w:val="22"/>
          <w:highlight w:val="none"/>
        </w:rPr>
      </w:pPr>
      <w:r>
        <w:rPr>
          <w:rFonts w:hint="eastAsia" w:asciiTheme="minorEastAsia" w:hAnsiTheme="minorEastAsia" w:eastAsiaTheme="minorEastAsia" w:cstheme="minorEastAsia"/>
          <w:b/>
          <w:bCs/>
          <w:color w:val="auto"/>
          <w:sz w:val="22"/>
          <w:highlight w:val="none"/>
        </w:rPr>
        <w:t>四、工作内容</w:t>
      </w:r>
    </w:p>
    <w:p>
      <w:pPr>
        <w:spacing w:line="400" w:lineRule="exact"/>
        <w:ind w:firstLine="480"/>
        <w:rPr>
          <w:rFonts w:asciiTheme="minorEastAsia" w:hAnsiTheme="minorEastAsia" w:eastAsiaTheme="minorEastAsia" w:cstheme="minorEastAsia"/>
          <w:b/>
          <w:bCs/>
          <w:color w:val="auto"/>
          <w:sz w:val="22"/>
          <w:highlight w:val="none"/>
        </w:rPr>
      </w:pPr>
      <w:r>
        <w:rPr>
          <w:rFonts w:hint="eastAsia" w:asciiTheme="minorEastAsia" w:hAnsiTheme="minorEastAsia" w:eastAsiaTheme="minorEastAsia" w:cstheme="minorEastAsia"/>
          <w:b/>
          <w:bCs/>
          <w:color w:val="auto"/>
          <w:sz w:val="22"/>
          <w:highlight w:val="none"/>
        </w:rPr>
        <w:t>1.集体土地所有权确权登记成果整理入库</w:t>
      </w:r>
    </w:p>
    <w:p>
      <w:pPr>
        <w:widowControl/>
        <w:spacing w:line="400" w:lineRule="exact"/>
        <w:ind w:firstLine="48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在全面进行数据收集、数据分析的基础上，按照《不动产登记数据库标准》等技术规范要求，通过对现有集体土地所有权确权登记成果进行数据对照、数据标准化转换、数据质量检查、数据入库等工作，纳入不动产登记数据库，形成集体土地所有权地籍图。</w:t>
      </w:r>
    </w:p>
    <w:p>
      <w:pPr>
        <w:spacing w:line="400" w:lineRule="exact"/>
        <w:ind w:firstLine="480"/>
        <w:rPr>
          <w:rFonts w:asciiTheme="minorEastAsia" w:hAnsiTheme="minorEastAsia" w:eastAsiaTheme="minorEastAsia" w:cstheme="minorEastAsia"/>
          <w:b/>
          <w:bCs/>
          <w:color w:val="auto"/>
          <w:sz w:val="22"/>
          <w:highlight w:val="none"/>
        </w:rPr>
      </w:pPr>
      <w:r>
        <w:rPr>
          <w:rFonts w:hint="eastAsia" w:asciiTheme="minorEastAsia" w:hAnsiTheme="minorEastAsia" w:eastAsiaTheme="minorEastAsia" w:cstheme="minorEastAsia"/>
          <w:b/>
          <w:bCs/>
          <w:color w:val="auto"/>
          <w:sz w:val="22"/>
          <w:highlight w:val="none"/>
        </w:rPr>
        <w:t>2.集体土地所有权数据整合</w:t>
      </w:r>
    </w:p>
    <w:p>
      <w:pPr>
        <w:widowControl/>
        <w:spacing w:line="400" w:lineRule="exact"/>
        <w:ind w:firstLine="48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对于集体土地所有权的确权登记成果数据已建库的，要完成信息补充采集工作、数据清理工作、不动产单元代码编制工作、数据整合关联工作。不动产登记数据库要做好与同级国土空间基础信息平台和国土空间规划“一张图”关联、衔接。</w:t>
      </w:r>
    </w:p>
    <w:p>
      <w:pPr>
        <w:spacing w:line="400" w:lineRule="exact"/>
        <w:ind w:firstLine="480"/>
        <w:rPr>
          <w:rFonts w:asciiTheme="minorEastAsia" w:hAnsiTheme="minorEastAsia" w:eastAsiaTheme="minorEastAsia" w:cstheme="minorEastAsia"/>
          <w:b/>
          <w:bCs/>
          <w:color w:val="auto"/>
          <w:sz w:val="22"/>
          <w:highlight w:val="none"/>
        </w:rPr>
      </w:pPr>
      <w:r>
        <w:rPr>
          <w:rFonts w:hint="eastAsia" w:asciiTheme="minorEastAsia" w:hAnsiTheme="minorEastAsia" w:eastAsiaTheme="minorEastAsia" w:cstheme="minorEastAsia"/>
          <w:b/>
          <w:bCs/>
          <w:color w:val="auto"/>
          <w:sz w:val="22"/>
          <w:highlight w:val="none"/>
        </w:rPr>
        <w:t>3.（不动产）集体土地所有权登记管理模块部署培训维护</w:t>
      </w:r>
    </w:p>
    <w:p>
      <w:pPr>
        <w:widowControl/>
        <w:spacing w:line="400" w:lineRule="exact"/>
        <w:ind w:firstLine="48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根据市级统一部署，（不动产）集体土地所有权登记管理模块开发由市里统一开发，本次需完成（不动产）集体土地所有权登记管理模块的部署培训以及后期维护工作（3年），包含（不动产）集体土地所有权登记管理模块（权调）、（不动产）集体土地所有权登记管理模块（登记）、（不动产）集体土地所有权登记管理模块（档案）、（不动产）集体土地所有权登记管理模块（汇交监管）；</w:t>
      </w:r>
    </w:p>
    <w:p>
      <w:pPr>
        <w:spacing w:line="400" w:lineRule="exact"/>
        <w:ind w:firstLine="480"/>
        <w:rPr>
          <w:rFonts w:asciiTheme="minorEastAsia" w:hAnsiTheme="minorEastAsia" w:eastAsiaTheme="minorEastAsia" w:cstheme="minorEastAsia"/>
          <w:b/>
          <w:bCs/>
          <w:color w:val="auto"/>
          <w:sz w:val="22"/>
          <w:highlight w:val="none"/>
        </w:rPr>
      </w:pPr>
      <w:r>
        <w:rPr>
          <w:rFonts w:hint="eastAsia" w:asciiTheme="minorEastAsia" w:hAnsiTheme="minorEastAsia" w:eastAsiaTheme="minorEastAsia" w:cstheme="minorEastAsia"/>
          <w:b/>
          <w:bCs/>
          <w:color w:val="auto"/>
          <w:sz w:val="22"/>
          <w:highlight w:val="none"/>
        </w:rPr>
        <w:t>4.集中更新集体土地所有权确权登记成果</w:t>
      </w:r>
    </w:p>
    <w:p>
      <w:pPr>
        <w:widowControl/>
        <w:spacing w:line="400" w:lineRule="exact"/>
        <w:ind w:firstLine="48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通过内外业结合的方式，采集集体土地所有权数据并形成标准化成果，实现对未办理相应注销、变更等登记手续，未及时更新登记成果等增量数据的更新。</w:t>
      </w:r>
    </w:p>
    <w:p>
      <w:pPr>
        <w:widowControl/>
        <w:spacing w:line="400" w:lineRule="exact"/>
        <w:ind w:firstLine="48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对于因征收导致全部或部分集体土地所有权消灭的，因农民集体因互换、土地调整等原因导致集体土地所有权转移的，因农民集体合并或撤销、行政区划调整等导致集体土地所有权、农民集体名称或代码发生变化的，以及因测绘精度等原因造成集体土地与国有土地、其他集体土地所有权重叠的四大类所有权发生变化的，须在本次建设中做好数据的集中更新。</w:t>
      </w:r>
    </w:p>
    <w:p>
      <w:pPr>
        <w:spacing w:line="400" w:lineRule="exact"/>
        <w:ind w:firstLine="480"/>
        <w:rPr>
          <w:rFonts w:asciiTheme="minorEastAsia" w:hAnsiTheme="minorEastAsia" w:eastAsiaTheme="minorEastAsia" w:cstheme="minorEastAsia"/>
          <w:b/>
          <w:bCs/>
          <w:color w:val="auto"/>
          <w:sz w:val="22"/>
          <w:highlight w:val="none"/>
        </w:rPr>
      </w:pPr>
      <w:r>
        <w:rPr>
          <w:rFonts w:hint="eastAsia" w:asciiTheme="minorEastAsia" w:hAnsiTheme="minorEastAsia" w:eastAsiaTheme="minorEastAsia" w:cstheme="minorEastAsia"/>
          <w:b/>
          <w:bCs/>
          <w:color w:val="auto"/>
          <w:sz w:val="22"/>
          <w:highlight w:val="none"/>
        </w:rPr>
        <w:t>5.配合登记发证</w:t>
      </w:r>
    </w:p>
    <w:p>
      <w:pPr>
        <w:pStyle w:val="38"/>
        <w:spacing w:before="156" w:line="400" w:lineRule="exact"/>
        <w:rPr>
          <w:rFonts w:asciiTheme="minorEastAsia" w:hAnsiTheme="minorEastAsia" w:eastAsiaTheme="minorEastAsia" w:cstheme="minorEastAsia"/>
          <w:color w:val="auto"/>
          <w:kern w:val="2"/>
          <w:sz w:val="22"/>
          <w:highlight w:val="none"/>
        </w:rPr>
      </w:pPr>
      <w:r>
        <w:rPr>
          <w:rFonts w:hint="eastAsia" w:asciiTheme="minorEastAsia" w:hAnsiTheme="minorEastAsia" w:eastAsiaTheme="minorEastAsia" w:cstheme="minorEastAsia"/>
          <w:color w:val="auto"/>
          <w:kern w:val="2"/>
          <w:sz w:val="22"/>
          <w:highlight w:val="none"/>
        </w:rPr>
        <w:t>对于权属发生变化的部分，需补充土地权属界线协议书等相关材料，对接修改后，完成权属审核和确权登记发证工作。因地类图斑调整的宗地不重新编制协议书和公示图。由村民组农民集体经济组织(或村民小组)及其法定代表人或委托人提出登记申请，依据《土地管理法》、《不动产登记暂行条例》、《不动产登记实施细则》等相关法律法规，配合政府部门将农村集体土地所有权确认到每个具有所有权的农民集体，具备发证条件的颁发所有权证书。</w:t>
      </w:r>
    </w:p>
    <w:p>
      <w:pPr>
        <w:spacing w:line="400" w:lineRule="exact"/>
        <w:ind w:firstLine="480"/>
        <w:rPr>
          <w:rFonts w:asciiTheme="minorEastAsia" w:hAnsiTheme="minorEastAsia" w:eastAsiaTheme="minorEastAsia" w:cstheme="minorEastAsia"/>
          <w:b/>
          <w:bCs/>
          <w:color w:val="auto"/>
          <w:sz w:val="22"/>
          <w:highlight w:val="none"/>
        </w:rPr>
      </w:pPr>
      <w:r>
        <w:rPr>
          <w:rFonts w:hint="eastAsia" w:asciiTheme="minorEastAsia" w:hAnsiTheme="minorEastAsia" w:eastAsiaTheme="minorEastAsia" w:cstheme="minorEastAsia"/>
          <w:b/>
          <w:bCs/>
          <w:color w:val="auto"/>
          <w:sz w:val="22"/>
          <w:highlight w:val="none"/>
        </w:rPr>
        <w:t>6.完成登记档案归档及数字化工作</w:t>
      </w:r>
    </w:p>
    <w:p>
      <w:pPr>
        <w:pStyle w:val="38"/>
        <w:spacing w:before="156" w:line="400" w:lineRule="exact"/>
        <w:rPr>
          <w:rFonts w:asciiTheme="minorEastAsia" w:hAnsiTheme="minorEastAsia" w:eastAsiaTheme="minorEastAsia" w:cstheme="minorEastAsia"/>
          <w:color w:val="auto"/>
          <w:kern w:val="2"/>
          <w:sz w:val="22"/>
          <w:highlight w:val="none"/>
        </w:rPr>
      </w:pPr>
      <w:r>
        <w:rPr>
          <w:rFonts w:hint="eastAsia" w:asciiTheme="minorEastAsia" w:hAnsiTheme="minorEastAsia" w:eastAsiaTheme="minorEastAsia" w:cstheme="minorEastAsia"/>
          <w:color w:val="auto"/>
          <w:kern w:val="2"/>
          <w:sz w:val="22"/>
          <w:highlight w:val="none"/>
        </w:rPr>
        <w:t>对前期工作中形成的各类纸质档案（含登记档案）进行整理、打印和粘贴条码，包括填写立卷信息；敲页码；填写并打印封面、卷内目录、备考表、打孔和装订等，完成档案资料归档工作。根据采购方档案管理及数字化档案相关要求进行归档及数字化，建立规范化纸质及数字档案成果库。</w:t>
      </w:r>
    </w:p>
    <w:p>
      <w:pPr>
        <w:spacing w:line="400" w:lineRule="exact"/>
        <w:ind w:firstLine="480"/>
        <w:rPr>
          <w:rFonts w:asciiTheme="minorEastAsia" w:hAnsiTheme="minorEastAsia" w:eastAsiaTheme="minorEastAsia" w:cstheme="minorEastAsia"/>
          <w:b/>
          <w:bCs/>
          <w:color w:val="auto"/>
          <w:sz w:val="22"/>
          <w:highlight w:val="none"/>
        </w:rPr>
      </w:pPr>
      <w:r>
        <w:rPr>
          <w:rFonts w:hint="eastAsia" w:asciiTheme="minorEastAsia" w:hAnsiTheme="minorEastAsia" w:eastAsiaTheme="minorEastAsia" w:cstheme="minorEastAsia"/>
          <w:b/>
          <w:bCs/>
          <w:color w:val="auto"/>
          <w:sz w:val="22"/>
          <w:highlight w:val="none"/>
        </w:rPr>
        <w:t>7.统一汇交集体土地所有权确权登记成果</w:t>
      </w:r>
    </w:p>
    <w:p>
      <w:pPr>
        <w:widowControl/>
        <w:spacing w:line="400" w:lineRule="exact"/>
        <w:ind w:firstLine="48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要求以县级为单位，实现集体土地所有权确权登记成果和地籍图更新数据的逐一汇交上报。</w:t>
      </w:r>
    </w:p>
    <w:p>
      <w:pPr>
        <w:spacing w:line="400" w:lineRule="exact"/>
        <w:ind w:firstLine="480"/>
        <w:rPr>
          <w:rFonts w:asciiTheme="minorEastAsia" w:hAnsiTheme="minorEastAsia" w:eastAsiaTheme="minorEastAsia" w:cstheme="minorEastAsia"/>
          <w:b/>
          <w:bCs/>
          <w:color w:val="auto"/>
          <w:sz w:val="22"/>
          <w:highlight w:val="none"/>
        </w:rPr>
      </w:pPr>
      <w:bookmarkStart w:id="8" w:name="_Toc19424"/>
      <w:bookmarkStart w:id="9" w:name="_Toc99470326"/>
      <w:r>
        <w:rPr>
          <w:rFonts w:hint="eastAsia" w:asciiTheme="minorEastAsia" w:hAnsiTheme="minorEastAsia" w:eastAsiaTheme="minorEastAsia" w:cstheme="minorEastAsia"/>
          <w:b/>
          <w:bCs/>
          <w:color w:val="auto"/>
          <w:sz w:val="22"/>
          <w:highlight w:val="none"/>
        </w:rPr>
        <w:t>8.工作依据</w:t>
      </w:r>
      <w:bookmarkEnd w:id="8"/>
      <w:bookmarkEnd w:id="9"/>
    </w:p>
    <w:p>
      <w:pPr>
        <w:spacing w:line="400" w:lineRule="exact"/>
        <w:ind w:firstLine="480"/>
        <w:rPr>
          <w:rFonts w:asciiTheme="minorEastAsia" w:hAnsiTheme="minorEastAsia" w:eastAsiaTheme="minorEastAsia" w:cstheme="minorEastAsia"/>
          <w:b/>
          <w:bCs/>
          <w:color w:val="auto"/>
          <w:sz w:val="22"/>
          <w:highlight w:val="none"/>
        </w:rPr>
      </w:pPr>
      <w:r>
        <w:rPr>
          <w:rFonts w:hint="eastAsia" w:asciiTheme="minorEastAsia" w:hAnsiTheme="minorEastAsia" w:eastAsiaTheme="minorEastAsia" w:cstheme="minorEastAsia"/>
          <w:b/>
          <w:bCs/>
          <w:color w:val="auto"/>
          <w:sz w:val="22"/>
          <w:highlight w:val="none"/>
        </w:rPr>
        <w:t>（1）法规和政策文件</w:t>
      </w:r>
    </w:p>
    <w:p>
      <w:pPr>
        <w:widowControl/>
        <w:spacing w:line="400" w:lineRule="exact"/>
        <w:ind w:firstLine="480"/>
        <w:jc w:val="left"/>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1）《不动产登记暂行条例》（国务院令第656号）；</w:t>
      </w:r>
    </w:p>
    <w:p>
      <w:pPr>
        <w:widowControl/>
        <w:spacing w:line="400" w:lineRule="exact"/>
        <w:ind w:firstLine="480"/>
        <w:jc w:val="left"/>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2）《土地管理法实施条例》(国务院令第743号)；</w:t>
      </w:r>
    </w:p>
    <w:p>
      <w:pPr>
        <w:widowControl/>
        <w:spacing w:line="400" w:lineRule="exact"/>
        <w:ind w:firstLine="480"/>
        <w:jc w:val="left"/>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3）《土地权属争议调查处理办法》(国土资源部令第17号)；</w:t>
      </w:r>
    </w:p>
    <w:p>
      <w:pPr>
        <w:widowControl/>
        <w:spacing w:line="400" w:lineRule="exact"/>
        <w:ind w:firstLine="480"/>
        <w:jc w:val="left"/>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4）《不动产登记暂行条例实施细则》(国土资源部令第63号)；</w:t>
      </w:r>
    </w:p>
    <w:p>
      <w:pPr>
        <w:widowControl/>
        <w:spacing w:line="400" w:lineRule="exact"/>
        <w:ind w:firstLine="480"/>
        <w:jc w:val="left"/>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5）《国土资源部 财政部 农业部关于加快推进农村集体土地确权登记发证工作的通知》(国土资发〔2011〕60号)；</w:t>
      </w:r>
    </w:p>
    <w:p>
      <w:pPr>
        <w:widowControl/>
        <w:spacing w:line="400" w:lineRule="exact"/>
        <w:ind w:firstLine="480"/>
        <w:jc w:val="left"/>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6）《国土资源部 中央农村工作领导小组办公室 财政部 农业部关于农村集体土地确权登记发证的若干意见》（国土资发〔2011〕178号）。</w:t>
      </w:r>
    </w:p>
    <w:p>
      <w:pPr>
        <w:spacing w:line="400" w:lineRule="exact"/>
        <w:ind w:firstLine="480"/>
        <w:rPr>
          <w:rFonts w:asciiTheme="minorEastAsia" w:hAnsiTheme="minorEastAsia" w:eastAsiaTheme="minorEastAsia" w:cstheme="minorEastAsia"/>
          <w:b/>
          <w:bCs/>
          <w:color w:val="auto"/>
          <w:sz w:val="22"/>
          <w:highlight w:val="none"/>
        </w:rPr>
      </w:pPr>
      <w:r>
        <w:rPr>
          <w:rFonts w:hint="eastAsia" w:asciiTheme="minorEastAsia" w:hAnsiTheme="minorEastAsia" w:eastAsiaTheme="minorEastAsia" w:cstheme="minorEastAsia"/>
          <w:b/>
          <w:bCs/>
          <w:color w:val="auto"/>
          <w:sz w:val="22"/>
          <w:highlight w:val="none"/>
        </w:rPr>
        <w:t>（2）技术标准规范</w:t>
      </w:r>
    </w:p>
    <w:p>
      <w:pPr>
        <w:widowControl/>
        <w:spacing w:line="400" w:lineRule="exact"/>
        <w:ind w:firstLine="480"/>
        <w:jc w:val="left"/>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1）《不动产登记数据库标准》（TD/T 1066—2021）；</w:t>
      </w:r>
    </w:p>
    <w:p>
      <w:pPr>
        <w:widowControl/>
        <w:spacing w:line="400" w:lineRule="exact"/>
        <w:ind w:firstLine="480"/>
        <w:jc w:val="left"/>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2）《不动产登记数据整合建库技术规范》（TD/T 1067—2021）；</w:t>
      </w:r>
    </w:p>
    <w:p>
      <w:pPr>
        <w:widowControl/>
        <w:spacing w:line="400" w:lineRule="exact"/>
        <w:ind w:firstLine="480"/>
        <w:jc w:val="left"/>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3）《不动产登记存量数据成果汇交规范（2021年修订版）》；</w:t>
      </w:r>
    </w:p>
    <w:p>
      <w:pPr>
        <w:widowControl/>
        <w:spacing w:line="400" w:lineRule="exact"/>
        <w:ind w:firstLine="480"/>
        <w:jc w:val="left"/>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4）《不动产登记信息管理基础平台接入技术规范（2021年修订版）》；</w:t>
      </w:r>
    </w:p>
    <w:p>
      <w:pPr>
        <w:widowControl/>
        <w:spacing w:line="400" w:lineRule="exact"/>
        <w:ind w:firstLine="480"/>
        <w:jc w:val="left"/>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5）《地籍调查规程》（TD/T 1001—2012）；</w:t>
      </w:r>
    </w:p>
    <w:p>
      <w:pPr>
        <w:widowControl/>
        <w:spacing w:line="400" w:lineRule="exact"/>
        <w:ind w:firstLine="480"/>
        <w:jc w:val="left"/>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6）《不动产单元设定与代码编制规则》（GB/T 37346—2019）等。</w:t>
      </w:r>
    </w:p>
    <w:p>
      <w:pPr>
        <w:spacing w:line="400" w:lineRule="exact"/>
        <w:ind w:firstLine="480"/>
        <w:rPr>
          <w:rFonts w:asciiTheme="minorEastAsia" w:hAnsiTheme="minorEastAsia" w:eastAsiaTheme="minorEastAsia" w:cstheme="minorEastAsia"/>
          <w:b/>
          <w:bCs/>
          <w:color w:val="auto"/>
          <w:sz w:val="22"/>
          <w:highlight w:val="none"/>
        </w:rPr>
      </w:pPr>
      <w:bookmarkStart w:id="10" w:name="_Toc4007"/>
      <w:bookmarkStart w:id="11" w:name="_Toc99470327"/>
      <w:r>
        <w:rPr>
          <w:rFonts w:hint="eastAsia" w:asciiTheme="minorEastAsia" w:hAnsiTheme="minorEastAsia" w:eastAsiaTheme="minorEastAsia" w:cstheme="minorEastAsia"/>
          <w:b/>
          <w:bCs/>
          <w:color w:val="auto"/>
          <w:sz w:val="22"/>
          <w:highlight w:val="none"/>
        </w:rPr>
        <w:t>9.工作原则</w:t>
      </w:r>
      <w:bookmarkEnd w:id="10"/>
      <w:bookmarkEnd w:id="11"/>
    </w:p>
    <w:p>
      <w:pPr>
        <w:widowControl/>
        <w:spacing w:line="400" w:lineRule="exact"/>
        <w:ind w:firstLine="48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齐全完整：对原农村集体土地所有权确权登记数据进行检查整理，明确需要纳入不动产数据库的具体数量，确保数据的完整性。</w:t>
      </w:r>
    </w:p>
    <w:p>
      <w:pPr>
        <w:widowControl/>
        <w:spacing w:line="400" w:lineRule="exact"/>
        <w:ind w:firstLine="48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准确可靠：农村集体土地所有权确权登记数据的整理应完全还原原来的登记结果，不动产登记所需的必填字段内容缺失的，可根据原始纸质登记资料进行补录，确保登记信息真实准确。整理后的成果数据必须通过质检。</w:t>
      </w:r>
    </w:p>
    <w:p>
      <w:pPr>
        <w:widowControl/>
        <w:spacing w:line="400" w:lineRule="exact"/>
        <w:ind w:firstLine="48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格式统一：集体土地所有权的各类空间数据、属性数据等成果，必须按照规定的数据格式、组织目录进行存储。不动产登记信息系统能够识别并读取集体土地所有权成果数据。</w:t>
      </w:r>
    </w:p>
    <w:p>
      <w:pPr>
        <w:widowControl/>
        <w:spacing w:line="400" w:lineRule="exact"/>
        <w:ind w:firstLine="48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内容规范：农村集体土地所有权确权登记更新成果必须符合现行的不动产登记法律、法规以及规范的要求</w:t>
      </w:r>
    </w:p>
    <w:p>
      <w:pPr>
        <w:spacing w:line="400" w:lineRule="exact"/>
        <w:ind w:firstLine="480"/>
        <w:rPr>
          <w:rFonts w:asciiTheme="minorEastAsia" w:hAnsiTheme="minorEastAsia" w:eastAsiaTheme="minorEastAsia" w:cstheme="minorEastAsia"/>
          <w:b/>
          <w:bCs/>
          <w:color w:val="auto"/>
          <w:sz w:val="22"/>
          <w:highlight w:val="none"/>
        </w:rPr>
      </w:pPr>
      <w:r>
        <w:rPr>
          <w:rFonts w:hint="eastAsia" w:asciiTheme="minorEastAsia" w:hAnsiTheme="minorEastAsia" w:eastAsiaTheme="minorEastAsia" w:cstheme="minorEastAsia"/>
          <w:b/>
          <w:bCs/>
          <w:color w:val="auto"/>
          <w:sz w:val="22"/>
          <w:highlight w:val="none"/>
        </w:rPr>
        <w:t>10.技术指标</w:t>
      </w:r>
    </w:p>
    <w:p>
      <w:pPr>
        <w:widowControl/>
        <w:spacing w:line="400" w:lineRule="exact"/>
        <w:ind w:firstLine="48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（1）数学基础</w:t>
      </w:r>
    </w:p>
    <w:p>
      <w:pPr>
        <w:widowControl/>
        <w:spacing w:line="400" w:lineRule="exact"/>
        <w:ind w:firstLine="48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采用 2000 国家大地坐标系，1985 国家高程基准。</w:t>
      </w:r>
    </w:p>
    <w:p>
      <w:pPr>
        <w:widowControl/>
        <w:spacing w:line="400" w:lineRule="exact"/>
        <w:ind w:firstLine="48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（2）投影方式</w:t>
      </w:r>
    </w:p>
    <w:p>
      <w:pPr>
        <w:widowControl/>
        <w:spacing w:line="400" w:lineRule="exact"/>
        <w:ind w:firstLine="48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采用高斯-克吕格投影，按 3°分带。</w:t>
      </w:r>
    </w:p>
    <w:p>
      <w:pPr>
        <w:widowControl/>
        <w:spacing w:line="400" w:lineRule="exact"/>
        <w:ind w:firstLine="48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（3）数据库标准</w:t>
      </w:r>
    </w:p>
    <w:p>
      <w:pPr>
        <w:widowControl/>
        <w:spacing w:line="400" w:lineRule="exact"/>
        <w:ind w:firstLine="48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采用《不动产登记数据库标准》（试行）。</w:t>
      </w:r>
    </w:p>
    <w:p>
      <w:pPr>
        <w:spacing w:line="400" w:lineRule="exact"/>
        <w:ind w:firstLine="480"/>
        <w:rPr>
          <w:rFonts w:asciiTheme="minorEastAsia" w:hAnsiTheme="minorEastAsia" w:eastAsiaTheme="minorEastAsia" w:cstheme="minorEastAsia"/>
          <w:b/>
          <w:bCs/>
          <w:color w:val="auto"/>
          <w:sz w:val="22"/>
          <w:highlight w:val="none"/>
        </w:rPr>
      </w:pPr>
      <w:r>
        <w:rPr>
          <w:rFonts w:hint="eastAsia" w:asciiTheme="minorEastAsia" w:hAnsiTheme="minorEastAsia" w:eastAsiaTheme="minorEastAsia" w:cstheme="minorEastAsia"/>
          <w:b/>
          <w:bCs/>
          <w:color w:val="auto"/>
          <w:sz w:val="22"/>
          <w:highlight w:val="none"/>
        </w:rPr>
        <w:t>11.实施工期</w:t>
      </w:r>
    </w:p>
    <w:tbl>
      <w:tblPr>
        <w:tblStyle w:val="24"/>
        <w:tblW w:w="9050" w:type="dxa"/>
        <w:jc w:val="center"/>
        <w:tblLayout w:type="fixed"/>
        <w:tblCellMar>
          <w:top w:w="0" w:type="dxa"/>
          <w:left w:w="108" w:type="dxa"/>
          <w:bottom w:w="0" w:type="dxa"/>
          <w:right w:w="108" w:type="dxa"/>
        </w:tblCellMar>
      </w:tblPr>
      <w:tblGrid>
        <w:gridCol w:w="1084"/>
        <w:gridCol w:w="1800"/>
        <w:gridCol w:w="6166"/>
      </w:tblGrid>
      <w:tr>
        <w:tblPrEx>
          <w:tblCellMar>
            <w:top w:w="0" w:type="dxa"/>
            <w:left w:w="108" w:type="dxa"/>
            <w:bottom w:w="0" w:type="dxa"/>
            <w:right w:w="108" w:type="dxa"/>
          </w:tblCellMar>
        </w:tblPrEx>
        <w:trPr>
          <w:trHeight w:val="400" w:hRule="atLeast"/>
          <w:jc w:val="center"/>
        </w:trPr>
        <w:tc>
          <w:tcPr>
            <w:tcW w:w="1084"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ind w:firstLine="220" w:firstLineChars="100"/>
              <w:jc w:val="left"/>
              <w:textAlignment w:val="center"/>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kern w:val="0"/>
                <w:sz w:val="22"/>
                <w:highlight w:val="none"/>
                <w:lang w:bidi="ar"/>
              </w:rPr>
              <w:t>序号</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ind w:firstLine="220" w:firstLineChars="100"/>
              <w:textAlignment w:val="center"/>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kern w:val="0"/>
                <w:sz w:val="22"/>
                <w:highlight w:val="none"/>
                <w:lang w:bidi="ar"/>
              </w:rPr>
              <w:t>完成时间</w:t>
            </w:r>
          </w:p>
        </w:tc>
        <w:tc>
          <w:tcPr>
            <w:tcW w:w="6166"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ind w:firstLine="480"/>
              <w:jc w:val="center"/>
              <w:textAlignment w:val="center"/>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kern w:val="0"/>
                <w:sz w:val="22"/>
                <w:highlight w:val="none"/>
                <w:lang w:bidi="ar"/>
              </w:rPr>
              <w:t>完成内容</w:t>
            </w:r>
          </w:p>
        </w:tc>
      </w:tr>
      <w:tr>
        <w:tblPrEx>
          <w:tblCellMar>
            <w:top w:w="0" w:type="dxa"/>
            <w:left w:w="108" w:type="dxa"/>
            <w:bottom w:w="0" w:type="dxa"/>
            <w:right w:w="108" w:type="dxa"/>
          </w:tblCellMar>
        </w:tblPrEx>
        <w:trPr>
          <w:trHeight w:val="400" w:hRule="atLeast"/>
          <w:jc w:val="center"/>
        </w:trPr>
        <w:tc>
          <w:tcPr>
            <w:tcW w:w="1084"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ind w:firstLine="440"/>
              <w:jc w:val="left"/>
              <w:textAlignment w:val="center"/>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kern w:val="0"/>
                <w:sz w:val="22"/>
                <w:highlight w:val="none"/>
                <w:lang w:bidi="ar"/>
              </w:rPr>
              <w:t>1</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ind w:firstLine="220" w:firstLineChars="100"/>
              <w:textAlignment w:val="center"/>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kern w:val="0"/>
                <w:sz w:val="22"/>
                <w:highlight w:val="none"/>
                <w:lang w:bidi="ar"/>
              </w:rPr>
              <w:t>2022年8月</w:t>
            </w:r>
          </w:p>
        </w:tc>
        <w:tc>
          <w:tcPr>
            <w:tcW w:w="6166"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left"/>
              <w:textAlignment w:val="center"/>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kern w:val="0"/>
                <w:sz w:val="22"/>
                <w:highlight w:val="none"/>
                <w:lang w:bidi="ar"/>
              </w:rPr>
              <w:t>收集资料制定工作方案，开展集体土地所有权确权登记成果整理与分析，集体土地所有权确权登记成果按不动产有关汇交要求整合入库</w:t>
            </w:r>
          </w:p>
        </w:tc>
      </w:tr>
      <w:tr>
        <w:tblPrEx>
          <w:tblCellMar>
            <w:top w:w="0" w:type="dxa"/>
            <w:left w:w="108" w:type="dxa"/>
            <w:bottom w:w="0" w:type="dxa"/>
            <w:right w:w="108" w:type="dxa"/>
          </w:tblCellMar>
        </w:tblPrEx>
        <w:trPr>
          <w:trHeight w:val="825" w:hRule="atLeast"/>
          <w:jc w:val="center"/>
        </w:trPr>
        <w:tc>
          <w:tcPr>
            <w:tcW w:w="1084"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ind w:firstLine="440"/>
              <w:jc w:val="left"/>
              <w:textAlignment w:val="center"/>
              <w:rPr>
                <w:rFonts w:hint="eastAsia" w:asciiTheme="minorEastAsia" w:hAnsiTheme="minorEastAsia" w:eastAsiaTheme="minorEastAsia" w:cstheme="minorEastAsia"/>
                <w:color w:val="auto"/>
                <w:kern w:val="0"/>
                <w:sz w:val="22"/>
                <w:highlight w:val="none"/>
                <w:lang w:val="en-US" w:eastAsia="zh-CN" w:bidi="ar"/>
              </w:rPr>
            </w:pPr>
            <w:r>
              <w:rPr>
                <w:rFonts w:hint="eastAsia" w:asciiTheme="minorEastAsia" w:hAnsiTheme="minorEastAsia" w:eastAsiaTheme="minorEastAsia" w:cstheme="minorEastAsia"/>
                <w:color w:val="auto"/>
                <w:kern w:val="0"/>
                <w:sz w:val="22"/>
                <w:highlight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textAlignment w:val="center"/>
              <w:rPr>
                <w:rFonts w:hint="default" w:asciiTheme="minorEastAsia" w:hAnsiTheme="minorEastAsia" w:eastAsiaTheme="minorEastAsia" w:cstheme="minorEastAsia"/>
                <w:color w:val="auto"/>
                <w:kern w:val="0"/>
                <w:sz w:val="22"/>
                <w:highlight w:val="none"/>
                <w:lang w:val="en-US" w:eastAsia="zh-CN" w:bidi="ar"/>
              </w:rPr>
            </w:pPr>
            <w:r>
              <w:rPr>
                <w:rFonts w:hint="eastAsia" w:asciiTheme="minorEastAsia" w:hAnsiTheme="minorEastAsia" w:eastAsiaTheme="minorEastAsia" w:cstheme="minorEastAsia"/>
                <w:color w:val="auto"/>
                <w:kern w:val="0"/>
                <w:sz w:val="22"/>
                <w:highlight w:val="none"/>
                <w:lang w:val="en-US" w:eastAsia="zh-CN" w:bidi="ar"/>
              </w:rPr>
              <w:t>2022年9-10月</w:t>
            </w:r>
          </w:p>
        </w:tc>
        <w:tc>
          <w:tcPr>
            <w:tcW w:w="6166"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left"/>
              <w:textAlignment w:val="center"/>
              <w:rPr>
                <w:rFonts w:hint="eastAsia" w:asciiTheme="minorEastAsia" w:hAnsiTheme="minorEastAsia" w:eastAsiaTheme="minorEastAsia" w:cstheme="minorEastAsia"/>
                <w:color w:val="auto"/>
                <w:kern w:val="0"/>
                <w:sz w:val="22"/>
                <w:highlight w:val="none"/>
                <w:lang w:eastAsia="zh-CN" w:bidi="ar"/>
              </w:rPr>
            </w:pPr>
            <w:r>
              <w:rPr>
                <w:rFonts w:hint="eastAsia" w:asciiTheme="minorEastAsia" w:hAnsiTheme="minorEastAsia" w:eastAsiaTheme="minorEastAsia" w:cstheme="minorEastAsia"/>
                <w:color w:val="auto"/>
                <w:sz w:val="22"/>
                <w:highlight w:val="none"/>
                <w:lang w:val="en-US" w:eastAsia="zh-CN"/>
              </w:rPr>
              <w:t>工作底图制作</w:t>
            </w:r>
            <w:r>
              <w:rPr>
                <w:rFonts w:hint="eastAsia" w:asciiTheme="minorEastAsia" w:hAnsiTheme="minorEastAsia" w:eastAsiaTheme="minorEastAsia" w:cstheme="minorEastAsia"/>
                <w:color w:val="auto"/>
                <w:sz w:val="22"/>
                <w:highlight w:val="none"/>
              </w:rPr>
              <w:t>补充外业测量调查</w:t>
            </w:r>
            <w:r>
              <w:rPr>
                <w:rFonts w:hint="eastAsia" w:asciiTheme="minorEastAsia" w:hAnsiTheme="minorEastAsia" w:eastAsiaTheme="minorEastAsia" w:cstheme="minorEastAsia"/>
                <w:color w:val="auto"/>
                <w:sz w:val="22"/>
                <w:highlight w:val="none"/>
                <w:lang w:eastAsia="zh-CN"/>
              </w:rPr>
              <w:t>，</w:t>
            </w:r>
            <w:r>
              <w:rPr>
                <w:rFonts w:hint="eastAsia" w:asciiTheme="minorEastAsia" w:hAnsiTheme="minorEastAsia" w:eastAsiaTheme="minorEastAsia" w:cstheme="minorEastAsia"/>
                <w:color w:val="auto"/>
                <w:sz w:val="22"/>
                <w:highlight w:val="none"/>
              </w:rPr>
              <w:t>完成信息补充采集工作、数据清理工作、不动产单元代码编制工作、数据整合关联工作</w:t>
            </w:r>
          </w:p>
        </w:tc>
      </w:tr>
      <w:tr>
        <w:tblPrEx>
          <w:tblCellMar>
            <w:top w:w="0" w:type="dxa"/>
            <w:left w:w="108" w:type="dxa"/>
            <w:bottom w:w="0" w:type="dxa"/>
            <w:right w:w="108" w:type="dxa"/>
          </w:tblCellMar>
        </w:tblPrEx>
        <w:trPr>
          <w:trHeight w:val="400" w:hRule="atLeast"/>
          <w:jc w:val="center"/>
        </w:trPr>
        <w:tc>
          <w:tcPr>
            <w:tcW w:w="1084"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ind w:firstLine="440"/>
              <w:jc w:val="left"/>
              <w:textAlignment w:val="center"/>
              <w:rPr>
                <w:rFonts w:hint="eastAsia" w:asciiTheme="minorEastAsia" w:hAnsiTheme="minorEastAsia" w:eastAsiaTheme="minorEastAsia" w:cstheme="minorEastAsia"/>
                <w:color w:val="auto"/>
                <w:sz w:val="22"/>
                <w:highlight w:val="none"/>
                <w:lang w:eastAsia="zh-CN"/>
              </w:rPr>
            </w:pPr>
            <w:r>
              <w:rPr>
                <w:rFonts w:hint="eastAsia" w:asciiTheme="minorEastAsia" w:hAnsiTheme="minorEastAsia" w:eastAsiaTheme="minorEastAsia" w:cstheme="minorEastAsia"/>
                <w:color w:val="auto"/>
                <w:kern w:val="0"/>
                <w:sz w:val="22"/>
                <w:highlight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ind w:firstLine="220" w:firstLineChars="100"/>
              <w:textAlignment w:val="center"/>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kern w:val="0"/>
                <w:sz w:val="22"/>
                <w:highlight w:val="none"/>
                <w:lang w:bidi="ar"/>
              </w:rPr>
              <w:t>2022年11月</w:t>
            </w:r>
          </w:p>
        </w:tc>
        <w:tc>
          <w:tcPr>
            <w:tcW w:w="6166"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left"/>
              <w:textAlignment w:val="center"/>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kern w:val="0"/>
                <w:sz w:val="22"/>
                <w:highlight w:val="none"/>
                <w:lang w:bidi="ar"/>
              </w:rPr>
              <w:t>开展集体土地所有权确权登记成果更新，完成更新转换成果县级自检与上报</w:t>
            </w:r>
          </w:p>
        </w:tc>
      </w:tr>
      <w:tr>
        <w:tblPrEx>
          <w:tblCellMar>
            <w:top w:w="0" w:type="dxa"/>
            <w:left w:w="108" w:type="dxa"/>
            <w:bottom w:w="0" w:type="dxa"/>
            <w:right w:w="108" w:type="dxa"/>
          </w:tblCellMar>
        </w:tblPrEx>
        <w:trPr>
          <w:trHeight w:val="400" w:hRule="atLeast"/>
          <w:jc w:val="center"/>
        </w:trPr>
        <w:tc>
          <w:tcPr>
            <w:tcW w:w="1084"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ind w:firstLine="440"/>
              <w:jc w:val="left"/>
              <w:textAlignment w:val="center"/>
              <w:rPr>
                <w:rFonts w:hint="eastAsia" w:asciiTheme="minorEastAsia" w:hAnsiTheme="minorEastAsia" w:eastAsiaTheme="minorEastAsia" w:cstheme="minorEastAsia"/>
                <w:color w:val="auto"/>
                <w:sz w:val="22"/>
                <w:highlight w:val="none"/>
                <w:lang w:eastAsia="zh-CN"/>
              </w:rPr>
            </w:pPr>
            <w:r>
              <w:rPr>
                <w:rFonts w:hint="eastAsia" w:asciiTheme="minorEastAsia" w:hAnsiTheme="minorEastAsia" w:eastAsiaTheme="minorEastAsia" w:cstheme="minorEastAsia"/>
                <w:color w:val="auto"/>
                <w:kern w:val="0"/>
                <w:sz w:val="22"/>
                <w:highlight w:val="none"/>
                <w:lang w:val="en-US" w:eastAsia="zh-CN" w:bidi="ar"/>
              </w:rPr>
              <w:t>4</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ind w:firstLine="220" w:firstLineChars="100"/>
              <w:textAlignment w:val="center"/>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kern w:val="0"/>
                <w:sz w:val="22"/>
                <w:highlight w:val="none"/>
                <w:lang w:bidi="ar"/>
              </w:rPr>
              <w:t>2023年1月</w:t>
            </w:r>
          </w:p>
        </w:tc>
        <w:tc>
          <w:tcPr>
            <w:tcW w:w="61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kern w:val="0"/>
                <w:sz w:val="22"/>
                <w:highlight w:val="none"/>
                <w:lang w:bidi="ar"/>
              </w:rPr>
              <w:t>更新成果市级质检及上报</w:t>
            </w:r>
          </w:p>
        </w:tc>
      </w:tr>
      <w:tr>
        <w:tblPrEx>
          <w:tblCellMar>
            <w:top w:w="0" w:type="dxa"/>
            <w:left w:w="108" w:type="dxa"/>
            <w:bottom w:w="0" w:type="dxa"/>
            <w:right w:w="108" w:type="dxa"/>
          </w:tblCellMar>
        </w:tblPrEx>
        <w:trPr>
          <w:trHeight w:val="400" w:hRule="atLeast"/>
          <w:jc w:val="center"/>
        </w:trPr>
        <w:tc>
          <w:tcPr>
            <w:tcW w:w="1084"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ind w:firstLine="440"/>
              <w:jc w:val="left"/>
              <w:textAlignment w:val="center"/>
              <w:rPr>
                <w:rFonts w:hint="eastAsia" w:asciiTheme="minorEastAsia" w:hAnsiTheme="minorEastAsia" w:eastAsiaTheme="minorEastAsia" w:cstheme="minorEastAsia"/>
                <w:color w:val="auto"/>
                <w:sz w:val="22"/>
                <w:highlight w:val="none"/>
                <w:lang w:eastAsia="zh-CN"/>
              </w:rPr>
            </w:pPr>
            <w:r>
              <w:rPr>
                <w:rFonts w:hint="eastAsia" w:asciiTheme="minorEastAsia" w:hAnsiTheme="minorEastAsia" w:eastAsiaTheme="minorEastAsia" w:cstheme="minorEastAsia"/>
                <w:color w:val="auto"/>
                <w:kern w:val="0"/>
                <w:sz w:val="22"/>
                <w:highlight w:val="none"/>
                <w:lang w:val="en-US" w:eastAsia="zh-CN" w:bidi="ar"/>
              </w:rPr>
              <w:t>5</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ind w:firstLine="220" w:firstLineChars="100"/>
              <w:textAlignment w:val="center"/>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kern w:val="0"/>
                <w:sz w:val="22"/>
                <w:highlight w:val="none"/>
                <w:lang w:bidi="ar"/>
              </w:rPr>
              <w:t>2023年8月</w:t>
            </w:r>
          </w:p>
        </w:tc>
        <w:tc>
          <w:tcPr>
            <w:tcW w:w="6166"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left"/>
              <w:textAlignment w:val="center"/>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kern w:val="0"/>
                <w:sz w:val="22"/>
                <w:highlight w:val="none"/>
                <w:lang w:bidi="ar"/>
              </w:rPr>
              <w:t>按要求报部汇交</w:t>
            </w:r>
          </w:p>
        </w:tc>
      </w:tr>
      <w:tr>
        <w:tblPrEx>
          <w:tblCellMar>
            <w:top w:w="0" w:type="dxa"/>
            <w:left w:w="108" w:type="dxa"/>
            <w:bottom w:w="0" w:type="dxa"/>
            <w:right w:w="108" w:type="dxa"/>
          </w:tblCellMar>
        </w:tblPrEx>
        <w:trPr>
          <w:trHeight w:val="400" w:hRule="atLeast"/>
          <w:jc w:val="center"/>
        </w:trPr>
        <w:tc>
          <w:tcPr>
            <w:tcW w:w="1084"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ind w:firstLine="440"/>
              <w:jc w:val="left"/>
              <w:textAlignment w:val="center"/>
              <w:rPr>
                <w:rFonts w:hint="eastAsia" w:asciiTheme="minorEastAsia" w:hAnsiTheme="minorEastAsia" w:eastAsiaTheme="minorEastAsia" w:cstheme="minorEastAsia"/>
                <w:color w:val="auto"/>
                <w:sz w:val="22"/>
                <w:highlight w:val="none"/>
                <w:lang w:eastAsia="zh-CN"/>
              </w:rPr>
            </w:pPr>
            <w:r>
              <w:rPr>
                <w:rFonts w:hint="eastAsia" w:asciiTheme="minorEastAsia" w:hAnsiTheme="minorEastAsia" w:eastAsiaTheme="minorEastAsia" w:cstheme="minorEastAsia"/>
                <w:color w:val="auto"/>
                <w:kern w:val="0"/>
                <w:sz w:val="22"/>
                <w:highlight w:val="none"/>
                <w:lang w:val="en-US" w:eastAsia="zh-CN" w:bidi="ar"/>
              </w:rPr>
              <w:t>6</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ind w:firstLine="220" w:firstLineChars="100"/>
              <w:textAlignment w:val="center"/>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kern w:val="0"/>
                <w:sz w:val="22"/>
                <w:highlight w:val="none"/>
                <w:lang w:bidi="ar"/>
              </w:rPr>
              <w:t>2023年12月</w:t>
            </w:r>
          </w:p>
        </w:tc>
        <w:tc>
          <w:tcPr>
            <w:tcW w:w="6166"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left"/>
              <w:textAlignment w:val="center"/>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kern w:val="0"/>
                <w:sz w:val="22"/>
                <w:highlight w:val="none"/>
                <w:lang w:bidi="ar"/>
              </w:rPr>
              <w:t>依据部质检结果进行整改完善，直至成果报部质检通过</w:t>
            </w:r>
          </w:p>
        </w:tc>
      </w:tr>
    </w:tbl>
    <w:p>
      <w:pPr>
        <w:spacing w:line="400" w:lineRule="exact"/>
        <w:ind w:firstLine="480"/>
        <w:rPr>
          <w:rFonts w:asciiTheme="minorEastAsia" w:hAnsiTheme="minorEastAsia" w:eastAsiaTheme="minorEastAsia" w:cstheme="minorEastAsia"/>
          <w:b/>
          <w:bCs/>
          <w:color w:val="auto"/>
          <w:sz w:val="22"/>
          <w:highlight w:val="none"/>
        </w:rPr>
      </w:pPr>
      <w:r>
        <w:rPr>
          <w:rFonts w:hint="eastAsia" w:asciiTheme="minorEastAsia" w:hAnsiTheme="minorEastAsia" w:eastAsiaTheme="minorEastAsia" w:cstheme="minorEastAsia"/>
          <w:b/>
          <w:bCs/>
          <w:color w:val="auto"/>
          <w:sz w:val="22"/>
          <w:highlight w:val="none"/>
        </w:rPr>
        <w:t>12.提交成果</w:t>
      </w:r>
    </w:p>
    <w:p>
      <w:pPr>
        <w:widowControl/>
        <w:spacing w:line="400" w:lineRule="exact"/>
        <w:ind w:firstLine="48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成果主要有数据库成果、文档成果和元数据成果。</w:t>
      </w:r>
    </w:p>
    <w:p>
      <w:pPr>
        <w:widowControl/>
        <w:spacing w:line="400" w:lineRule="exact"/>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（1）数据库成果</w:t>
      </w:r>
    </w:p>
    <w:p>
      <w:pPr>
        <w:pStyle w:val="38"/>
        <w:spacing w:before="156" w:line="400" w:lineRule="exact"/>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农村集体土地所有权确权登记成果更新数据库</w:t>
      </w:r>
    </w:p>
    <w:p>
      <w:pPr>
        <w:widowControl/>
        <w:spacing w:line="400" w:lineRule="exact"/>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（2）文档成果</w:t>
      </w:r>
    </w:p>
    <w:p>
      <w:pPr>
        <w:widowControl/>
        <w:spacing w:line="400" w:lineRule="exact"/>
        <w:ind w:firstLine="48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1）农村集体土地所有权确权登记成果更新工作方案</w:t>
      </w:r>
    </w:p>
    <w:p>
      <w:pPr>
        <w:widowControl/>
        <w:spacing w:line="400" w:lineRule="exact"/>
        <w:ind w:firstLine="48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2）农村集体土地所有权确权登记成果更新工作报告</w:t>
      </w:r>
    </w:p>
    <w:p>
      <w:pPr>
        <w:widowControl/>
        <w:spacing w:line="400" w:lineRule="exact"/>
        <w:ind w:firstLine="48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3）农村集体土地所有权确权登记成果更新技术报告</w:t>
      </w:r>
    </w:p>
    <w:p>
      <w:pPr>
        <w:widowControl/>
        <w:spacing w:line="400" w:lineRule="exact"/>
        <w:ind w:firstLine="48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4）农村集体土地所有权确权登记成果更新数据库建设报告</w:t>
      </w:r>
    </w:p>
    <w:p>
      <w:pPr>
        <w:widowControl/>
        <w:spacing w:line="400" w:lineRule="exact"/>
        <w:ind w:firstLine="48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5）农村集体土地所有权确权登记成果更新质量检查报告</w:t>
      </w:r>
    </w:p>
    <w:p>
      <w:pPr>
        <w:widowControl/>
        <w:spacing w:line="400" w:lineRule="exact"/>
        <w:ind w:firstLine="48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6）其他相关文档。</w:t>
      </w:r>
    </w:p>
    <w:p>
      <w:pPr>
        <w:widowControl/>
        <w:spacing w:line="400" w:lineRule="exact"/>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（3）元数据成果</w:t>
      </w:r>
    </w:p>
    <w:p>
      <w:pPr>
        <w:widowControl/>
        <w:spacing w:line="400" w:lineRule="exact"/>
        <w:ind w:firstLine="48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农村集体土地所有权确权登记成果更新元数据信息，采用XML格式。</w:t>
      </w:r>
    </w:p>
    <w:p>
      <w:pPr>
        <w:spacing w:line="400" w:lineRule="exact"/>
        <w:ind w:firstLine="480"/>
        <w:rPr>
          <w:rFonts w:asciiTheme="minorEastAsia" w:hAnsiTheme="minorEastAsia" w:eastAsiaTheme="minorEastAsia" w:cstheme="minorEastAsia"/>
          <w:b/>
          <w:bCs/>
          <w:color w:val="auto"/>
          <w:sz w:val="22"/>
          <w:highlight w:val="none"/>
        </w:rPr>
      </w:pPr>
      <w:r>
        <w:rPr>
          <w:rFonts w:hint="eastAsia" w:asciiTheme="minorEastAsia" w:hAnsiTheme="minorEastAsia" w:eastAsiaTheme="minorEastAsia" w:cstheme="minorEastAsia"/>
          <w:b/>
          <w:bCs/>
          <w:color w:val="auto"/>
          <w:sz w:val="22"/>
          <w:highlight w:val="none"/>
        </w:rPr>
        <w:t>13.质保期及售后服务</w:t>
      </w:r>
    </w:p>
    <w:p>
      <w:pPr>
        <w:pStyle w:val="7"/>
        <w:spacing w:line="400" w:lineRule="exact"/>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(1)质保期：项目完工后，自项目验收合格之日起不少于1年的质保期。</w:t>
      </w:r>
    </w:p>
    <w:p>
      <w:pPr>
        <w:pStyle w:val="7"/>
        <w:spacing w:line="400" w:lineRule="exact"/>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(2)质保期内中标供应商须按照招标采购单位要求提供技术支持等服务。</w:t>
      </w:r>
    </w:p>
    <w:p>
      <w:pPr>
        <w:pStyle w:val="7"/>
        <w:spacing w:line="400" w:lineRule="exact"/>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(3)响应时间要求：提供7×24小时电话技术咨询支持，在收到用户通知后，30分钟内须响应，须在8小时内到达现场。</w:t>
      </w:r>
    </w:p>
    <w:p>
      <w:pPr>
        <w:pStyle w:val="7"/>
        <w:spacing w:line="400" w:lineRule="exact"/>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(4)问题解决时间要求：一般问题在8小时内解决，严重问题要求及时提出招标采购单位可接受的解决方案和服务承诺。</w:t>
      </w:r>
    </w:p>
    <w:p>
      <w:pPr>
        <w:spacing w:line="400" w:lineRule="exact"/>
        <w:ind w:firstLine="480"/>
        <w:rPr>
          <w:rFonts w:asciiTheme="minorEastAsia" w:hAnsiTheme="minorEastAsia" w:eastAsiaTheme="minorEastAsia" w:cstheme="minorEastAsia"/>
          <w:b/>
          <w:bCs/>
          <w:color w:val="auto"/>
          <w:sz w:val="22"/>
          <w:highlight w:val="none"/>
        </w:rPr>
      </w:pPr>
      <w:r>
        <w:rPr>
          <w:rFonts w:hint="eastAsia" w:asciiTheme="minorEastAsia" w:hAnsiTheme="minorEastAsia" w:eastAsiaTheme="minorEastAsia" w:cstheme="minorEastAsia"/>
          <w:b/>
          <w:bCs/>
          <w:color w:val="auto"/>
          <w:sz w:val="22"/>
          <w:highlight w:val="none"/>
        </w:rPr>
        <w:t>14.其他</w:t>
      </w:r>
    </w:p>
    <w:p>
      <w:pPr>
        <w:spacing w:line="40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项目过程保密及数据保密：在项目实施过程中和系统运行过程中（包括合同解除、终止后），中标方必须对采购人提供的任何数据及文档有保密的责任和义务。不得以任何理由留存，不得转让和使用本项目的成果。否则，中标单位应承担由此产生的一切法律和经济责任。在投标书中应对该项内容提交书面承诺书，作为签订项目保密合同的依据，并作为合同密不可分的一部分。</w:t>
      </w:r>
    </w:p>
    <w:p>
      <w:pPr>
        <w:spacing w:line="380" w:lineRule="exact"/>
        <w:ind w:firstLine="440" w:firstLineChars="200"/>
        <w:rPr>
          <w:rFonts w:ascii="宋体" w:hAnsi="宋体" w:cs="宋体"/>
          <w:color w:val="auto"/>
          <w:sz w:val="22"/>
          <w:highlight w:val="none"/>
        </w:rPr>
      </w:pPr>
      <w:r>
        <w:rPr>
          <w:rFonts w:hint="eastAsia" w:asciiTheme="minorEastAsia" w:hAnsiTheme="minorEastAsia" w:eastAsiaTheme="minorEastAsia" w:cstheme="minorEastAsia"/>
          <w:color w:val="auto"/>
          <w:sz w:val="22"/>
          <w:highlight w:val="none"/>
        </w:rPr>
        <w:t>（2）</w:t>
      </w:r>
      <w:r>
        <w:rPr>
          <w:rFonts w:hint="eastAsia" w:ascii="宋体" w:hAnsi="宋体" w:cs="宋体"/>
          <w:color w:val="auto"/>
          <w:sz w:val="22"/>
          <w:highlight w:val="none"/>
        </w:rPr>
        <w:t>严格遵守《中华人民共和国档案法》、《保密法》保密规定及相关规章制度。档案整理和加工工作须在采购人指定的场所内进行，确保档案数据的安全。</w:t>
      </w:r>
    </w:p>
    <w:p>
      <w:pPr>
        <w:spacing w:line="38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不得损毁，丢失档案，如有违反，将依法追究法律责任。中标方应与采购人签订保密协议，应做到：</w:t>
      </w:r>
    </w:p>
    <w:p>
      <w:pPr>
        <w:pStyle w:val="44"/>
        <w:spacing w:line="380" w:lineRule="exact"/>
        <w:ind w:left="480" w:firstLine="0" w:firstLineChars="0"/>
        <w:rPr>
          <w:rFonts w:ascii="宋体" w:hAnsi="宋体" w:cs="宋体"/>
          <w:color w:val="auto"/>
          <w:sz w:val="22"/>
          <w:highlight w:val="none"/>
        </w:rPr>
      </w:pPr>
      <w:r>
        <w:rPr>
          <w:rFonts w:hint="eastAsia" w:ascii="宋体" w:hAnsi="宋体" w:cs="宋体"/>
          <w:color w:val="auto"/>
          <w:sz w:val="22"/>
          <w:highlight w:val="none"/>
        </w:rPr>
        <w:t>强化人员管理，所有人员持证上岗，并填写个人简历（附身份证复印件）交采购人</w:t>
      </w:r>
    </w:p>
    <w:p>
      <w:pPr>
        <w:pStyle w:val="44"/>
        <w:spacing w:line="380" w:lineRule="exact"/>
        <w:ind w:firstLine="0" w:firstLineChars="0"/>
        <w:rPr>
          <w:rFonts w:ascii="宋体" w:hAnsi="宋体" w:cs="宋体"/>
          <w:color w:val="auto"/>
          <w:sz w:val="22"/>
          <w:highlight w:val="none"/>
        </w:rPr>
      </w:pPr>
      <w:r>
        <w:rPr>
          <w:rFonts w:hint="eastAsia" w:ascii="宋体" w:hAnsi="宋体" w:cs="宋体"/>
          <w:color w:val="auto"/>
          <w:sz w:val="22"/>
          <w:highlight w:val="none"/>
        </w:rPr>
        <w:t>审核保存，如有人员变动，应及时通知采购人。</w:t>
      </w:r>
    </w:p>
    <w:p>
      <w:pPr>
        <w:pStyle w:val="44"/>
        <w:spacing w:line="380" w:lineRule="exact"/>
        <w:ind w:left="480" w:firstLine="0" w:firstLineChars="0"/>
        <w:rPr>
          <w:rFonts w:ascii="宋体" w:hAnsi="宋体" w:cs="宋体"/>
          <w:color w:val="auto"/>
          <w:sz w:val="22"/>
          <w:highlight w:val="none"/>
        </w:rPr>
      </w:pPr>
      <w:r>
        <w:rPr>
          <w:rFonts w:hint="eastAsia" w:ascii="宋体" w:hAnsi="宋体" w:cs="宋体"/>
          <w:color w:val="auto"/>
          <w:sz w:val="22"/>
          <w:highlight w:val="none"/>
        </w:rPr>
        <w:t>建立严格的保密制度，落实相关安全措施，加强管理，杜绝工作人员对档案及档案</w:t>
      </w:r>
    </w:p>
    <w:p>
      <w:pPr>
        <w:pStyle w:val="44"/>
        <w:spacing w:line="380" w:lineRule="exact"/>
        <w:ind w:firstLine="0" w:firstLineChars="0"/>
        <w:rPr>
          <w:rFonts w:ascii="宋体" w:hAnsi="宋体" w:cs="宋体"/>
          <w:color w:val="auto"/>
          <w:sz w:val="22"/>
          <w:highlight w:val="none"/>
        </w:rPr>
      </w:pPr>
      <w:r>
        <w:rPr>
          <w:rFonts w:hint="eastAsia" w:ascii="宋体" w:hAnsi="宋体" w:cs="宋体"/>
          <w:color w:val="auto"/>
          <w:sz w:val="22"/>
          <w:highlight w:val="none"/>
        </w:rPr>
        <w:t>信息的私自复制行为。与项目工作人员签订保密协议，加强对工作人员的安全保密教育。</w:t>
      </w:r>
    </w:p>
    <w:p>
      <w:pPr>
        <w:pStyle w:val="44"/>
        <w:spacing w:line="380" w:lineRule="exact"/>
        <w:ind w:left="480" w:firstLine="0" w:firstLineChars="0"/>
        <w:rPr>
          <w:rFonts w:ascii="宋体" w:hAnsi="宋体" w:cs="宋体"/>
          <w:color w:val="auto"/>
          <w:sz w:val="22"/>
          <w:highlight w:val="none"/>
        </w:rPr>
      </w:pPr>
      <w:r>
        <w:rPr>
          <w:rFonts w:hint="eastAsia" w:ascii="宋体" w:hAnsi="宋体" w:cs="宋体"/>
          <w:color w:val="auto"/>
          <w:sz w:val="22"/>
          <w:highlight w:val="none"/>
        </w:rPr>
        <w:t>不同的工序之间要采取严格措施，杜绝泄密事故的发生。在档案整理过程中，投标</w:t>
      </w:r>
    </w:p>
    <w:p>
      <w:pPr>
        <w:pStyle w:val="44"/>
        <w:spacing w:line="380" w:lineRule="exact"/>
        <w:ind w:firstLine="0" w:firstLineChars="0"/>
        <w:rPr>
          <w:rFonts w:ascii="宋体" w:hAnsi="宋体" w:cs="宋体"/>
          <w:color w:val="auto"/>
          <w:sz w:val="22"/>
          <w:highlight w:val="none"/>
        </w:rPr>
      </w:pPr>
      <w:r>
        <w:rPr>
          <w:rFonts w:hint="eastAsia" w:ascii="宋体" w:hAnsi="宋体" w:cs="宋体"/>
          <w:color w:val="auto"/>
          <w:sz w:val="22"/>
          <w:highlight w:val="none"/>
        </w:rPr>
        <w:t>人不能丢失、损毁档案，档案资料不能放错卷、盒。由于投标人过错导致档案资料及数据损毁或泄密的，投标人承担一切责任。</w:t>
      </w:r>
    </w:p>
    <w:p>
      <w:pPr>
        <w:pStyle w:val="44"/>
        <w:spacing w:line="380" w:lineRule="exact"/>
        <w:ind w:left="480" w:firstLine="0" w:firstLineChars="0"/>
        <w:rPr>
          <w:rFonts w:ascii="宋体" w:hAnsi="宋体" w:cs="宋体"/>
          <w:color w:val="auto"/>
          <w:sz w:val="22"/>
          <w:highlight w:val="none"/>
        </w:rPr>
      </w:pPr>
      <w:r>
        <w:rPr>
          <w:rFonts w:hint="eastAsia" w:ascii="宋体" w:hAnsi="宋体" w:cs="宋体"/>
          <w:color w:val="auto"/>
          <w:sz w:val="22"/>
          <w:highlight w:val="none"/>
        </w:rPr>
        <w:t>扫描加工场地需配备必要设施，确保档案原件和档案信息的安全和保密。在工作场</w:t>
      </w:r>
    </w:p>
    <w:p>
      <w:pPr>
        <w:pStyle w:val="44"/>
        <w:spacing w:line="380" w:lineRule="exact"/>
        <w:ind w:firstLine="0" w:firstLineChars="0"/>
        <w:rPr>
          <w:rFonts w:ascii="宋体" w:hAnsi="宋体" w:cs="宋体"/>
          <w:color w:val="auto"/>
          <w:sz w:val="22"/>
          <w:highlight w:val="none"/>
        </w:rPr>
      </w:pPr>
      <w:r>
        <w:rPr>
          <w:rFonts w:hint="eastAsia" w:ascii="宋体" w:hAnsi="宋体" w:cs="宋体"/>
          <w:color w:val="auto"/>
          <w:sz w:val="22"/>
          <w:highlight w:val="none"/>
        </w:rPr>
        <w:t>所建立监控系统，实时监控工作人员的操作过程，统一记录保存。</w:t>
      </w:r>
    </w:p>
    <w:p>
      <w:pPr>
        <w:pStyle w:val="44"/>
        <w:spacing w:line="380" w:lineRule="exact"/>
        <w:ind w:left="480" w:firstLine="0" w:firstLineChars="0"/>
        <w:rPr>
          <w:rFonts w:ascii="宋体" w:hAnsi="宋体" w:cs="宋体"/>
          <w:color w:val="auto"/>
          <w:sz w:val="22"/>
          <w:highlight w:val="none"/>
        </w:rPr>
      </w:pPr>
      <w:r>
        <w:rPr>
          <w:rFonts w:hint="eastAsia" w:ascii="宋体" w:hAnsi="宋体" w:cs="宋体"/>
          <w:color w:val="auto"/>
          <w:sz w:val="22"/>
          <w:highlight w:val="none"/>
        </w:rPr>
        <w:t>分批验收进行数据移交时，工作站上保存加工数据的硬盘必须拆除交采购人处理。</w:t>
      </w:r>
    </w:p>
    <w:p>
      <w:pPr>
        <w:pStyle w:val="44"/>
        <w:spacing w:line="380" w:lineRule="exact"/>
        <w:ind w:left="480" w:firstLine="0" w:firstLineChars="0"/>
        <w:rPr>
          <w:rFonts w:ascii="宋体" w:hAnsi="宋体" w:cs="宋体"/>
          <w:color w:val="auto"/>
          <w:sz w:val="22"/>
          <w:highlight w:val="none"/>
        </w:rPr>
      </w:pPr>
      <w:r>
        <w:rPr>
          <w:rFonts w:hint="eastAsia" w:ascii="宋体" w:hAnsi="宋体" w:cs="宋体"/>
          <w:color w:val="auto"/>
          <w:sz w:val="22"/>
          <w:highlight w:val="none"/>
        </w:rPr>
        <w:t>工作场所禁止出现与工作无关的任何电子设备，如手提电脑、手机、mp3、mp4及</w:t>
      </w:r>
    </w:p>
    <w:p>
      <w:pPr>
        <w:pStyle w:val="44"/>
        <w:spacing w:line="380" w:lineRule="exact"/>
        <w:ind w:left="440" w:hanging="440" w:hangingChars="200"/>
        <w:rPr>
          <w:rFonts w:ascii="宋体" w:hAnsi="宋体" w:cs="宋体"/>
          <w:color w:val="auto"/>
          <w:sz w:val="22"/>
          <w:highlight w:val="none"/>
        </w:rPr>
      </w:pPr>
      <w:r>
        <w:rPr>
          <w:rFonts w:hint="eastAsia" w:ascii="宋体" w:hAnsi="宋体" w:cs="宋体"/>
          <w:color w:val="auto"/>
          <w:sz w:val="22"/>
          <w:highlight w:val="none"/>
        </w:rPr>
        <w:t>移动存储介质等。</w:t>
      </w:r>
    </w:p>
    <w:p>
      <w:pPr>
        <w:pStyle w:val="44"/>
        <w:spacing w:line="380" w:lineRule="exact"/>
        <w:ind w:left="440" w:hanging="440" w:hanging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（3）版权与保密。本项目所有数据的版权属采购人所有，未经同意，中标方不得</w:t>
      </w:r>
    </w:p>
    <w:p>
      <w:pPr>
        <w:pStyle w:val="44"/>
        <w:spacing w:line="380" w:lineRule="exact"/>
        <w:ind w:left="440" w:hanging="440" w:hanging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自行删除、复制、修改、转移数据，亦不得以任何形式向第三方提供；采购人提供的任</w:t>
      </w:r>
    </w:p>
    <w:p>
      <w:pPr>
        <w:pStyle w:val="44"/>
        <w:spacing w:line="380" w:lineRule="exact"/>
        <w:ind w:left="440" w:hanging="440" w:hanging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何业务资料，中标方需认真保管、严格保密，并在使用完毕后及时归还。</w:t>
      </w:r>
    </w:p>
    <w:p>
      <w:pPr>
        <w:spacing w:line="40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（4）保密期限：永久。</w:t>
      </w:r>
    </w:p>
    <w:p>
      <w:pPr>
        <w:snapToGrid w:val="0"/>
        <w:spacing w:line="40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五、验收</w:t>
      </w:r>
    </w:p>
    <w:p>
      <w:pPr>
        <w:tabs>
          <w:tab w:val="left" w:pos="1069"/>
        </w:tabs>
        <w:snapToGrid w:val="0"/>
        <w:spacing w:line="400" w:lineRule="exact"/>
        <w:ind w:firstLine="541" w:firstLineChars="246"/>
        <w:rPr>
          <w:rFonts w:ascii="宋体" w:hAnsi="宋体"/>
          <w:color w:val="auto"/>
          <w:sz w:val="22"/>
          <w:highlight w:val="none"/>
        </w:rPr>
      </w:pPr>
      <w:r>
        <w:rPr>
          <w:rFonts w:hint="eastAsia" w:ascii="宋体" w:hAnsi="宋体"/>
          <w:color w:val="auto"/>
          <w:sz w:val="22"/>
          <w:highlight w:val="none"/>
        </w:rPr>
        <w:t>1.验收按有关的规定、规范进行。</w:t>
      </w:r>
    </w:p>
    <w:p>
      <w:pPr>
        <w:tabs>
          <w:tab w:val="left" w:pos="1069"/>
        </w:tabs>
        <w:snapToGrid w:val="0"/>
        <w:spacing w:line="400" w:lineRule="exact"/>
        <w:ind w:firstLine="541" w:firstLineChars="246"/>
        <w:rPr>
          <w:rFonts w:ascii="宋体" w:hAnsi="宋体"/>
          <w:color w:val="auto"/>
          <w:sz w:val="22"/>
          <w:highlight w:val="none"/>
        </w:rPr>
      </w:pPr>
      <w:r>
        <w:rPr>
          <w:rFonts w:hint="eastAsia" w:ascii="宋体" w:hAnsi="宋体"/>
          <w:color w:val="auto"/>
          <w:sz w:val="22"/>
          <w:highlight w:val="none"/>
        </w:rPr>
        <w:t>2.验收标准：按省市县文件规范要求。</w:t>
      </w:r>
    </w:p>
    <w:p>
      <w:pPr>
        <w:tabs>
          <w:tab w:val="left" w:pos="1069"/>
        </w:tabs>
        <w:snapToGrid w:val="0"/>
        <w:spacing w:line="400" w:lineRule="exact"/>
        <w:ind w:firstLine="541" w:firstLineChars="246"/>
        <w:rPr>
          <w:rFonts w:hAnsi="宋体" w:cs="宋体"/>
          <w:b/>
          <w:color w:val="auto"/>
          <w:sz w:val="22"/>
          <w:highlight w:val="none"/>
        </w:rPr>
      </w:pPr>
      <w:r>
        <w:rPr>
          <w:rFonts w:hint="eastAsia" w:ascii="宋体" w:hAnsi="宋体"/>
          <w:color w:val="auto"/>
          <w:sz w:val="22"/>
          <w:highlight w:val="none"/>
        </w:rPr>
        <w:t>3.验收所需（含专家评审费用）费用由中标方承担</w:t>
      </w:r>
      <w:r>
        <w:rPr>
          <w:rFonts w:hint="eastAsia" w:hAnsi="宋体" w:cs="宋体"/>
          <w:bCs/>
          <w:color w:val="auto"/>
          <w:sz w:val="22"/>
          <w:highlight w:val="none"/>
        </w:rPr>
        <w:t>。</w:t>
      </w:r>
    </w:p>
    <w:p>
      <w:pPr>
        <w:snapToGrid w:val="0"/>
        <w:spacing w:line="40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六、履约保证金</w:t>
      </w:r>
    </w:p>
    <w:p>
      <w:pPr>
        <w:autoSpaceDE w:val="0"/>
        <w:autoSpaceDN w:val="0"/>
        <w:adjustRightInd w:val="0"/>
        <w:snapToGrid w:val="0"/>
        <w:spacing w:line="400" w:lineRule="exact"/>
        <w:ind w:firstLine="440" w:firstLineChars="200"/>
        <w:textAlignment w:val="bottom"/>
        <w:rPr>
          <w:color w:val="auto"/>
          <w:highlight w:val="none"/>
        </w:rPr>
      </w:pPr>
      <w:r>
        <w:rPr>
          <w:rFonts w:hint="eastAsia" w:ascii="宋体" w:hAnsi="宋体" w:cs="宋体"/>
          <w:color w:val="auto"/>
          <w:sz w:val="22"/>
          <w:highlight w:val="none"/>
        </w:rPr>
        <w:t>合同签订前，中标方须提供合同金额1%的履约保证金至采购人账户（以转账或者金融机构、担保机构出具的保函等非现金形式提交）。</w:t>
      </w:r>
    </w:p>
    <w:p>
      <w:pPr>
        <w:snapToGrid w:val="0"/>
        <w:spacing w:line="40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七、付款方式</w:t>
      </w:r>
    </w:p>
    <w:bookmarkEnd w:id="6"/>
    <w:p>
      <w:pPr>
        <w:tabs>
          <w:tab w:val="left" w:pos="1069"/>
          <w:tab w:val="left" w:pos="2352"/>
        </w:tabs>
        <w:spacing w:line="440" w:lineRule="atLeast"/>
        <w:ind w:firstLine="440" w:firstLineChars="200"/>
        <w:jc w:val="left"/>
        <w:rPr>
          <w:rFonts w:ascii="宋体" w:hAnsi="宋体" w:cs="宋体"/>
          <w:color w:val="auto"/>
          <w:sz w:val="22"/>
          <w:highlight w:val="none"/>
        </w:rPr>
      </w:pPr>
      <w:r>
        <w:rPr>
          <w:rFonts w:hint="eastAsia" w:ascii="宋体" w:hAnsi="宋体" w:cs="宋体"/>
          <w:bCs/>
          <w:color w:val="auto"/>
          <w:sz w:val="22"/>
          <w:highlight w:val="none"/>
        </w:rPr>
        <w:t>根据《保障中小企业款项支付条例》、省财政厅《关于坚决打赢疫情防控阻击战进一步做</w:t>
      </w:r>
      <w:r>
        <w:rPr>
          <w:rFonts w:hint="eastAsia" w:ascii="宋体" w:hAnsi="宋体" w:cs="宋体"/>
          <w:color w:val="auto"/>
          <w:sz w:val="22"/>
          <w:highlight w:val="none"/>
        </w:rPr>
        <w:t>好政府采购资金支持企业发展工作的通知》（浙财采监〔2020〕33号）、（6）《浙江省财政厅关于进一步发挥政府采购政策 功能全力推动经济稳进提质的通知》（浙财采监〔2022〕3号）、《关于进一步加大政府采购 支持中小企业力度 助力扎实稳住经济 的通知》（浙财采监〔2022〕8号）要求，制定如下付款方式：</w:t>
      </w:r>
    </w:p>
    <w:p>
      <w:pPr>
        <w:spacing w:line="400" w:lineRule="exact"/>
        <w:ind w:firstLine="440" w:firstLineChars="200"/>
        <w:rPr>
          <w:rFonts w:ascii="宋体" w:hAnsi="宋体" w:cs="宋体"/>
          <w:bCs/>
          <w:color w:val="auto"/>
          <w:sz w:val="22"/>
          <w:highlight w:val="none"/>
        </w:rPr>
      </w:pPr>
      <w:r>
        <w:rPr>
          <w:rFonts w:hint="eastAsia" w:ascii="宋体" w:hAnsi="宋体" w:cs="宋体"/>
          <w:bCs/>
          <w:color w:val="auto"/>
          <w:sz w:val="22"/>
          <w:highlight w:val="none"/>
        </w:rPr>
        <w:t>1.合同生效且具备支付条件后，采购人支付合同总价的20%。</w:t>
      </w:r>
    </w:p>
    <w:p>
      <w:pPr>
        <w:spacing w:line="400" w:lineRule="exact"/>
        <w:ind w:firstLine="440" w:firstLineChars="200"/>
        <w:rPr>
          <w:rFonts w:ascii="宋体" w:hAnsi="宋体" w:cs="宋体"/>
          <w:bCs/>
          <w:color w:val="auto"/>
          <w:sz w:val="22"/>
          <w:highlight w:val="none"/>
        </w:rPr>
      </w:pPr>
      <w:r>
        <w:rPr>
          <w:rFonts w:hint="eastAsia" w:ascii="宋体" w:hAnsi="宋体" w:cs="宋体"/>
          <w:bCs/>
          <w:color w:val="auto"/>
          <w:sz w:val="22"/>
          <w:highlight w:val="none"/>
        </w:rPr>
        <w:t>2.通过采购人验收后，采购人支付合同总价的80%。</w:t>
      </w:r>
    </w:p>
    <w:p>
      <w:pPr>
        <w:spacing w:line="400" w:lineRule="exact"/>
        <w:ind w:firstLine="440" w:firstLineChars="200"/>
        <w:rPr>
          <w:rFonts w:ascii="宋体" w:hAnsi="宋体" w:cs="宋体"/>
          <w:bCs/>
          <w:color w:val="auto"/>
          <w:sz w:val="22"/>
          <w:highlight w:val="none"/>
        </w:rPr>
      </w:pPr>
      <w:r>
        <w:rPr>
          <w:rFonts w:hint="eastAsia" w:ascii="宋体" w:hAnsi="宋体" w:cs="宋体"/>
          <w:bCs/>
          <w:color w:val="auto"/>
          <w:sz w:val="22"/>
          <w:highlight w:val="none"/>
        </w:rPr>
        <w:t>若中标供应商明确表示无需预付款或者主动要求降低预付款比例的，采购人可不适用前述规定。</w:t>
      </w:r>
    </w:p>
    <w:p>
      <w:pPr>
        <w:spacing w:line="400" w:lineRule="exact"/>
        <w:ind w:firstLine="440" w:firstLineChars="200"/>
        <w:rPr>
          <w:rFonts w:ascii="宋体" w:hAnsi="宋体" w:cs="宋体"/>
          <w:color w:val="auto"/>
          <w:sz w:val="22"/>
          <w:highlight w:val="none"/>
        </w:rPr>
      </w:pPr>
      <w:r>
        <w:rPr>
          <w:rFonts w:hint="eastAsia" w:ascii="宋体" w:hAnsi="宋体" w:cs="宋体"/>
          <w:bCs/>
          <w:color w:val="auto"/>
          <w:sz w:val="22"/>
          <w:highlight w:val="none"/>
        </w:rPr>
        <w:t>注： 中标供应商在接到采购人通知后的7个工作日内将增值税发票送达采购人</w:t>
      </w:r>
      <w:r>
        <w:rPr>
          <w:rFonts w:hint="eastAsia" w:ascii="宋体" w:hAnsi="宋体" w:cs="宋体"/>
          <w:color w:val="auto"/>
          <w:sz w:val="22"/>
          <w:highlight w:val="none"/>
        </w:rPr>
        <w:t>。</w:t>
      </w:r>
    </w:p>
    <w:p>
      <w:pPr>
        <w:pStyle w:val="30"/>
        <w:snapToGrid w:val="0"/>
        <w:spacing w:line="400" w:lineRule="exact"/>
        <w:ind w:firstLine="0" w:firstLineChars="0"/>
        <w:rPr>
          <w:rFonts w:ascii="宋体" w:hAnsi="宋体" w:cs="宋体"/>
          <w:color w:val="auto"/>
          <w:sz w:val="22"/>
          <w:highlight w:val="none"/>
        </w:rPr>
        <w:sectPr>
          <w:footerReference r:id="rId7" w:type="default"/>
          <w:pgSz w:w="11906" w:h="16838"/>
          <w:pgMar w:top="1440" w:right="1800" w:bottom="1440" w:left="1800" w:header="851" w:footer="992" w:gutter="0"/>
          <w:pgNumType w:start="1"/>
          <w:cols w:space="720" w:num="1"/>
          <w:docGrid w:type="lines" w:linePitch="312" w:charSpace="0"/>
        </w:sectPr>
      </w:pPr>
    </w:p>
    <w:p>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rPr>
      </w:pPr>
    </w:p>
    <w:p>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lang w:val="zh-CN"/>
        </w:rPr>
      </w:pPr>
      <w:r>
        <w:rPr>
          <w:rFonts w:hint="eastAsia" w:ascii="宋体" w:hAnsi="宋体" w:cs="宋体"/>
          <w:b/>
          <w:color w:val="auto"/>
          <w:sz w:val="32"/>
          <w:szCs w:val="32"/>
          <w:highlight w:val="none"/>
        </w:rPr>
        <w:t>第</w:t>
      </w:r>
      <w:r>
        <w:rPr>
          <w:rFonts w:hint="eastAsia" w:ascii="宋体" w:hAnsi="宋体" w:cs="宋体"/>
          <w:b/>
          <w:color w:val="auto"/>
          <w:sz w:val="32"/>
          <w:szCs w:val="32"/>
          <w:highlight w:val="none"/>
          <w:lang w:val="zh-CN"/>
        </w:rPr>
        <w:t>三部分</w:t>
      </w:r>
      <w:r>
        <w:rPr>
          <w:rFonts w:hint="eastAsia" w:ascii="宋体" w:hAnsi="宋体" w:cs="宋体"/>
          <w:b/>
          <w:color w:val="auto"/>
          <w:sz w:val="32"/>
          <w:szCs w:val="32"/>
          <w:highlight w:val="none"/>
        </w:rPr>
        <w:t>、</w:t>
      </w:r>
      <w:r>
        <w:rPr>
          <w:rFonts w:hint="eastAsia" w:ascii="宋体" w:hAnsi="宋体" w:cs="宋体"/>
          <w:b/>
          <w:color w:val="auto"/>
          <w:sz w:val="32"/>
          <w:szCs w:val="32"/>
          <w:highlight w:val="none"/>
          <w:lang w:val="zh-CN"/>
        </w:rPr>
        <w:t>供应商须知</w:t>
      </w:r>
      <w:bookmarkEnd w:id="7"/>
    </w:p>
    <w:p>
      <w:pPr>
        <w:tabs>
          <w:tab w:val="left" w:pos="1069"/>
          <w:tab w:val="left" w:pos="2352"/>
        </w:tabs>
        <w:autoSpaceDE w:val="0"/>
        <w:autoSpaceDN w:val="0"/>
        <w:adjustRightInd w:val="0"/>
        <w:spacing w:line="450" w:lineRule="atLeast"/>
        <w:ind w:firstLine="446" w:firstLineChars="200"/>
        <w:rPr>
          <w:rFonts w:ascii="宋体" w:hAnsi="宋体" w:cs="宋体"/>
          <w:b/>
          <w:color w:val="auto"/>
          <w:sz w:val="22"/>
          <w:highlight w:val="none"/>
          <w:lang w:val="zh-CN"/>
        </w:rPr>
      </w:pPr>
      <w:bookmarkStart w:id="12" w:name="_Toc9317_WPSOffice_Level2"/>
      <w:r>
        <w:rPr>
          <w:rFonts w:hint="eastAsia" w:ascii="宋体" w:hAnsi="宋体" w:cs="宋体"/>
          <w:b/>
          <w:color w:val="auto"/>
          <w:sz w:val="22"/>
          <w:highlight w:val="none"/>
          <w:lang w:val="zh-CN"/>
        </w:rPr>
        <w:t>一、说明</w:t>
      </w:r>
      <w:bookmarkEnd w:id="12"/>
    </w:p>
    <w:p>
      <w:pPr>
        <w:tabs>
          <w:tab w:val="left" w:pos="1069"/>
          <w:tab w:val="left" w:pos="2352"/>
        </w:tabs>
        <w:adjustRightInd w:val="0"/>
        <w:spacing w:line="400" w:lineRule="atLeast"/>
        <w:ind w:firstLine="436" w:firstLineChars="196"/>
        <w:rPr>
          <w:rFonts w:ascii="宋体" w:hAnsi="宋体" w:cs="宋体"/>
          <w:color w:val="auto"/>
          <w:sz w:val="22"/>
          <w:highlight w:val="none"/>
          <w:lang w:val="zh-CN"/>
        </w:rPr>
      </w:pPr>
      <w:r>
        <w:rPr>
          <w:rFonts w:hint="eastAsia" w:ascii="宋体" w:hAnsi="宋体" w:cs="宋体"/>
          <w:color w:val="auto"/>
          <w:sz w:val="22"/>
          <w:highlight w:val="none"/>
        </w:rPr>
        <w:t>1.</w:t>
      </w:r>
      <w:r>
        <w:rPr>
          <w:rFonts w:hint="eastAsia" w:ascii="宋体" w:hAnsi="宋体" w:cs="宋体"/>
          <w:color w:val="auto"/>
          <w:sz w:val="22"/>
          <w:highlight w:val="none"/>
          <w:lang w:val="zh-CN"/>
        </w:rPr>
        <w:t>本次采购工作是按照《中华人民共和国政府采购法》、《政府采购货物和服务招标投标管理办法》、《政府采购竞争性磋商采购方式管理暂行办法》、财政部关于政府采购竞争性磋商采购方式管理暂行办法有关问题的补充通知（财库〔2015〕124号）及相关法律规章组织和实施。</w:t>
      </w:r>
    </w:p>
    <w:p>
      <w:pPr>
        <w:tabs>
          <w:tab w:val="left" w:pos="1069"/>
          <w:tab w:val="left" w:pos="2352"/>
        </w:tabs>
        <w:adjustRightInd w:val="0"/>
        <w:spacing w:line="400" w:lineRule="atLeast"/>
        <w:ind w:firstLine="436" w:firstLineChars="196"/>
        <w:rPr>
          <w:rFonts w:ascii="宋体" w:hAnsi="宋体" w:cs="宋体"/>
          <w:color w:val="auto"/>
          <w:sz w:val="22"/>
          <w:highlight w:val="none"/>
        </w:rPr>
      </w:pPr>
      <w:r>
        <w:rPr>
          <w:rFonts w:hint="eastAsia" w:ascii="宋体" w:hAnsi="宋体" w:cs="宋体"/>
          <w:color w:val="auto"/>
          <w:sz w:val="22"/>
          <w:highlight w:val="none"/>
        </w:rPr>
        <w:t>2.</w:t>
      </w:r>
      <w:r>
        <w:rPr>
          <w:rFonts w:hint="eastAsia" w:ascii="宋体" w:hAnsi="宋体" w:cs="宋体"/>
          <w:bCs/>
          <w:color w:val="auto"/>
          <w:sz w:val="22"/>
          <w:highlight w:val="none"/>
        </w:rPr>
        <w:t>供应商必须对所投标项全部内容进行报价</w:t>
      </w:r>
      <w:r>
        <w:rPr>
          <w:rFonts w:hint="eastAsia" w:ascii="宋体" w:hAnsi="宋体" w:cs="宋体"/>
          <w:color w:val="auto"/>
          <w:sz w:val="22"/>
          <w:highlight w:val="none"/>
        </w:rPr>
        <w:t>，只对部分内容进行报价的供应商将按无效投标处理。</w:t>
      </w:r>
    </w:p>
    <w:p>
      <w:pPr>
        <w:tabs>
          <w:tab w:val="left" w:pos="1069"/>
          <w:tab w:val="left" w:pos="2352"/>
        </w:tabs>
        <w:adjustRightInd w:val="0"/>
        <w:spacing w:line="400" w:lineRule="atLeast"/>
        <w:ind w:firstLine="436" w:firstLineChars="196"/>
        <w:rPr>
          <w:rFonts w:ascii="宋体" w:hAnsi="宋体" w:cs="宋体"/>
          <w:color w:val="auto"/>
          <w:sz w:val="22"/>
          <w:highlight w:val="none"/>
        </w:rPr>
      </w:pPr>
      <w:r>
        <w:rPr>
          <w:rFonts w:hint="eastAsia" w:ascii="宋体" w:hAnsi="宋体" w:cs="宋体"/>
          <w:color w:val="auto"/>
          <w:sz w:val="22"/>
          <w:highlight w:val="none"/>
        </w:rPr>
        <w:t>3.无论投标过程中的作法和结果如何，供应商自行承担投标活动中所发生的全部费用；采购人有权选择供应商的供货和服务范围。</w:t>
      </w:r>
    </w:p>
    <w:p>
      <w:pPr>
        <w:tabs>
          <w:tab w:val="left" w:pos="1069"/>
          <w:tab w:val="left" w:pos="2352"/>
        </w:tabs>
        <w:adjustRightInd w:val="0"/>
        <w:spacing w:line="400" w:lineRule="atLeast"/>
        <w:ind w:firstLine="436" w:firstLineChars="196"/>
        <w:rPr>
          <w:rFonts w:ascii="宋体" w:hAnsi="宋体" w:cs="宋体"/>
          <w:color w:val="auto"/>
          <w:sz w:val="22"/>
          <w:highlight w:val="none"/>
        </w:rPr>
      </w:pPr>
      <w:r>
        <w:rPr>
          <w:rFonts w:hint="eastAsia" w:ascii="宋体" w:hAnsi="宋体" w:cs="宋体"/>
          <w:color w:val="auto"/>
          <w:sz w:val="22"/>
          <w:highlight w:val="none"/>
        </w:rPr>
        <w:t>4.安全管理</w:t>
      </w:r>
    </w:p>
    <w:p>
      <w:pPr>
        <w:tabs>
          <w:tab w:val="left" w:pos="1069"/>
          <w:tab w:val="left" w:pos="2352"/>
        </w:tabs>
        <w:adjustRightInd w:val="0"/>
        <w:spacing w:line="400" w:lineRule="atLeast"/>
        <w:ind w:firstLine="436" w:firstLineChars="196"/>
        <w:rPr>
          <w:rFonts w:ascii="宋体" w:hAnsi="宋体" w:cs="宋体"/>
          <w:color w:val="auto"/>
          <w:sz w:val="22"/>
          <w:highlight w:val="none"/>
        </w:rPr>
      </w:pPr>
      <w:r>
        <w:rPr>
          <w:rFonts w:hint="eastAsia" w:ascii="宋体" w:hAnsi="宋体" w:cs="宋体"/>
          <w:color w:val="auto"/>
          <w:sz w:val="22"/>
          <w:highlight w:val="none"/>
        </w:rPr>
        <w:t>在招标及合同执行过程中，供应商应承担由于其行为所造成的人身伤害、财产损失或损坏的责任，无论何种原因所造成，采购人均不负责。</w:t>
      </w:r>
    </w:p>
    <w:p>
      <w:pPr>
        <w:tabs>
          <w:tab w:val="left" w:pos="1069"/>
          <w:tab w:val="left" w:pos="2352"/>
        </w:tabs>
        <w:adjustRightInd w:val="0"/>
        <w:spacing w:line="400" w:lineRule="atLeast"/>
        <w:ind w:firstLine="436" w:firstLineChars="196"/>
        <w:rPr>
          <w:rFonts w:ascii="宋体" w:hAnsi="宋体" w:cs="宋体"/>
          <w:color w:val="auto"/>
          <w:sz w:val="22"/>
          <w:highlight w:val="none"/>
        </w:rPr>
      </w:pPr>
      <w:r>
        <w:rPr>
          <w:rFonts w:hint="eastAsia" w:ascii="宋体" w:hAnsi="宋体" w:cs="宋体"/>
          <w:color w:val="auto"/>
          <w:sz w:val="22"/>
          <w:highlight w:val="none"/>
        </w:rPr>
        <w:t>5.知识产权</w:t>
      </w:r>
    </w:p>
    <w:p>
      <w:pPr>
        <w:tabs>
          <w:tab w:val="left" w:pos="1069"/>
          <w:tab w:val="left" w:pos="2352"/>
        </w:tabs>
        <w:adjustRightInd w:val="0"/>
        <w:spacing w:line="400" w:lineRule="atLeast"/>
        <w:ind w:firstLine="436" w:firstLineChars="196"/>
        <w:rPr>
          <w:rFonts w:ascii="宋体" w:hAnsi="宋体" w:cs="宋体"/>
          <w:color w:val="auto"/>
          <w:sz w:val="22"/>
          <w:highlight w:val="none"/>
        </w:rPr>
      </w:pPr>
      <w:r>
        <w:rPr>
          <w:rFonts w:hint="eastAsia" w:ascii="宋体" w:hAnsi="宋体" w:cs="宋体"/>
          <w:color w:val="auto"/>
          <w:sz w:val="22"/>
          <w:highlight w:val="none"/>
        </w:rPr>
        <w:t>5.1供应商应保证，采购人在中华人民共和国使用货物或服务的任何一部分时，免受第三方提出侵犯其专利权、商标权或其它知识产权的起诉。</w:t>
      </w:r>
    </w:p>
    <w:p>
      <w:pPr>
        <w:tabs>
          <w:tab w:val="left" w:pos="1069"/>
          <w:tab w:val="left" w:pos="2352"/>
        </w:tabs>
        <w:adjustRightInd w:val="0"/>
        <w:spacing w:line="400" w:lineRule="atLeast"/>
        <w:ind w:firstLine="436" w:firstLineChars="196"/>
        <w:rPr>
          <w:rFonts w:ascii="宋体" w:hAnsi="宋体" w:cs="宋体"/>
          <w:color w:val="auto"/>
          <w:sz w:val="22"/>
          <w:highlight w:val="none"/>
        </w:rPr>
      </w:pPr>
      <w:r>
        <w:rPr>
          <w:rFonts w:hint="eastAsia" w:ascii="宋体" w:hAnsi="宋体" w:cs="宋体"/>
          <w:color w:val="auto"/>
          <w:sz w:val="22"/>
          <w:highlight w:val="none"/>
        </w:rPr>
        <w:t>5.2投标人应对采购人在使用该服务时所涉及到的专利权负责，不损害采购人的利益。</w:t>
      </w:r>
    </w:p>
    <w:p>
      <w:pPr>
        <w:tabs>
          <w:tab w:val="left" w:pos="1069"/>
          <w:tab w:val="left" w:pos="2352"/>
        </w:tabs>
        <w:adjustRightInd w:val="0"/>
        <w:spacing w:line="400" w:lineRule="atLeast"/>
        <w:ind w:firstLine="436" w:firstLineChars="196"/>
        <w:rPr>
          <w:rFonts w:ascii="宋体" w:hAnsi="宋体" w:cs="宋体"/>
          <w:color w:val="auto"/>
          <w:sz w:val="22"/>
          <w:highlight w:val="none"/>
        </w:rPr>
      </w:pPr>
      <w:r>
        <w:rPr>
          <w:rFonts w:hint="eastAsia" w:ascii="宋体" w:hAnsi="宋体" w:cs="宋体"/>
          <w:color w:val="auto"/>
          <w:sz w:val="22"/>
          <w:highlight w:val="none"/>
        </w:rPr>
        <w:t>5.3报价应包括所有应支付的对专利权和版权、设计或其他知识产权而需要向其他方支付的版税。</w:t>
      </w:r>
    </w:p>
    <w:p>
      <w:pPr>
        <w:tabs>
          <w:tab w:val="left" w:pos="1069"/>
          <w:tab w:val="left" w:pos="2352"/>
        </w:tabs>
        <w:adjustRightInd w:val="0"/>
        <w:spacing w:line="400" w:lineRule="atLeast"/>
        <w:ind w:firstLine="436" w:firstLineChars="196"/>
        <w:rPr>
          <w:rFonts w:ascii="宋体" w:hAnsi="宋体" w:cs="宋体"/>
          <w:color w:val="auto"/>
          <w:sz w:val="22"/>
          <w:highlight w:val="none"/>
        </w:rPr>
      </w:pPr>
      <w:r>
        <w:rPr>
          <w:rFonts w:hint="eastAsia" w:ascii="宋体" w:hAnsi="宋体" w:cs="宋体"/>
          <w:color w:val="auto"/>
          <w:sz w:val="22"/>
          <w:highlight w:val="none"/>
        </w:rPr>
        <w:t>5.4投标人提供的服务中如使用其他公司的相关专利，应在标书中出示相关授权，如未出示但使用了其他公司的专利，导致供应商中标(成交)而引起相关诉讼，由投标人承担。</w:t>
      </w:r>
    </w:p>
    <w:p>
      <w:pPr>
        <w:tabs>
          <w:tab w:val="left" w:pos="1069"/>
          <w:tab w:val="left" w:pos="2352"/>
        </w:tabs>
        <w:adjustRightInd w:val="0"/>
        <w:spacing w:line="400" w:lineRule="atLeast"/>
        <w:ind w:firstLine="436" w:firstLineChars="196"/>
        <w:rPr>
          <w:rFonts w:ascii="宋体" w:hAnsi="宋体" w:cs="宋体"/>
          <w:color w:val="auto"/>
          <w:sz w:val="22"/>
          <w:highlight w:val="none"/>
          <w:lang w:val="zh-CN"/>
        </w:rPr>
      </w:pPr>
      <w:r>
        <w:rPr>
          <w:rFonts w:hint="eastAsia" w:ascii="宋体" w:hAnsi="宋体" w:cs="宋体"/>
          <w:color w:val="auto"/>
          <w:sz w:val="22"/>
          <w:highlight w:val="none"/>
        </w:rPr>
        <w:t>6.</w:t>
      </w:r>
      <w:r>
        <w:rPr>
          <w:rFonts w:hint="eastAsia" w:ascii="宋体" w:hAnsi="宋体" w:cs="宋体"/>
          <w:color w:val="auto"/>
          <w:sz w:val="22"/>
          <w:highlight w:val="none"/>
          <w:lang w:val="zh-CN"/>
        </w:rPr>
        <w:t>单位负责人为同一人或者存在直接控股、管理关系的不同供应商，不得参加同一合同项下的政府采购活动。如在评标过程中发现供应商间存在上述关系，评审小组可以对存在上述关系的供应商做无效投标处理。</w:t>
      </w:r>
    </w:p>
    <w:p>
      <w:pPr>
        <w:tabs>
          <w:tab w:val="left" w:pos="1069"/>
          <w:tab w:val="left" w:pos="2352"/>
        </w:tabs>
        <w:adjustRightInd w:val="0"/>
        <w:spacing w:line="400" w:lineRule="atLeast"/>
        <w:ind w:firstLine="436" w:firstLineChars="196"/>
        <w:rPr>
          <w:rFonts w:ascii="宋体" w:hAnsi="宋体" w:cs="宋体"/>
          <w:color w:val="auto"/>
          <w:sz w:val="22"/>
          <w:highlight w:val="none"/>
          <w:lang w:val="zh-CN"/>
        </w:rPr>
      </w:pPr>
      <w:r>
        <w:rPr>
          <w:rFonts w:hint="eastAsia" w:ascii="宋体" w:hAnsi="宋体" w:cs="宋体"/>
          <w:color w:val="auto"/>
          <w:sz w:val="22"/>
          <w:highlight w:val="none"/>
        </w:rPr>
        <w:t>7.</w:t>
      </w:r>
      <w:r>
        <w:rPr>
          <w:rFonts w:hint="eastAsia" w:ascii="宋体" w:hAnsi="宋体" w:cs="宋体"/>
          <w:color w:val="auto"/>
          <w:sz w:val="22"/>
          <w:highlight w:val="none"/>
          <w:lang w:val="zh-CN"/>
        </w:rPr>
        <w:t>为采购项目提供整体设计、规范编制或者项目管理、监理、检测等服务的供应商，不得再参加该采购项目的其他采购活动。</w:t>
      </w:r>
    </w:p>
    <w:p>
      <w:pPr>
        <w:tabs>
          <w:tab w:val="left" w:pos="1069"/>
          <w:tab w:val="left" w:pos="2352"/>
        </w:tabs>
        <w:autoSpaceDE w:val="0"/>
        <w:autoSpaceDN w:val="0"/>
        <w:adjustRightInd w:val="0"/>
        <w:spacing w:line="400" w:lineRule="atLeast"/>
        <w:ind w:firstLine="446" w:firstLineChars="200"/>
        <w:textAlignment w:val="bottom"/>
        <w:rPr>
          <w:rFonts w:ascii="宋体" w:hAnsi="宋体" w:cs="宋体"/>
          <w:b/>
          <w:color w:val="auto"/>
          <w:sz w:val="22"/>
          <w:highlight w:val="none"/>
        </w:rPr>
      </w:pPr>
      <w:r>
        <w:rPr>
          <w:rFonts w:hint="eastAsia" w:ascii="宋体" w:hAnsi="宋体" w:cs="宋体"/>
          <w:color w:val="auto"/>
          <w:sz w:val="22"/>
          <w:highlight w:val="none"/>
        </w:rPr>
        <w:t>8</w:t>
      </w:r>
      <w:r>
        <w:rPr>
          <w:rFonts w:hint="eastAsia" w:ascii="宋体" w:hAnsi="宋体" w:cs="宋体"/>
          <w:color w:val="auto"/>
          <w:sz w:val="22"/>
          <w:highlight w:val="none"/>
          <w:lang w:val="zh-CN"/>
        </w:rPr>
        <w:t>.</w:t>
      </w:r>
      <w:r>
        <w:rPr>
          <w:rFonts w:hint="eastAsia" w:ascii="宋体" w:hAnsi="宋体" w:cs="宋体"/>
          <w:b/>
          <w:color w:val="auto"/>
          <w:sz w:val="22"/>
          <w:highlight w:val="none"/>
        </w:rPr>
        <w:t>▲供应商须具有良好的商业信誉：</w:t>
      </w:r>
    </w:p>
    <w:p>
      <w:pPr>
        <w:tabs>
          <w:tab w:val="left" w:pos="2352"/>
        </w:tabs>
        <w:autoSpaceDE w:val="0"/>
        <w:autoSpaceDN w:val="0"/>
        <w:adjustRightInd w:val="0"/>
        <w:spacing w:line="400" w:lineRule="atLeast"/>
        <w:ind w:firstLine="446" w:firstLineChars="200"/>
        <w:textAlignment w:val="bottom"/>
        <w:rPr>
          <w:rFonts w:ascii="宋体"/>
          <w:b/>
          <w:color w:val="auto"/>
          <w:sz w:val="22"/>
          <w:highlight w:val="none"/>
          <w:u w:val="single"/>
        </w:rPr>
      </w:pPr>
      <w:r>
        <w:rPr>
          <w:rFonts w:ascii="宋体" w:hAnsi="宋体"/>
          <w:b/>
          <w:color w:val="auto"/>
          <w:sz w:val="22"/>
          <w:highlight w:val="none"/>
          <w:u w:val="single"/>
        </w:rPr>
        <w:t>1</w:t>
      </w:r>
      <w:r>
        <w:rPr>
          <w:rFonts w:hint="eastAsia" w:ascii="宋体" w:hAnsi="宋体"/>
          <w:b/>
          <w:color w:val="auto"/>
          <w:sz w:val="22"/>
          <w:highlight w:val="none"/>
          <w:u w:val="single"/>
        </w:rPr>
        <w:t>）供应商在国家企业信用信息公示系统网：（http://www.gsxt.gov.cn/index.html）无严重违法企业记录。</w:t>
      </w:r>
    </w:p>
    <w:p>
      <w:pPr>
        <w:tabs>
          <w:tab w:val="left" w:pos="2352"/>
        </w:tabs>
        <w:autoSpaceDE w:val="0"/>
        <w:autoSpaceDN w:val="0"/>
        <w:adjustRightInd w:val="0"/>
        <w:spacing w:line="400" w:lineRule="atLeast"/>
        <w:ind w:firstLine="446" w:firstLineChars="200"/>
        <w:textAlignment w:val="bottom"/>
        <w:rPr>
          <w:rFonts w:ascii="宋体"/>
          <w:b/>
          <w:color w:val="auto"/>
          <w:sz w:val="22"/>
          <w:highlight w:val="none"/>
          <w:u w:val="single"/>
        </w:rPr>
      </w:pPr>
      <w:r>
        <w:rPr>
          <w:rFonts w:ascii="宋体" w:hAnsi="宋体"/>
          <w:b/>
          <w:color w:val="auto"/>
          <w:sz w:val="22"/>
          <w:highlight w:val="none"/>
          <w:u w:val="single"/>
        </w:rPr>
        <w:t>2</w:t>
      </w:r>
      <w:r>
        <w:rPr>
          <w:rFonts w:hint="eastAsia" w:ascii="宋体" w:hAnsi="宋体"/>
          <w:b/>
          <w:color w:val="auto"/>
          <w:sz w:val="22"/>
          <w:highlight w:val="none"/>
          <w:u w:val="single"/>
        </w:rPr>
        <w:t>）供应商在中国执行信息公开网（http://zxgk.court.gov.cn/）无失信信息记录。</w:t>
      </w:r>
    </w:p>
    <w:p>
      <w:pPr>
        <w:tabs>
          <w:tab w:val="left" w:pos="1069"/>
          <w:tab w:val="left" w:pos="2352"/>
        </w:tabs>
        <w:autoSpaceDE w:val="0"/>
        <w:autoSpaceDN w:val="0"/>
        <w:adjustRightInd w:val="0"/>
        <w:spacing w:line="400" w:lineRule="atLeast"/>
        <w:ind w:firstLine="446" w:firstLineChars="200"/>
        <w:textAlignment w:val="bottom"/>
        <w:rPr>
          <w:rFonts w:ascii="宋体" w:hAnsi="宋体" w:cs="宋体"/>
          <w:b/>
          <w:color w:val="auto"/>
          <w:sz w:val="22"/>
          <w:highlight w:val="none"/>
          <w:u w:val="single"/>
        </w:rPr>
      </w:pPr>
      <w:r>
        <w:rPr>
          <w:rFonts w:ascii="宋体" w:hAnsi="宋体"/>
          <w:b/>
          <w:color w:val="auto"/>
          <w:sz w:val="22"/>
          <w:highlight w:val="none"/>
          <w:u w:val="single"/>
        </w:rPr>
        <w:t>3</w:t>
      </w:r>
      <w:r>
        <w:rPr>
          <w:rFonts w:hint="eastAsia" w:ascii="宋体" w:hAnsi="宋体"/>
          <w:b/>
          <w:color w:val="auto"/>
          <w:sz w:val="22"/>
          <w:highlight w:val="none"/>
          <w:u w:val="single"/>
        </w:rPr>
        <w:t>）供应商在中国政府采购网（</w:t>
      </w:r>
      <w:r>
        <w:rPr>
          <w:rFonts w:ascii="宋体" w:hAnsi="宋体"/>
          <w:b/>
          <w:color w:val="auto"/>
          <w:sz w:val="22"/>
          <w:highlight w:val="none"/>
          <w:u w:val="single"/>
        </w:rPr>
        <w:t>http://www.ccgp.gov.cn/cr/list</w:t>
      </w:r>
      <w:r>
        <w:rPr>
          <w:rFonts w:hint="eastAsia" w:ascii="宋体" w:hAnsi="宋体"/>
          <w:b/>
          <w:color w:val="auto"/>
          <w:sz w:val="22"/>
          <w:highlight w:val="none"/>
          <w:u w:val="single"/>
        </w:rPr>
        <w:t>）无严重违法行为记录</w:t>
      </w:r>
      <w:r>
        <w:rPr>
          <w:rFonts w:hint="eastAsia" w:ascii="宋体" w:hAnsi="宋体" w:cs="宋体"/>
          <w:b/>
          <w:color w:val="auto"/>
          <w:sz w:val="22"/>
          <w:highlight w:val="none"/>
          <w:u w:val="single"/>
        </w:rPr>
        <w:t>。</w:t>
      </w:r>
    </w:p>
    <w:p>
      <w:pPr>
        <w:widowControl/>
        <w:tabs>
          <w:tab w:val="left" w:pos="1069"/>
          <w:tab w:val="left" w:pos="2352"/>
        </w:tabs>
        <w:snapToGrid w:val="0"/>
        <w:spacing w:line="400" w:lineRule="atLeast"/>
        <w:ind w:firstLine="446" w:firstLineChars="200"/>
        <w:jc w:val="left"/>
        <w:rPr>
          <w:rFonts w:ascii="宋体" w:hAnsi="宋体" w:cs="宋体"/>
          <w:b/>
          <w:color w:val="auto"/>
          <w:sz w:val="22"/>
          <w:highlight w:val="none"/>
          <w:u w:val="single"/>
        </w:rPr>
      </w:pPr>
      <w:r>
        <w:rPr>
          <w:rFonts w:hint="eastAsia" w:ascii="宋体" w:hAnsi="宋体" w:cs="宋体"/>
          <w:b/>
          <w:color w:val="auto"/>
          <w:sz w:val="22"/>
          <w:highlight w:val="none"/>
          <w:u w:val="single"/>
        </w:rPr>
        <w:t>4）未被各级财政部门列入政府采购黑名单或被各级财政部门禁止参加政府采购项目投标。</w:t>
      </w:r>
      <w:r>
        <w:rPr>
          <w:rFonts w:hint="eastAsia" w:ascii="宋体" w:hAnsi="宋体" w:cs="宋体"/>
          <w:color w:val="auto"/>
          <w:sz w:val="22"/>
          <w:highlight w:val="none"/>
        </w:rPr>
        <w:t>▲</w:t>
      </w:r>
      <w:r>
        <w:rPr>
          <w:rFonts w:hint="eastAsia" w:ascii="宋体" w:hAnsi="宋体" w:cs="宋体"/>
          <w:b/>
          <w:color w:val="auto"/>
          <w:sz w:val="22"/>
          <w:highlight w:val="none"/>
          <w:u w:val="single"/>
        </w:rPr>
        <w:t>如供应商有上述情形并参与本项目投标的，一经查实，其投标做无效投标处理。</w:t>
      </w:r>
    </w:p>
    <w:p>
      <w:pPr>
        <w:widowControl/>
        <w:tabs>
          <w:tab w:val="left" w:pos="1069"/>
          <w:tab w:val="left" w:pos="2352"/>
        </w:tabs>
        <w:snapToGrid w:val="0"/>
        <w:spacing w:line="380" w:lineRule="exact"/>
        <w:ind w:firstLine="446" w:firstLineChars="200"/>
        <w:rPr>
          <w:rFonts w:ascii="宋体" w:hAnsi="宋体" w:cs="宋体"/>
          <w:color w:val="auto"/>
          <w:sz w:val="22"/>
          <w:highlight w:val="none"/>
          <w:u w:val="single"/>
        </w:rPr>
      </w:pPr>
      <w:r>
        <w:rPr>
          <w:rFonts w:hint="eastAsia" w:ascii="宋体" w:hAnsi="宋体" w:cs="宋体"/>
          <w:b/>
          <w:color w:val="auto"/>
          <w:sz w:val="22"/>
          <w:highlight w:val="none"/>
        </w:rPr>
        <w:t>9.</w:t>
      </w:r>
      <w:r>
        <w:rPr>
          <w:rFonts w:hint="eastAsia" w:ascii="宋体" w:hAnsi="宋体" w:cs="宋体"/>
          <w:color w:val="auto"/>
          <w:sz w:val="22"/>
          <w:highlight w:val="none"/>
          <w:u w:val="single"/>
        </w:rPr>
        <w:t>本项目采用资格后审，符合资格要求的供应商均可在本公告附件下载竞争性磋商文件，并按竞争性磋商文件规定的时间、地点递交投标（响应）文件（竞争性磋商文件下载网址：浙江政府采购网（http://zfcg.czt.zj.gov.cn/）,竞争性磋商文件如有补充更正均见浙江政府采购网http://zfcg.czt.zj.gov.cn//。供应商须在投标截止前自行查看是否有补充、更正文件，并按补充、更正文件要求投标，否则责任自负。</w:t>
      </w:r>
    </w:p>
    <w:p>
      <w:pPr>
        <w:tabs>
          <w:tab w:val="left" w:pos="1069"/>
          <w:tab w:val="left" w:pos="2352"/>
        </w:tabs>
        <w:autoSpaceDE w:val="0"/>
        <w:autoSpaceDN w:val="0"/>
        <w:adjustRightInd w:val="0"/>
        <w:spacing w:line="400" w:lineRule="atLeast"/>
        <w:ind w:firstLine="446" w:firstLineChars="200"/>
        <w:rPr>
          <w:rFonts w:ascii="宋体" w:hAnsi="宋体" w:cs="宋体"/>
          <w:color w:val="auto"/>
          <w:sz w:val="22"/>
          <w:highlight w:val="none"/>
          <w:lang w:val="zh-CN"/>
        </w:rPr>
      </w:pPr>
      <w:r>
        <w:rPr>
          <w:rFonts w:hint="eastAsia" w:ascii="宋体" w:hAnsi="宋体" w:cs="宋体"/>
          <w:color w:val="auto"/>
          <w:sz w:val="22"/>
          <w:highlight w:val="none"/>
        </w:rPr>
        <w:t>10</w:t>
      </w:r>
      <w:r>
        <w:rPr>
          <w:rFonts w:hint="eastAsia" w:ascii="宋体" w:hAnsi="宋体" w:cs="宋体"/>
          <w:color w:val="auto"/>
          <w:sz w:val="22"/>
          <w:highlight w:val="none"/>
          <w:lang w:val="zh-CN"/>
        </w:rPr>
        <w:t>.▲本项目采用竞争性磋商采购方式进行采购，在磋商过程中，评审小组可以根据竞争性磋商文件和磋商情况实质性变动采购需求中的技术、服务要求以及合同草案条款，但不得变动竞争性磋商文件中的其他内容。已提交投标（响应）文件的供应商，在提交最终报价之前，可以根据磋商情况退出磋商。</w:t>
      </w:r>
    </w:p>
    <w:p>
      <w:pPr>
        <w:tabs>
          <w:tab w:val="left" w:pos="1069"/>
          <w:tab w:val="left" w:pos="2352"/>
        </w:tabs>
        <w:autoSpaceDE w:val="0"/>
        <w:autoSpaceDN w:val="0"/>
        <w:adjustRightInd w:val="0"/>
        <w:spacing w:line="400" w:lineRule="atLeast"/>
        <w:ind w:firstLine="446" w:firstLineChars="200"/>
        <w:rPr>
          <w:rFonts w:ascii="宋体" w:hAnsi="宋体" w:cs="宋体"/>
          <w:b/>
          <w:color w:val="auto"/>
          <w:sz w:val="22"/>
          <w:highlight w:val="none"/>
          <w:lang w:val="zh-CN"/>
        </w:rPr>
      </w:pPr>
      <w:bookmarkStart w:id="13" w:name="_Toc6226_WPSOffice_Level2"/>
      <w:r>
        <w:rPr>
          <w:rFonts w:hint="eastAsia" w:ascii="宋体" w:hAnsi="宋体" w:cs="宋体"/>
          <w:b/>
          <w:color w:val="auto"/>
          <w:sz w:val="22"/>
          <w:highlight w:val="none"/>
        </w:rPr>
        <w:t>二</w:t>
      </w:r>
      <w:r>
        <w:rPr>
          <w:rFonts w:hint="eastAsia" w:ascii="宋体" w:hAnsi="宋体" w:cs="宋体"/>
          <w:b/>
          <w:color w:val="auto"/>
          <w:sz w:val="22"/>
          <w:highlight w:val="none"/>
          <w:lang w:val="zh-CN"/>
        </w:rPr>
        <w:t>、竞争性磋商文件</w:t>
      </w:r>
      <w:bookmarkEnd w:id="13"/>
    </w:p>
    <w:p>
      <w:pPr>
        <w:tabs>
          <w:tab w:val="left" w:pos="1069"/>
          <w:tab w:val="left" w:pos="2352"/>
        </w:tabs>
        <w:spacing w:line="400" w:lineRule="atLeast"/>
        <w:ind w:firstLine="446" w:firstLineChars="200"/>
        <w:rPr>
          <w:rFonts w:ascii="宋体" w:hAnsi="宋体" w:cs="宋体"/>
          <w:color w:val="auto"/>
          <w:sz w:val="22"/>
          <w:highlight w:val="none"/>
        </w:rPr>
      </w:pPr>
      <w:bookmarkStart w:id="14" w:name="_Toc24610_WPSOffice_Level3"/>
      <w:r>
        <w:rPr>
          <w:rFonts w:hint="eastAsia" w:ascii="宋体" w:hAnsi="宋体" w:cs="宋体"/>
          <w:color w:val="auto"/>
          <w:sz w:val="22"/>
          <w:highlight w:val="none"/>
          <w:lang w:val="zh-CN"/>
        </w:rPr>
        <w:t>1.竞争性磋商文件</w:t>
      </w:r>
      <w:bookmarkEnd w:id="14"/>
    </w:p>
    <w:p>
      <w:pPr>
        <w:tabs>
          <w:tab w:val="left" w:pos="1069"/>
          <w:tab w:val="left" w:pos="2352"/>
        </w:tabs>
        <w:autoSpaceDE w:val="0"/>
        <w:autoSpaceDN w:val="0"/>
        <w:adjustRightInd w:val="0"/>
        <w:spacing w:line="400" w:lineRule="atLeas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1.1</w:t>
      </w:r>
      <w:r>
        <w:rPr>
          <w:rFonts w:hint="eastAsia" w:ascii="宋体" w:hAnsi="宋体" w:cs="宋体"/>
          <w:color w:val="auto"/>
          <w:sz w:val="22"/>
          <w:highlight w:val="none"/>
        </w:rPr>
        <w:t xml:space="preserve"> </w:t>
      </w:r>
      <w:r>
        <w:rPr>
          <w:rFonts w:hint="eastAsia" w:ascii="宋体" w:hAnsi="宋体" w:cs="宋体"/>
          <w:color w:val="auto"/>
          <w:sz w:val="22"/>
          <w:highlight w:val="none"/>
          <w:lang w:val="zh-CN"/>
        </w:rPr>
        <w:t>竞争性磋商文件的发放</w:t>
      </w:r>
    </w:p>
    <w:p>
      <w:pPr>
        <w:tabs>
          <w:tab w:val="left" w:pos="1069"/>
          <w:tab w:val="left" w:pos="2352"/>
        </w:tabs>
        <w:autoSpaceDE w:val="0"/>
        <w:autoSpaceDN w:val="0"/>
        <w:adjustRightInd w:val="0"/>
        <w:spacing w:line="400" w:lineRule="atLeas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本项目投标供应商直接</w:t>
      </w:r>
      <w:r>
        <w:rPr>
          <w:rFonts w:hint="eastAsia" w:ascii="宋体" w:hAnsi="宋体" w:cs="宋体"/>
          <w:color w:val="auto"/>
          <w:sz w:val="22"/>
          <w:highlight w:val="none"/>
        </w:rPr>
        <w:t>在</w:t>
      </w:r>
      <w:r>
        <w:rPr>
          <w:rFonts w:hint="eastAsia" w:ascii="宋体" w:hAnsi="宋体" w:cs="宋体"/>
          <w:color w:val="auto"/>
          <w:sz w:val="22"/>
          <w:highlight w:val="none"/>
          <w:lang w:val="zh-CN"/>
        </w:rPr>
        <w:t>网上</w:t>
      </w:r>
      <w:r>
        <w:rPr>
          <w:rFonts w:hint="eastAsia" w:ascii="宋体" w:hAnsi="宋体" w:cs="宋体"/>
          <w:color w:val="auto"/>
          <w:sz w:val="22"/>
          <w:highlight w:val="none"/>
        </w:rPr>
        <w:t>下载</w:t>
      </w:r>
      <w:r>
        <w:rPr>
          <w:rFonts w:hint="eastAsia" w:ascii="宋体" w:hAnsi="宋体" w:cs="宋体"/>
          <w:color w:val="auto"/>
          <w:sz w:val="22"/>
          <w:highlight w:val="none"/>
          <w:lang w:val="zh-CN"/>
        </w:rPr>
        <w:t>竞争性磋商文件。</w:t>
      </w:r>
    </w:p>
    <w:p>
      <w:pPr>
        <w:tabs>
          <w:tab w:val="left" w:pos="1069"/>
          <w:tab w:val="left" w:pos="2352"/>
        </w:tabs>
        <w:autoSpaceDE w:val="0"/>
        <w:autoSpaceDN w:val="0"/>
        <w:adjustRightInd w:val="0"/>
        <w:spacing w:line="400" w:lineRule="atLeast"/>
        <w:ind w:firstLine="446" w:firstLineChars="200"/>
        <w:textAlignment w:val="bottom"/>
        <w:outlineLvl w:val="1"/>
        <w:rPr>
          <w:rFonts w:ascii="宋体" w:hAnsi="宋体" w:cs="宋体"/>
          <w:color w:val="auto"/>
          <w:sz w:val="22"/>
          <w:highlight w:val="none"/>
        </w:rPr>
      </w:pPr>
      <w:r>
        <w:rPr>
          <w:rFonts w:hint="eastAsia" w:ascii="宋体" w:hAnsi="宋体" w:cs="宋体"/>
          <w:color w:val="auto"/>
          <w:sz w:val="22"/>
          <w:highlight w:val="none"/>
          <w:lang w:val="zh-CN"/>
        </w:rPr>
        <w:t>1.2</w:t>
      </w:r>
      <w:r>
        <w:rPr>
          <w:rFonts w:hint="eastAsia" w:ascii="宋体" w:hAnsi="宋体" w:cs="宋体"/>
          <w:color w:val="auto"/>
          <w:sz w:val="22"/>
          <w:highlight w:val="none"/>
        </w:rPr>
        <w:t xml:space="preserve"> 竞争性磋商文件约束力</w:t>
      </w:r>
    </w:p>
    <w:p>
      <w:pPr>
        <w:tabs>
          <w:tab w:val="left" w:pos="1069"/>
          <w:tab w:val="left" w:pos="2352"/>
        </w:tabs>
        <w:autoSpaceDE w:val="0"/>
        <w:autoSpaceDN w:val="0"/>
        <w:adjustRightInd w:val="0"/>
        <w:spacing w:line="400" w:lineRule="atLeast"/>
        <w:ind w:firstLine="446" w:firstLineChars="200"/>
        <w:rPr>
          <w:rFonts w:ascii="宋体" w:hAnsi="宋体" w:cs="宋体"/>
          <w:b/>
          <w:color w:val="auto"/>
          <w:sz w:val="22"/>
          <w:highlight w:val="none"/>
          <w:u w:val="single"/>
          <w:lang w:val="zh-CN"/>
        </w:rPr>
      </w:pPr>
      <w:r>
        <w:rPr>
          <w:rFonts w:hint="eastAsia" w:ascii="宋体" w:hAnsi="宋体" w:cs="宋体"/>
          <w:b/>
          <w:color w:val="auto"/>
          <w:sz w:val="22"/>
          <w:highlight w:val="none"/>
          <w:u w:val="single"/>
          <w:lang w:val="zh-CN"/>
        </w:rPr>
        <w:t>供应商</w:t>
      </w:r>
      <w:r>
        <w:rPr>
          <w:rFonts w:hint="eastAsia" w:ascii="宋体" w:hAnsi="宋体" w:cs="宋体"/>
          <w:b/>
          <w:color w:val="auto"/>
          <w:sz w:val="22"/>
          <w:highlight w:val="none"/>
          <w:u w:val="single"/>
        </w:rPr>
        <w:t>一旦获取了本项目竞争性磋商文件，在质疑期内未提出质疑，并参加投标，即被认为接受了本竞争性磋商文件中所有条款和规定。</w:t>
      </w:r>
    </w:p>
    <w:p>
      <w:pPr>
        <w:tabs>
          <w:tab w:val="left" w:pos="1069"/>
          <w:tab w:val="left" w:pos="2352"/>
        </w:tabs>
        <w:autoSpaceDE w:val="0"/>
        <w:autoSpaceDN w:val="0"/>
        <w:adjustRightInd w:val="0"/>
        <w:spacing w:line="400" w:lineRule="atLeast"/>
        <w:ind w:firstLine="669" w:firstLineChars="300"/>
        <w:rPr>
          <w:rFonts w:ascii="宋体" w:hAnsi="宋体" w:cs="宋体"/>
          <w:color w:val="auto"/>
          <w:sz w:val="22"/>
          <w:highlight w:val="none"/>
          <w:lang w:val="zh-CN"/>
        </w:rPr>
      </w:pPr>
      <w:bookmarkStart w:id="15" w:name="_Toc9317_WPSOffice_Level3"/>
      <w:r>
        <w:rPr>
          <w:rFonts w:hint="eastAsia" w:ascii="宋体" w:hAnsi="宋体" w:cs="宋体"/>
          <w:color w:val="auto"/>
          <w:sz w:val="22"/>
          <w:highlight w:val="none"/>
          <w:lang w:val="zh-CN"/>
        </w:rPr>
        <w:t>2.竞争性磋商文件的澄清</w:t>
      </w:r>
      <w:bookmarkEnd w:id="15"/>
    </w:p>
    <w:p>
      <w:pPr>
        <w:tabs>
          <w:tab w:val="left" w:pos="1069"/>
          <w:tab w:val="left" w:pos="2352"/>
        </w:tabs>
        <w:autoSpaceDE w:val="0"/>
        <w:autoSpaceDN w:val="0"/>
        <w:adjustRightInd w:val="0"/>
        <w:spacing w:line="400" w:lineRule="atLeas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供应商对竞争性磋商文件如有疑点要求澄清，或认为有必要与采购人进行技术交流，可用书面形式（包括信函、传真，下同）通知采购机构，但通知应在竞争性磋商文件规定的质疑期前使采购人或其代理机构收到，采购人或其代理机构将用书面形式予以答复。如有必要，可将不说明来源的答复发给各有关供应商或并将此答复通知放至相关网站公示。逾期的质疑不予接受。</w:t>
      </w:r>
    </w:p>
    <w:p>
      <w:pPr>
        <w:tabs>
          <w:tab w:val="left" w:pos="1069"/>
          <w:tab w:val="left" w:pos="2352"/>
        </w:tabs>
        <w:autoSpaceDE w:val="0"/>
        <w:autoSpaceDN w:val="0"/>
        <w:adjustRightInd w:val="0"/>
        <w:spacing w:line="400" w:lineRule="atLeast"/>
        <w:ind w:firstLine="446" w:firstLineChars="200"/>
        <w:rPr>
          <w:rFonts w:ascii="宋体" w:hAnsi="宋体" w:cs="宋体"/>
          <w:color w:val="auto"/>
          <w:sz w:val="22"/>
          <w:highlight w:val="none"/>
          <w:lang w:val="zh-CN"/>
        </w:rPr>
      </w:pPr>
      <w:bookmarkStart w:id="16" w:name="_Toc6226_WPSOffice_Level3"/>
      <w:r>
        <w:rPr>
          <w:rFonts w:hint="eastAsia" w:ascii="宋体" w:hAnsi="宋体" w:cs="宋体"/>
          <w:color w:val="auto"/>
          <w:sz w:val="22"/>
          <w:highlight w:val="none"/>
          <w:lang w:val="zh-CN"/>
        </w:rPr>
        <w:t>3.竞争性磋商文件的修改</w:t>
      </w:r>
      <w:bookmarkEnd w:id="16"/>
    </w:p>
    <w:p>
      <w:pPr>
        <w:tabs>
          <w:tab w:val="left" w:pos="1069"/>
          <w:tab w:val="left" w:pos="2352"/>
        </w:tabs>
        <w:autoSpaceDE w:val="0"/>
        <w:autoSpaceDN w:val="0"/>
        <w:adjustRightInd w:val="0"/>
        <w:spacing w:line="400" w:lineRule="atLeas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3.1</w:t>
      </w:r>
      <w:r>
        <w:rPr>
          <w:rFonts w:hint="eastAsia" w:ascii="宋体" w:hAnsi="宋体" w:cs="宋体"/>
          <w:color w:val="auto"/>
          <w:sz w:val="22"/>
          <w:highlight w:val="none"/>
        </w:rPr>
        <w:t xml:space="preserve"> </w:t>
      </w:r>
      <w:r>
        <w:rPr>
          <w:rFonts w:hint="eastAsia" w:ascii="宋体" w:hAnsi="宋体" w:cs="宋体"/>
          <w:color w:val="auto"/>
          <w:sz w:val="22"/>
          <w:highlight w:val="none"/>
          <w:lang w:val="zh-CN"/>
        </w:rPr>
        <w:t>在投标截止时间前，采购人或采购机构有权修改竞争性磋商文件，并通知供应商。补充文件作为竞争性磋商文件的补充和组成部分，对所有供应商均有约束力。</w:t>
      </w:r>
    </w:p>
    <w:p>
      <w:pPr>
        <w:tabs>
          <w:tab w:val="left" w:pos="1069"/>
          <w:tab w:val="left" w:pos="2352"/>
        </w:tabs>
        <w:autoSpaceDE w:val="0"/>
        <w:autoSpaceDN w:val="0"/>
        <w:adjustRightInd w:val="0"/>
        <w:spacing w:line="400" w:lineRule="atLeast"/>
        <w:ind w:firstLine="446" w:firstLineChars="200"/>
        <w:rPr>
          <w:rFonts w:ascii="宋体" w:hAnsi="宋体" w:cs="宋体"/>
          <w:b/>
          <w:color w:val="auto"/>
          <w:sz w:val="22"/>
          <w:highlight w:val="none"/>
          <w:lang w:val="zh-CN"/>
        </w:rPr>
      </w:pPr>
      <w:r>
        <w:rPr>
          <w:rFonts w:hint="eastAsia" w:ascii="宋体" w:hAnsi="宋体" w:cs="宋体"/>
          <w:color w:val="auto"/>
          <w:sz w:val="22"/>
          <w:highlight w:val="none"/>
          <w:lang w:val="zh-CN"/>
        </w:rPr>
        <w:t>3.2</w:t>
      </w:r>
      <w:r>
        <w:rPr>
          <w:rFonts w:hint="eastAsia" w:ascii="宋体" w:hAnsi="宋体" w:cs="宋体"/>
          <w:color w:val="auto"/>
          <w:sz w:val="22"/>
          <w:highlight w:val="none"/>
        </w:rPr>
        <w:t xml:space="preserve"> </w:t>
      </w:r>
      <w:r>
        <w:rPr>
          <w:rFonts w:hint="eastAsia" w:ascii="宋体" w:hAnsi="宋体" w:cs="宋体"/>
          <w:color w:val="auto"/>
          <w:sz w:val="22"/>
          <w:highlight w:val="none"/>
          <w:lang w:val="zh-CN"/>
        </w:rPr>
        <w:t>为使供应商有足够的时间按竞争性磋商文件要求修正投标（响应）文件，采购人按相关规定推迟投标截止时间和开标时间，并将此变更通知放至相关网站公示。</w:t>
      </w:r>
    </w:p>
    <w:p>
      <w:pPr>
        <w:tabs>
          <w:tab w:val="left" w:pos="1069"/>
          <w:tab w:val="left" w:pos="2352"/>
        </w:tabs>
        <w:autoSpaceDE w:val="0"/>
        <w:autoSpaceDN w:val="0"/>
        <w:adjustRightInd w:val="0"/>
        <w:spacing w:line="400" w:lineRule="atLeast"/>
        <w:ind w:firstLine="446" w:firstLineChars="200"/>
        <w:rPr>
          <w:rFonts w:ascii="宋体" w:hAnsi="宋体" w:cs="宋体"/>
          <w:b/>
          <w:color w:val="auto"/>
          <w:sz w:val="22"/>
          <w:highlight w:val="none"/>
          <w:lang w:val="zh-CN"/>
        </w:rPr>
      </w:pPr>
      <w:bookmarkStart w:id="17" w:name="_Toc4378_WPSOffice_Level2"/>
      <w:r>
        <w:rPr>
          <w:rFonts w:hint="eastAsia" w:ascii="宋体" w:hAnsi="宋体" w:cs="宋体"/>
          <w:b/>
          <w:color w:val="auto"/>
          <w:sz w:val="22"/>
          <w:highlight w:val="none"/>
        </w:rPr>
        <w:t>三</w:t>
      </w:r>
      <w:r>
        <w:rPr>
          <w:rFonts w:hint="eastAsia" w:ascii="宋体" w:hAnsi="宋体" w:cs="宋体"/>
          <w:b/>
          <w:color w:val="auto"/>
          <w:sz w:val="22"/>
          <w:highlight w:val="none"/>
          <w:lang w:val="zh-CN"/>
        </w:rPr>
        <w:t>、</w:t>
      </w:r>
      <w:bookmarkEnd w:id="17"/>
      <w:r>
        <w:rPr>
          <w:rFonts w:hint="eastAsia" w:ascii="宋体" w:hAnsi="宋体" w:cs="宋体"/>
          <w:b/>
          <w:color w:val="auto"/>
          <w:sz w:val="22"/>
          <w:highlight w:val="none"/>
          <w:lang w:val="zh-CN"/>
        </w:rPr>
        <w:t>投标（响应）文件</w:t>
      </w:r>
    </w:p>
    <w:p>
      <w:pPr>
        <w:tabs>
          <w:tab w:val="left" w:pos="1069"/>
          <w:tab w:val="left" w:pos="2352"/>
        </w:tabs>
        <w:autoSpaceDE w:val="0"/>
        <w:autoSpaceDN w:val="0"/>
        <w:adjustRightInd w:val="0"/>
        <w:spacing w:line="400" w:lineRule="atLeas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1.投标（响应）文件</w:t>
      </w:r>
    </w:p>
    <w:p>
      <w:pPr>
        <w:tabs>
          <w:tab w:val="left" w:pos="1069"/>
          <w:tab w:val="left" w:pos="2352"/>
        </w:tabs>
        <w:autoSpaceDE w:val="0"/>
        <w:autoSpaceDN w:val="0"/>
        <w:adjustRightInd w:val="0"/>
        <w:spacing w:line="400" w:lineRule="atLeast"/>
        <w:ind w:firstLine="446" w:firstLineChars="200"/>
        <w:textAlignment w:val="bottom"/>
        <w:rPr>
          <w:rFonts w:ascii="宋体" w:hAnsi="宋体" w:cs="宋体"/>
          <w:color w:val="auto"/>
          <w:sz w:val="22"/>
          <w:highlight w:val="none"/>
        </w:rPr>
      </w:pPr>
      <w:r>
        <w:rPr>
          <w:rFonts w:hint="eastAsia" w:ascii="宋体" w:hAnsi="宋体" w:cs="宋体"/>
          <w:color w:val="auto"/>
          <w:sz w:val="22"/>
          <w:highlight w:val="none"/>
          <w:lang w:val="zh-CN"/>
        </w:rPr>
        <w:t>1.1</w:t>
      </w:r>
      <w:r>
        <w:rPr>
          <w:rFonts w:hint="eastAsia" w:ascii="宋体" w:hAnsi="宋体" w:cs="宋体"/>
          <w:color w:val="auto"/>
          <w:sz w:val="22"/>
          <w:highlight w:val="none"/>
        </w:rPr>
        <w:t xml:space="preserve"> 供应商应仔细阅读竞争性磋商文件中的所有内容，按照竞争性磋商文件要求，详细编制投标（响应）文件。并对竞争性磋商文件的要求做出实质上响应。实质上响应的报价应该是与竞争性磋商文件要求没有重大偏离的投标（响应）文件。未实质上响应的投标（响应）文件将被拒绝，但允许供应商在基本满足采购要求的前提下出现的微小差异。</w:t>
      </w:r>
    </w:p>
    <w:p>
      <w:pPr>
        <w:tabs>
          <w:tab w:val="left" w:pos="1069"/>
          <w:tab w:val="left" w:pos="2352"/>
        </w:tabs>
        <w:autoSpaceDE w:val="0"/>
        <w:autoSpaceDN w:val="0"/>
        <w:adjustRightInd w:val="0"/>
        <w:spacing w:line="400" w:lineRule="atLeast"/>
        <w:ind w:firstLine="446" w:firstLineChars="200"/>
        <w:textAlignment w:val="bottom"/>
        <w:rPr>
          <w:rFonts w:ascii="宋体" w:hAnsi="宋体" w:cs="宋体"/>
          <w:color w:val="auto"/>
          <w:sz w:val="22"/>
          <w:highlight w:val="none"/>
        </w:rPr>
      </w:pPr>
      <w:r>
        <w:rPr>
          <w:rFonts w:hint="eastAsia" w:ascii="宋体" w:hAnsi="宋体" w:cs="宋体"/>
          <w:color w:val="auto"/>
          <w:sz w:val="22"/>
          <w:highlight w:val="none"/>
          <w:lang w:val="zh-CN"/>
        </w:rPr>
        <w:t>1.2</w:t>
      </w:r>
      <w:r>
        <w:rPr>
          <w:rFonts w:hint="eastAsia" w:ascii="宋体" w:hAnsi="宋体" w:cs="宋体"/>
          <w:color w:val="auto"/>
          <w:sz w:val="22"/>
          <w:highlight w:val="none"/>
        </w:rPr>
        <w:t xml:space="preserve"> 供应商必须按竞争性磋商文件的要求提供相关技术参数、资料，包括采用的计量单位，并保证投标（响应）文件的正确性和真实性。投标（响应）文件全部内容应保持一致，否则可能导致不利于其投标的评定甚至被拒绝。技术和商务如有偏离均应填写偏离表。</w:t>
      </w:r>
    </w:p>
    <w:p>
      <w:pPr>
        <w:tabs>
          <w:tab w:val="left" w:pos="1069"/>
          <w:tab w:val="left" w:pos="2352"/>
        </w:tabs>
        <w:autoSpaceDE w:val="0"/>
        <w:autoSpaceDN w:val="0"/>
        <w:adjustRightInd w:val="0"/>
        <w:spacing w:line="400" w:lineRule="atLeas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1.3</w:t>
      </w:r>
      <w:r>
        <w:rPr>
          <w:rFonts w:hint="eastAsia" w:ascii="宋体" w:hAnsi="宋体" w:cs="宋体"/>
          <w:color w:val="auto"/>
          <w:sz w:val="22"/>
          <w:highlight w:val="none"/>
        </w:rPr>
        <w:t xml:space="preserve"> </w:t>
      </w:r>
      <w:r>
        <w:rPr>
          <w:rFonts w:hint="eastAsia" w:ascii="宋体" w:hAnsi="宋体" w:cs="宋体"/>
          <w:color w:val="auto"/>
          <w:sz w:val="22"/>
          <w:highlight w:val="none"/>
          <w:lang w:val="zh-CN"/>
        </w:rPr>
        <w:t>供应商应仔细阅读竞争性磋商文件中的所有内容，按照竞争性磋商文件要求，详细编制投标（响应）文件，所有文件资料必须是针对本次投标。不按竞争性磋商文件的要求提供的投标（响应）文件可能导致被拒绝。</w:t>
      </w:r>
    </w:p>
    <w:p>
      <w:pPr>
        <w:tabs>
          <w:tab w:val="left" w:pos="1069"/>
          <w:tab w:val="left" w:pos="2352"/>
        </w:tabs>
        <w:autoSpaceDE w:val="0"/>
        <w:autoSpaceDN w:val="0"/>
        <w:adjustRightInd w:val="0"/>
        <w:snapToGrid w:val="0"/>
        <w:spacing w:line="400" w:lineRule="atLeas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2.投标（响应）文件的组成</w:t>
      </w:r>
    </w:p>
    <w:p>
      <w:pPr>
        <w:tabs>
          <w:tab w:val="left" w:pos="1069"/>
          <w:tab w:val="left" w:pos="2352"/>
        </w:tabs>
        <w:autoSpaceDE w:val="0"/>
        <w:autoSpaceDN w:val="0"/>
        <w:adjustRightInd w:val="0"/>
        <w:snapToGrid w:val="0"/>
        <w:spacing w:line="400" w:lineRule="atLeast"/>
        <w:ind w:firstLine="446" w:firstLineChars="200"/>
        <w:rPr>
          <w:rFonts w:ascii="宋体" w:hAnsi="宋体" w:cs="宋体"/>
          <w:b/>
          <w:bCs/>
          <w:color w:val="auto"/>
          <w:sz w:val="22"/>
          <w:highlight w:val="none"/>
          <w:u w:val="single"/>
          <w:lang w:val="zh-CN"/>
        </w:rPr>
      </w:pPr>
      <w:r>
        <w:rPr>
          <w:rFonts w:hint="eastAsia" w:ascii="宋体" w:hAnsi="宋体" w:cs="宋体"/>
          <w:b/>
          <w:bCs/>
          <w:color w:val="auto"/>
          <w:sz w:val="22"/>
          <w:highlight w:val="none"/>
          <w:u w:val="single"/>
        </w:rPr>
        <w:t>投标文件由《资格文件》《商务技术文件》《报价文件》三部分组成。</w:t>
      </w:r>
    </w:p>
    <w:p>
      <w:pPr>
        <w:tabs>
          <w:tab w:val="left" w:pos="1069"/>
          <w:tab w:val="left" w:pos="2352"/>
        </w:tabs>
        <w:autoSpaceDE w:val="0"/>
        <w:autoSpaceDN w:val="0"/>
        <w:adjustRightInd w:val="0"/>
        <w:snapToGrid w:val="0"/>
        <w:spacing w:line="400" w:lineRule="atLeast"/>
        <w:ind w:firstLine="446" w:firstLineChars="200"/>
        <w:rPr>
          <w:rFonts w:ascii="宋体" w:hAnsi="宋体" w:cs="宋体"/>
          <w:b/>
          <w:color w:val="auto"/>
          <w:sz w:val="22"/>
          <w:highlight w:val="none"/>
          <w:lang w:val="zh-CN"/>
        </w:rPr>
      </w:pPr>
      <w:r>
        <w:rPr>
          <w:rFonts w:hint="eastAsia" w:ascii="宋体" w:hAnsi="宋体" w:cs="宋体"/>
          <w:color w:val="auto"/>
          <w:sz w:val="22"/>
          <w:highlight w:val="none"/>
          <w:lang w:val="zh-CN"/>
        </w:rPr>
        <w:t>2.1</w:t>
      </w:r>
      <w:r>
        <w:rPr>
          <w:rFonts w:hint="eastAsia" w:ascii="宋体" w:hAnsi="宋体" w:cs="宋体"/>
          <w:color w:val="auto"/>
          <w:sz w:val="22"/>
          <w:highlight w:val="none"/>
        </w:rPr>
        <w:t xml:space="preserve"> </w:t>
      </w:r>
      <w:r>
        <w:rPr>
          <w:rFonts w:hint="eastAsia" w:ascii="宋体" w:hAnsi="宋体" w:cs="宋体"/>
          <w:b/>
          <w:bCs/>
          <w:color w:val="auto"/>
          <w:sz w:val="22"/>
          <w:highlight w:val="none"/>
        </w:rPr>
        <w:t>《报价文件》</w:t>
      </w:r>
      <w:r>
        <w:rPr>
          <w:rFonts w:hint="eastAsia" w:ascii="宋体" w:hAnsi="宋体" w:cs="宋体"/>
          <w:b/>
          <w:bCs/>
          <w:color w:val="auto"/>
          <w:sz w:val="22"/>
          <w:highlight w:val="none"/>
          <w:lang w:val="zh-CN"/>
        </w:rPr>
        <w:t>组成</w:t>
      </w:r>
    </w:p>
    <w:tbl>
      <w:tblPr>
        <w:tblStyle w:val="24"/>
        <w:tblW w:w="9520"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8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84" w:type="dxa"/>
          </w:tcPr>
          <w:p>
            <w:p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bookmarkStart w:id="18" w:name="_Toc132122113"/>
            <w:bookmarkStart w:id="19" w:name="_Toc132122410"/>
            <w:r>
              <w:rPr>
                <w:rFonts w:hint="eastAsia" w:ascii="宋体" w:hAnsi="宋体" w:cs="宋体"/>
                <w:color w:val="auto"/>
                <w:sz w:val="22"/>
                <w:highlight w:val="none"/>
                <w:lang w:val="zh-CN"/>
              </w:rPr>
              <w:t>序号</w:t>
            </w:r>
          </w:p>
        </w:tc>
        <w:tc>
          <w:tcPr>
            <w:tcW w:w="8736" w:type="dxa"/>
          </w:tcPr>
          <w:p>
            <w:p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r>
              <w:rPr>
                <w:rFonts w:hint="eastAsia" w:ascii="宋体" w:hAnsi="宋体" w:cs="宋体"/>
                <w:color w:val="auto"/>
                <w:sz w:val="22"/>
                <w:highlight w:val="none"/>
                <w:lang w:val="zh-CN"/>
              </w:rPr>
              <w:t>内容（▲序号</w:t>
            </w:r>
            <w:r>
              <w:rPr>
                <w:rFonts w:hint="eastAsia" w:ascii="宋体" w:hAnsi="宋体" w:cs="宋体"/>
                <w:color w:val="auto"/>
                <w:sz w:val="22"/>
                <w:highlight w:val="none"/>
              </w:rPr>
              <w:t>1</w:t>
            </w:r>
            <w:r>
              <w:rPr>
                <w:rFonts w:hint="eastAsia" w:ascii="宋体" w:hAnsi="宋体" w:cs="宋体"/>
                <w:color w:val="auto"/>
                <w:sz w:val="22"/>
                <w:highlight w:val="none"/>
                <w:lang w:val="zh-CN"/>
              </w:rPr>
              <w:t>项供应商必须提供，否则不能通过符合性审查的，责任自负）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pPr>
              <w:numPr>
                <w:ilvl w:val="0"/>
                <w:numId w:val="5"/>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36" w:type="dxa"/>
          </w:tcPr>
          <w:p>
            <w:pPr>
              <w:tabs>
                <w:tab w:val="left" w:pos="1069"/>
                <w:tab w:val="left" w:pos="2352"/>
              </w:tabs>
              <w:autoSpaceDE w:val="0"/>
              <w:autoSpaceDN w:val="0"/>
              <w:adjustRightInd w:val="0"/>
              <w:spacing w:line="430" w:lineRule="atLeast"/>
              <w:textAlignment w:val="bottom"/>
              <w:rPr>
                <w:rFonts w:ascii="宋体" w:hAnsi="宋体" w:cs="宋体"/>
                <w:color w:val="auto"/>
                <w:sz w:val="22"/>
                <w:highlight w:val="none"/>
              </w:rPr>
            </w:pPr>
            <w:r>
              <w:rPr>
                <w:rFonts w:hint="eastAsia" w:ascii="宋体" w:hAnsi="宋体" w:cs="宋体"/>
                <w:color w:val="auto"/>
                <w:sz w:val="22"/>
                <w:highlight w:val="none"/>
              </w:rPr>
              <w:t>开标（报价）一览表（附件一）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pPr>
              <w:numPr>
                <w:ilvl w:val="0"/>
                <w:numId w:val="5"/>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36" w:type="dxa"/>
          </w:tcPr>
          <w:p>
            <w:pPr>
              <w:tabs>
                <w:tab w:val="left" w:pos="1069"/>
                <w:tab w:val="left" w:pos="2352"/>
              </w:tabs>
              <w:autoSpaceDE w:val="0"/>
              <w:autoSpaceDN w:val="0"/>
              <w:adjustRightInd w:val="0"/>
              <w:spacing w:line="430" w:lineRule="atLeast"/>
              <w:textAlignment w:val="bottom"/>
              <w:rPr>
                <w:rFonts w:ascii="宋体" w:hAnsi="宋体" w:cs="宋体"/>
                <w:color w:val="auto"/>
                <w:sz w:val="22"/>
                <w:highlight w:val="none"/>
              </w:rPr>
            </w:pPr>
            <w:r>
              <w:rPr>
                <w:rFonts w:hint="eastAsia" w:ascii="宋体" w:hAnsi="宋体" w:cs="宋体"/>
                <w:color w:val="auto"/>
                <w:sz w:val="22"/>
                <w:highlight w:val="none"/>
              </w:rPr>
              <w:t>投标分项报价表（附件二）</w:t>
            </w:r>
          </w:p>
        </w:tc>
      </w:tr>
      <w:bookmarkEnd w:id="18"/>
      <w:bookmarkEnd w:id="19"/>
    </w:tbl>
    <w:p>
      <w:pPr>
        <w:tabs>
          <w:tab w:val="left" w:pos="1069"/>
          <w:tab w:val="left" w:pos="2352"/>
        </w:tabs>
        <w:autoSpaceDE w:val="0"/>
        <w:autoSpaceDN w:val="0"/>
        <w:adjustRightInd w:val="0"/>
        <w:snapToGrid w:val="0"/>
        <w:spacing w:line="430" w:lineRule="atLeast"/>
        <w:ind w:firstLine="446" w:firstLineChars="200"/>
        <w:textAlignment w:val="bottom"/>
        <w:rPr>
          <w:rFonts w:ascii="宋体" w:hAnsi="宋体" w:cs="宋体"/>
          <w:color w:val="auto"/>
          <w:sz w:val="22"/>
          <w:highlight w:val="none"/>
        </w:rPr>
      </w:pPr>
      <w:r>
        <w:rPr>
          <w:rFonts w:hint="eastAsia" w:ascii="宋体" w:hAnsi="宋体" w:cs="宋体"/>
          <w:color w:val="auto"/>
          <w:sz w:val="22"/>
          <w:highlight w:val="none"/>
        </w:rPr>
        <w:t xml:space="preserve">2.2 </w:t>
      </w:r>
      <w:r>
        <w:rPr>
          <w:rFonts w:hint="eastAsia" w:ascii="宋体" w:hAnsi="宋体" w:cs="宋体"/>
          <w:b/>
          <w:bCs/>
          <w:color w:val="auto"/>
          <w:sz w:val="22"/>
          <w:highlight w:val="none"/>
        </w:rPr>
        <w:t>《资格文件》组成</w:t>
      </w:r>
    </w:p>
    <w:tbl>
      <w:tblPr>
        <w:tblStyle w:val="24"/>
        <w:tblW w:w="9520"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r>
              <w:rPr>
                <w:rFonts w:hint="eastAsia" w:ascii="宋体" w:hAnsi="宋体" w:cs="宋体"/>
                <w:color w:val="auto"/>
                <w:sz w:val="22"/>
                <w:highlight w:val="none"/>
                <w:lang w:val="zh-CN"/>
              </w:rPr>
              <w:t>序号</w:t>
            </w:r>
          </w:p>
        </w:tc>
        <w:tc>
          <w:tcPr>
            <w:tcW w:w="8747" w:type="dxa"/>
          </w:tcPr>
          <w:p>
            <w:p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r>
              <w:rPr>
                <w:rFonts w:hint="eastAsia" w:ascii="宋体" w:hAnsi="宋体" w:cs="宋体"/>
                <w:color w:val="auto"/>
                <w:sz w:val="22"/>
                <w:highlight w:val="none"/>
                <w:lang w:val="zh-CN"/>
              </w:rPr>
              <w:t>内容（▲</w:t>
            </w:r>
            <w:r>
              <w:rPr>
                <w:rFonts w:hint="eastAsia" w:ascii="宋体" w:hAnsi="宋体" w:cs="宋体"/>
                <w:color w:val="auto"/>
                <w:sz w:val="22"/>
                <w:highlight w:val="none"/>
              </w:rPr>
              <w:t>下列项</w:t>
            </w:r>
            <w:r>
              <w:rPr>
                <w:rFonts w:hint="eastAsia" w:ascii="宋体" w:hAnsi="宋体" w:cs="宋体"/>
                <w:color w:val="auto"/>
                <w:sz w:val="22"/>
                <w:highlight w:val="none"/>
                <w:lang w:val="zh-CN"/>
              </w:rPr>
              <w:t>供应商必须提供，否则不能通过符合性审查的，责任自负）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Pr>
          <w:p>
            <w:pPr>
              <w:numPr>
                <w:ilvl w:val="0"/>
                <w:numId w:val="6"/>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p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r>
              <w:rPr>
                <w:rFonts w:hint="eastAsia" w:ascii="宋体" w:hAnsi="宋体" w:cs="宋体"/>
                <w:color w:val="auto"/>
                <w:sz w:val="22"/>
                <w:highlight w:val="none"/>
              </w:rPr>
              <w:t>供应商的营业执照、税务登记证（如为多证合一仅需提供营业执照）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6"/>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pPr>
              <w:tabs>
                <w:tab w:val="left" w:pos="1069"/>
                <w:tab w:val="left" w:pos="2352"/>
              </w:tabs>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highlight w:val="none"/>
              </w:rPr>
              <w:t>投标供应商近期财务报表（扫描件加盖公章，新成立企业应提供情况说明）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6"/>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pPr>
              <w:tabs>
                <w:tab w:val="left" w:pos="1069"/>
                <w:tab w:val="left" w:pos="2352"/>
              </w:tabs>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highlight w:val="none"/>
              </w:rPr>
              <w:t>具有履行合同所必需的设备和专业技术能力的承诺函（附件三）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6"/>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pPr>
              <w:tabs>
                <w:tab w:val="left" w:pos="1069"/>
                <w:tab w:val="left" w:pos="2352"/>
              </w:tabs>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highlight w:val="none"/>
              </w:rPr>
              <w:t>依法缴纳税收和社会保障资金的材料：纳税证明、社保缴纳证明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6"/>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pPr>
              <w:tabs>
                <w:tab w:val="left" w:pos="1069"/>
                <w:tab w:val="left" w:pos="2352"/>
              </w:tabs>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highlight w:val="none"/>
              </w:rPr>
              <w:t>参加政府采购活动前3年内在经营活动中没有重大违法记录的声明函（附件四）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Pr>
          <w:p>
            <w:pPr>
              <w:numPr>
                <w:ilvl w:val="0"/>
                <w:numId w:val="6"/>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vAlign w:val="center"/>
          </w:tcPr>
          <w:p>
            <w:pPr>
              <w:tabs>
                <w:tab w:val="left" w:pos="1069"/>
                <w:tab w:val="left" w:pos="2352"/>
              </w:tabs>
              <w:autoSpaceDE w:val="0"/>
              <w:autoSpaceDN w:val="0"/>
              <w:adjustRightInd w:val="0"/>
              <w:spacing w:line="260" w:lineRule="exact"/>
              <w:textAlignment w:val="bottom"/>
              <w:rPr>
                <w:rFonts w:ascii="宋体" w:hAnsi="宋体" w:cs="宋体"/>
                <w:color w:val="auto"/>
                <w:sz w:val="22"/>
                <w:highlight w:val="none"/>
              </w:rPr>
            </w:pPr>
            <w:r>
              <w:rPr>
                <w:rFonts w:hint="eastAsia" w:ascii="宋体" w:hAnsi="宋体" w:cs="宋体"/>
                <w:color w:val="auto"/>
                <w:sz w:val="22"/>
                <w:highlight w:val="none"/>
              </w:rPr>
              <w:t>供应商“信用中国”(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sz w:val="22"/>
                <w:highlight w:val="none"/>
              </w:rPr>
              <w:t>www.creditchina.gov.cn</w:t>
            </w:r>
            <w:r>
              <w:rPr>
                <w:rFonts w:hint="eastAsia" w:ascii="宋体" w:hAnsi="宋体" w:cs="宋体"/>
                <w:color w:val="auto"/>
                <w:sz w:val="22"/>
                <w:highlight w:val="none"/>
              </w:rPr>
              <w:fldChar w:fldCharType="end"/>
            </w:r>
            <w:r>
              <w:rPr>
                <w:rFonts w:hint="eastAsia" w:ascii="宋体" w:hAnsi="宋体" w:cs="宋体"/>
                <w:color w:val="auto"/>
                <w:sz w:val="22"/>
                <w:highlight w:val="none"/>
              </w:rPr>
              <w:t>)；“中国政府采购网”（http://www.ccgp.gov.cn/）信用记录网页截图（招标公告发布之日至投标截止时间前均可）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Pr>
          <w:p>
            <w:pPr>
              <w:numPr>
                <w:ilvl w:val="0"/>
                <w:numId w:val="6"/>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vAlign w:val="center"/>
          </w:tcPr>
          <w:p>
            <w:pPr>
              <w:tabs>
                <w:tab w:val="left" w:pos="1069"/>
                <w:tab w:val="left" w:pos="2352"/>
              </w:tabs>
              <w:autoSpaceDE w:val="0"/>
              <w:autoSpaceDN w:val="0"/>
              <w:adjustRightInd w:val="0"/>
              <w:spacing w:line="260" w:lineRule="exact"/>
              <w:textAlignment w:val="bottom"/>
              <w:rPr>
                <w:rFonts w:ascii="宋体" w:hAnsi="宋体" w:cs="宋体"/>
                <w:color w:val="auto"/>
                <w:sz w:val="22"/>
                <w:highlight w:val="none"/>
              </w:rPr>
            </w:pPr>
            <w:r>
              <w:rPr>
                <w:rFonts w:hint="eastAsia" w:ascii="宋体" w:hAnsi="宋体" w:cs="宋体"/>
                <w:color w:val="auto"/>
                <w:sz w:val="22"/>
                <w:highlight w:val="none"/>
              </w:rPr>
              <w:t>法定代表人授权书（附件五）</w:t>
            </w:r>
          </w:p>
        </w:tc>
      </w:tr>
    </w:tbl>
    <w:p>
      <w:pPr>
        <w:tabs>
          <w:tab w:val="left" w:pos="1069"/>
          <w:tab w:val="left" w:pos="2352"/>
        </w:tabs>
        <w:autoSpaceDE w:val="0"/>
        <w:autoSpaceDN w:val="0"/>
        <w:adjustRightInd w:val="0"/>
        <w:snapToGrid w:val="0"/>
        <w:spacing w:line="430" w:lineRule="atLeast"/>
        <w:ind w:firstLine="446" w:firstLineChars="200"/>
        <w:textAlignment w:val="bottom"/>
        <w:rPr>
          <w:rFonts w:ascii="宋体" w:hAnsi="宋体" w:cs="宋体"/>
          <w:color w:val="auto"/>
          <w:sz w:val="22"/>
          <w:highlight w:val="none"/>
        </w:rPr>
      </w:pPr>
      <w:r>
        <w:rPr>
          <w:rFonts w:hint="eastAsia" w:ascii="宋体" w:hAnsi="宋体" w:cs="宋体"/>
          <w:color w:val="auto"/>
          <w:sz w:val="22"/>
          <w:highlight w:val="none"/>
        </w:rPr>
        <w:t xml:space="preserve">2.3 </w:t>
      </w:r>
      <w:r>
        <w:rPr>
          <w:rFonts w:hint="eastAsia" w:ascii="宋体" w:hAnsi="宋体" w:cs="宋体"/>
          <w:b/>
          <w:bCs/>
          <w:color w:val="auto"/>
          <w:sz w:val="22"/>
          <w:highlight w:val="none"/>
        </w:rPr>
        <w:t>《商务技术文件》组成</w:t>
      </w:r>
    </w:p>
    <w:tbl>
      <w:tblPr>
        <w:tblStyle w:val="24"/>
        <w:tblW w:w="9520"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r>
              <w:rPr>
                <w:rFonts w:hint="eastAsia" w:ascii="宋体" w:hAnsi="宋体" w:cs="宋体"/>
                <w:color w:val="auto"/>
                <w:sz w:val="22"/>
                <w:highlight w:val="none"/>
                <w:lang w:val="zh-CN"/>
              </w:rPr>
              <w:t>序号</w:t>
            </w:r>
          </w:p>
        </w:tc>
        <w:tc>
          <w:tcPr>
            <w:tcW w:w="8747" w:type="dxa"/>
          </w:tcPr>
          <w:p>
            <w:p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r>
              <w:rPr>
                <w:rFonts w:hint="eastAsia" w:ascii="宋体" w:hAnsi="宋体" w:cs="宋体"/>
                <w:color w:val="auto"/>
                <w:sz w:val="22"/>
                <w:highlight w:val="none"/>
                <w:lang w:val="zh-CN"/>
              </w:rPr>
              <w:t>内容（▲序号1</w:t>
            </w:r>
            <w:r>
              <w:rPr>
                <w:rFonts w:hint="eastAsia" w:ascii="宋体" w:hAnsi="宋体" w:cs="宋体"/>
                <w:color w:val="auto"/>
                <w:sz w:val="22"/>
                <w:highlight w:val="none"/>
              </w:rPr>
              <w:t>-6</w:t>
            </w:r>
            <w:r>
              <w:rPr>
                <w:rFonts w:hint="eastAsia" w:ascii="宋体" w:hAnsi="宋体" w:cs="宋体"/>
                <w:color w:val="auto"/>
                <w:sz w:val="22"/>
                <w:highlight w:val="none"/>
                <w:lang w:val="zh-CN"/>
              </w:rPr>
              <w:t>项供应商必须提供，否则不能通过符合性审查的，责任自负）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73" w:type="dxa"/>
          </w:tcPr>
          <w:p>
            <w:pPr>
              <w:numPr>
                <w:ilvl w:val="0"/>
                <w:numId w:val="7"/>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pPr>
              <w:tabs>
                <w:tab w:val="left" w:pos="1069"/>
                <w:tab w:val="left" w:pos="2352"/>
              </w:tabs>
              <w:autoSpaceDE w:val="0"/>
              <w:autoSpaceDN w:val="0"/>
              <w:adjustRightInd w:val="0"/>
              <w:snapToGrid w:val="0"/>
              <w:spacing w:line="430" w:lineRule="atLeast"/>
              <w:rPr>
                <w:rFonts w:ascii="宋体" w:hAnsi="宋体" w:cs="宋体"/>
                <w:b/>
                <w:bCs/>
                <w:color w:val="auto"/>
                <w:sz w:val="22"/>
                <w:highlight w:val="none"/>
                <w:lang w:val="zh-CN"/>
              </w:rPr>
            </w:pPr>
            <w:r>
              <w:rPr>
                <w:rFonts w:hint="eastAsia" w:ascii="宋体" w:hAnsi="宋体" w:cs="宋体"/>
                <w:b/>
                <w:bCs/>
                <w:color w:val="auto"/>
                <w:sz w:val="22"/>
                <w:highlight w:val="none"/>
              </w:rPr>
              <w:t>报价函（附件六）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7"/>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pPr>
              <w:tabs>
                <w:tab w:val="left" w:pos="1069"/>
                <w:tab w:val="left" w:pos="2352"/>
              </w:tabs>
              <w:autoSpaceDE w:val="0"/>
              <w:autoSpaceDN w:val="0"/>
              <w:adjustRightInd w:val="0"/>
              <w:snapToGrid w:val="0"/>
              <w:spacing w:line="430" w:lineRule="atLeast"/>
              <w:rPr>
                <w:rFonts w:ascii="宋体" w:hAnsi="宋体" w:cs="宋体"/>
                <w:b/>
                <w:bCs/>
                <w:color w:val="auto"/>
                <w:sz w:val="22"/>
                <w:highlight w:val="none"/>
                <w:lang w:val="zh-CN"/>
              </w:rPr>
            </w:pPr>
            <w:r>
              <w:rPr>
                <w:rFonts w:hint="eastAsia" w:ascii="宋体" w:hAnsi="宋体" w:cs="宋体"/>
                <w:b/>
                <w:bCs/>
                <w:color w:val="auto"/>
                <w:sz w:val="22"/>
                <w:highlight w:val="none"/>
              </w:rPr>
              <w:t>供应商参与政府采购活动投标资格声明（附件七）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7"/>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pPr>
              <w:tabs>
                <w:tab w:val="left" w:pos="1069"/>
                <w:tab w:val="left" w:pos="2352"/>
              </w:tabs>
              <w:autoSpaceDE w:val="0"/>
              <w:autoSpaceDN w:val="0"/>
              <w:adjustRightInd w:val="0"/>
              <w:snapToGrid w:val="0"/>
              <w:spacing w:line="430" w:lineRule="atLeast"/>
              <w:rPr>
                <w:rFonts w:ascii="宋体" w:hAnsi="宋体" w:cs="宋体"/>
                <w:b/>
                <w:bCs/>
                <w:color w:val="auto"/>
                <w:sz w:val="22"/>
                <w:highlight w:val="none"/>
              </w:rPr>
            </w:pPr>
            <w:r>
              <w:rPr>
                <w:rFonts w:hint="eastAsia" w:ascii="宋体" w:hAnsi="宋体" w:cs="宋体"/>
                <w:b/>
                <w:bCs/>
                <w:color w:val="auto"/>
                <w:sz w:val="22"/>
                <w:highlight w:val="none"/>
              </w:rPr>
              <w:t>法定代表人诚信投标承诺书（附件八）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7"/>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pPr>
              <w:tabs>
                <w:tab w:val="left" w:pos="1069"/>
                <w:tab w:val="left" w:pos="2352"/>
              </w:tabs>
              <w:autoSpaceDE w:val="0"/>
              <w:autoSpaceDN w:val="0"/>
              <w:adjustRightInd w:val="0"/>
              <w:snapToGrid w:val="0"/>
              <w:spacing w:line="430" w:lineRule="atLeast"/>
              <w:rPr>
                <w:rFonts w:ascii="宋体" w:hAnsi="宋体" w:cs="宋体"/>
                <w:b/>
                <w:bCs/>
                <w:color w:val="auto"/>
                <w:sz w:val="22"/>
                <w:highlight w:val="none"/>
              </w:rPr>
            </w:pPr>
            <w:r>
              <w:rPr>
                <w:rFonts w:hint="eastAsia" w:ascii="宋体" w:hAnsi="宋体" w:cs="宋体"/>
                <w:b/>
                <w:bCs/>
                <w:color w:val="auto"/>
                <w:sz w:val="22"/>
                <w:highlight w:val="none"/>
              </w:rPr>
              <w:t>商务偏离表（附件九（一））、技术偏离表（附件九（二））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7"/>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pPr>
              <w:tabs>
                <w:tab w:val="left" w:pos="1069"/>
                <w:tab w:val="left" w:pos="2352"/>
              </w:tabs>
              <w:autoSpaceDE w:val="0"/>
              <w:autoSpaceDN w:val="0"/>
              <w:adjustRightInd w:val="0"/>
              <w:snapToGrid w:val="0"/>
              <w:spacing w:line="430" w:lineRule="atLeast"/>
              <w:rPr>
                <w:rFonts w:ascii="宋体" w:hAnsi="宋体" w:cs="宋体"/>
                <w:b/>
                <w:bCs/>
                <w:color w:val="auto"/>
                <w:sz w:val="22"/>
                <w:highlight w:val="none"/>
              </w:rPr>
            </w:pPr>
            <w:r>
              <w:rPr>
                <w:rFonts w:hint="eastAsia" w:ascii="宋体" w:hAnsi="宋体"/>
                <w:b/>
                <w:bCs/>
                <w:color w:val="auto"/>
                <w:sz w:val="22"/>
                <w:highlight w:val="none"/>
              </w:rPr>
              <w:t>技术方案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7"/>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pPr>
              <w:tabs>
                <w:tab w:val="left" w:pos="1069"/>
                <w:tab w:val="left" w:pos="2352"/>
              </w:tabs>
              <w:autoSpaceDE w:val="0"/>
              <w:autoSpaceDN w:val="0"/>
              <w:adjustRightInd w:val="0"/>
              <w:snapToGrid w:val="0"/>
              <w:spacing w:line="430" w:lineRule="atLeast"/>
              <w:rPr>
                <w:rFonts w:ascii="宋体" w:hAnsi="宋体" w:cs="宋体"/>
                <w:b/>
                <w:bCs/>
                <w:color w:val="auto"/>
                <w:sz w:val="22"/>
                <w:highlight w:val="none"/>
              </w:rPr>
            </w:pPr>
            <w:r>
              <w:rPr>
                <w:rFonts w:hint="eastAsia" w:ascii="宋体" w:hAnsi="宋体" w:cs="宋体"/>
                <w:b/>
                <w:bCs/>
                <w:color w:val="auto"/>
                <w:sz w:val="22"/>
                <w:highlight w:val="none"/>
              </w:rPr>
              <w:t>供应商项目服务人员汇总表（附件十）；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Pr>
          <w:p>
            <w:pPr>
              <w:numPr>
                <w:ilvl w:val="0"/>
                <w:numId w:val="7"/>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pPr>
              <w:tabs>
                <w:tab w:val="left" w:pos="1069"/>
                <w:tab w:val="left" w:pos="2352"/>
              </w:tabs>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highlight w:val="none"/>
              </w:rPr>
              <w:t>项目理解、质量关键点分析 、质量保证措施、服务承诺等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7"/>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pPr>
              <w:tabs>
                <w:tab w:val="left" w:pos="1069"/>
                <w:tab w:val="left" w:pos="2352"/>
              </w:tabs>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highlight w:val="none"/>
              </w:rPr>
              <w:t>距离采购人最近的服务机构的详细介绍、服务机构总负责人，电话，地址，技术力量配置等；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7"/>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pPr>
              <w:tabs>
                <w:tab w:val="left" w:pos="1069"/>
                <w:tab w:val="left" w:pos="2352"/>
              </w:tabs>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highlight w:val="none"/>
              </w:rPr>
              <w:t>供应商质量体系认证证书、供应商环境体系认证证书、供应商职业健康体系认证证书（（如有则提供）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7"/>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vAlign w:val="center"/>
          </w:tcPr>
          <w:p>
            <w:pPr>
              <w:tabs>
                <w:tab w:val="left" w:pos="1069"/>
                <w:tab w:val="left" w:pos="2352"/>
              </w:tabs>
              <w:autoSpaceDE w:val="0"/>
              <w:autoSpaceDN w:val="0"/>
              <w:adjustRightInd w:val="0"/>
              <w:snapToGrid w:val="0"/>
              <w:spacing w:line="430" w:lineRule="atLeast"/>
              <w:jc w:val="left"/>
              <w:rPr>
                <w:rFonts w:ascii="宋体" w:hAnsi="宋体" w:cs="宋体"/>
                <w:color w:val="auto"/>
                <w:sz w:val="22"/>
                <w:highlight w:val="none"/>
              </w:rPr>
            </w:pPr>
            <w:r>
              <w:rPr>
                <w:rFonts w:hint="eastAsia" w:ascii="宋体" w:hAnsi="宋体" w:cs="宋体"/>
                <w:color w:val="auto"/>
                <w:sz w:val="22"/>
                <w:highlight w:val="none"/>
              </w:rPr>
              <w:t>供应商资信等级证明等（如有则提供）；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7"/>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vAlign w:val="center"/>
          </w:tcPr>
          <w:p>
            <w:pPr>
              <w:tabs>
                <w:tab w:val="left" w:pos="1069"/>
                <w:tab w:val="left" w:pos="2352"/>
              </w:tabs>
              <w:autoSpaceDE w:val="0"/>
              <w:autoSpaceDN w:val="0"/>
              <w:adjustRightInd w:val="0"/>
              <w:snapToGrid w:val="0"/>
              <w:spacing w:line="430" w:lineRule="atLeast"/>
              <w:jc w:val="left"/>
              <w:rPr>
                <w:rFonts w:ascii="宋体" w:hAnsi="宋体" w:cs="宋体"/>
                <w:color w:val="auto"/>
                <w:sz w:val="22"/>
                <w:highlight w:val="none"/>
              </w:rPr>
            </w:pPr>
            <w:r>
              <w:rPr>
                <w:rFonts w:hint="eastAsia" w:ascii="宋体" w:hAnsi="宋体" w:cs="宋体"/>
                <w:color w:val="auto"/>
                <w:sz w:val="22"/>
                <w:highlight w:val="none"/>
              </w:rPr>
              <w:t>供应商曾经获得的政府部门或行业协会颁发的荣誉证书（如有则提供）；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7"/>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vAlign w:val="center"/>
          </w:tcPr>
          <w:p>
            <w:pPr>
              <w:tabs>
                <w:tab w:val="left" w:pos="1069"/>
                <w:tab w:val="left" w:pos="2352"/>
              </w:tabs>
              <w:autoSpaceDE w:val="0"/>
              <w:autoSpaceDN w:val="0"/>
              <w:adjustRightInd w:val="0"/>
              <w:snapToGrid w:val="0"/>
              <w:spacing w:line="430" w:lineRule="atLeast"/>
              <w:jc w:val="left"/>
              <w:rPr>
                <w:rFonts w:ascii="宋体" w:hAnsi="宋体" w:cs="宋体"/>
                <w:color w:val="auto"/>
                <w:sz w:val="22"/>
                <w:highlight w:val="none"/>
              </w:rPr>
            </w:pPr>
            <w:r>
              <w:rPr>
                <w:rFonts w:hint="eastAsia" w:ascii="宋体" w:hAnsi="宋体" w:cs="宋体"/>
                <w:color w:val="auto"/>
                <w:sz w:val="22"/>
                <w:highlight w:val="none"/>
              </w:rPr>
              <w:t>供应商项目业绩清单，如有（附件十）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7"/>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vAlign w:val="center"/>
          </w:tcPr>
          <w:p>
            <w:pPr>
              <w:tabs>
                <w:tab w:val="left" w:pos="1069"/>
                <w:tab w:val="left" w:pos="2352"/>
              </w:tabs>
              <w:autoSpaceDE w:val="0"/>
              <w:autoSpaceDN w:val="0"/>
              <w:adjustRightInd w:val="0"/>
              <w:snapToGrid w:val="0"/>
              <w:spacing w:line="430" w:lineRule="atLeast"/>
              <w:jc w:val="left"/>
              <w:rPr>
                <w:rFonts w:ascii="宋体" w:hAnsi="宋体" w:cs="宋体"/>
                <w:color w:val="auto"/>
                <w:sz w:val="22"/>
                <w:highlight w:val="none"/>
              </w:rPr>
            </w:pPr>
            <w:r>
              <w:rPr>
                <w:rFonts w:hint="eastAsia" w:ascii="宋体" w:hAnsi="宋体" w:cs="宋体"/>
                <w:color w:val="auto"/>
                <w:sz w:val="22"/>
                <w:highlight w:val="none"/>
              </w:rPr>
              <w:t>供应商具有的其它相关资质证书（如有则提供）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3" w:type="dxa"/>
          </w:tcPr>
          <w:p>
            <w:pPr>
              <w:numPr>
                <w:ilvl w:val="0"/>
                <w:numId w:val="7"/>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pPr>
              <w:tabs>
                <w:tab w:val="left" w:pos="1069"/>
                <w:tab w:val="left" w:pos="2352"/>
              </w:tabs>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highlight w:val="none"/>
              </w:rPr>
              <w:t>根据竞争性磋商文件中的采购内容与技术要求、评标细则，需要提供的其它文件和资料。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7"/>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pPr>
              <w:tabs>
                <w:tab w:val="left" w:pos="1069"/>
                <w:tab w:val="left" w:pos="2352"/>
              </w:tabs>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highlight w:val="none"/>
              </w:rPr>
              <w:t>其它供应商须说明的资料（如有则提供）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7"/>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pPr>
              <w:tabs>
                <w:tab w:val="left" w:pos="1069"/>
                <w:tab w:val="left" w:pos="2352"/>
              </w:tabs>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highlight w:val="none"/>
              </w:rPr>
              <w:t>供应商应编制目录索引，注明项目所在投标文件页码。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7"/>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pPr>
              <w:tabs>
                <w:tab w:val="left" w:pos="1069"/>
                <w:tab w:val="left" w:pos="2352"/>
              </w:tabs>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highlight w:val="none"/>
              </w:rPr>
              <w:t>政府采购活动现场确认声明书（附件十一）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7"/>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pPr>
              <w:autoSpaceDE w:val="0"/>
              <w:autoSpaceDN w:val="0"/>
              <w:adjustRightInd w:val="0"/>
              <w:spacing w:line="260" w:lineRule="exact"/>
              <w:jc w:val="left"/>
              <w:textAlignment w:val="bottom"/>
              <w:rPr>
                <w:rFonts w:ascii="宋体" w:hAnsi="宋体" w:cs="Arial"/>
                <w:color w:val="auto"/>
                <w:sz w:val="22"/>
                <w:highlight w:val="none"/>
              </w:rPr>
            </w:pPr>
            <w:r>
              <w:rPr>
                <w:rFonts w:hint="eastAsia" w:ascii="宋体" w:hAnsi="宋体" w:cs="Arial"/>
                <w:color w:val="auto"/>
                <w:sz w:val="22"/>
                <w:highlight w:val="none"/>
              </w:rPr>
              <w:t>享受小微企业（含监狱企业、残疾人福利性单位）价格折扣须按供应商单位性质提供以下相关的证明材料：</w:t>
            </w:r>
          </w:p>
          <w:p>
            <w:pPr>
              <w:autoSpaceDE w:val="0"/>
              <w:autoSpaceDN w:val="0"/>
              <w:adjustRightInd w:val="0"/>
              <w:spacing w:line="260" w:lineRule="exact"/>
              <w:jc w:val="left"/>
              <w:textAlignment w:val="bottom"/>
              <w:rPr>
                <w:rFonts w:ascii="宋体" w:hAnsi="宋体" w:cs="Arial"/>
                <w:color w:val="auto"/>
                <w:sz w:val="22"/>
                <w:highlight w:val="none"/>
              </w:rPr>
            </w:pPr>
            <w:r>
              <w:rPr>
                <w:rFonts w:hint="eastAsia" w:ascii="宋体" w:hAnsi="宋体" w:cs="Arial"/>
                <w:color w:val="auto"/>
                <w:sz w:val="22"/>
                <w:highlight w:val="none"/>
              </w:rPr>
              <w:t>（1）小微企业</w:t>
            </w:r>
          </w:p>
          <w:p>
            <w:pPr>
              <w:autoSpaceDE w:val="0"/>
              <w:autoSpaceDN w:val="0"/>
              <w:adjustRightInd w:val="0"/>
              <w:spacing w:line="260" w:lineRule="exact"/>
              <w:jc w:val="left"/>
              <w:textAlignment w:val="bottom"/>
              <w:rPr>
                <w:rFonts w:ascii="宋体" w:hAnsi="宋体" w:cs="Arial"/>
                <w:color w:val="auto"/>
                <w:sz w:val="22"/>
                <w:highlight w:val="none"/>
              </w:rPr>
            </w:pPr>
            <w:r>
              <w:rPr>
                <w:rFonts w:hint="eastAsia" w:ascii="宋体" w:hAnsi="宋体" w:cs="Arial"/>
                <w:color w:val="auto"/>
                <w:sz w:val="22"/>
                <w:highlight w:val="none"/>
              </w:rPr>
              <w:t>中小企业声明函（原件，加盖供应商公章，格式见招标文件第四部分附件1）</w:t>
            </w:r>
          </w:p>
          <w:p>
            <w:pPr>
              <w:autoSpaceDE w:val="0"/>
              <w:autoSpaceDN w:val="0"/>
              <w:adjustRightInd w:val="0"/>
              <w:spacing w:line="260" w:lineRule="exact"/>
              <w:jc w:val="left"/>
              <w:textAlignment w:val="bottom"/>
              <w:rPr>
                <w:rFonts w:ascii="宋体" w:hAnsi="宋体" w:cs="Arial"/>
                <w:color w:val="auto"/>
                <w:sz w:val="22"/>
                <w:highlight w:val="none"/>
              </w:rPr>
            </w:pPr>
            <w:r>
              <w:rPr>
                <w:rFonts w:hint="eastAsia" w:ascii="宋体" w:hAnsi="宋体" w:cs="Arial"/>
                <w:color w:val="auto"/>
                <w:sz w:val="22"/>
                <w:highlight w:val="none"/>
              </w:rPr>
              <w:t>（2）监狱企业参加政府采购活动时，应当提供由省级以上监狱管理局、戒毒管理局(含新疆生产建设兵团)出具的属于监狱企业的证明文件（原件或复印件加盖公章）。在政府采购活动中，监狱企业视同小型、微型企业，享受评审中价格扣除政策。</w:t>
            </w:r>
          </w:p>
          <w:p>
            <w:pPr>
              <w:autoSpaceDE w:val="0"/>
              <w:autoSpaceDN w:val="0"/>
              <w:adjustRightInd w:val="0"/>
              <w:spacing w:line="260" w:lineRule="exact"/>
              <w:jc w:val="left"/>
              <w:textAlignment w:val="bottom"/>
              <w:rPr>
                <w:rFonts w:ascii="宋体" w:hAnsi="宋体" w:cs="宋体"/>
                <w:color w:val="auto"/>
                <w:sz w:val="22"/>
                <w:highlight w:val="none"/>
              </w:rPr>
            </w:pPr>
            <w:r>
              <w:rPr>
                <w:rFonts w:hint="eastAsia" w:ascii="宋体" w:hAnsi="宋体" w:cs="Arial"/>
                <w:color w:val="auto"/>
                <w:sz w:val="22"/>
                <w:highlight w:val="none"/>
              </w:rPr>
              <w:t>（3）残疾人福利性单位声明函（原件，加盖供应商公章，格式见招标文件第四部分附件2）。在政府采购活动中，残疾人福利性单位视同小型、微型企业，享受评审中价格扣除政策。</w:t>
            </w:r>
          </w:p>
        </w:tc>
      </w:tr>
    </w:tbl>
    <w:p>
      <w:pPr>
        <w:tabs>
          <w:tab w:val="left" w:pos="1069"/>
          <w:tab w:val="left" w:pos="2352"/>
        </w:tabs>
        <w:rPr>
          <w:rFonts w:ascii="宋体" w:hAnsi="宋体" w:cs="宋体"/>
          <w:color w:val="auto"/>
          <w:highlight w:val="none"/>
        </w:rPr>
      </w:pPr>
    </w:p>
    <w:p>
      <w:pPr>
        <w:tabs>
          <w:tab w:val="left" w:pos="1069"/>
          <w:tab w:val="left" w:pos="2352"/>
        </w:tabs>
        <w:rPr>
          <w:rFonts w:ascii="宋体" w:hAnsi="宋体" w:cs="宋体"/>
          <w:color w:val="auto"/>
          <w:highlight w:val="none"/>
        </w:rPr>
      </w:pPr>
    </w:p>
    <w:p>
      <w:pPr>
        <w:tabs>
          <w:tab w:val="left" w:pos="1069"/>
          <w:tab w:val="left" w:pos="2352"/>
        </w:tabs>
        <w:autoSpaceDE w:val="0"/>
        <w:autoSpaceDN w:val="0"/>
        <w:adjustRightInd w:val="0"/>
        <w:snapToGrid w:val="0"/>
        <w:spacing w:line="400" w:lineRule="exact"/>
        <w:textAlignment w:val="bottom"/>
        <w:rPr>
          <w:rFonts w:ascii="宋体" w:hAnsi="宋体" w:cs="宋体"/>
          <w:color w:val="auto"/>
          <w:sz w:val="22"/>
          <w:highlight w:val="none"/>
        </w:rPr>
      </w:pPr>
      <w:r>
        <w:rPr>
          <w:rFonts w:hint="eastAsia" w:ascii="宋体" w:hAnsi="宋体" w:cs="宋体"/>
          <w:color w:val="auto"/>
          <w:sz w:val="22"/>
          <w:highlight w:val="none"/>
        </w:rPr>
        <w:t>3.投标内容填写说明</w:t>
      </w:r>
    </w:p>
    <w:p>
      <w:pPr>
        <w:tabs>
          <w:tab w:val="left" w:pos="1069"/>
          <w:tab w:val="left" w:pos="2352"/>
        </w:tabs>
        <w:autoSpaceDE w:val="0"/>
        <w:autoSpaceDN w:val="0"/>
        <w:adjustRightInd w:val="0"/>
        <w:spacing w:line="400" w:lineRule="exact"/>
        <w:ind w:firstLine="446" w:firstLineChars="200"/>
        <w:textAlignment w:val="bottom"/>
        <w:rPr>
          <w:rFonts w:ascii="宋体" w:hAnsi="宋体" w:cs="宋体"/>
          <w:color w:val="auto"/>
          <w:sz w:val="22"/>
          <w:highlight w:val="none"/>
        </w:rPr>
      </w:pPr>
      <w:r>
        <w:rPr>
          <w:rFonts w:hint="eastAsia" w:ascii="宋体" w:hAnsi="宋体" w:cs="宋体"/>
          <w:color w:val="auto"/>
          <w:sz w:val="22"/>
          <w:highlight w:val="none"/>
        </w:rPr>
        <w:t>供应商应按照（上表）所列出的内容及格式组成投标文件。</w:t>
      </w:r>
    </w:p>
    <w:p>
      <w:pPr>
        <w:tabs>
          <w:tab w:val="left" w:pos="1069"/>
          <w:tab w:val="left" w:pos="2352"/>
        </w:tabs>
        <w:autoSpaceDE w:val="0"/>
        <w:autoSpaceDN w:val="0"/>
        <w:adjustRightInd w:val="0"/>
        <w:snapToGrid w:val="0"/>
        <w:spacing w:line="400" w:lineRule="exact"/>
        <w:textAlignment w:val="bottom"/>
        <w:rPr>
          <w:rFonts w:ascii="宋体" w:hAnsi="宋体" w:cs="宋体"/>
          <w:color w:val="auto"/>
          <w:sz w:val="22"/>
          <w:highlight w:val="none"/>
        </w:rPr>
      </w:pPr>
      <w:bookmarkStart w:id="20" w:name="_Toc132122115"/>
      <w:bookmarkStart w:id="21" w:name="_Toc132122412"/>
      <w:r>
        <w:rPr>
          <w:rFonts w:hint="eastAsia" w:ascii="宋体" w:hAnsi="宋体" w:cs="宋体"/>
          <w:color w:val="auto"/>
          <w:sz w:val="22"/>
          <w:highlight w:val="none"/>
        </w:rPr>
        <w:t>4.投标报价</w:t>
      </w:r>
      <w:bookmarkEnd w:id="20"/>
      <w:bookmarkEnd w:id="21"/>
    </w:p>
    <w:p>
      <w:pPr>
        <w:tabs>
          <w:tab w:val="left" w:pos="1069"/>
          <w:tab w:val="left" w:pos="2352"/>
        </w:tabs>
        <w:autoSpaceDE w:val="0"/>
        <w:autoSpaceDN w:val="0"/>
        <w:adjustRightInd w:val="0"/>
        <w:spacing w:line="400" w:lineRule="exact"/>
        <w:ind w:firstLine="446" w:firstLineChars="200"/>
        <w:textAlignment w:val="bottom"/>
        <w:rPr>
          <w:rFonts w:ascii="宋体" w:hAnsi="宋体" w:cs="宋体"/>
          <w:color w:val="auto"/>
          <w:sz w:val="22"/>
          <w:highlight w:val="none"/>
        </w:rPr>
      </w:pPr>
      <w:r>
        <w:rPr>
          <w:rFonts w:hint="eastAsia" w:ascii="宋体" w:hAnsi="宋体" w:cs="宋体"/>
          <w:color w:val="auto"/>
          <w:sz w:val="22"/>
          <w:highlight w:val="none"/>
        </w:rPr>
        <w:t>4.1 供应商应按竞争性磋商文件中《开标（报价）一览表》填写投标报价。</w:t>
      </w:r>
    </w:p>
    <w:p>
      <w:pPr>
        <w:tabs>
          <w:tab w:val="left" w:pos="1069"/>
          <w:tab w:val="left" w:pos="2352"/>
        </w:tabs>
        <w:autoSpaceDE w:val="0"/>
        <w:autoSpaceDN w:val="0"/>
        <w:adjustRightInd w:val="0"/>
        <w:spacing w:line="400" w:lineRule="exact"/>
        <w:ind w:firstLine="446" w:firstLineChars="200"/>
        <w:textAlignment w:val="bottom"/>
        <w:rPr>
          <w:rFonts w:ascii="宋体" w:hAnsi="宋体" w:cs="宋体"/>
          <w:color w:val="auto"/>
          <w:sz w:val="22"/>
          <w:highlight w:val="none"/>
          <w:u w:val="single"/>
        </w:rPr>
      </w:pPr>
      <w:r>
        <w:rPr>
          <w:rFonts w:hint="eastAsia" w:ascii="宋体" w:hAnsi="宋体" w:cs="宋体"/>
          <w:color w:val="auto"/>
          <w:sz w:val="22"/>
          <w:highlight w:val="none"/>
        </w:rPr>
        <w:t>4.2 供应商应在各自技术和商务占优势的基础上并充分考虑本项目的重要性，提供对采购人最优惠的报价。</w:t>
      </w:r>
    </w:p>
    <w:p>
      <w:pPr>
        <w:tabs>
          <w:tab w:val="left" w:pos="1069"/>
          <w:tab w:val="left" w:pos="2352"/>
        </w:tabs>
        <w:autoSpaceDE w:val="0"/>
        <w:autoSpaceDN w:val="0"/>
        <w:adjustRightInd w:val="0"/>
        <w:spacing w:line="400" w:lineRule="exact"/>
        <w:ind w:firstLine="446" w:firstLineChars="200"/>
        <w:textAlignment w:val="bottom"/>
        <w:rPr>
          <w:rFonts w:ascii="宋体" w:hAnsi="宋体" w:cs="宋体"/>
          <w:color w:val="auto"/>
          <w:sz w:val="22"/>
          <w:highlight w:val="none"/>
        </w:rPr>
      </w:pPr>
      <w:r>
        <w:rPr>
          <w:rFonts w:hint="eastAsia" w:ascii="宋体" w:hAnsi="宋体" w:cs="宋体"/>
          <w:color w:val="auto"/>
          <w:sz w:val="22"/>
          <w:highlight w:val="none"/>
        </w:rPr>
        <w:t>5.采购人要求分类报价是为了方便评标，但在任何情况下不限制采购人以其认为最合适的条款签订合同的权利。</w:t>
      </w:r>
    </w:p>
    <w:p>
      <w:pPr>
        <w:tabs>
          <w:tab w:val="left" w:pos="1069"/>
          <w:tab w:val="left" w:pos="2352"/>
        </w:tabs>
        <w:autoSpaceDE w:val="0"/>
        <w:autoSpaceDN w:val="0"/>
        <w:adjustRightInd w:val="0"/>
        <w:spacing w:line="400" w:lineRule="exact"/>
        <w:ind w:firstLine="446" w:firstLineChars="200"/>
        <w:textAlignment w:val="bottom"/>
        <w:rPr>
          <w:rFonts w:ascii="宋体" w:hAnsi="宋体" w:cs="宋体"/>
          <w:color w:val="auto"/>
          <w:sz w:val="22"/>
          <w:highlight w:val="none"/>
        </w:rPr>
      </w:pPr>
      <w:bookmarkStart w:id="22" w:name="_Toc132122117"/>
      <w:bookmarkStart w:id="23" w:name="_Toc132122414"/>
      <w:r>
        <w:rPr>
          <w:rFonts w:hint="eastAsia" w:ascii="宋体" w:hAnsi="宋体" w:cs="宋体"/>
          <w:color w:val="auto"/>
          <w:sz w:val="22"/>
          <w:highlight w:val="none"/>
        </w:rPr>
        <w:t>6.投标（响应）文件的有效期</w:t>
      </w:r>
      <w:bookmarkEnd w:id="22"/>
      <w:bookmarkEnd w:id="23"/>
    </w:p>
    <w:p>
      <w:pPr>
        <w:tabs>
          <w:tab w:val="left" w:pos="1069"/>
          <w:tab w:val="left" w:pos="2352"/>
        </w:tabs>
        <w:autoSpaceDE w:val="0"/>
        <w:autoSpaceDN w:val="0"/>
        <w:adjustRightInd w:val="0"/>
        <w:spacing w:line="400" w:lineRule="exact"/>
        <w:ind w:firstLine="446" w:firstLineChars="200"/>
        <w:textAlignment w:val="bottom"/>
        <w:rPr>
          <w:rFonts w:ascii="宋体" w:hAnsi="宋体" w:cs="宋体"/>
          <w:color w:val="auto"/>
          <w:sz w:val="22"/>
          <w:highlight w:val="none"/>
        </w:rPr>
      </w:pPr>
      <w:r>
        <w:rPr>
          <w:rFonts w:hint="eastAsia" w:ascii="宋体" w:hAnsi="宋体" w:cs="宋体"/>
          <w:color w:val="auto"/>
          <w:sz w:val="22"/>
          <w:highlight w:val="none"/>
        </w:rPr>
        <w:t>6.1 自报价截止时间起90天内，投标（响应）文件应保持有效。有效期短于这个规定期限的报价将被拒绝。</w:t>
      </w:r>
    </w:p>
    <w:p>
      <w:pPr>
        <w:tabs>
          <w:tab w:val="left" w:pos="1069"/>
          <w:tab w:val="left" w:pos="2352"/>
        </w:tabs>
        <w:autoSpaceDE w:val="0"/>
        <w:autoSpaceDN w:val="0"/>
        <w:adjustRightInd w:val="0"/>
        <w:spacing w:line="400" w:lineRule="exact"/>
        <w:ind w:firstLine="446" w:firstLineChars="200"/>
        <w:textAlignment w:val="bottom"/>
        <w:rPr>
          <w:rFonts w:ascii="宋体" w:hAnsi="宋体" w:cs="宋体"/>
          <w:color w:val="auto"/>
          <w:sz w:val="22"/>
          <w:highlight w:val="none"/>
        </w:rPr>
      </w:pPr>
      <w:r>
        <w:rPr>
          <w:rFonts w:hint="eastAsia" w:ascii="宋体" w:hAnsi="宋体" w:cs="宋体"/>
          <w:color w:val="auto"/>
          <w:sz w:val="22"/>
          <w:highlight w:val="none"/>
        </w:rPr>
        <w:t>6.2 在特殊情况下，采购人可与供应商协商延长投标（响应）文件的有效期，这种要求和答复均应以书面形式进行。</w:t>
      </w:r>
    </w:p>
    <w:p>
      <w:pPr>
        <w:tabs>
          <w:tab w:val="left" w:pos="1069"/>
          <w:tab w:val="left" w:pos="2352"/>
        </w:tabs>
        <w:autoSpaceDE w:val="0"/>
        <w:autoSpaceDN w:val="0"/>
        <w:adjustRightInd w:val="0"/>
        <w:spacing w:line="400" w:lineRule="exact"/>
        <w:ind w:firstLine="446" w:firstLineChars="200"/>
        <w:textAlignment w:val="bottom"/>
        <w:rPr>
          <w:rFonts w:ascii="宋体" w:hAnsi="宋体" w:cs="宋体"/>
          <w:color w:val="auto"/>
          <w:sz w:val="22"/>
          <w:highlight w:val="none"/>
        </w:rPr>
      </w:pPr>
      <w:r>
        <w:rPr>
          <w:rFonts w:hint="eastAsia" w:ascii="宋体" w:hAnsi="宋体" w:cs="宋体"/>
          <w:color w:val="auto"/>
          <w:sz w:val="22"/>
          <w:highlight w:val="none"/>
        </w:rPr>
        <w:t>6.3 供应商可拒绝接受延期要求，同意延长有效期的供应商不能修改投标（响应）文件。</w:t>
      </w:r>
    </w:p>
    <w:p>
      <w:pPr>
        <w:pStyle w:val="31"/>
        <w:tabs>
          <w:tab w:val="left" w:pos="1069"/>
          <w:tab w:val="left" w:pos="2352"/>
        </w:tabs>
        <w:adjustRightInd w:val="0"/>
        <w:snapToGrid w:val="0"/>
        <w:spacing w:line="400" w:lineRule="atLeast"/>
        <w:outlineLvl w:val="0"/>
        <w:rPr>
          <w:rFonts w:hAnsi="宋体" w:cs="宋体"/>
          <w:b/>
          <w:bCs/>
          <w:color w:val="auto"/>
          <w:sz w:val="22"/>
          <w:szCs w:val="22"/>
          <w:highlight w:val="none"/>
        </w:rPr>
      </w:pPr>
      <w:bookmarkStart w:id="24" w:name="_Toc132123882"/>
      <w:bookmarkStart w:id="25" w:name="_Toc132126155"/>
      <w:bookmarkStart w:id="26" w:name="_Toc132123635"/>
      <w:bookmarkStart w:id="27" w:name="_Toc132125152"/>
      <w:bookmarkStart w:id="28" w:name="_Toc132123548"/>
      <w:bookmarkStart w:id="29" w:name="_Toc132123440"/>
      <w:bookmarkStart w:id="30" w:name="_Toc132125038"/>
      <w:bookmarkStart w:id="31" w:name="_Toc132125575"/>
      <w:bookmarkStart w:id="32" w:name="_Toc132123839"/>
      <w:bookmarkStart w:id="33" w:name="_Toc132124595"/>
      <w:bookmarkStart w:id="34" w:name="_Toc132655777"/>
      <w:bookmarkStart w:id="35" w:name="_Toc132125984"/>
      <w:bookmarkStart w:id="36" w:name="_Toc132122120"/>
      <w:bookmarkStart w:id="37" w:name="_Toc132125096"/>
      <w:bookmarkStart w:id="38" w:name="_Toc132122417"/>
      <w:r>
        <w:rPr>
          <w:rFonts w:hint="eastAsia" w:hAnsi="宋体" w:cs="宋体"/>
          <w:b/>
          <w:bCs/>
          <w:color w:val="auto"/>
          <w:sz w:val="22"/>
          <w:highlight w:val="none"/>
        </w:rPr>
        <w:t>四、</w:t>
      </w:r>
      <w:r>
        <w:rPr>
          <w:rFonts w:hint="eastAsia" w:hAnsi="宋体" w:cs="宋体"/>
          <w:b/>
          <w:bCs/>
          <w:color w:val="auto"/>
          <w:sz w:val="22"/>
          <w:szCs w:val="22"/>
          <w:highlight w:val="none"/>
        </w:rPr>
        <w:t>投标文件</w:t>
      </w:r>
    </w:p>
    <w:p>
      <w:pPr>
        <w:pStyle w:val="31"/>
        <w:tabs>
          <w:tab w:val="left" w:pos="1069"/>
          <w:tab w:val="left" w:pos="2352"/>
        </w:tabs>
        <w:adjustRightInd w:val="0"/>
        <w:snapToGrid w:val="0"/>
        <w:spacing w:line="400" w:lineRule="atLeast"/>
        <w:ind w:firstLine="436" w:firstLineChars="196"/>
        <w:rPr>
          <w:rFonts w:hAnsi="宋体" w:cs="宋体"/>
          <w:color w:val="auto"/>
          <w:sz w:val="22"/>
          <w:szCs w:val="22"/>
          <w:highlight w:val="none"/>
        </w:rPr>
      </w:pPr>
      <w:r>
        <w:rPr>
          <w:rFonts w:hint="eastAsia" w:hAnsi="宋体" w:cs="宋体"/>
          <w:color w:val="auto"/>
          <w:sz w:val="22"/>
          <w:szCs w:val="22"/>
          <w:highlight w:val="none"/>
        </w:rPr>
        <w:t>1. 投标文件的上传、递交：见《投标邀请函（投标须知前附表）》。</w:t>
      </w:r>
    </w:p>
    <w:p>
      <w:pPr>
        <w:pStyle w:val="31"/>
        <w:tabs>
          <w:tab w:val="left" w:pos="1069"/>
          <w:tab w:val="left" w:pos="2352"/>
        </w:tabs>
        <w:adjustRightInd w:val="0"/>
        <w:snapToGrid w:val="0"/>
        <w:spacing w:line="400" w:lineRule="atLeast"/>
        <w:ind w:firstLine="436" w:firstLineChars="196"/>
        <w:rPr>
          <w:rFonts w:hAnsi="宋体" w:cs="宋体"/>
          <w:color w:val="auto"/>
          <w:sz w:val="22"/>
          <w:szCs w:val="22"/>
          <w:highlight w:val="none"/>
        </w:rPr>
      </w:pPr>
      <w:r>
        <w:rPr>
          <w:rFonts w:hint="eastAsia" w:hAnsi="宋体" w:cs="宋体"/>
          <w:color w:val="auto"/>
          <w:sz w:val="22"/>
          <w:szCs w:val="22"/>
          <w:highlight w:val="none"/>
        </w:rPr>
        <w:t>2.“电子加密投标文件”解密和异常情况处理：见《投标邀请函（投标须知前附表）》。</w:t>
      </w:r>
    </w:p>
    <w:p>
      <w:pPr>
        <w:pStyle w:val="31"/>
        <w:tabs>
          <w:tab w:val="left" w:pos="1069"/>
          <w:tab w:val="left" w:pos="2352"/>
        </w:tabs>
        <w:adjustRightInd w:val="0"/>
        <w:snapToGrid w:val="0"/>
        <w:spacing w:line="400" w:lineRule="atLeast"/>
        <w:ind w:firstLine="436" w:firstLineChars="196"/>
        <w:rPr>
          <w:rFonts w:hAnsi="宋体" w:cs="宋体"/>
          <w:color w:val="auto"/>
          <w:sz w:val="22"/>
          <w:szCs w:val="22"/>
          <w:highlight w:val="none"/>
        </w:rPr>
      </w:pPr>
      <w:r>
        <w:rPr>
          <w:rFonts w:hint="eastAsia" w:hAnsi="宋体" w:cs="宋体"/>
          <w:color w:val="auto"/>
          <w:sz w:val="22"/>
          <w:szCs w:val="22"/>
          <w:highlight w:val="none"/>
        </w:rPr>
        <w:t>3.投标文件的补充、修改或撤回</w:t>
      </w:r>
    </w:p>
    <w:p>
      <w:pPr>
        <w:pStyle w:val="31"/>
        <w:tabs>
          <w:tab w:val="left" w:pos="1069"/>
          <w:tab w:val="left" w:pos="2352"/>
        </w:tabs>
        <w:adjustRightInd w:val="0"/>
        <w:snapToGrid w:val="0"/>
        <w:spacing w:line="400" w:lineRule="atLeast"/>
        <w:ind w:firstLine="436" w:firstLineChars="196"/>
        <w:rPr>
          <w:rFonts w:hAnsi="宋体" w:cs="宋体"/>
          <w:color w:val="auto"/>
          <w:sz w:val="22"/>
          <w:szCs w:val="22"/>
          <w:highlight w:val="none"/>
        </w:rPr>
      </w:pPr>
      <w:r>
        <w:rPr>
          <w:rFonts w:hint="eastAsia" w:hAnsi="宋体" w:cs="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pStyle w:val="31"/>
        <w:tabs>
          <w:tab w:val="left" w:pos="1069"/>
          <w:tab w:val="left" w:pos="2352"/>
        </w:tabs>
        <w:adjustRightInd w:val="0"/>
        <w:snapToGrid w:val="0"/>
        <w:spacing w:line="400" w:lineRule="atLeast"/>
        <w:ind w:firstLine="436" w:firstLineChars="196"/>
        <w:rPr>
          <w:rFonts w:hAnsi="宋体" w:cs="宋体"/>
          <w:color w:val="auto"/>
          <w:sz w:val="22"/>
          <w:szCs w:val="22"/>
          <w:highlight w:val="none"/>
        </w:rPr>
      </w:pPr>
      <w:r>
        <w:rPr>
          <w:rFonts w:hint="eastAsia" w:hAnsi="宋体" w:cs="宋体"/>
          <w:color w:val="auto"/>
          <w:sz w:val="22"/>
          <w:szCs w:val="22"/>
          <w:highlight w:val="none"/>
        </w:rPr>
        <w:t>3.2投标截止时间后，供应商不得撤回、修改《投标文件》。</w:t>
      </w:r>
    </w:p>
    <w:p>
      <w:pPr>
        <w:pStyle w:val="31"/>
        <w:tabs>
          <w:tab w:val="left" w:pos="1069"/>
          <w:tab w:val="left" w:pos="2352"/>
        </w:tabs>
        <w:adjustRightInd w:val="0"/>
        <w:snapToGrid w:val="0"/>
        <w:spacing w:line="400" w:lineRule="atLeast"/>
        <w:ind w:firstLine="436" w:firstLineChars="196"/>
        <w:rPr>
          <w:rFonts w:hAnsi="宋体" w:cs="宋体"/>
          <w:color w:val="auto"/>
          <w:sz w:val="22"/>
          <w:szCs w:val="22"/>
          <w:highlight w:val="none"/>
        </w:rPr>
      </w:pPr>
      <w:r>
        <w:rPr>
          <w:rFonts w:hint="eastAsia" w:hAnsi="宋体" w:cs="宋体"/>
          <w:color w:val="auto"/>
          <w:sz w:val="22"/>
          <w:szCs w:val="22"/>
          <w:highlight w:val="none"/>
        </w:rPr>
        <w:t>4.投标文件的备选方案</w:t>
      </w:r>
    </w:p>
    <w:p>
      <w:pPr>
        <w:pStyle w:val="31"/>
        <w:tabs>
          <w:tab w:val="left" w:pos="1069"/>
          <w:tab w:val="left" w:pos="2352"/>
        </w:tabs>
        <w:adjustRightInd w:val="0"/>
        <w:snapToGrid w:val="0"/>
        <w:spacing w:line="400" w:lineRule="atLeast"/>
        <w:ind w:firstLine="436" w:firstLineChars="196"/>
        <w:rPr>
          <w:rFonts w:hAnsi="宋体" w:cs="宋体"/>
          <w:color w:val="auto"/>
          <w:sz w:val="22"/>
          <w:szCs w:val="22"/>
          <w:highlight w:val="none"/>
        </w:rPr>
      </w:pPr>
      <w:r>
        <w:rPr>
          <w:rFonts w:hint="eastAsia" w:hAnsi="宋体" w:cs="宋体"/>
          <w:color w:val="auto"/>
          <w:sz w:val="22"/>
          <w:szCs w:val="22"/>
          <w:highlight w:val="none"/>
        </w:rPr>
        <w:t>4.1供应商不得递交任何的投标备选（替代）方案，否则其投标文件将作无效标处理。</w:t>
      </w:r>
    </w:p>
    <w:p>
      <w:pPr>
        <w:pStyle w:val="31"/>
        <w:tabs>
          <w:tab w:val="left" w:pos="1069"/>
          <w:tab w:val="left" w:pos="2352"/>
        </w:tabs>
        <w:adjustRightInd w:val="0"/>
        <w:snapToGrid w:val="0"/>
        <w:spacing w:line="400" w:lineRule="atLeast"/>
        <w:ind w:firstLine="436" w:firstLineChars="196"/>
        <w:rPr>
          <w:rFonts w:hAnsi="宋体" w:cs="宋体"/>
          <w:color w:val="auto"/>
          <w:sz w:val="22"/>
          <w:szCs w:val="22"/>
          <w:highlight w:val="none"/>
        </w:rPr>
      </w:pPr>
      <w:r>
        <w:rPr>
          <w:rFonts w:hint="eastAsia" w:hAnsi="宋体" w:cs="宋体"/>
          <w:color w:val="auto"/>
          <w:sz w:val="22"/>
          <w:szCs w:val="22"/>
          <w:highlight w:val="none"/>
        </w:rPr>
        <w:t>5. 投标截止期</w:t>
      </w:r>
    </w:p>
    <w:p>
      <w:pPr>
        <w:pStyle w:val="31"/>
        <w:tabs>
          <w:tab w:val="left" w:pos="1069"/>
          <w:tab w:val="left" w:pos="2352"/>
        </w:tabs>
        <w:adjustRightInd w:val="0"/>
        <w:snapToGrid w:val="0"/>
        <w:spacing w:line="400" w:lineRule="atLeast"/>
        <w:ind w:firstLine="436" w:firstLineChars="196"/>
        <w:rPr>
          <w:rFonts w:hAnsi="宋体" w:cs="宋体"/>
          <w:color w:val="auto"/>
          <w:sz w:val="22"/>
          <w:szCs w:val="22"/>
          <w:highlight w:val="none"/>
        </w:rPr>
      </w:pPr>
      <w:r>
        <w:rPr>
          <w:rFonts w:hint="eastAsia" w:hAnsi="宋体" w:cs="宋体"/>
          <w:color w:val="auto"/>
          <w:sz w:val="22"/>
          <w:szCs w:val="22"/>
          <w:highlight w:val="none"/>
        </w:rPr>
        <w:t>5.1供应商应按前附表中规定的时间、地点将投标文件递交给采购人，采购人将拒绝接受逾期送达的投标文件。</w:t>
      </w:r>
    </w:p>
    <w:p>
      <w:pPr>
        <w:pStyle w:val="11"/>
        <w:tabs>
          <w:tab w:val="left" w:pos="1069"/>
          <w:tab w:val="left" w:pos="2352"/>
        </w:tabs>
        <w:adjustRightInd w:val="0"/>
        <w:spacing w:line="400" w:lineRule="exact"/>
        <w:ind w:firstLine="446" w:firstLineChars="200"/>
        <w:rPr>
          <w:rFonts w:hAnsi="宋体" w:cs="宋体"/>
          <w:b/>
          <w:bCs/>
          <w:color w:val="auto"/>
          <w:sz w:val="22"/>
          <w:highlight w:val="none"/>
        </w:rPr>
      </w:pPr>
      <w:r>
        <w:rPr>
          <w:rFonts w:hint="eastAsia" w:hAnsi="宋体" w:cs="宋体"/>
          <w:color w:val="auto"/>
          <w:sz w:val="22"/>
          <w:szCs w:val="22"/>
          <w:highlight w:val="none"/>
        </w:rPr>
        <w:t>5.2采购人可以按本须知规定以补充通知的方式，酌情延长递交投标文件的截止日期。在上述情况下，采购人与供应商以前在投标截止期方面的全部权利、责任和义务，将适用于延长至新的投标截止期。</w:t>
      </w:r>
    </w:p>
    <w:p>
      <w:pPr>
        <w:pStyle w:val="11"/>
        <w:tabs>
          <w:tab w:val="left" w:pos="1069"/>
          <w:tab w:val="left" w:pos="2352"/>
        </w:tabs>
        <w:adjustRightInd w:val="0"/>
        <w:snapToGrid w:val="0"/>
        <w:spacing w:line="400" w:lineRule="exact"/>
        <w:ind w:firstLine="480"/>
        <w:outlineLvl w:val="0"/>
        <w:rPr>
          <w:rFonts w:hAnsi="宋体" w:cs="宋体"/>
          <w:b/>
          <w:bCs/>
          <w:color w:val="auto"/>
          <w:sz w:val="22"/>
          <w:highlight w:val="none"/>
        </w:rPr>
      </w:pPr>
      <w:bookmarkStart w:id="39" w:name="_Toc15003_WPSOffice_Level2"/>
      <w:bookmarkStart w:id="40" w:name="_Toc493530207"/>
      <w:r>
        <w:rPr>
          <w:rFonts w:hint="eastAsia" w:hAnsi="宋体" w:cs="宋体"/>
          <w:b/>
          <w:bCs/>
          <w:color w:val="auto"/>
          <w:sz w:val="22"/>
          <w:highlight w:val="none"/>
        </w:rPr>
        <w:t>五、开标和评标</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pPr>
        <w:pStyle w:val="11"/>
        <w:tabs>
          <w:tab w:val="left" w:pos="1069"/>
          <w:tab w:val="left" w:pos="2352"/>
        </w:tabs>
        <w:snapToGrid w:val="0"/>
        <w:spacing w:line="440" w:lineRule="exact"/>
        <w:ind w:firstLine="436" w:firstLineChars="196"/>
        <w:rPr>
          <w:rFonts w:hAnsi="宋体" w:cs="宋体"/>
          <w:color w:val="auto"/>
          <w:sz w:val="22"/>
          <w:szCs w:val="22"/>
          <w:highlight w:val="none"/>
        </w:rPr>
      </w:pPr>
      <w:r>
        <w:rPr>
          <w:rFonts w:hint="eastAsia" w:hAnsi="宋体" w:cs="宋体"/>
          <w:color w:val="auto"/>
          <w:sz w:val="22"/>
          <w:szCs w:val="22"/>
          <w:highlight w:val="none"/>
        </w:rPr>
        <w:t>（一）开标准备</w:t>
      </w:r>
    </w:p>
    <w:p>
      <w:pPr>
        <w:tabs>
          <w:tab w:val="left" w:pos="1069"/>
          <w:tab w:val="left" w:pos="2352"/>
        </w:tabs>
        <w:snapToGrid w:val="0"/>
        <w:spacing w:line="440" w:lineRule="exact"/>
        <w:ind w:firstLine="446" w:firstLineChars="200"/>
        <w:jc w:val="left"/>
        <w:rPr>
          <w:rFonts w:ascii="宋体" w:hAnsi="宋体" w:cs="宋体"/>
          <w:b/>
          <w:color w:val="auto"/>
          <w:kern w:val="0"/>
          <w:sz w:val="22"/>
          <w:highlight w:val="none"/>
        </w:rPr>
      </w:pPr>
      <w:r>
        <w:rPr>
          <w:rFonts w:hint="eastAsia" w:ascii="宋体" w:hAnsi="宋体" w:cs="宋体"/>
          <w:b/>
          <w:color w:val="auto"/>
          <w:sz w:val="22"/>
          <w:highlight w:val="none"/>
        </w:rPr>
        <w:t>1.采购组织机构原则上采用电子评标，按照响应文件规定的时间通过“政府采购云平台”组织开标、开启响应文件，所有供应商均应当准时在线参加。</w:t>
      </w:r>
      <w:r>
        <w:rPr>
          <w:rFonts w:hint="eastAsia" w:ascii="宋体" w:hAnsi="宋体" w:cs="宋体"/>
          <w:b/>
          <w:color w:val="auto"/>
          <w:kern w:val="0"/>
          <w:sz w:val="22"/>
          <w:highlight w:val="none"/>
        </w:rPr>
        <w:t>供应商如不参加磋商大会的，视同认可磋商结果，事后不得对采购相关人员、磋商过程和磋商结果提出异议，同时供应商因未在线参加磋商而导致响应文件无法按时解密等一切后果由供应商自己承担。</w:t>
      </w:r>
    </w:p>
    <w:p>
      <w:pPr>
        <w:pStyle w:val="32"/>
        <w:tabs>
          <w:tab w:val="left" w:pos="1069"/>
          <w:tab w:val="left" w:pos="2352"/>
        </w:tabs>
        <w:spacing w:before="0" w:line="440" w:lineRule="exact"/>
        <w:ind w:left="0" w:firstLine="446" w:firstLineChars="200"/>
        <w:contextualSpacing/>
        <w:rPr>
          <w:rFonts w:ascii="宋体" w:hAnsi="宋体" w:cs="宋体"/>
          <w:color w:val="auto"/>
          <w:sz w:val="22"/>
          <w:szCs w:val="22"/>
          <w:highlight w:val="none"/>
        </w:rPr>
      </w:pPr>
      <w:r>
        <w:rPr>
          <w:rFonts w:hint="eastAsia" w:ascii="宋体" w:hAnsi="宋体" w:cs="宋体"/>
          <w:color w:val="auto"/>
          <w:sz w:val="22"/>
          <w:szCs w:val="22"/>
          <w:highlight w:val="none"/>
        </w:rPr>
        <w:t>2.若磋商供应商在规定时间内无法解密或解密失败的，其投标无效。</w:t>
      </w:r>
    </w:p>
    <w:p>
      <w:pPr>
        <w:tabs>
          <w:tab w:val="left" w:pos="1069"/>
          <w:tab w:val="left" w:pos="2352"/>
        </w:tabs>
        <w:snapToGrid w:val="0"/>
        <w:spacing w:line="440" w:lineRule="exact"/>
        <w:ind w:firstLine="446" w:firstLineChars="200"/>
        <w:jc w:val="left"/>
        <w:rPr>
          <w:rFonts w:ascii="宋体" w:hAnsi="宋体" w:cs="宋体"/>
          <w:b/>
          <w:bCs/>
          <w:color w:val="auto"/>
          <w:sz w:val="22"/>
          <w:highlight w:val="none"/>
        </w:rPr>
      </w:pPr>
      <w:r>
        <w:rPr>
          <w:rFonts w:hint="eastAsia" w:ascii="宋体" w:hAnsi="宋体" w:cs="宋体"/>
          <w:b/>
          <w:bCs/>
          <w:color w:val="auto"/>
          <w:sz w:val="22"/>
          <w:highlight w:val="none"/>
          <w:shd w:val="clear" w:color="auto" w:fill="FFFFFF"/>
        </w:rPr>
        <w:t>3.所有二次报价询标流程，均在线上完成，请各供应商务必不要离开电脑太久，并留意手机短信。（请提前检查“政采云”内，关于‘项目采购’的岗位权限是否已勾选上。如有问题，请致电400-881-7190）</w:t>
      </w:r>
    </w:p>
    <w:p>
      <w:pPr>
        <w:tabs>
          <w:tab w:val="left" w:pos="1069"/>
          <w:tab w:val="left" w:pos="2352"/>
        </w:tabs>
        <w:snapToGrid w:val="0"/>
        <w:spacing w:line="440" w:lineRule="exact"/>
        <w:ind w:firstLine="446" w:firstLineChars="200"/>
        <w:jc w:val="left"/>
        <w:rPr>
          <w:rFonts w:ascii="宋体" w:hAnsi="宋体" w:cs="宋体"/>
          <w:bCs/>
          <w:color w:val="auto"/>
          <w:sz w:val="22"/>
          <w:highlight w:val="none"/>
        </w:rPr>
      </w:pPr>
      <w:r>
        <w:rPr>
          <w:rFonts w:hint="eastAsia" w:ascii="宋体" w:hAnsi="宋体" w:cs="宋体"/>
          <w:bCs/>
          <w:color w:val="auto"/>
          <w:sz w:val="22"/>
          <w:highlight w:val="none"/>
        </w:rPr>
        <w:t>（二）电子招投标开标及评审程序</w:t>
      </w:r>
    </w:p>
    <w:p>
      <w:pPr>
        <w:tabs>
          <w:tab w:val="left" w:pos="1069"/>
          <w:tab w:val="left" w:pos="2352"/>
        </w:tabs>
        <w:spacing w:line="440" w:lineRule="exact"/>
        <w:ind w:firstLine="446" w:firstLineChars="200"/>
        <w:rPr>
          <w:rFonts w:ascii="宋体" w:hAnsi="宋体" w:cs="宋体"/>
          <w:color w:val="auto"/>
          <w:sz w:val="22"/>
          <w:highlight w:val="none"/>
        </w:rPr>
      </w:pPr>
      <w:r>
        <w:rPr>
          <w:rFonts w:hint="eastAsia" w:ascii="宋体" w:hAnsi="宋体" w:cs="宋体"/>
          <w:bCs/>
          <w:color w:val="auto"/>
          <w:sz w:val="22"/>
          <w:highlight w:val="none"/>
        </w:rPr>
        <w:t>1.磋商会由采购代理机构主持，磋商响应截止时间后，供应商登录政采云平台，用“项目采购-开标评标”功能对电子响应文件进行在线解密，</w:t>
      </w:r>
      <w:r>
        <w:rPr>
          <w:rFonts w:hint="eastAsia" w:ascii="宋体" w:hAnsi="宋体" w:cs="宋体"/>
          <w:color w:val="auto"/>
          <w:sz w:val="22"/>
          <w:highlight w:val="none"/>
        </w:rPr>
        <w:t>各供应商代表在收到解密通知后30分钟内自行完成“电子加密投标文件”的在线解密。</w:t>
      </w:r>
    </w:p>
    <w:p>
      <w:pPr>
        <w:tabs>
          <w:tab w:val="left" w:pos="1069"/>
          <w:tab w:val="left" w:pos="2352"/>
        </w:tabs>
        <w:spacing w:line="440" w:lineRule="exact"/>
        <w:ind w:firstLine="446" w:firstLineChars="200"/>
        <w:jc w:val="left"/>
        <w:rPr>
          <w:rFonts w:ascii="宋体" w:hAnsi="宋体" w:cs="宋体"/>
          <w:bCs/>
          <w:color w:val="auto"/>
          <w:sz w:val="22"/>
          <w:highlight w:val="none"/>
        </w:rPr>
      </w:pPr>
      <w:r>
        <w:rPr>
          <w:rFonts w:hint="eastAsia" w:ascii="宋体" w:hAnsi="宋体" w:cs="宋体"/>
          <w:color w:val="auto"/>
          <w:kern w:val="0"/>
          <w:sz w:val="22"/>
          <w:highlight w:val="none"/>
        </w:rPr>
        <w:t>2.投标文件解密结束，</w:t>
      </w:r>
      <w:r>
        <w:rPr>
          <w:rFonts w:hint="eastAsia" w:ascii="宋体" w:hAnsi="宋体" w:cs="宋体"/>
          <w:bCs/>
          <w:color w:val="auto"/>
          <w:sz w:val="22"/>
          <w:highlight w:val="none"/>
        </w:rPr>
        <w:t>开启响应文件，磋商小组对资格和商务技术响应文件进行评审；</w:t>
      </w:r>
    </w:p>
    <w:p>
      <w:pPr>
        <w:tabs>
          <w:tab w:val="left" w:pos="1069"/>
          <w:tab w:val="left" w:pos="2352"/>
        </w:tabs>
        <w:spacing w:line="440" w:lineRule="exact"/>
        <w:ind w:firstLine="446" w:firstLineChars="200"/>
        <w:rPr>
          <w:rFonts w:ascii="宋体" w:hAnsi="宋体" w:cs="宋体"/>
          <w:bCs/>
          <w:color w:val="auto"/>
          <w:sz w:val="22"/>
          <w:highlight w:val="none"/>
        </w:rPr>
      </w:pPr>
      <w:r>
        <w:rPr>
          <w:rFonts w:hint="eastAsia" w:ascii="宋体" w:hAnsi="宋体" w:cs="宋体"/>
          <w:bCs/>
          <w:color w:val="auto"/>
          <w:sz w:val="22"/>
          <w:highlight w:val="none"/>
        </w:rPr>
        <w:t>3.供应商按签到的前后顺序决定磋商的顺序，就价格、服务等认为需要磋商的内容进行磋商，</w:t>
      </w:r>
      <w:r>
        <w:rPr>
          <w:rFonts w:hint="eastAsia" w:ascii="宋体" w:hAnsi="宋体" w:cs="宋体"/>
          <w:color w:val="auto"/>
          <w:sz w:val="22"/>
          <w:highlight w:val="none"/>
        </w:rPr>
        <w:t>供应商逐家回答磋商小组的提问，</w:t>
      </w:r>
      <w:r>
        <w:rPr>
          <w:rFonts w:hint="eastAsia" w:ascii="宋体" w:hAnsi="宋体" w:cs="宋体"/>
          <w:bCs/>
          <w:color w:val="auto"/>
          <w:sz w:val="22"/>
          <w:highlight w:val="none"/>
        </w:rPr>
        <w:t>响应人作出最终承诺和最终报价（</w:t>
      </w:r>
      <w:r>
        <w:rPr>
          <w:rFonts w:hint="eastAsia" w:ascii="宋体" w:hAnsi="宋体" w:cs="宋体"/>
          <w:b/>
          <w:color w:val="auto"/>
          <w:sz w:val="22"/>
          <w:highlight w:val="none"/>
          <w:u w:val="single"/>
        </w:rPr>
        <w:t>超过时间未递交最终报价的，以首次报价为准</w:t>
      </w:r>
      <w:r>
        <w:rPr>
          <w:rFonts w:hint="eastAsia" w:ascii="宋体" w:hAnsi="宋体" w:cs="宋体"/>
          <w:bCs/>
          <w:color w:val="auto"/>
          <w:sz w:val="22"/>
          <w:highlight w:val="none"/>
        </w:rPr>
        <w:t>）。</w:t>
      </w:r>
    </w:p>
    <w:p>
      <w:pPr>
        <w:tabs>
          <w:tab w:val="left" w:pos="1069"/>
          <w:tab w:val="left" w:pos="2352"/>
        </w:tabs>
        <w:snapToGrid w:val="0"/>
        <w:spacing w:line="440" w:lineRule="exact"/>
        <w:ind w:firstLine="446" w:firstLineChars="200"/>
        <w:jc w:val="left"/>
        <w:rPr>
          <w:rFonts w:ascii="宋体" w:hAnsi="宋体" w:cs="宋体"/>
          <w:bCs/>
          <w:color w:val="auto"/>
          <w:sz w:val="22"/>
          <w:highlight w:val="none"/>
        </w:rPr>
      </w:pPr>
      <w:r>
        <w:rPr>
          <w:rFonts w:ascii="宋体" w:hAnsi="宋体" w:cs="宋体"/>
          <w:bCs/>
          <w:color w:val="auto"/>
          <w:sz w:val="22"/>
          <w:highlight w:val="none"/>
        </w:rPr>
        <w:t>4</w:t>
      </w:r>
      <w:r>
        <w:rPr>
          <w:rFonts w:hint="eastAsia" w:ascii="宋体" w:hAnsi="宋体" w:cs="宋体"/>
          <w:bCs/>
          <w:color w:val="auto"/>
          <w:sz w:val="22"/>
          <w:highlight w:val="none"/>
        </w:rPr>
        <w:t>.在系统上公开资格和商务技术评审结果；</w:t>
      </w:r>
    </w:p>
    <w:p>
      <w:pPr>
        <w:tabs>
          <w:tab w:val="left" w:pos="1069"/>
          <w:tab w:val="left" w:pos="2352"/>
        </w:tabs>
        <w:snapToGrid w:val="0"/>
        <w:spacing w:line="440" w:lineRule="exact"/>
        <w:ind w:firstLine="446" w:firstLineChars="200"/>
        <w:jc w:val="left"/>
        <w:rPr>
          <w:rFonts w:ascii="宋体" w:hAnsi="宋体" w:cs="宋体"/>
          <w:bCs/>
          <w:color w:val="auto"/>
          <w:sz w:val="22"/>
          <w:highlight w:val="none"/>
        </w:rPr>
      </w:pPr>
      <w:r>
        <w:rPr>
          <w:rFonts w:ascii="宋体" w:hAnsi="宋体" w:cs="宋体"/>
          <w:bCs/>
          <w:color w:val="auto"/>
          <w:sz w:val="22"/>
          <w:highlight w:val="none"/>
        </w:rPr>
        <w:t>5</w:t>
      </w:r>
      <w:r>
        <w:rPr>
          <w:rFonts w:hint="eastAsia" w:ascii="宋体" w:hAnsi="宋体" w:cs="宋体"/>
          <w:bCs/>
          <w:color w:val="auto"/>
          <w:sz w:val="22"/>
          <w:highlight w:val="none"/>
        </w:rPr>
        <w:t>.在系统上录入最终报价情况；</w:t>
      </w:r>
    </w:p>
    <w:p>
      <w:pPr>
        <w:tabs>
          <w:tab w:val="left" w:pos="1069"/>
          <w:tab w:val="left" w:pos="2352"/>
        </w:tabs>
        <w:snapToGrid w:val="0"/>
        <w:spacing w:line="440" w:lineRule="exact"/>
        <w:ind w:firstLine="446" w:firstLineChars="200"/>
        <w:jc w:val="left"/>
        <w:rPr>
          <w:rFonts w:ascii="宋体" w:hAnsi="宋体" w:cs="宋体"/>
          <w:bCs/>
          <w:color w:val="auto"/>
          <w:sz w:val="22"/>
          <w:highlight w:val="none"/>
        </w:rPr>
      </w:pPr>
      <w:r>
        <w:rPr>
          <w:rFonts w:ascii="宋体" w:hAnsi="宋体" w:cs="宋体"/>
          <w:bCs/>
          <w:color w:val="auto"/>
          <w:sz w:val="22"/>
          <w:highlight w:val="none"/>
        </w:rPr>
        <w:t>6</w:t>
      </w:r>
      <w:r>
        <w:rPr>
          <w:rFonts w:hint="eastAsia" w:ascii="宋体" w:hAnsi="宋体" w:cs="宋体"/>
          <w:bCs/>
          <w:color w:val="auto"/>
          <w:sz w:val="22"/>
          <w:highlight w:val="none"/>
        </w:rPr>
        <w:t>.磋商小组对报价情况进行评审；</w:t>
      </w:r>
    </w:p>
    <w:p>
      <w:pPr>
        <w:tabs>
          <w:tab w:val="left" w:pos="1069"/>
          <w:tab w:val="left" w:pos="2352"/>
        </w:tabs>
        <w:snapToGrid w:val="0"/>
        <w:spacing w:line="440" w:lineRule="exact"/>
        <w:ind w:firstLine="446" w:firstLineChars="200"/>
        <w:jc w:val="left"/>
        <w:rPr>
          <w:rFonts w:ascii="宋体" w:hAnsi="宋体" w:cs="宋体"/>
          <w:color w:val="auto"/>
          <w:sz w:val="22"/>
          <w:highlight w:val="none"/>
        </w:rPr>
      </w:pPr>
      <w:r>
        <w:rPr>
          <w:rFonts w:ascii="宋体" w:hAnsi="宋体" w:cs="宋体"/>
          <w:bCs/>
          <w:color w:val="auto"/>
          <w:sz w:val="22"/>
          <w:highlight w:val="none"/>
        </w:rPr>
        <w:t>7</w:t>
      </w:r>
      <w:r>
        <w:rPr>
          <w:rFonts w:hint="eastAsia" w:ascii="宋体" w:hAnsi="宋体" w:cs="宋体"/>
          <w:bCs/>
          <w:color w:val="auto"/>
          <w:sz w:val="22"/>
          <w:highlight w:val="none"/>
        </w:rPr>
        <w:t>.在系统上公布评审结果。</w:t>
      </w:r>
    </w:p>
    <w:p>
      <w:pPr>
        <w:pStyle w:val="11"/>
        <w:tabs>
          <w:tab w:val="left" w:pos="1069"/>
          <w:tab w:val="left" w:pos="2352"/>
        </w:tabs>
        <w:adjustRightInd w:val="0"/>
        <w:spacing w:line="400" w:lineRule="exact"/>
        <w:ind w:firstLine="446" w:firstLineChars="200"/>
        <w:rPr>
          <w:rFonts w:hAnsi="宋体" w:cs="宋体"/>
          <w:b/>
          <w:bCs/>
          <w:color w:val="auto"/>
          <w:sz w:val="22"/>
          <w:szCs w:val="22"/>
          <w:highlight w:val="none"/>
        </w:rPr>
      </w:pPr>
      <w:r>
        <w:rPr>
          <w:rFonts w:hint="eastAsia" w:hAnsi="宋体" w:cs="宋体"/>
          <w:b/>
          <w:bCs/>
          <w:color w:val="auto"/>
          <w:sz w:val="22"/>
          <w:szCs w:val="22"/>
          <w:highlight w:val="none"/>
        </w:rPr>
        <w:t>特别说明：政采云公司如对电子化开标及评审程序有调整的，按调整后的程序操作。</w:t>
      </w:r>
    </w:p>
    <w:p>
      <w:pPr>
        <w:tabs>
          <w:tab w:val="left" w:pos="1069"/>
          <w:tab w:val="left" w:pos="2352"/>
        </w:tabs>
        <w:adjustRightInd w:val="0"/>
        <w:snapToGrid w:val="0"/>
        <w:spacing w:line="400" w:lineRule="atLeast"/>
        <w:ind w:firstLine="438" w:firstLineChars="197"/>
        <w:rPr>
          <w:rFonts w:ascii="宋体" w:hAnsi="宋体" w:cs="宋体"/>
          <w:color w:val="auto"/>
          <w:highlight w:val="none"/>
        </w:rPr>
      </w:pPr>
      <w:r>
        <w:rPr>
          <w:rFonts w:hint="eastAsia" w:ascii="宋体" w:hAnsi="宋体" w:cs="宋体"/>
          <w:color w:val="auto"/>
          <w:sz w:val="22"/>
          <w:highlight w:val="none"/>
        </w:rPr>
        <w:t>▲</w:t>
      </w:r>
      <w:r>
        <w:rPr>
          <w:rFonts w:hint="eastAsia" w:ascii="宋体" w:hAnsi="宋体" w:cs="宋体"/>
          <w:b/>
          <w:bCs/>
          <w:color w:val="auto"/>
          <w:sz w:val="22"/>
          <w:highlight w:val="none"/>
        </w:rPr>
        <w:t>供应商政采云系统填写报价和电子投标文件（开标（报价）一览表）中填写不一致的，以电子投标文件（开标（报价）一览表）为准，如果不接受调整价格的做废标处理。</w:t>
      </w:r>
    </w:p>
    <w:p>
      <w:pPr>
        <w:pStyle w:val="11"/>
        <w:tabs>
          <w:tab w:val="left" w:pos="1069"/>
          <w:tab w:val="left" w:pos="2352"/>
        </w:tabs>
        <w:adjustRightInd w:val="0"/>
        <w:spacing w:line="400" w:lineRule="exact"/>
        <w:ind w:firstLine="446" w:firstLineChars="200"/>
        <w:rPr>
          <w:rFonts w:hAnsi="宋体" w:cs="宋体"/>
          <w:b/>
          <w:bCs/>
          <w:color w:val="auto"/>
          <w:sz w:val="22"/>
          <w:szCs w:val="22"/>
          <w:highlight w:val="none"/>
        </w:rPr>
      </w:pPr>
    </w:p>
    <w:p>
      <w:pPr>
        <w:pStyle w:val="11"/>
        <w:tabs>
          <w:tab w:val="left" w:pos="1069"/>
          <w:tab w:val="left" w:pos="2352"/>
        </w:tabs>
        <w:adjustRightInd w:val="0"/>
        <w:spacing w:line="400" w:lineRule="exact"/>
        <w:ind w:firstLine="446" w:firstLineChars="200"/>
        <w:rPr>
          <w:rFonts w:hAnsi="宋体" w:cs="宋体"/>
          <w:b/>
          <w:bCs/>
          <w:color w:val="auto"/>
          <w:sz w:val="22"/>
          <w:highlight w:val="none"/>
        </w:rPr>
      </w:pPr>
      <w:r>
        <w:rPr>
          <w:rFonts w:hint="eastAsia" w:hAnsi="宋体" w:cs="宋体"/>
          <w:color w:val="auto"/>
          <w:sz w:val="22"/>
          <w:highlight w:val="none"/>
        </w:rPr>
        <w:t>2.评标</w:t>
      </w:r>
    </w:p>
    <w:p>
      <w:pPr>
        <w:pStyle w:val="11"/>
        <w:tabs>
          <w:tab w:val="left" w:pos="1069"/>
          <w:tab w:val="left" w:pos="2352"/>
        </w:tabs>
        <w:adjustRightInd w:val="0"/>
        <w:spacing w:line="400" w:lineRule="exact"/>
        <w:ind w:firstLine="446" w:firstLineChars="200"/>
        <w:rPr>
          <w:rFonts w:hAnsi="宋体" w:cs="宋体"/>
          <w:b/>
          <w:bCs/>
          <w:color w:val="auto"/>
          <w:sz w:val="22"/>
          <w:highlight w:val="none"/>
        </w:rPr>
      </w:pPr>
      <w:r>
        <w:rPr>
          <w:rFonts w:hint="eastAsia" w:hAnsi="宋体" w:cs="宋体"/>
          <w:color w:val="auto"/>
          <w:sz w:val="22"/>
          <w:highlight w:val="none"/>
        </w:rPr>
        <w:t>2.1 评标由采购人依法组建的评审小组负责，并独立履行下列职责：</w:t>
      </w:r>
    </w:p>
    <w:p>
      <w:pPr>
        <w:tabs>
          <w:tab w:val="left" w:pos="1069"/>
          <w:tab w:val="left" w:pos="2352"/>
        </w:tabs>
        <w:spacing w:line="400" w:lineRule="exact"/>
        <w:ind w:firstLine="436" w:firstLineChars="196"/>
        <w:rPr>
          <w:rFonts w:ascii="宋体" w:hAnsi="宋体" w:cs="宋体"/>
          <w:color w:val="auto"/>
          <w:sz w:val="22"/>
          <w:highlight w:val="none"/>
        </w:rPr>
      </w:pPr>
      <w:bookmarkStart w:id="41" w:name="_Toc2500_WPSOffice_Level3"/>
      <w:r>
        <w:rPr>
          <w:rFonts w:hint="eastAsia" w:ascii="宋体" w:hAnsi="宋体" w:cs="宋体"/>
          <w:color w:val="auto"/>
          <w:sz w:val="22"/>
          <w:highlight w:val="none"/>
        </w:rPr>
        <w:t>1）审查投标（响应）文件是否符合竞争性磋商文件要求，并作出评价；</w:t>
      </w:r>
      <w:bookmarkEnd w:id="41"/>
    </w:p>
    <w:p>
      <w:pPr>
        <w:tabs>
          <w:tab w:val="left" w:pos="1069"/>
          <w:tab w:val="left" w:pos="2352"/>
        </w:tabs>
        <w:spacing w:line="400" w:lineRule="exact"/>
        <w:ind w:firstLine="446" w:firstLineChars="200"/>
        <w:rPr>
          <w:rFonts w:ascii="宋体" w:hAnsi="宋体" w:cs="宋体"/>
          <w:color w:val="auto"/>
          <w:sz w:val="22"/>
          <w:highlight w:val="none"/>
        </w:rPr>
      </w:pPr>
      <w:bookmarkStart w:id="42" w:name="_Toc20806_WPSOffice_Level3"/>
      <w:r>
        <w:rPr>
          <w:rFonts w:hint="eastAsia" w:ascii="宋体" w:hAnsi="宋体" w:cs="宋体"/>
          <w:color w:val="auto"/>
          <w:sz w:val="22"/>
          <w:highlight w:val="none"/>
        </w:rPr>
        <w:t>2）要求供应商对投标（响应）文件有关事项作出解释或者澄清；</w:t>
      </w:r>
      <w:bookmarkEnd w:id="42"/>
    </w:p>
    <w:p>
      <w:pPr>
        <w:tabs>
          <w:tab w:val="left" w:pos="1069"/>
          <w:tab w:val="left" w:pos="2352"/>
        </w:tabs>
        <w:spacing w:line="400" w:lineRule="exact"/>
        <w:ind w:firstLine="446" w:firstLineChars="200"/>
        <w:rPr>
          <w:rFonts w:ascii="宋体" w:hAnsi="宋体" w:cs="宋体"/>
          <w:color w:val="auto"/>
          <w:sz w:val="22"/>
          <w:highlight w:val="none"/>
        </w:rPr>
      </w:pPr>
      <w:bookmarkStart w:id="43" w:name="_Toc12689_WPSOffice_Level3"/>
      <w:r>
        <w:rPr>
          <w:rFonts w:hint="eastAsia" w:ascii="宋体" w:hAnsi="宋体" w:cs="宋体"/>
          <w:color w:val="auto"/>
          <w:sz w:val="22"/>
          <w:highlight w:val="none"/>
        </w:rPr>
        <w:t>3）按照竞争性磋商文件确定的评标办法直接确定中标（成交）供应商；</w:t>
      </w:r>
      <w:bookmarkEnd w:id="43"/>
    </w:p>
    <w:p>
      <w:pPr>
        <w:pStyle w:val="11"/>
        <w:tabs>
          <w:tab w:val="left" w:pos="1069"/>
          <w:tab w:val="left" w:pos="2352"/>
        </w:tabs>
        <w:adjustRightInd w:val="0"/>
        <w:spacing w:line="400" w:lineRule="exact"/>
        <w:ind w:firstLine="436" w:firstLineChars="196"/>
        <w:rPr>
          <w:rFonts w:hAnsi="宋体" w:cs="宋体"/>
          <w:b/>
          <w:bCs/>
          <w:color w:val="auto"/>
          <w:sz w:val="22"/>
          <w:highlight w:val="none"/>
        </w:rPr>
      </w:pPr>
      <w:bookmarkStart w:id="44" w:name="_Toc20017_WPSOffice_Level3"/>
      <w:r>
        <w:rPr>
          <w:rFonts w:hint="eastAsia" w:hAnsi="宋体" w:cs="宋体"/>
          <w:color w:val="auto"/>
          <w:sz w:val="22"/>
          <w:highlight w:val="none"/>
        </w:rPr>
        <w:t>4）向采购人或者有关部门报告非法干预评标工作的行为。</w:t>
      </w:r>
      <w:bookmarkEnd w:id="44"/>
    </w:p>
    <w:p>
      <w:pPr>
        <w:tabs>
          <w:tab w:val="left" w:pos="1069"/>
          <w:tab w:val="left" w:pos="2352"/>
        </w:tabs>
        <w:spacing w:line="400" w:lineRule="exact"/>
        <w:ind w:firstLine="436" w:firstLineChars="196"/>
        <w:rPr>
          <w:rFonts w:ascii="宋体" w:hAnsi="宋体" w:cs="宋体"/>
          <w:color w:val="auto"/>
          <w:sz w:val="22"/>
          <w:highlight w:val="none"/>
        </w:rPr>
      </w:pPr>
      <w:r>
        <w:rPr>
          <w:rFonts w:hint="eastAsia" w:ascii="宋体" w:hAnsi="宋体" w:cs="宋体"/>
          <w:color w:val="auto"/>
          <w:sz w:val="22"/>
          <w:highlight w:val="none"/>
        </w:rPr>
        <w:t>2.2 评标应当遵循下列工作程序：</w:t>
      </w:r>
    </w:p>
    <w:p>
      <w:pPr>
        <w:tabs>
          <w:tab w:val="left" w:pos="1069"/>
          <w:tab w:val="left" w:pos="2352"/>
        </w:tabs>
        <w:spacing w:line="400" w:lineRule="exact"/>
        <w:rPr>
          <w:rFonts w:ascii="宋体" w:hAnsi="宋体" w:cs="宋体"/>
          <w:color w:val="auto"/>
          <w:sz w:val="22"/>
          <w:highlight w:val="none"/>
        </w:rPr>
      </w:pPr>
      <w:r>
        <w:rPr>
          <w:rFonts w:hint="eastAsia" w:ascii="宋体" w:hAnsi="宋体" w:cs="宋体"/>
          <w:color w:val="auto"/>
          <w:sz w:val="22"/>
          <w:highlight w:val="none"/>
        </w:rPr>
        <w:t xml:space="preserve">    1）投标（响应）文件初审。初审分为资格性检查和符合性检查。</w:t>
      </w:r>
    </w:p>
    <w:p>
      <w:pPr>
        <w:tabs>
          <w:tab w:val="left" w:pos="1069"/>
          <w:tab w:val="left" w:pos="2352"/>
        </w:tabs>
        <w:spacing w:line="400" w:lineRule="exact"/>
        <w:ind w:firstLine="446" w:firstLineChars="200"/>
        <w:rPr>
          <w:rFonts w:ascii="宋体" w:hAnsi="宋体" w:cs="宋体"/>
          <w:color w:val="auto"/>
          <w:sz w:val="22"/>
          <w:highlight w:val="none"/>
        </w:rPr>
      </w:pPr>
      <w:r>
        <w:rPr>
          <w:rFonts w:hint="eastAsia" w:ascii="宋体" w:hAnsi="宋体" w:cs="宋体"/>
          <w:color w:val="auto"/>
          <w:sz w:val="22"/>
          <w:highlight w:val="none"/>
        </w:rPr>
        <w:t>（1)资格性检查。由采购人代表或招标代理机构对供应商资格进行审查。依据法律法规和竞争性磋商文件的规定，对投标（响应）文件中的资格证明文件等进行审查，以确定供应商是否具备投标资格。</w:t>
      </w:r>
    </w:p>
    <w:p>
      <w:pPr>
        <w:tabs>
          <w:tab w:val="left" w:pos="1069"/>
          <w:tab w:val="left" w:pos="2352"/>
        </w:tabs>
        <w:spacing w:line="400" w:lineRule="exact"/>
        <w:ind w:firstLine="446" w:firstLineChars="200"/>
        <w:rPr>
          <w:rFonts w:ascii="宋体" w:hAnsi="宋体" w:cs="宋体"/>
          <w:color w:val="auto"/>
          <w:sz w:val="22"/>
          <w:highlight w:val="none"/>
        </w:rPr>
      </w:pPr>
      <w:r>
        <w:rPr>
          <w:rFonts w:hint="eastAsia" w:ascii="宋体" w:hAnsi="宋体" w:cs="宋体"/>
          <w:color w:val="auto"/>
          <w:sz w:val="22"/>
          <w:highlight w:val="none"/>
        </w:rPr>
        <w:t>（2)符合性检查。评审小组依据竞争性磋商文件的规定，从投标（响应）文件的有效性、完整性和对竞争性磋商文件的响应程度进行审查，以确定是否对竞争性磋商文件的实质性要求作出响应。</w:t>
      </w:r>
    </w:p>
    <w:p>
      <w:pPr>
        <w:tabs>
          <w:tab w:val="left" w:pos="1069"/>
          <w:tab w:val="left" w:pos="2352"/>
        </w:tabs>
        <w:spacing w:line="400" w:lineRule="exact"/>
        <w:ind w:firstLine="440"/>
        <w:rPr>
          <w:rFonts w:ascii="宋体" w:hAnsi="宋体" w:cs="宋体"/>
          <w:color w:val="auto"/>
          <w:sz w:val="22"/>
          <w:highlight w:val="none"/>
        </w:rPr>
      </w:pPr>
      <w:r>
        <w:rPr>
          <w:rFonts w:hint="eastAsia" w:ascii="宋体" w:hAnsi="宋体" w:cs="宋体"/>
          <w:color w:val="auto"/>
          <w:sz w:val="22"/>
          <w:highlight w:val="none"/>
        </w:rPr>
        <w:t>2）评审小组可以根据供应商投标（响应）文件情况，经采购人确认，调整竞争性磋商文件及采购方案，在统一采购要求的基础上，要求所有有效供应商重新修正投标（响应）文件及进行多轮次报价。</w:t>
      </w:r>
    </w:p>
    <w:p>
      <w:pPr>
        <w:tabs>
          <w:tab w:val="left" w:pos="1069"/>
          <w:tab w:val="left" w:pos="2352"/>
        </w:tabs>
        <w:spacing w:line="400" w:lineRule="exact"/>
        <w:ind w:firstLine="440"/>
        <w:rPr>
          <w:rFonts w:ascii="宋体" w:hAnsi="宋体" w:cs="宋体"/>
          <w:color w:val="auto"/>
          <w:sz w:val="22"/>
          <w:highlight w:val="none"/>
        </w:rPr>
      </w:pPr>
      <w:r>
        <w:rPr>
          <w:rFonts w:hint="eastAsia" w:ascii="宋体" w:hAnsi="宋体" w:cs="宋体"/>
          <w:color w:val="auto"/>
          <w:sz w:val="22"/>
          <w:highlight w:val="none"/>
        </w:rPr>
        <w:t>3）评价。按竞争性磋商文件中规定的评标方法和标准，对资格性检查和符合性检查合格的投标（响应）文件进行商务和技术评估，综合评价。</w:t>
      </w:r>
    </w:p>
    <w:p>
      <w:pPr>
        <w:tabs>
          <w:tab w:val="left" w:pos="1069"/>
          <w:tab w:val="left" w:pos="2352"/>
        </w:tabs>
        <w:spacing w:line="400" w:lineRule="exact"/>
        <w:ind w:firstLine="440"/>
        <w:rPr>
          <w:rFonts w:ascii="宋体" w:hAnsi="宋体" w:cs="宋体"/>
          <w:color w:val="auto"/>
          <w:sz w:val="22"/>
          <w:highlight w:val="none"/>
        </w:rPr>
      </w:pPr>
      <w:r>
        <w:rPr>
          <w:rFonts w:hint="eastAsia" w:ascii="宋体" w:hAnsi="宋体" w:cs="宋体"/>
          <w:color w:val="auto"/>
          <w:sz w:val="22"/>
          <w:highlight w:val="none"/>
        </w:rPr>
        <w:t>4）推荐中标（成交）供应商候选人名单，并根据采购人的授权确定中标（成交）供应商。</w:t>
      </w:r>
    </w:p>
    <w:p>
      <w:pPr>
        <w:pStyle w:val="11"/>
        <w:tabs>
          <w:tab w:val="left" w:pos="1069"/>
          <w:tab w:val="left" w:pos="2352"/>
        </w:tabs>
        <w:adjustRightInd w:val="0"/>
        <w:snapToGrid w:val="0"/>
        <w:spacing w:line="400" w:lineRule="exact"/>
        <w:ind w:firstLine="438" w:firstLineChars="197"/>
        <w:rPr>
          <w:rFonts w:hAnsi="宋体" w:cs="宋体"/>
          <w:b/>
          <w:bCs/>
          <w:color w:val="auto"/>
          <w:sz w:val="22"/>
          <w:highlight w:val="none"/>
          <w:u w:val="single"/>
        </w:rPr>
      </w:pPr>
      <w:r>
        <w:rPr>
          <w:rFonts w:hint="eastAsia" w:hAnsi="宋体" w:cs="宋体"/>
          <w:color w:val="auto"/>
          <w:sz w:val="22"/>
          <w:highlight w:val="none"/>
        </w:rPr>
        <w:t xml:space="preserve">2.3 </w:t>
      </w:r>
      <w:r>
        <w:rPr>
          <w:rFonts w:hint="eastAsia" w:hAnsi="宋体" w:cs="宋体"/>
          <w:color w:val="auto"/>
          <w:sz w:val="22"/>
          <w:highlight w:val="none"/>
          <w:u w:val="single"/>
        </w:rPr>
        <w:t>▲供应商存在下列情况之一的，报价无效:</w:t>
      </w:r>
    </w:p>
    <w:p>
      <w:pPr>
        <w:pStyle w:val="11"/>
        <w:tabs>
          <w:tab w:val="left" w:pos="1069"/>
          <w:tab w:val="left" w:pos="2352"/>
        </w:tabs>
        <w:adjustRightInd w:val="0"/>
        <w:snapToGrid w:val="0"/>
        <w:spacing w:line="400" w:lineRule="exact"/>
        <w:ind w:firstLine="438" w:firstLineChars="197"/>
        <w:rPr>
          <w:rFonts w:hAnsi="宋体" w:cs="宋体"/>
          <w:b/>
          <w:bCs/>
          <w:color w:val="auto"/>
          <w:sz w:val="22"/>
          <w:highlight w:val="none"/>
          <w:u w:val="single"/>
        </w:rPr>
      </w:pPr>
      <w:r>
        <w:rPr>
          <w:rFonts w:hint="eastAsia" w:hAnsi="宋体" w:cs="宋体"/>
          <w:color w:val="auto"/>
          <w:sz w:val="22"/>
          <w:highlight w:val="none"/>
          <w:u w:val="single"/>
        </w:rPr>
        <w:t>1）投标（响应）文件未按竞争性磋商文件要求签署、盖章的；</w:t>
      </w:r>
    </w:p>
    <w:p>
      <w:pPr>
        <w:pStyle w:val="11"/>
        <w:tabs>
          <w:tab w:val="left" w:pos="1069"/>
          <w:tab w:val="left" w:pos="2352"/>
        </w:tabs>
        <w:adjustRightInd w:val="0"/>
        <w:snapToGrid w:val="0"/>
        <w:spacing w:line="400" w:lineRule="exact"/>
        <w:ind w:firstLine="438" w:firstLineChars="197"/>
        <w:rPr>
          <w:rFonts w:hAnsi="宋体" w:cs="宋体"/>
          <w:b/>
          <w:bCs/>
          <w:color w:val="auto"/>
          <w:sz w:val="22"/>
          <w:highlight w:val="none"/>
          <w:u w:val="single"/>
        </w:rPr>
      </w:pPr>
      <w:r>
        <w:rPr>
          <w:rFonts w:hint="eastAsia" w:hAnsi="宋体" w:cs="宋体"/>
          <w:color w:val="auto"/>
          <w:sz w:val="22"/>
          <w:highlight w:val="none"/>
          <w:u w:val="single"/>
        </w:rPr>
        <w:t>2）不具备竞争性磋商文件中规定的资格要求的；</w:t>
      </w:r>
    </w:p>
    <w:p>
      <w:pPr>
        <w:pStyle w:val="11"/>
        <w:tabs>
          <w:tab w:val="left" w:pos="1069"/>
          <w:tab w:val="left" w:pos="2352"/>
        </w:tabs>
        <w:adjustRightInd w:val="0"/>
        <w:snapToGrid w:val="0"/>
        <w:spacing w:line="400" w:lineRule="exact"/>
        <w:ind w:firstLine="438" w:firstLineChars="197"/>
        <w:rPr>
          <w:rFonts w:hAnsi="宋体" w:cs="宋体"/>
          <w:b/>
          <w:bCs/>
          <w:color w:val="auto"/>
          <w:sz w:val="22"/>
          <w:highlight w:val="none"/>
          <w:u w:val="single"/>
        </w:rPr>
      </w:pPr>
      <w:r>
        <w:rPr>
          <w:rFonts w:hint="eastAsia" w:hAnsi="宋体" w:cs="宋体"/>
          <w:color w:val="auto"/>
          <w:sz w:val="22"/>
          <w:highlight w:val="none"/>
          <w:u w:val="single"/>
        </w:rPr>
        <w:t>3）最终报价超过竞争性磋商文件中规定的预算金额或者最高限价的；</w:t>
      </w:r>
    </w:p>
    <w:p>
      <w:pPr>
        <w:pStyle w:val="11"/>
        <w:tabs>
          <w:tab w:val="left" w:pos="1069"/>
          <w:tab w:val="left" w:pos="2352"/>
        </w:tabs>
        <w:adjustRightInd w:val="0"/>
        <w:snapToGrid w:val="0"/>
        <w:spacing w:line="400" w:lineRule="exact"/>
        <w:ind w:firstLine="438" w:firstLineChars="197"/>
        <w:rPr>
          <w:rFonts w:hAnsi="宋体" w:cs="宋体"/>
          <w:b/>
          <w:bCs/>
          <w:color w:val="auto"/>
          <w:sz w:val="22"/>
          <w:highlight w:val="none"/>
          <w:u w:val="single"/>
        </w:rPr>
      </w:pPr>
      <w:r>
        <w:rPr>
          <w:rFonts w:hint="eastAsia" w:hAnsi="宋体" w:cs="宋体"/>
          <w:color w:val="auto"/>
          <w:sz w:val="22"/>
          <w:highlight w:val="none"/>
          <w:u w:val="single"/>
        </w:rPr>
        <w:t>4）投标（响应）文件含有采购人不能接受的附加条件的（包括竞争性磋商文件中明确要求不得偏离的招标要求，存在负偏离的）;</w:t>
      </w:r>
    </w:p>
    <w:p>
      <w:pPr>
        <w:pStyle w:val="11"/>
        <w:tabs>
          <w:tab w:val="left" w:pos="1069"/>
          <w:tab w:val="left" w:pos="2352"/>
        </w:tabs>
        <w:adjustRightInd w:val="0"/>
        <w:snapToGrid w:val="0"/>
        <w:spacing w:line="400" w:lineRule="exact"/>
        <w:ind w:firstLine="438" w:firstLineChars="197"/>
        <w:rPr>
          <w:rFonts w:hAnsi="宋体" w:cs="宋体"/>
          <w:b/>
          <w:bCs/>
          <w:color w:val="auto"/>
          <w:sz w:val="22"/>
          <w:highlight w:val="none"/>
          <w:u w:val="single"/>
        </w:rPr>
      </w:pPr>
      <w:r>
        <w:rPr>
          <w:rFonts w:hint="eastAsia" w:hAnsi="宋体" w:cs="宋体"/>
          <w:color w:val="auto"/>
          <w:sz w:val="22"/>
          <w:highlight w:val="none"/>
          <w:u w:val="single"/>
        </w:rPr>
        <w:t>5）对关键条文的偏离、保留或反对，例如关于付款方式、完工期（服务期）、免费质保期、适用法律法规、标准、税费等其他内容；</w:t>
      </w:r>
    </w:p>
    <w:p>
      <w:pPr>
        <w:pStyle w:val="11"/>
        <w:tabs>
          <w:tab w:val="left" w:pos="1069"/>
          <w:tab w:val="left" w:pos="2352"/>
        </w:tabs>
        <w:adjustRightInd w:val="0"/>
        <w:snapToGrid w:val="0"/>
        <w:spacing w:line="400" w:lineRule="exact"/>
        <w:ind w:firstLine="438" w:firstLineChars="197"/>
        <w:rPr>
          <w:rFonts w:hAnsi="宋体" w:cs="宋体"/>
          <w:b/>
          <w:bCs/>
          <w:color w:val="auto"/>
          <w:sz w:val="22"/>
          <w:highlight w:val="none"/>
          <w:u w:val="single"/>
        </w:rPr>
      </w:pPr>
      <w:r>
        <w:rPr>
          <w:rFonts w:hint="eastAsia" w:hAnsi="宋体" w:cs="宋体"/>
          <w:color w:val="auto"/>
          <w:sz w:val="22"/>
          <w:highlight w:val="none"/>
          <w:u w:val="single"/>
        </w:rPr>
        <w:t>6）存在串标、抬标或弄虚作假情况的；</w:t>
      </w:r>
    </w:p>
    <w:p>
      <w:pPr>
        <w:pStyle w:val="11"/>
        <w:tabs>
          <w:tab w:val="left" w:pos="1069"/>
          <w:tab w:val="left" w:pos="2352"/>
        </w:tabs>
        <w:adjustRightInd w:val="0"/>
        <w:snapToGrid w:val="0"/>
        <w:spacing w:line="400" w:lineRule="exact"/>
        <w:ind w:firstLine="438" w:firstLineChars="197"/>
        <w:rPr>
          <w:rFonts w:hAnsi="宋体" w:cs="宋体"/>
          <w:b/>
          <w:bCs/>
          <w:color w:val="auto"/>
          <w:sz w:val="22"/>
          <w:highlight w:val="none"/>
          <w:u w:val="single"/>
        </w:rPr>
      </w:pPr>
      <w:r>
        <w:rPr>
          <w:rFonts w:hint="eastAsia" w:hAnsi="宋体" w:cs="宋体"/>
          <w:color w:val="auto"/>
          <w:sz w:val="22"/>
          <w:highlight w:val="none"/>
          <w:u w:val="single"/>
        </w:rPr>
        <w:t>7）法律、法规和竞争性磋商文件规定的其他无效情形（或出现重大偏差）。</w:t>
      </w:r>
    </w:p>
    <w:p>
      <w:pPr>
        <w:pStyle w:val="11"/>
        <w:tabs>
          <w:tab w:val="left" w:pos="1069"/>
          <w:tab w:val="left" w:pos="2352"/>
        </w:tabs>
        <w:adjustRightInd w:val="0"/>
        <w:snapToGrid w:val="0"/>
        <w:spacing w:line="400" w:lineRule="exact"/>
        <w:ind w:firstLine="438" w:firstLineChars="197"/>
        <w:rPr>
          <w:rFonts w:hAnsi="宋体" w:cs="宋体"/>
          <w:b/>
          <w:bCs/>
          <w:color w:val="auto"/>
          <w:sz w:val="22"/>
          <w:highlight w:val="none"/>
          <w:u w:val="single"/>
        </w:rPr>
      </w:pPr>
      <w:r>
        <w:rPr>
          <w:rFonts w:hint="eastAsia" w:hAnsi="宋体" w:cs="宋体"/>
          <w:color w:val="auto"/>
          <w:sz w:val="22"/>
          <w:highlight w:val="none"/>
        </w:rPr>
        <w:t xml:space="preserve">2.4 </w:t>
      </w:r>
      <w:r>
        <w:rPr>
          <w:rFonts w:hint="eastAsia" w:hAnsi="宋体" w:cs="宋体"/>
          <w:color w:val="auto"/>
          <w:sz w:val="22"/>
          <w:highlight w:val="none"/>
          <w:u w:val="single"/>
        </w:rPr>
        <w:t>▲评审小组发现投标（响应）文件有下列情形之一的属于重大偏差(评审小组按少数服从多数原则认定),按照无效投标处理：</w:t>
      </w:r>
    </w:p>
    <w:p>
      <w:pPr>
        <w:pStyle w:val="11"/>
        <w:tabs>
          <w:tab w:val="left" w:pos="1069"/>
          <w:tab w:val="left" w:pos="2352"/>
        </w:tabs>
        <w:adjustRightInd w:val="0"/>
        <w:snapToGrid w:val="0"/>
        <w:spacing w:line="400" w:lineRule="exact"/>
        <w:ind w:firstLine="438" w:firstLineChars="197"/>
        <w:rPr>
          <w:rFonts w:hAnsi="宋体" w:cs="宋体"/>
          <w:b/>
          <w:bCs/>
          <w:color w:val="auto"/>
          <w:sz w:val="22"/>
          <w:highlight w:val="none"/>
          <w:u w:val="single"/>
        </w:rPr>
      </w:pPr>
      <w:r>
        <w:rPr>
          <w:rFonts w:hint="eastAsia" w:hAnsi="宋体" w:cs="宋体"/>
          <w:color w:val="auto"/>
          <w:sz w:val="22"/>
          <w:highlight w:val="none"/>
          <w:u w:val="single"/>
        </w:rPr>
        <w:t>1）未按竞争性磋商文件要求编制或字迹模糊、辨认不清的投标（响应）文件；</w:t>
      </w:r>
    </w:p>
    <w:p>
      <w:pPr>
        <w:pStyle w:val="11"/>
        <w:tabs>
          <w:tab w:val="left" w:pos="1069"/>
          <w:tab w:val="left" w:pos="2352"/>
        </w:tabs>
        <w:adjustRightInd w:val="0"/>
        <w:snapToGrid w:val="0"/>
        <w:spacing w:line="400" w:lineRule="exact"/>
        <w:ind w:firstLine="438" w:firstLineChars="197"/>
        <w:rPr>
          <w:rFonts w:hAnsi="宋体" w:cs="宋体"/>
          <w:b/>
          <w:bCs/>
          <w:color w:val="auto"/>
          <w:sz w:val="22"/>
          <w:highlight w:val="none"/>
          <w:u w:val="single"/>
        </w:rPr>
      </w:pPr>
      <w:r>
        <w:rPr>
          <w:rFonts w:hint="eastAsia" w:hAnsi="宋体" w:cs="宋体"/>
          <w:color w:val="auto"/>
          <w:sz w:val="22"/>
          <w:highlight w:val="none"/>
          <w:u w:val="single"/>
        </w:rPr>
        <w:t>2）除2.3条款以外，出现其它明显不符合采购要求的投标（响应）文件；</w:t>
      </w:r>
    </w:p>
    <w:p>
      <w:pPr>
        <w:pStyle w:val="11"/>
        <w:tabs>
          <w:tab w:val="left" w:pos="1069"/>
          <w:tab w:val="left" w:pos="2352"/>
        </w:tabs>
        <w:adjustRightInd w:val="0"/>
        <w:snapToGrid w:val="0"/>
        <w:spacing w:line="400" w:lineRule="exact"/>
        <w:ind w:firstLine="438" w:firstLineChars="197"/>
        <w:rPr>
          <w:rFonts w:hAnsi="宋体" w:cs="宋体"/>
          <w:b/>
          <w:bCs/>
          <w:color w:val="auto"/>
          <w:sz w:val="22"/>
          <w:highlight w:val="none"/>
        </w:rPr>
      </w:pPr>
      <w:r>
        <w:rPr>
          <w:rFonts w:hint="eastAsia" w:hAnsi="宋体" w:cs="宋体"/>
          <w:color w:val="auto"/>
          <w:sz w:val="22"/>
          <w:highlight w:val="none"/>
          <w:u w:val="single"/>
        </w:rPr>
        <w:t>3）除2.3条款以外，出现其它不符合竞争性磋商文件中规定的实质性要求的投标（响应）文件，是否为偏离实质性要求由评审小组认定。</w:t>
      </w:r>
    </w:p>
    <w:p>
      <w:pPr>
        <w:pStyle w:val="11"/>
        <w:tabs>
          <w:tab w:val="left" w:pos="1069"/>
          <w:tab w:val="left" w:pos="2352"/>
        </w:tabs>
        <w:adjustRightInd w:val="0"/>
        <w:snapToGrid w:val="0"/>
        <w:spacing w:line="400" w:lineRule="exact"/>
        <w:ind w:firstLine="438" w:firstLineChars="197"/>
        <w:rPr>
          <w:rFonts w:hAnsi="宋体" w:cs="宋体"/>
          <w:b/>
          <w:bCs/>
          <w:color w:val="auto"/>
          <w:sz w:val="22"/>
          <w:highlight w:val="none"/>
          <w:u w:val="single"/>
        </w:rPr>
      </w:pPr>
      <w:r>
        <w:rPr>
          <w:rFonts w:hint="eastAsia" w:hAnsi="宋体" w:cs="宋体"/>
          <w:color w:val="auto"/>
          <w:sz w:val="22"/>
          <w:highlight w:val="none"/>
        </w:rPr>
        <w:t>2.5</w:t>
      </w:r>
      <w:r>
        <w:rPr>
          <w:rFonts w:hint="eastAsia" w:hAnsi="宋体" w:cs="宋体"/>
          <w:color w:val="auto"/>
          <w:sz w:val="22"/>
          <w:highlight w:val="none"/>
          <w:u w:val="single"/>
        </w:rPr>
        <w:t>▲评审小组认为供应商的最终报价明显低于其他有效供应商的最终报价，有可能影响采购质量或者不能诚信履约的，应当要求其在合理的时间内提供说明，必要时提交相关证明材料；供应商不能证明其报价合理性的，评审小组应当将其作为无效投标处理。</w:t>
      </w:r>
    </w:p>
    <w:p>
      <w:pPr>
        <w:pStyle w:val="11"/>
        <w:tabs>
          <w:tab w:val="left" w:pos="1069"/>
          <w:tab w:val="left" w:pos="2352"/>
        </w:tabs>
        <w:adjustRightInd w:val="0"/>
        <w:snapToGrid w:val="0"/>
        <w:spacing w:line="400" w:lineRule="exact"/>
        <w:ind w:firstLine="438" w:firstLineChars="197"/>
        <w:rPr>
          <w:rFonts w:hAnsi="宋体" w:cs="宋体"/>
          <w:b/>
          <w:bCs/>
          <w:color w:val="auto"/>
          <w:sz w:val="22"/>
          <w:highlight w:val="none"/>
        </w:rPr>
      </w:pPr>
      <w:r>
        <w:rPr>
          <w:rFonts w:hint="eastAsia" w:hAnsi="宋体" w:cs="宋体"/>
          <w:color w:val="auto"/>
          <w:sz w:val="22"/>
          <w:highlight w:val="none"/>
        </w:rPr>
        <w:t>2.6 评审小组在评标中，不得改变竞争性磋商文件中规定的评标标准、方法和中标(成交)条件。</w:t>
      </w:r>
    </w:p>
    <w:p>
      <w:pPr>
        <w:pStyle w:val="11"/>
        <w:tabs>
          <w:tab w:val="left" w:pos="1069"/>
          <w:tab w:val="left" w:pos="2352"/>
        </w:tabs>
        <w:adjustRightInd w:val="0"/>
        <w:snapToGrid w:val="0"/>
        <w:spacing w:line="400" w:lineRule="exact"/>
        <w:ind w:firstLine="438" w:firstLineChars="197"/>
        <w:rPr>
          <w:rFonts w:hAnsi="宋体" w:cs="宋体"/>
          <w:b/>
          <w:bCs/>
          <w:color w:val="auto"/>
          <w:sz w:val="22"/>
          <w:highlight w:val="none"/>
          <w:u w:val="single"/>
        </w:rPr>
      </w:pPr>
      <w:r>
        <w:rPr>
          <w:rFonts w:hint="eastAsia" w:hAnsi="宋体" w:cs="宋体"/>
          <w:color w:val="auto"/>
          <w:sz w:val="22"/>
          <w:highlight w:val="none"/>
          <w:u w:val="single"/>
        </w:rPr>
        <w:t>2.7 评标时如遇到竞争性磋商文件未规定的特殊情况，由评审小组按少数服从多数原则集体决定处理。</w:t>
      </w:r>
    </w:p>
    <w:p>
      <w:pPr>
        <w:pStyle w:val="11"/>
        <w:tabs>
          <w:tab w:val="left" w:pos="1069"/>
          <w:tab w:val="left" w:pos="2352"/>
        </w:tabs>
        <w:adjustRightInd w:val="0"/>
        <w:snapToGrid w:val="0"/>
        <w:spacing w:line="400" w:lineRule="exact"/>
        <w:ind w:firstLine="438" w:firstLineChars="197"/>
        <w:rPr>
          <w:rFonts w:hAnsi="宋体" w:cs="宋体"/>
          <w:b/>
          <w:bCs/>
          <w:color w:val="auto"/>
          <w:sz w:val="22"/>
          <w:highlight w:val="none"/>
          <w:u w:val="single"/>
        </w:rPr>
      </w:pPr>
      <w:r>
        <w:rPr>
          <w:rFonts w:hint="eastAsia" w:hAnsi="宋体" w:cs="宋体"/>
          <w:color w:val="auto"/>
          <w:sz w:val="22"/>
          <w:highlight w:val="none"/>
          <w:u w:val="single"/>
        </w:rPr>
        <w:t>2.8评审小组对未中标(成交)的供应商不作解释。同时根据政府采购法实施条例第四十条规定，本项目不对供应商公布详细的评审情况，不公布具体评标细则中小项得分。</w:t>
      </w:r>
    </w:p>
    <w:p>
      <w:pPr>
        <w:pStyle w:val="11"/>
        <w:tabs>
          <w:tab w:val="left" w:pos="1069"/>
          <w:tab w:val="left" w:pos="2352"/>
        </w:tabs>
        <w:adjustRightInd w:val="0"/>
        <w:snapToGrid w:val="0"/>
        <w:spacing w:line="400" w:lineRule="exact"/>
        <w:ind w:firstLine="438" w:firstLineChars="197"/>
        <w:rPr>
          <w:rFonts w:hint="eastAsia" w:hAnsi="宋体" w:cs="宋体"/>
          <w:b/>
          <w:bCs/>
          <w:color w:val="auto"/>
          <w:sz w:val="22"/>
          <w:highlight w:val="none"/>
        </w:rPr>
      </w:pPr>
      <w:r>
        <w:rPr>
          <w:rFonts w:hint="eastAsia" w:hAnsi="宋体" w:cs="宋体"/>
          <w:b/>
          <w:bCs/>
          <w:color w:val="auto"/>
          <w:sz w:val="22"/>
          <w:highlight w:val="none"/>
        </w:rPr>
        <w:t>2.9</w:t>
      </w:r>
      <w:r>
        <w:rPr>
          <w:rFonts w:hint="eastAsia" w:hAnsi="宋体" w:cs="宋体"/>
          <w:b/>
          <w:bCs/>
          <w:color w:val="auto"/>
          <w:sz w:val="22"/>
          <w:highlight w:val="none"/>
          <w:u w:val="single"/>
        </w:rPr>
        <w:t>符合资格条件的投标供应商不足三家的不予开标。如进入磋商过程中，符合采购人技术等方面要求的供应商为2家的，根据评审小组意见，可以流标；也可以按财政部《关于政府采购竞争性磋商采购方式管理暂行办法有关问题的补充通知【财库〔2015〕124号】》文件规定执行</w:t>
      </w:r>
      <w:r>
        <w:rPr>
          <w:rFonts w:hint="eastAsia" w:hAnsi="宋体" w:cs="宋体"/>
          <w:b/>
          <w:bCs/>
          <w:color w:val="auto"/>
          <w:sz w:val="22"/>
          <w:highlight w:val="none"/>
        </w:rPr>
        <w:t>。</w:t>
      </w:r>
    </w:p>
    <w:p>
      <w:pPr>
        <w:pStyle w:val="11"/>
        <w:tabs>
          <w:tab w:val="left" w:pos="1069"/>
          <w:tab w:val="left" w:pos="2352"/>
        </w:tabs>
        <w:adjustRightInd w:val="0"/>
        <w:snapToGrid w:val="0"/>
        <w:spacing w:line="400" w:lineRule="exact"/>
        <w:ind w:firstLine="446" w:firstLineChars="200"/>
        <w:rPr>
          <w:rFonts w:hAnsi="宋体" w:cs="宋体"/>
          <w:b/>
          <w:bCs/>
          <w:color w:val="auto"/>
          <w:sz w:val="22"/>
          <w:highlight w:val="none"/>
        </w:rPr>
      </w:pPr>
      <w:r>
        <w:rPr>
          <w:rFonts w:hint="eastAsia" w:hAnsi="宋体" w:cs="宋体"/>
          <w:color w:val="auto"/>
          <w:sz w:val="22"/>
          <w:highlight w:val="none"/>
        </w:rPr>
        <w:t>3.投标（响应）文件的澄清</w:t>
      </w:r>
    </w:p>
    <w:p>
      <w:pPr>
        <w:tabs>
          <w:tab w:val="left" w:pos="1069"/>
          <w:tab w:val="left" w:pos="2352"/>
        </w:tabs>
        <w:adjustRightInd w:val="0"/>
        <w:snapToGrid w:val="0"/>
        <w:spacing w:line="400" w:lineRule="exact"/>
        <w:ind w:firstLine="438" w:firstLineChars="197"/>
        <w:rPr>
          <w:rFonts w:ascii="宋体" w:hAnsi="宋体" w:cs="宋体"/>
          <w:color w:val="auto"/>
          <w:sz w:val="22"/>
          <w:highlight w:val="none"/>
        </w:rPr>
      </w:pPr>
      <w:r>
        <w:rPr>
          <w:rFonts w:hint="eastAsia" w:ascii="宋体" w:hAnsi="宋体" w:cs="宋体"/>
          <w:color w:val="auto"/>
          <w:sz w:val="22"/>
          <w:highlight w:val="none"/>
        </w:rPr>
        <w:t>为有利于对投标（响应）文件的评议，必要时采购人及评审小组可要求供应商对投标（响应）文件及合同条款进行澄清，并做出答复。答复须有授权代表签字并作为报价内容的一部分。</w:t>
      </w:r>
    </w:p>
    <w:p>
      <w:pPr>
        <w:pStyle w:val="11"/>
        <w:tabs>
          <w:tab w:val="left" w:pos="1069"/>
          <w:tab w:val="left" w:pos="2352"/>
        </w:tabs>
        <w:adjustRightInd w:val="0"/>
        <w:spacing w:line="400" w:lineRule="exact"/>
        <w:ind w:left="443" w:leftChars="208"/>
        <w:rPr>
          <w:rFonts w:hAnsi="宋体" w:cs="宋体"/>
          <w:color w:val="auto"/>
          <w:sz w:val="22"/>
          <w:highlight w:val="none"/>
        </w:rPr>
      </w:pPr>
      <w:r>
        <w:rPr>
          <w:rFonts w:hint="eastAsia" w:hAnsi="宋体" w:cs="宋体"/>
          <w:color w:val="auto"/>
          <w:sz w:val="22"/>
          <w:highlight w:val="none"/>
        </w:rPr>
        <w:t>4.有下列情形之一的，视为供应商相互串通投标：</w:t>
      </w:r>
    </w:p>
    <w:p>
      <w:pPr>
        <w:pStyle w:val="11"/>
        <w:tabs>
          <w:tab w:val="left" w:pos="1069"/>
          <w:tab w:val="left" w:pos="2352"/>
        </w:tabs>
        <w:adjustRightInd w:val="0"/>
        <w:spacing w:line="400" w:lineRule="exact"/>
        <w:ind w:left="443" w:leftChars="208"/>
        <w:rPr>
          <w:rFonts w:hAnsi="宋体" w:cs="宋体"/>
          <w:color w:val="auto"/>
          <w:sz w:val="22"/>
          <w:highlight w:val="none"/>
        </w:rPr>
      </w:pPr>
      <w:r>
        <w:rPr>
          <w:rFonts w:hint="eastAsia" w:hAnsi="宋体" w:cs="宋体"/>
          <w:color w:val="auto"/>
          <w:sz w:val="22"/>
          <w:highlight w:val="none"/>
        </w:rPr>
        <w:t>4.1不同供应商的投标（响应）文件由同一单位或者个人编制；</w:t>
      </w:r>
    </w:p>
    <w:p>
      <w:pPr>
        <w:pStyle w:val="11"/>
        <w:tabs>
          <w:tab w:val="left" w:pos="1069"/>
          <w:tab w:val="left" w:pos="2352"/>
        </w:tabs>
        <w:adjustRightInd w:val="0"/>
        <w:spacing w:line="400" w:lineRule="exact"/>
        <w:ind w:left="443" w:leftChars="208"/>
        <w:rPr>
          <w:rFonts w:hAnsi="宋体" w:cs="宋体"/>
          <w:color w:val="auto"/>
          <w:sz w:val="22"/>
          <w:highlight w:val="none"/>
        </w:rPr>
      </w:pPr>
      <w:r>
        <w:rPr>
          <w:rFonts w:hint="eastAsia" w:hAnsi="宋体" w:cs="宋体"/>
          <w:color w:val="auto"/>
          <w:sz w:val="22"/>
          <w:highlight w:val="none"/>
        </w:rPr>
        <w:t>4.2不同供应商委托同一单位或者个人办理投标事宜；</w:t>
      </w:r>
    </w:p>
    <w:p>
      <w:pPr>
        <w:pStyle w:val="11"/>
        <w:tabs>
          <w:tab w:val="left" w:pos="1069"/>
          <w:tab w:val="left" w:pos="2352"/>
        </w:tabs>
        <w:adjustRightInd w:val="0"/>
        <w:spacing w:line="400" w:lineRule="exact"/>
        <w:ind w:left="443" w:leftChars="208"/>
        <w:rPr>
          <w:rFonts w:hAnsi="宋体" w:cs="宋体"/>
          <w:color w:val="auto"/>
          <w:sz w:val="22"/>
          <w:highlight w:val="none"/>
        </w:rPr>
      </w:pPr>
      <w:r>
        <w:rPr>
          <w:rFonts w:hint="eastAsia" w:hAnsi="宋体" w:cs="宋体"/>
          <w:color w:val="auto"/>
          <w:sz w:val="22"/>
          <w:highlight w:val="none"/>
        </w:rPr>
        <w:t>4.3不同供应商的投标（响应）文件载明的项目管理成员为同一人；</w:t>
      </w:r>
    </w:p>
    <w:p>
      <w:pPr>
        <w:pStyle w:val="11"/>
        <w:tabs>
          <w:tab w:val="left" w:pos="1069"/>
          <w:tab w:val="left" w:pos="2352"/>
        </w:tabs>
        <w:adjustRightInd w:val="0"/>
        <w:spacing w:line="400" w:lineRule="exact"/>
        <w:ind w:left="443" w:leftChars="208"/>
        <w:rPr>
          <w:rFonts w:hAnsi="宋体" w:cs="宋体"/>
          <w:color w:val="auto"/>
          <w:sz w:val="22"/>
          <w:highlight w:val="none"/>
        </w:rPr>
      </w:pPr>
      <w:r>
        <w:rPr>
          <w:rFonts w:hint="eastAsia" w:hAnsi="宋体" w:cs="宋体"/>
          <w:color w:val="auto"/>
          <w:sz w:val="22"/>
          <w:highlight w:val="none"/>
        </w:rPr>
        <w:t>4.4不同供应商的投标（响应）文件异常一致或者投标报价呈规律性差异；</w:t>
      </w:r>
    </w:p>
    <w:p>
      <w:pPr>
        <w:pStyle w:val="11"/>
        <w:tabs>
          <w:tab w:val="left" w:pos="1069"/>
          <w:tab w:val="left" w:pos="2352"/>
        </w:tabs>
        <w:adjustRightInd w:val="0"/>
        <w:spacing w:line="400" w:lineRule="exact"/>
        <w:ind w:left="443" w:leftChars="208"/>
        <w:rPr>
          <w:rFonts w:hAnsi="宋体" w:cs="宋体"/>
          <w:color w:val="auto"/>
          <w:sz w:val="22"/>
          <w:highlight w:val="none"/>
        </w:rPr>
      </w:pPr>
      <w:r>
        <w:rPr>
          <w:rFonts w:hint="eastAsia" w:hAnsi="宋体" w:cs="宋体"/>
          <w:color w:val="auto"/>
          <w:sz w:val="22"/>
          <w:highlight w:val="none"/>
        </w:rPr>
        <w:t>4.5不同供应商的投标（响应）文件相互混装；</w:t>
      </w:r>
    </w:p>
    <w:p>
      <w:pPr>
        <w:pStyle w:val="11"/>
        <w:tabs>
          <w:tab w:val="left" w:pos="1069"/>
          <w:tab w:val="left" w:pos="2352"/>
        </w:tabs>
        <w:adjustRightInd w:val="0"/>
        <w:spacing w:line="400" w:lineRule="exact"/>
        <w:ind w:left="443" w:leftChars="208"/>
        <w:rPr>
          <w:rFonts w:hAnsi="宋体" w:cs="宋体"/>
          <w:b/>
          <w:bCs/>
          <w:color w:val="auto"/>
          <w:sz w:val="22"/>
          <w:highlight w:val="none"/>
        </w:rPr>
      </w:pPr>
      <w:r>
        <w:rPr>
          <w:rFonts w:hint="eastAsia" w:hAnsi="宋体" w:cs="宋体"/>
          <w:color w:val="auto"/>
          <w:sz w:val="22"/>
          <w:highlight w:val="none"/>
        </w:rPr>
        <w:t>4.6经评审小组认定供应商进行串通投标的，评审小组可以对相关供应商做出无效报价处理，并上报政府采购管理部门进行进一步处理。</w:t>
      </w:r>
    </w:p>
    <w:p>
      <w:pPr>
        <w:pStyle w:val="11"/>
        <w:tabs>
          <w:tab w:val="left" w:pos="1069"/>
          <w:tab w:val="left" w:pos="2352"/>
        </w:tabs>
        <w:adjustRightInd w:val="0"/>
        <w:snapToGrid w:val="0"/>
        <w:spacing w:line="400" w:lineRule="exact"/>
        <w:ind w:firstLine="438" w:firstLineChars="197"/>
        <w:rPr>
          <w:rFonts w:hAnsi="宋体" w:cs="宋体"/>
          <w:b/>
          <w:bCs/>
          <w:color w:val="auto"/>
          <w:sz w:val="22"/>
          <w:highlight w:val="none"/>
        </w:rPr>
      </w:pPr>
      <w:r>
        <w:rPr>
          <w:rFonts w:hint="eastAsia" w:hAnsi="宋体" w:cs="宋体"/>
          <w:color w:val="auto"/>
          <w:sz w:val="22"/>
          <w:highlight w:val="none"/>
        </w:rPr>
        <w:t>5.评标原则</w:t>
      </w:r>
    </w:p>
    <w:p>
      <w:pPr>
        <w:pStyle w:val="11"/>
        <w:tabs>
          <w:tab w:val="left" w:pos="1069"/>
          <w:tab w:val="left" w:pos="2352"/>
        </w:tabs>
        <w:adjustRightInd w:val="0"/>
        <w:spacing w:line="400" w:lineRule="exact"/>
        <w:ind w:firstLine="446" w:firstLineChars="200"/>
        <w:rPr>
          <w:rFonts w:hAnsi="宋体" w:cs="宋体"/>
          <w:b/>
          <w:bCs/>
          <w:color w:val="auto"/>
          <w:sz w:val="22"/>
          <w:highlight w:val="none"/>
        </w:rPr>
      </w:pPr>
      <w:r>
        <w:rPr>
          <w:rFonts w:hint="eastAsia" w:hAnsi="宋体" w:cs="宋体"/>
          <w:color w:val="auto"/>
          <w:sz w:val="22"/>
          <w:highlight w:val="none"/>
        </w:rPr>
        <w:t>评标办法具体见本竞争性磋商文件第七部分。</w:t>
      </w:r>
    </w:p>
    <w:p>
      <w:pPr>
        <w:pStyle w:val="11"/>
        <w:tabs>
          <w:tab w:val="left" w:pos="1069"/>
          <w:tab w:val="left" w:pos="2352"/>
        </w:tabs>
        <w:adjustRightInd w:val="0"/>
        <w:snapToGrid w:val="0"/>
        <w:spacing w:line="400" w:lineRule="exact"/>
        <w:ind w:firstLine="480"/>
        <w:outlineLvl w:val="0"/>
        <w:rPr>
          <w:rFonts w:hAnsi="宋体" w:cs="宋体"/>
          <w:b/>
          <w:bCs/>
          <w:color w:val="auto"/>
          <w:sz w:val="22"/>
          <w:highlight w:val="none"/>
        </w:rPr>
      </w:pPr>
      <w:bookmarkStart w:id="45" w:name="_Toc132123441"/>
      <w:bookmarkStart w:id="46" w:name="_Toc132123883"/>
      <w:bookmarkStart w:id="47" w:name="_Toc24884_WPSOffice_Level2"/>
      <w:bookmarkStart w:id="48" w:name="_Toc132126156"/>
      <w:bookmarkStart w:id="49" w:name="_Toc132122121"/>
      <w:bookmarkStart w:id="50" w:name="_Toc132125576"/>
      <w:bookmarkStart w:id="51" w:name="_Toc132123840"/>
      <w:bookmarkStart w:id="52" w:name="_Toc132123636"/>
      <w:bookmarkStart w:id="53" w:name="_Toc132655778"/>
      <w:bookmarkStart w:id="54" w:name="_Toc132125097"/>
      <w:bookmarkStart w:id="55" w:name="_Toc493530208"/>
      <w:bookmarkStart w:id="56" w:name="_Toc132125985"/>
      <w:bookmarkStart w:id="57" w:name="_Toc132123549"/>
      <w:bookmarkStart w:id="58" w:name="_Toc132122418"/>
      <w:bookmarkStart w:id="59" w:name="_Toc132125153"/>
      <w:bookmarkStart w:id="60" w:name="_Toc132124596"/>
      <w:bookmarkStart w:id="61" w:name="_Toc132125039"/>
      <w:r>
        <w:rPr>
          <w:rFonts w:hint="eastAsia" w:hAnsi="宋体" w:cs="宋体"/>
          <w:b/>
          <w:bCs/>
          <w:color w:val="auto"/>
          <w:sz w:val="22"/>
          <w:highlight w:val="none"/>
        </w:rPr>
        <w:t>六、授予合同</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pPr>
        <w:pStyle w:val="11"/>
        <w:tabs>
          <w:tab w:val="left" w:pos="1069"/>
          <w:tab w:val="left" w:pos="2352"/>
        </w:tabs>
        <w:adjustRightInd w:val="0"/>
        <w:snapToGrid w:val="0"/>
        <w:spacing w:line="400" w:lineRule="exact"/>
        <w:ind w:firstLine="438" w:firstLineChars="197"/>
        <w:rPr>
          <w:rFonts w:hAnsi="宋体" w:cs="宋体"/>
          <w:b/>
          <w:bCs/>
          <w:color w:val="auto"/>
          <w:sz w:val="22"/>
          <w:highlight w:val="none"/>
        </w:rPr>
      </w:pPr>
      <w:bookmarkStart w:id="62" w:name="_Toc23038_WPSOffice_Level3"/>
      <w:r>
        <w:rPr>
          <w:rFonts w:hint="eastAsia" w:hAnsi="宋体" w:cs="宋体"/>
          <w:color w:val="auto"/>
          <w:sz w:val="22"/>
          <w:highlight w:val="none"/>
        </w:rPr>
        <w:t>1.决标</w:t>
      </w:r>
      <w:bookmarkEnd w:id="62"/>
    </w:p>
    <w:p>
      <w:pPr>
        <w:pStyle w:val="11"/>
        <w:tabs>
          <w:tab w:val="left" w:pos="1069"/>
          <w:tab w:val="left" w:pos="2352"/>
        </w:tabs>
        <w:adjustRightInd w:val="0"/>
        <w:snapToGrid w:val="0"/>
        <w:spacing w:line="400" w:lineRule="exact"/>
        <w:ind w:firstLine="438" w:firstLineChars="197"/>
        <w:rPr>
          <w:rFonts w:hAnsi="宋体" w:cs="宋体"/>
          <w:b/>
          <w:bCs/>
          <w:color w:val="auto"/>
          <w:sz w:val="22"/>
          <w:highlight w:val="none"/>
        </w:rPr>
      </w:pPr>
      <w:r>
        <w:rPr>
          <w:rFonts w:hint="eastAsia" w:hAnsi="宋体" w:cs="宋体"/>
          <w:color w:val="auto"/>
          <w:sz w:val="22"/>
          <w:highlight w:val="none"/>
        </w:rPr>
        <w:t>评标结束后，评审小组按照竞争性磋商文件确定的评标办法推荐中标（成交）供应商。</w:t>
      </w:r>
    </w:p>
    <w:p>
      <w:pPr>
        <w:pStyle w:val="11"/>
        <w:tabs>
          <w:tab w:val="left" w:pos="1069"/>
          <w:tab w:val="left" w:pos="2352"/>
        </w:tabs>
        <w:adjustRightInd w:val="0"/>
        <w:snapToGrid w:val="0"/>
        <w:spacing w:line="400" w:lineRule="exact"/>
        <w:ind w:firstLine="438" w:firstLineChars="197"/>
        <w:rPr>
          <w:rFonts w:hAnsi="宋体" w:cs="宋体"/>
          <w:b/>
          <w:bCs/>
          <w:color w:val="auto"/>
          <w:sz w:val="22"/>
          <w:highlight w:val="none"/>
        </w:rPr>
      </w:pPr>
      <w:bookmarkStart w:id="63" w:name="_Toc764_WPSOffice_Level3"/>
      <w:r>
        <w:rPr>
          <w:rFonts w:hint="eastAsia" w:hAnsi="宋体" w:cs="宋体"/>
          <w:color w:val="auto"/>
          <w:sz w:val="22"/>
          <w:highlight w:val="none"/>
        </w:rPr>
        <w:t>2.</w:t>
      </w:r>
      <w:bookmarkEnd w:id="63"/>
      <w:r>
        <w:rPr>
          <w:rFonts w:hint="eastAsia" w:hAnsi="宋体" w:cs="宋体"/>
          <w:color w:val="auto"/>
          <w:sz w:val="22"/>
          <w:highlight w:val="none"/>
        </w:rPr>
        <w:t>中标（成交）通知书</w:t>
      </w:r>
    </w:p>
    <w:p>
      <w:pPr>
        <w:tabs>
          <w:tab w:val="left" w:pos="1069"/>
          <w:tab w:val="left" w:pos="2352"/>
        </w:tabs>
        <w:spacing w:line="400" w:lineRule="exact"/>
        <w:ind w:firstLine="438" w:firstLineChars="197"/>
        <w:rPr>
          <w:rFonts w:ascii="宋体" w:hAnsi="宋体" w:cs="宋体"/>
          <w:color w:val="auto"/>
          <w:sz w:val="22"/>
          <w:highlight w:val="none"/>
        </w:rPr>
      </w:pPr>
      <w:r>
        <w:rPr>
          <w:rFonts w:hint="eastAsia" w:ascii="宋体" w:hAnsi="宋体" w:cs="宋体"/>
          <w:color w:val="auto"/>
          <w:sz w:val="22"/>
          <w:highlight w:val="none"/>
        </w:rPr>
        <w:t>2.1采购人依法确认中标（成交）供应商后，代理机构在浙江省政府采购网上公示中标（成交）供应商名单，公示期限为1个工作日。同时向中标（成交）供应商发出中标（成交）通知书。</w:t>
      </w:r>
    </w:p>
    <w:p>
      <w:pPr>
        <w:tabs>
          <w:tab w:val="left" w:pos="1069"/>
          <w:tab w:val="left" w:pos="2352"/>
        </w:tabs>
        <w:adjustRightInd w:val="0"/>
        <w:snapToGrid w:val="0"/>
        <w:spacing w:line="400" w:lineRule="exact"/>
        <w:ind w:firstLine="438" w:firstLineChars="197"/>
        <w:rPr>
          <w:rFonts w:ascii="宋体" w:hAnsi="宋体" w:cs="宋体"/>
          <w:color w:val="auto"/>
          <w:sz w:val="22"/>
          <w:highlight w:val="none"/>
        </w:rPr>
      </w:pPr>
      <w:r>
        <w:rPr>
          <w:rFonts w:hint="eastAsia" w:ascii="宋体" w:hAnsi="宋体" w:cs="宋体"/>
          <w:color w:val="auto"/>
          <w:sz w:val="22"/>
          <w:highlight w:val="none"/>
        </w:rPr>
        <w:t>2.2中标（成交）通知书对采购人和中标（成交）供应商具有法律约束力。中标（成交）通知书发出后，采购人改变中标结果或者中标（成交）供应商放弃中标的，应当承担法律责任。</w:t>
      </w:r>
    </w:p>
    <w:p>
      <w:pPr>
        <w:tabs>
          <w:tab w:val="left" w:pos="1069"/>
          <w:tab w:val="left" w:pos="2352"/>
        </w:tabs>
        <w:adjustRightInd w:val="0"/>
        <w:snapToGrid w:val="0"/>
        <w:spacing w:line="400" w:lineRule="exact"/>
        <w:ind w:firstLine="438" w:firstLineChars="197"/>
        <w:rPr>
          <w:rFonts w:ascii="宋体" w:hAnsi="宋体" w:cs="宋体"/>
          <w:color w:val="auto"/>
          <w:sz w:val="22"/>
          <w:highlight w:val="none"/>
        </w:rPr>
      </w:pPr>
      <w:r>
        <w:rPr>
          <w:rFonts w:hint="eastAsia" w:ascii="宋体" w:hAnsi="宋体" w:cs="宋体"/>
          <w:color w:val="auto"/>
          <w:sz w:val="22"/>
          <w:highlight w:val="none"/>
        </w:rPr>
        <w:t>3.中标（成交）无效</w:t>
      </w:r>
    </w:p>
    <w:p>
      <w:pPr>
        <w:tabs>
          <w:tab w:val="left" w:pos="1069"/>
          <w:tab w:val="left" w:pos="2352"/>
        </w:tabs>
        <w:adjustRightInd w:val="0"/>
        <w:snapToGrid w:val="0"/>
        <w:spacing w:line="400" w:lineRule="exact"/>
        <w:ind w:firstLine="438" w:firstLineChars="197"/>
        <w:rPr>
          <w:rFonts w:ascii="宋体" w:hAnsi="宋体" w:cs="宋体"/>
          <w:color w:val="auto"/>
          <w:sz w:val="22"/>
          <w:highlight w:val="none"/>
        </w:rPr>
      </w:pPr>
      <w:r>
        <w:rPr>
          <w:rFonts w:hint="eastAsia" w:ascii="宋体" w:hAnsi="宋体" w:cs="宋体"/>
          <w:color w:val="auto"/>
          <w:sz w:val="22"/>
          <w:highlight w:val="none"/>
        </w:rPr>
        <w:t>1）发现中标（成交）供应商资格无效或中标（成交）供应商放弃成交或拒绝与采购人签订合同的,按相关法律法规执行，原则上重新开展政府采购活动。</w:t>
      </w:r>
    </w:p>
    <w:p>
      <w:pPr>
        <w:tabs>
          <w:tab w:val="left" w:pos="1069"/>
          <w:tab w:val="left" w:pos="2352"/>
        </w:tabs>
        <w:adjustRightInd w:val="0"/>
        <w:snapToGrid w:val="0"/>
        <w:spacing w:line="400" w:lineRule="exact"/>
        <w:ind w:firstLine="438" w:firstLineChars="197"/>
        <w:rPr>
          <w:rFonts w:ascii="宋体" w:hAnsi="宋体" w:cs="宋体"/>
          <w:color w:val="auto"/>
          <w:sz w:val="22"/>
          <w:highlight w:val="none"/>
        </w:rPr>
      </w:pPr>
      <w:r>
        <w:rPr>
          <w:rFonts w:hint="eastAsia" w:ascii="宋体" w:hAnsi="宋体" w:cs="宋体"/>
          <w:color w:val="auto"/>
          <w:sz w:val="22"/>
          <w:highlight w:val="none"/>
        </w:rPr>
        <w:t>2）有《中华人民共和国政府采购法实施条例》第七十一条、第七十二条、第七十三条、第七十四条规定的违法行为之一，由政府采购监管部门依法处理。</w:t>
      </w:r>
    </w:p>
    <w:p>
      <w:pPr>
        <w:pStyle w:val="11"/>
        <w:tabs>
          <w:tab w:val="left" w:pos="1069"/>
          <w:tab w:val="left" w:pos="2352"/>
        </w:tabs>
        <w:adjustRightInd w:val="0"/>
        <w:snapToGrid w:val="0"/>
        <w:spacing w:line="400" w:lineRule="exact"/>
        <w:ind w:firstLine="438" w:firstLineChars="197"/>
        <w:rPr>
          <w:rFonts w:hAnsi="宋体" w:cs="宋体"/>
          <w:b/>
          <w:bCs/>
          <w:color w:val="auto"/>
          <w:sz w:val="22"/>
          <w:highlight w:val="none"/>
        </w:rPr>
      </w:pPr>
      <w:bookmarkStart w:id="64" w:name="_Toc3709_WPSOffice_Level3"/>
      <w:r>
        <w:rPr>
          <w:rFonts w:hint="eastAsia" w:hAnsi="宋体" w:cs="宋体"/>
          <w:color w:val="auto"/>
          <w:sz w:val="22"/>
          <w:highlight w:val="none"/>
        </w:rPr>
        <w:t>4.签订合同</w:t>
      </w:r>
      <w:bookmarkEnd w:id="64"/>
    </w:p>
    <w:p>
      <w:pPr>
        <w:tabs>
          <w:tab w:val="left" w:pos="1069"/>
          <w:tab w:val="left" w:pos="2352"/>
        </w:tabs>
        <w:adjustRightInd w:val="0"/>
        <w:snapToGrid w:val="0"/>
        <w:spacing w:line="400" w:lineRule="exact"/>
        <w:ind w:firstLine="438" w:firstLineChars="197"/>
        <w:rPr>
          <w:rFonts w:ascii="宋体" w:hAnsi="宋体" w:cs="宋体"/>
          <w:color w:val="auto"/>
          <w:sz w:val="22"/>
          <w:highlight w:val="none"/>
        </w:rPr>
      </w:pPr>
      <w:r>
        <w:rPr>
          <w:rFonts w:hint="eastAsia" w:ascii="宋体" w:hAnsi="宋体" w:cs="宋体"/>
          <w:color w:val="auto"/>
          <w:sz w:val="22"/>
          <w:highlight w:val="none"/>
        </w:rPr>
        <w:t>4.1 中标（成交）供应商须主动联系采购人或采购机构领取中标（成交）通知书。中标（成交）供应商应当在中标（成交）通知书发出之日起30日内与采购人签订合同。中标（成交）供应商未经采购人许可，在规定时间内未到采购人处与采购人签订合同，则视为拒签合同。</w:t>
      </w:r>
    </w:p>
    <w:p>
      <w:pPr>
        <w:tabs>
          <w:tab w:val="left" w:pos="1069"/>
          <w:tab w:val="left" w:pos="2352"/>
        </w:tabs>
        <w:adjustRightInd w:val="0"/>
        <w:snapToGrid w:val="0"/>
        <w:spacing w:line="400" w:lineRule="exact"/>
        <w:ind w:firstLine="438" w:firstLineChars="197"/>
        <w:rPr>
          <w:rFonts w:ascii="宋体" w:hAnsi="宋体" w:cs="宋体"/>
          <w:color w:val="auto"/>
          <w:sz w:val="22"/>
          <w:highlight w:val="none"/>
        </w:rPr>
      </w:pPr>
      <w:r>
        <w:rPr>
          <w:rFonts w:hint="eastAsia" w:ascii="宋体" w:hAnsi="宋体" w:cs="宋体"/>
          <w:color w:val="auto"/>
          <w:sz w:val="22"/>
          <w:highlight w:val="none"/>
        </w:rPr>
        <w:t>4.2 竞争性磋商文件、中标（成交）供应商的投标（响应）文件及投标修改文件、评标过程中有关澄清文件及经双方签字的询标纪要（承诺）和中标（成交）通知书均作为合同附件。</w:t>
      </w:r>
    </w:p>
    <w:p>
      <w:pPr>
        <w:tabs>
          <w:tab w:val="left" w:pos="1069"/>
          <w:tab w:val="left" w:pos="2352"/>
        </w:tabs>
        <w:adjustRightInd w:val="0"/>
        <w:snapToGrid w:val="0"/>
        <w:spacing w:line="400" w:lineRule="exact"/>
        <w:ind w:firstLine="438" w:firstLineChars="197"/>
        <w:rPr>
          <w:rFonts w:ascii="宋体" w:hAnsi="宋体" w:cs="宋体"/>
          <w:color w:val="auto"/>
          <w:sz w:val="22"/>
          <w:highlight w:val="none"/>
        </w:rPr>
      </w:pPr>
      <w:r>
        <w:rPr>
          <w:rFonts w:hint="eastAsia" w:ascii="宋体" w:hAnsi="宋体" w:cs="宋体"/>
          <w:color w:val="auto"/>
          <w:sz w:val="22"/>
          <w:highlight w:val="none"/>
        </w:rPr>
        <w:t>4.3 拒签合同的责任</w:t>
      </w:r>
    </w:p>
    <w:p>
      <w:pPr>
        <w:pStyle w:val="11"/>
        <w:tabs>
          <w:tab w:val="left" w:pos="1069"/>
          <w:tab w:val="left" w:pos="2352"/>
        </w:tabs>
        <w:adjustRightInd w:val="0"/>
        <w:snapToGrid w:val="0"/>
        <w:spacing w:line="400" w:lineRule="exact"/>
        <w:ind w:firstLine="438" w:firstLineChars="197"/>
        <w:rPr>
          <w:rFonts w:hAnsi="宋体" w:cs="宋体"/>
          <w:b/>
          <w:bCs/>
          <w:color w:val="auto"/>
          <w:sz w:val="22"/>
          <w:highlight w:val="none"/>
        </w:rPr>
      </w:pPr>
      <w:r>
        <w:rPr>
          <w:rFonts w:hint="eastAsia" w:hAnsi="宋体" w:cs="宋体"/>
          <w:color w:val="auto"/>
          <w:sz w:val="22"/>
          <w:highlight w:val="none"/>
        </w:rPr>
        <w:t>中标（成交）供应商在规定时间内（30日历天）借故否认已经承诺的条件、拒签合同者，以违约处理，并赔偿采购人由此造成的直接经济损失；采购人重新组织采购的，所需费用由原中标（成交）供应商承担。</w:t>
      </w:r>
    </w:p>
    <w:p>
      <w:pPr>
        <w:pStyle w:val="11"/>
        <w:tabs>
          <w:tab w:val="left" w:pos="1069"/>
          <w:tab w:val="left" w:pos="2352"/>
        </w:tabs>
        <w:adjustRightInd w:val="0"/>
        <w:snapToGrid w:val="0"/>
        <w:spacing w:line="400" w:lineRule="exact"/>
        <w:ind w:firstLine="438" w:firstLineChars="197"/>
        <w:rPr>
          <w:rFonts w:hAnsi="宋体" w:cs="宋体"/>
          <w:b/>
          <w:bCs/>
          <w:color w:val="auto"/>
          <w:sz w:val="22"/>
          <w:highlight w:val="none"/>
        </w:rPr>
      </w:pPr>
      <w:bookmarkStart w:id="65" w:name="_Toc21884_WPSOffice_Level3"/>
      <w:r>
        <w:rPr>
          <w:rFonts w:hint="eastAsia" w:hAnsi="宋体" w:cs="宋体"/>
          <w:color w:val="auto"/>
          <w:sz w:val="22"/>
          <w:highlight w:val="none"/>
        </w:rPr>
        <w:t>5.</w:t>
      </w:r>
      <w:bookmarkEnd w:id="65"/>
      <w:r>
        <w:rPr>
          <w:rFonts w:hint="eastAsia" w:hAnsi="宋体" w:cs="宋体"/>
          <w:color w:val="auto"/>
          <w:sz w:val="22"/>
          <w:highlight w:val="none"/>
        </w:rPr>
        <w:t>履约保证金</w:t>
      </w:r>
    </w:p>
    <w:p>
      <w:pPr>
        <w:tabs>
          <w:tab w:val="left" w:pos="2352"/>
        </w:tabs>
        <w:autoSpaceDE w:val="0"/>
        <w:autoSpaceDN w:val="0"/>
        <w:adjustRightInd w:val="0"/>
        <w:snapToGrid w:val="0"/>
        <w:spacing w:line="400" w:lineRule="exact"/>
        <w:ind w:firstLine="446" w:firstLineChars="200"/>
        <w:textAlignment w:val="bottom"/>
        <w:rPr>
          <w:rFonts w:ascii="宋体" w:hAnsi="宋体" w:cs="宋体"/>
          <w:color w:val="auto"/>
          <w:sz w:val="22"/>
          <w:highlight w:val="none"/>
        </w:rPr>
      </w:pPr>
      <w:r>
        <w:rPr>
          <w:rFonts w:hint="eastAsia" w:hAnsi="宋体" w:cs="宋体"/>
          <w:color w:val="auto"/>
          <w:sz w:val="22"/>
          <w:highlight w:val="none"/>
          <w:lang w:val="zh-CN"/>
        </w:rPr>
        <w:t>合同签订前，中标（成交）供应商应向采购人提供合同总金额</w:t>
      </w:r>
      <w:r>
        <w:rPr>
          <w:rFonts w:hint="eastAsia" w:hAnsi="宋体" w:cs="宋体"/>
          <w:color w:val="auto"/>
          <w:sz w:val="22"/>
          <w:highlight w:val="none"/>
        </w:rPr>
        <w:t>1%</w:t>
      </w:r>
      <w:r>
        <w:rPr>
          <w:rFonts w:hint="eastAsia" w:hAnsi="宋体" w:cs="宋体"/>
          <w:color w:val="auto"/>
          <w:sz w:val="22"/>
          <w:highlight w:val="none"/>
          <w:lang w:val="zh-CN"/>
        </w:rPr>
        <w:t>的履约保证金</w:t>
      </w:r>
      <w:r>
        <w:rPr>
          <w:rFonts w:hint="eastAsia" w:ascii="宋体" w:hAnsi="宋体" w:cs="宋体"/>
          <w:color w:val="auto"/>
          <w:sz w:val="22"/>
          <w:highlight w:val="none"/>
        </w:rPr>
        <w:t>（以转账或者金融机构、担保机构出具的保函等非现金形式提交）。</w:t>
      </w:r>
    </w:p>
    <w:p>
      <w:pPr>
        <w:tabs>
          <w:tab w:val="left" w:pos="1069"/>
          <w:tab w:val="left" w:pos="2352"/>
        </w:tabs>
        <w:spacing w:line="400" w:lineRule="exact"/>
        <w:ind w:firstLine="446" w:firstLineChars="200"/>
        <w:rPr>
          <w:rFonts w:ascii="宋体" w:hAnsi="宋体" w:cs="宋体"/>
          <w:b/>
          <w:color w:val="auto"/>
          <w:sz w:val="22"/>
          <w:highlight w:val="none"/>
        </w:rPr>
      </w:pPr>
      <w:r>
        <w:rPr>
          <w:rFonts w:hint="eastAsia" w:ascii="宋体" w:hAnsi="宋体" w:cs="宋体"/>
          <w:color w:val="auto"/>
          <w:sz w:val="22"/>
          <w:highlight w:val="none"/>
        </w:rPr>
        <w:t>6.招标代理服务费</w:t>
      </w:r>
    </w:p>
    <w:p>
      <w:pPr>
        <w:tabs>
          <w:tab w:val="left" w:pos="1069"/>
          <w:tab w:val="left" w:pos="2352"/>
        </w:tabs>
        <w:spacing w:line="400" w:lineRule="exact"/>
        <w:ind w:firstLine="446" w:firstLineChars="200"/>
        <w:rPr>
          <w:rFonts w:ascii="宋体" w:hAnsi="宋体" w:cs="宋体"/>
          <w:color w:val="auto"/>
          <w:sz w:val="22"/>
          <w:highlight w:val="none"/>
        </w:rPr>
      </w:pPr>
      <w:r>
        <w:rPr>
          <w:rFonts w:hint="eastAsia" w:ascii="宋体" w:hAnsi="宋体" w:cs="宋体"/>
          <w:color w:val="auto"/>
          <w:sz w:val="22"/>
          <w:highlight w:val="none"/>
        </w:rPr>
        <w:t>中标（成交）供应商在领取中标（成交）通知书同时向代理机构支付招标代理服务</w:t>
      </w:r>
      <w:r>
        <w:rPr>
          <w:rFonts w:hint="eastAsia" w:ascii="宋体" w:hAnsi="宋体" w:cs="宋体"/>
          <w:color w:val="auto"/>
          <w:sz w:val="22"/>
          <w:highlight w:val="none"/>
          <w:u w:val="none"/>
        </w:rPr>
        <w:t>费</w:t>
      </w:r>
      <w:r>
        <w:rPr>
          <w:rFonts w:hint="eastAsia" w:hAnsi="宋体" w:cs="仿宋_GB2312"/>
          <w:b/>
          <w:bCs/>
          <w:color w:val="auto"/>
          <w:sz w:val="22"/>
          <w:highlight w:val="none"/>
          <w:u w:val="none"/>
          <w:lang w:eastAsia="zh-CN"/>
        </w:rPr>
        <w:t>，</w:t>
      </w:r>
      <w:r>
        <w:rPr>
          <w:rFonts w:hint="eastAsia" w:hAnsi="宋体" w:cs="宋体"/>
          <w:color w:val="auto"/>
          <w:sz w:val="22"/>
          <w:highlight w:val="none"/>
          <w:lang w:val="en-US" w:eastAsia="zh-CN"/>
        </w:rPr>
        <w:t>参照国家计委1980号文件收取</w:t>
      </w:r>
      <w:r>
        <w:rPr>
          <w:rFonts w:hint="eastAsia" w:ascii="宋体" w:hAnsi="宋体" w:cs="宋体"/>
          <w:color w:val="auto"/>
          <w:sz w:val="22"/>
          <w:highlight w:val="none"/>
        </w:rPr>
        <w:t>。</w:t>
      </w:r>
    </w:p>
    <w:p>
      <w:pPr>
        <w:tabs>
          <w:tab w:val="left" w:pos="1069"/>
          <w:tab w:val="left" w:pos="2352"/>
        </w:tabs>
        <w:autoSpaceDE w:val="0"/>
        <w:autoSpaceDN w:val="0"/>
        <w:adjustRightInd w:val="0"/>
        <w:spacing w:line="400" w:lineRule="exact"/>
        <w:ind w:firstLine="446" w:firstLineChars="200"/>
        <w:textAlignment w:val="bottom"/>
        <w:rPr>
          <w:rFonts w:ascii="宋体" w:hAnsi="宋体" w:cs="宋体"/>
          <w:color w:val="auto"/>
          <w:sz w:val="22"/>
          <w:highlight w:val="none"/>
        </w:rPr>
      </w:pPr>
      <w:r>
        <w:rPr>
          <w:rFonts w:hint="eastAsia" w:ascii="宋体" w:hAnsi="宋体" w:cs="宋体"/>
          <w:color w:val="auto"/>
          <w:sz w:val="22"/>
          <w:highlight w:val="none"/>
        </w:rPr>
        <w:t>招标代理费汇入以下帐号：</w:t>
      </w:r>
    </w:p>
    <w:p>
      <w:pPr>
        <w:tabs>
          <w:tab w:val="left" w:pos="1069"/>
          <w:tab w:val="left" w:pos="2352"/>
        </w:tabs>
        <w:autoSpaceDE w:val="0"/>
        <w:autoSpaceDN w:val="0"/>
        <w:adjustRightInd w:val="0"/>
        <w:spacing w:line="400" w:lineRule="exact"/>
        <w:ind w:firstLine="446" w:firstLineChars="200"/>
        <w:textAlignment w:val="bottom"/>
        <w:rPr>
          <w:rFonts w:ascii="宋体" w:hAnsi="宋体" w:cs="宋体"/>
          <w:color w:val="auto"/>
          <w:sz w:val="22"/>
          <w:highlight w:val="none"/>
        </w:rPr>
      </w:pPr>
      <w:r>
        <w:rPr>
          <w:rFonts w:hint="eastAsia" w:ascii="宋体" w:hAnsi="宋体" w:cs="宋体"/>
          <w:color w:val="auto"/>
          <w:sz w:val="22"/>
          <w:highlight w:val="none"/>
        </w:rPr>
        <w:t>开户银行：浙江泰顺农村商业银行股份有限公司关山支行城南分理处</w:t>
      </w:r>
    </w:p>
    <w:p>
      <w:pPr>
        <w:tabs>
          <w:tab w:val="left" w:pos="1069"/>
          <w:tab w:val="left" w:pos="2352"/>
        </w:tabs>
        <w:autoSpaceDE w:val="0"/>
        <w:autoSpaceDN w:val="0"/>
        <w:adjustRightInd w:val="0"/>
        <w:spacing w:line="400" w:lineRule="exact"/>
        <w:ind w:firstLine="446" w:firstLineChars="200"/>
        <w:textAlignment w:val="bottom"/>
        <w:rPr>
          <w:rFonts w:ascii="宋体" w:hAnsi="宋体" w:cs="宋体"/>
          <w:color w:val="auto"/>
          <w:sz w:val="22"/>
          <w:highlight w:val="none"/>
        </w:rPr>
      </w:pPr>
      <w:r>
        <w:rPr>
          <w:rFonts w:hint="eastAsia" w:ascii="宋体" w:hAnsi="宋体" w:cs="宋体"/>
          <w:color w:val="auto"/>
          <w:sz w:val="22"/>
          <w:highlight w:val="none"/>
        </w:rPr>
        <w:t>开户名称：泰顺华旗技术服务有限公司</w:t>
      </w:r>
    </w:p>
    <w:p>
      <w:pPr>
        <w:tabs>
          <w:tab w:val="left" w:pos="1069"/>
          <w:tab w:val="left" w:pos="2352"/>
        </w:tabs>
        <w:autoSpaceDE w:val="0"/>
        <w:autoSpaceDN w:val="0"/>
        <w:adjustRightInd w:val="0"/>
        <w:spacing w:line="400" w:lineRule="exact"/>
        <w:ind w:firstLine="446" w:firstLineChars="200"/>
        <w:textAlignment w:val="bottom"/>
        <w:rPr>
          <w:rFonts w:ascii="宋体" w:hAnsi="宋体" w:cs="宋体"/>
          <w:color w:val="auto"/>
          <w:highlight w:val="none"/>
        </w:rPr>
      </w:pPr>
      <w:r>
        <w:rPr>
          <w:rFonts w:hint="eastAsia" w:ascii="宋体" w:hAnsi="宋体" w:cs="宋体"/>
          <w:color w:val="auto"/>
          <w:sz w:val="22"/>
          <w:highlight w:val="none"/>
        </w:rPr>
        <w:t>开户帐号：201000248530910</w:t>
      </w:r>
    </w:p>
    <w:p>
      <w:pPr>
        <w:tabs>
          <w:tab w:val="left" w:pos="1069"/>
          <w:tab w:val="left" w:pos="2352"/>
        </w:tabs>
        <w:adjustRightInd w:val="0"/>
        <w:snapToGrid w:val="0"/>
        <w:spacing w:line="400" w:lineRule="exact"/>
        <w:jc w:val="left"/>
        <w:rPr>
          <w:rFonts w:ascii="宋体" w:hAnsi="宋体" w:cs="宋体"/>
          <w:b/>
          <w:bCs/>
          <w:color w:val="auto"/>
          <w:sz w:val="22"/>
          <w:highlight w:val="none"/>
        </w:rPr>
      </w:pPr>
      <w:r>
        <w:rPr>
          <w:rFonts w:hint="eastAsia" w:ascii="宋体" w:hAnsi="宋体" w:cs="宋体"/>
          <w:b/>
          <w:bCs/>
          <w:color w:val="auto"/>
          <w:sz w:val="22"/>
          <w:highlight w:val="none"/>
        </w:rPr>
        <w:t>七、投诉质疑</w:t>
      </w:r>
    </w:p>
    <w:p>
      <w:pPr>
        <w:pStyle w:val="33"/>
        <w:tabs>
          <w:tab w:val="left" w:pos="1069"/>
          <w:tab w:val="left" w:pos="2352"/>
        </w:tabs>
        <w:snapToGrid w:val="0"/>
        <w:spacing w:before="0" w:line="400" w:lineRule="exact"/>
        <w:ind w:firstLine="448"/>
        <w:rPr>
          <w:rFonts w:ascii="宋体" w:hAnsi="宋体" w:cs="宋体"/>
          <w:color w:val="auto"/>
          <w:sz w:val="22"/>
          <w:szCs w:val="22"/>
          <w:highlight w:val="none"/>
        </w:rPr>
      </w:pPr>
      <w:r>
        <w:rPr>
          <w:rFonts w:hint="eastAsia" w:ascii="宋体" w:hAnsi="宋体" w:cs="宋体"/>
          <w:color w:val="auto"/>
          <w:sz w:val="22"/>
          <w:szCs w:val="22"/>
          <w:highlight w:val="none"/>
        </w:rPr>
        <w:t>根据《中华人民共和国政府采购法》、《政府采购质疑和投诉办法》（中华人民共和国财政部令第94号）、《财政部关于加强政府采购供应商投诉受理审查工作的通知》(财库〔2007〕1号)和《浙江省政府采购供应商质疑处理办法》（浙财采监[2012]18号）的规定，政府采购供应商可以依法提起质疑和投诉。</w:t>
      </w:r>
    </w:p>
    <w:p>
      <w:pPr>
        <w:pStyle w:val="33"/>
        <w:tabs>
          <w:tab w:val="left" w:pos="1069"/>
          <w:tab w:val="left" w:pos="2352"/>
        </w:tabs>
        <w:spacing w:before="0" w:line="400" w:lineRule="exact"/>
        <w:ind w:firstLine="0" w:firstLineChars="0"/>
        <w:rPr>
          <w:rFonts w:ascii="宋体" w:hAnsi="宋体" w:cs="宋体"/>
          <w:b/>
          <w:color w:val="auto"/>
          <w:sz w:val="22"/>
          <w:szCs w:val="22"/>
          <w:highlight w:val="none"/>
        </w:rPr>
      </w:pPr>
      <w:r>
        <w:rPr>
          <w:rFonts w:hint="eastAsia" w:ascii="宋体" w:hAnsi="宋体" w:cs="宋体"/>
          <w:b/>
          <w:color w:val="auto"/>
          <w:sz w:val="22"/>
          <w:szCs w:val="22"/>
          <w:highlight w:val="none"/>
        </w:rPr>
        <w:t>1.供应商询问</w:t>
      </w:r>
    </w:p>
    <w:p>
      <w:pPr>
        <w:pStyle w:val="11"/>
        <w:tabs>
          <w:tab w:val="left" w:pos="1069"/>
          <w:tab w:val="left" w:pos="2352"/>
        </w:tabs>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lang w:val="zh-CN"/>
        </w:rPr>
        <w:t>供应商对政府采购活动事项有疑问的，可以向招标代理机构提出询问，招标代理机构将对供应商依法提出的询问作出答复，但答复的内容不得涉及商业秘密。</w:t>
      </w:r>
    </w:p>
    <w:p>
      <w:pPr>
        <w:pStyle w:val="33"/>
        <w:tabs>
          <w:tab w:val="left" w:pos="1069"/>
          <w:tab w:val="left" w:pos="2352"/>
        </w:tabs>
        <w:spacing w:before="0" w:line="400" w:lineRule="exact"/>
        <w:ind w:firstLine="0" w:firstLineChars="0"/>
        <w:rPr>
          <w:rFonts w:ascii="宋体" w:hAnsi="宋体" w:cs="宋体"/>
          <w:b/>
          <w:color w:val="auto"/>
          <w:sz w:val="22"/>
          <w:szCs w:val="22"/>
          <w:highlight w:val="none"/>
        </w:rPr>
      </w:pPr>
      <w:r>
        <w:rPr>
          <w:rFonts w:hint="eastAsia" w:ascii="宋体" w:hAnsi="宋体" w:cs="宋体"/>
          <w:b/>
          <w:color w:val="auto"/>
          <w:sz w:val="22"/>
          <w:szCs w:val="22"/>
          <w:highlight w:val="none"/>
        </w:rPr>
        <w:t>2.供应商质疑</w:t>
      </w:r>
    </w:p>
    <w:p>
      <w:pPr>
        <w:pStyle w:val="11"/>
        <w:tabs>
          <w:tab w:val="left" w:pos="1069"/>
          <w:tab w:val="left" w:pos="2352"/>
        </w:tabs>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2.1供应商认为竞争性磋商文件、采购过程和中标、成交结果使自己的权益受到损害的，可以在知道或者应知其权益受到损害之日起七个工作日内，以书面形式向采购人、采购代理机构提出质疑，</w:t>
      </w:r>
      <w:r>
        <w:rPr>
          <w:rFonts w:hint="eastAsia" w:hAnsi="宋体" w:cs="宋体"/>
          <w:color w:val="auto"/>
          <w:sz w:val="22"/>
          <w:szCs w:val="22"/>
          <w:highlight w:val="none"/>
          <w:lang w:val="zh-CN"/>
        </w:rPr>
        <w:t>否则，不予受理：</w:t>
      </w:r>
    </w:p>
    <w:p>
      <w:pPr>
        <w:pStyle w:val="11"/>
        <w:tabs>
          <w:tab w:val="left" w:pos="1069"/>
          <w:tab w:val="left" w:pos="2352"/>
        </w:tabs>
        <w:spacing w:line="400" w:lineRule="exact"/>
        <w:rPr>
          <w:rFonts w:hAnsi="宋体" w:cs="宋体"/>
          <w:color w:val="auto"/>
          <w:sz w:val="22"/>
          <w:szCs w:val="22"/>
          <w:highlight w:val="none"/>
        </w:rPr>
      </w:pPr>
      <w:r>
        <w:rPr>
          <w:rFonts w:hint="eastAsia" w:hAnsi="宋体" w:cs="宋体"/>
          <w:color w:val="auto"/>
          <w:sz w:val="22"/>
          <w:szCs w:val="22"/>
          <w:highlight w:val="none"/>
        </w:rPr>
        <w:t xml:space="preserve">   （1）供应商如认为招标公告信息使自身的合法权益受到损害的，应于自招标公告发布之日起七个工作内以书面形式向招标代理机构提出质疑；</w:t>
      </w:r>
    </w:p>
    <w:p>
      <w:pPr>
        <w:pStyle w:val="11"/>
        <w:tabs>
          <w:tab w:val="left" w:pos="1069"/>
          <w:tab w:val="left" w:pos="2352"/>
        </w:tabs>
        <w:spacing w:line="400" w:lineRule="exact"/>
        <w:rPr>
          <w:rFonts w:hAnsi="宋体" w:cs="宋体"/>
          <w:color w:val="auto"/>
          <w:sz w:val="22"/>
          <w:szCs w:val="22"/>
          <w:highlight w:val="none"/>
        </w:rPr>
      </w:pPr>
      <w:r>
        <w:rPr>
          <w:rFonts w:hint="eastAsia" w:hAnsi="宋体" w:cs="宋体"/>
          <w:color w:val="auto"/>
          <w:sz w:val="22"/>
          <w:szCs w:val="22"/>
          <w:highlight w:val="none"/>
        </w:rPr>
        <w:t xml:space="preserve">   （2）</w:t>
      </w:r>
      <w:r>
        <w:rPr>
          <w:rFonts w:hint="eastAsia" w:hAnsi="宋体" w:cs="宋体"/>
          <w:color w:val="auto"/>
          <w:sz w:val="22"/>
          <w:szCs w:val="22"/>
          <w:highlight w:val="none"/>
          <w:lang w:val="zh-CN"/>
        </w:rPr>
        <w:t>对竞争性磋商文件提出质疑的，质疑期限为供应商获得竞争性磋商文件之日或者竞争性磋商文件公告期限届满之日起计算。</w:t>
      </w:r>
    </w:p>
    <w:p>
      <w:pPr>
        <w:tabs>
          <w:tab w:val="left" w:pos="1069"/>
          <w:tab w:val="left" w:pos="2352"/>
        </w:tabs>
        <w:autoSpaceDE w:val="0"/>
        <w:autoSpaceDN w:val="0"/>
        <w:spacing w:line="400" w:lineRule="exact"/>
        <w:jc w:val="left"/>
        <w:rPr>
          <w:rFonts w:ascii="宋体" w:hAnsi="宋体" w:cs="宋体"/>
          <w:color w:val="auto"/>
          <w:kern w:val="0"/>
          <w:sz w:val="22"/>
          <w:highlight w:val="none"/>
          <w:lang w:val="zh-CN"/>
        </w:rPr>
      </w:pPr>
      <w:r>
        <w:rPr>
          <w:rFonts w:hint="eastAsia" w:ascii="宋体" w:hAnsi="宋体" w:cs="宋体"/>
          <w:color w:val="auto"/>
          <w:sz w:val="22"/>
          <w:highlight w:val="none"/>
        </w:rPr>
        <w:t xml:space="preserve">   （3）</w:t>
      </w:r>
      <w:r>
        <w:rPr>
          <w:rFonts w:hint="eastAsia" w:ascii="宋体" w:hAnsi="宋体" w:cs="宋体"/>
          <w:color w:val="auto"/>
          <w:kern w:val="0"/>
          <w:sz w:val="22"/>
          <w:highlight w:val="none"/>
          <w:lang w:val="zh-CN"/>
        </w:rPr>
        <w:t>对采购过程提出质疑的，质疑期限为各采购程序环节结束之日起计算。</w:t>
      </w:r>
    </w:p>
    <w:p>
      <w:pPr>
        <w:pStyle w:val="11"/>
        <w:tabs>
          <w:tab w:val="left" w:pos="1069"/>
          <w:tab w:val="left" w:pos="2352"/>
        </w:tabs>
        <w:spacing w:line="400" w:lineRule="exact"/>
        <w:rPr>
          <w:rFonts w:hAnsi="宋体" w:cs="宋体"/>
          <w:color w:val="auto"/>
          <w:sz w:val="22"/>
          <w:szCs w:val="22"/>
          <w:highlight w:val="none"/>
        </w:rPr>
      </w:pPr>
      <w:r>
        <w:rPr>
          <w:rFonts w:hint="eastAsia" w:hAnsi="宋体" w:cs="宋体"/>
          <w:color w:val="auto"/>
          <w:sz w:val="22"/>
          <w:szCs w:val="22"/>
          <w:highlight w:val="none"/>
          <w:lang w:val="zh-CN"/>
        </w:rPr>
        <w:t xml:space="preserve">   （4）对采购结果提出质疑的，质疑期限自采购结果公告（包括公示、预公告、结果变更公告等）期限届满之日起计算。</w:t>
      </w:r>
    </w:p>
    <w:p>
      <w:pPr>
        <w:pStyle w:val="11"/>
        <w:tabs>
          <w:tab w:val="left" w:pos="1069"/>
          <w:tab w:val="left" w:pos="2352"/>
        </w:tabs>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2.2供应商提交的质疑书需一式三份，由法定代表人签字（或盖章）并加盖单位公章。质疑书至少应包括下列主要内容：</w:t>
      </w:r>
    </w:p>
    <w:p>
      <w:pPr>
        <w:pStyle w:val="11"/>
        <w:tabs>
          <w:tab w:val="left" w:pos="1069"/>
          <w:tab w:val="left" w:pos="2352"/>
        </w:tabs>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（1）供应商的名称、地址、邮政编码、联系人、联系电话；</w:t>
      </w:r>
    </w:p>
    <w:p>
      <w:pPr>
        <w:pStyle w:val="11"/>
        <w:tabs>
          <w:tab w:val="left" w:pos="1069"/>
          <w:tab w:val="left" w:pos="2352"/>
        </w:tabs>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（2）质疑项目的名称、编号；</w:t>
      </w:r>
    </w:p>
    <w:p>
      <w:pPr>
        <w:pStyle w:val="11"/>
        <w:tabs>
          <w:tab w:val="left" w:pos="1069"/>
          <w:tab w:val="left" w:pos="2352"/>
        </w:tabs>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（3）具体、明确的质疑事项和与质疑事项相关的请求；</w:t>
      </w:r>
    </w:p>
    <w:p>
      <w:pPr>
        <w:pStyle w:val="11"/>
        <w:tabs>
          <w:tab w:val="left" w:pos="1069"/>
          <w:tab w:val="left" w:pos="2352"/>
        </w:tabs>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（4）事实依据；</w:t>
      </w:r>
    </w:p>
    <w:p>
      <w:pPr>
        <w:pStyle w:val="11"/>
        <w:tabs>
          <w:tab w:val="left" w:pos="1069"/>
          <w:tab w:val="left" w:pos="2352"/>
        </w:tabs>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（5）必要的法律依据；</w:t>
      </w:r>
    </w:p>
    <w:p>
      <w:pPr>
        <w:pStyle w:val="11"/>
        <w:tabs>
          <w:tab w:val="left" w:pos="1069"/>
          <w:tab w:val="left" w:pos="2352"/>
        </w:tabs>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（6）提出质疑的日期。</w:t>
      </w:r>
    </w:p>
    <w:p>
      <w:pPr>
        <w:pStyle w:val="11"/>
        <w:tabs>
          <w:tab w:val="left" w:pos="1069"/>
          <w:tab w:val="left" w:pos="2352"/>
        </w:tabs>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供应商为自然人的，应当由本人签字；供应商为法人或其他组织的，应当由法定代表人、主要负责人，或者其授权代表签字或者盖章，并加盖公章。</w:t>
      </w:r>
    </w:p>
    <w:p>
      <w:pPr>
        <w:pStyle w:val="11"/>
        <w:tabs>
          <w:tab w:val="left" w:pos="1069"/>
          <w:tab w:val="left" w:pos="2352"/>
        </w:tabs>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2.3采购人、采购代理机构应当在收到供应商的书面质疑后七个工作日内作出答复，并以书面形式通知质疑供应商和其他有关供应商，但答复的内容不得涉及商业秘密。</w:t>
      </w:r>
    </w:p>
    <w:p>
      <w:pPr>
        <w:pStyle w:val="33"/>
        <w:tabs>
          <w:tab w:val="left" w:pos="1069"/>
          <w:tab w:val="left" w:pos="2352"/>
        </w:tabs>
        <w:spacing w:before="0" w:line="400" w:lineRule="exact"/>
        <w:ind w:firstLine="0" w:firstLineChars="0"/>
        <w:rPr>
          <w:rFonts w:ascii="宋体" w:hAnsi="宋体" w:cs="宋体"/>
          <w:b/>
          <w:color w:val="auto"/>
          <w:sz w:val="22"/>
          <w:szCs w:val="22"/>
          <w:highlight w:val="none"/>
        </w:rPr>
      </w:pPr>
      <w:r>
        <w:rPr>
          <w:rFonts w:hint="eastAsia" w:ascii="宋体" w:hAnsi="宋体" w:cs="宋体"/>
          <w:b/>
          <w:color w:val="auto"/>
          <w:sz w:val="22"/>
          <w:szCs w:val="22"/>
          <w:highlight w:val="none"/>
        </w:rPr>
        <w:t>3.供应商投诉</w:t>
      </w:r>
    </w:p>
    <w:p>
      <w:pPr>
        <w:pStyle w:val="11"/>
        <w:tabs>
          <w:tab w:val="left" w:pos="1069"/>
          <w:tab w:val="left" w:pos="2352"/>
        </w:tabs>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3.1供应商投诉应当提交投诉书和必要的证明材料。供应商投诉的事项不得超出已质疑事项的范围（基于质疑答复内容提出的投诉事项除外）。</w:t>
      </w:r>
    </w:p>
    <w:p>
      <w:pPr>
        <w:pStyle w:val="11"/>
        <w:tabs>
          <w:tab w:val="left" w:pos="1069"/>
          <w:tab w:val="left" w:pos="2352"/>
        </w:tabs>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3.2质疑供应商对采购人、采购代理机构的答复不满意或者采购人、采购代理机构未在规定的时间内作出答复的，可以在答复期满后十五个工作日内向同级财政部门提出投诉。</w:t>
      </w:r>
    </w:p>
    <w:p>
      <w:pPr>
        <w:pStyle w:val="2"/>
        <w:tabs>
          <w:tab w:val="left" w:pos="1069"/>
          <w:tab w:val="left" w:pos="2352"/>
        </w:tabs>
        <w:ind w:left="0" w:leftChars="0" w:firstLine="0" w:firstLineChars="0"/>
        <w:rPr>
          <w:rFonts w:ascii="宋体" w:hAnsi="宋体"/>
          <w:b/>
          <w:bCs/>
          <w:color w:val="auto"/>
          <w:highlight w:val="none"/>
        </w:rPr>
      </w:pPr>
      <w:r>
        <w:rPr>
          <w:rFonts w:hint="eastAsia" w:ascii="宋体" w:hAnsi="宋体"/>
          <w:color w:val="auto"/>
          <w:highlight w:val="none"/>
        </w:rPr>
        <w:t>质疑函范本：            投诉书范本：</w:t>
      </w:r>
    </w:p>
    <w:p>
      <w:pPr>
        <w:pStyle w:val="2"/>
        <w:tabs>
          <w:tab w:val="left" w:pos="1069"/>
          <w:tab w:val="left" w:pos="2352"/>
        </w:tabs>
        <w:ind w:left="856" w:hanging="428"/>
        <w:rPr>
          <w:rFonts w:ascii="宋体" w:hAnsi="宋体"/>
          <w:color w:val="auto"/>
          <w:highlight w:val="none"/>
        </w:rPr>
      </w:pPr>
      <w:r>
        <w:rPr>
          <w:rFonts w:hint="eastAsia" w:ascii="宋体" w:hAnsi="宋体"/>
          <w:color w:val="auto"/>
          <w:highlight w:val="none"/>
        </w:rPr>
        <w:drawing>
          <wp:inline distT="0" distB="0" distL="114300" distR="114300">
            <wp:extent cx="922020" cy="8267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922020" cy="826770"/>
                    </a:xfrm>
                    <a:prstGeom prst="rect">
                      <a:avLst/>
                    </a:prstGeom>
                    <a:noFill/>
                    <a:ln>
                      <a:noFill/>
                    </a:ln>
                  </pic:spPr>
                </pic:pic>
              </a:graphicData>
            </a:graphic>
          </wp:inline>
        </w:drawing>
      </w:r>
    </w:p>
    <w:p>
      <w:pPr>
        <w:tabs>
          <w:tab w:val="left" w:pos="1069"/>
          <w:tab w:val="left" w:pos="2352"/>
        </w:tabs>
        <w:jc w:val="center"/>
        <w:rPr>
          <w:rFonts w:ascii="宋体" w:hAnsi="宋体" w:cs="宋体"/>
          <w:b/>
          <w:bCs/>
          <w:color w:val="auto"/>
          <w:sz w:val="32"/>
          <w:szCs w:val="32"/>
          <w:highlight w:val="none"/>
          <w:lang w:val="zh-CN"/>
        </w:rPr>
      </w:pPr>
      <w:bookmarkStart w:id="66" w:name="_Toc29876_WPSOffice_Level1"/>
      <w:r>
        <w:rPr>
          <w:rFonts w:hint="eastAsia" w:ascii="宋体" w:hAnsi="宋体" w:cs="宋体"/>
          <w:b/>
          <w:color w:val="auto"/>
          <w:sz w:val="32"/>
          <w:szCs w:val="32"/>
          <w:highlight w:val="none"/>
        </w:rPr>
        <w:t>第四部分、</w:t>
      </w:r>
      <w:r>
        <w:rPr>
          <w:rFonts w:hint="eastAsia" w:ascii="宋体" w:hAnsi="宋体" w:cs="宋体"/>
          <w:b/>
          <w:bCs/>
          <w:color w:val="auto"/>
          <w:sz w:val="32"/>
          <w:szCs w:val="32"/>
          <w:highlight w:val="none"/>
          <w:lang w:val="zh-CN"/>
        </w:rPr>
        <w:t>政府采购政策功能相关说明</w:t>
      </w:r>
    </w:p>
    <w:p>
      <w:pPr>
        <w:tabs>
          <w:tab w:val="left" w:pos="1069"/>
          <w:tab w:val="left" w:pos="2352"/>
        </w:tabs>
        <w:jc w:val="left"/>
        <w:rPr>
          <w:rFonts w:ascii="宋体"/>
          <w:b/>
          <w:bCs/>
          <w:color w:val="auto"/>
          <w:sz w:val="22"/>
          <w:highlight w:val="none"/>
        </w:rPr>
      </w:pPr>
      <w:bookmarkStart w:id="67" w:name="_Toc25899_WPSOffice_Level2"/>
      <w:bookmarkStart w:id="68" w:name="_Toc10483_WPSOffice_Level2"/>
      <w:r>
        <w:rPr>
          <w:rFonts w:hint="eastAsia" w:ascii="宋体"/>
          <w:b/>
          <w:bCs/>
          <w:color w:val="auto"/>
          <w:sz w:val="22"/>
          <w:highlight w:val="none"/>
        </w:rPr>
        <w:t>一、</w:t>
      </w:r>
      <w:bookmarkEnd w:id="67"/>
      <w:r>
        <w:rPr>
          <w:rFonts w:hint="eastAsia" w:ascii="宋体"/>
          <w:b/>
          <w:bCs/>
          <w:color w:val="auto"/>
          <w:sz w:val="22"/>
          <w:highlight w:val="none"/>
        </w:rPr>
        <w:t>小、微企业（含监狱企业、残疾人福利性单位）扶持政策说明</w:t>
      </w:r>
    </w:p>
    <w:p>
      <w:pPr>
        <w:tabs>
          <w:tab w:val="left" w:pos="1069"/>
          <w:tab w:val="left" w:pos="2352"/>
        </w:tabs>
        <w:spacing w:line="440" w:lineRule="atLeast"/>
        <w:jc w:val="left"/>
        <w:rPr>
          <w:rFonts w:ascii="宋体"/>
          <w:color w:val="auto"/>
          <w:sz w:val="22"/>
          <w:highlight w:val="none"/>
        </w:rPr>
      </w:pPr>
      <w:r>
        <w:rPr>
          <w:rFonts w:ascii="宋体"/>
          <w:color w:val="auto"/>
          <w:sz w:val="22"/>
          <w:highlight w:val="none"/>
        </w:rPr>
        <w:t>1</w:t>
      </w:r>
      <w:r>
        <w:rPr>
          <w:rFonts w:hint="eastAsia" w:ascii="宋体"/>
          <w:color w:val="auto"/>
          <w:sz w:val="22"/>
          <w:highlight w:val="none"/>
        </w:rPr>
        <w:t>、文件依据</w:t>
      </w:r>
    </w:p>
    <w:p>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w:t>
      </w:r>
      <w:r>
        <w:rPr>
          <w:rFonts w:ascii="宋体"/>
          <w:color w:val="auto"/>
          <w:sz w:val="22"/>
          <w:highlight w:val="none"/>
        </w:rPr>
        <w:t>1</w:t>
      </w:r>
      <w:r>
        <w:rPr>
          <w:rFonts w:hint="eastAsia" w:ascii="宋体"/>
          <w:color w:val="auto"/>
          <w:sz w:val="22"/>
          <w:highlight w:val="none"/>
        </w:rPr>
        <w:t>）《政府采购促进中小企业发展管理办法》（财库﹝2020﹞46 号）</w:t>
      </w:r>
    </w:p>
    <w:p>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w:t>
      </w:r>
      <w:r>
        <w:rPr>
          <w:rFonts w:ascii="宋体"/>
          <w:color w:val="auto"/>
          <w:sz w:val="22"/>
          <w:highlight w:val="none"/>
        </w:rPr>
        <w:t>2</w:t>
      </w:r>
      <w:r>
        <w:rPr>
          <w:rFonts w:hint="eastAsia" w:ascii="宋体"/>
          <w:color w:val="auto"/>
          <w:sz w:val="22"/>
          <w:highlight w:val="none"/>
        </w:rPr>
        <w:t>）浙江省省财政厅《关于开展政府采购供应商网上注册登记和诚信管理工作的通知》（浙财采监〔2010〕8号)</w:t>
      </w:r>
    </w:p>
    <w:p>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（3）《工业和信息化部、国家统计局、国家发展和改革委员会、财政部关于印发中小企业划型标准规定的通知》（工信部联企业[2011]300号）</w:t>
      </w:r>
    </w:p>
    <w:p>
      <w:pPr>
        <w:tabs>
          <w:tab w:val="left" w:pos="2352"/>
        </w:tabs>
        <w:spacing w:line="440" w:lineRule="atLeast"/>
        <w:jc w:val="left"/>
        <w:rPr>
          <w:rFonts w:ascii="宋体"/>
          <w:color w:val="auto"/>
          <w:sz w:val="22"/>
          <w:highlight w:val="none"/>
        </w:rPr>
      </w:pPr>
      <w:r>
        <w:rPr>
          <w:rFonts w:hint="eastAsia" w:ascii="宋体"/>
          <w:color w:val="auto"/>
          <w:sz w:val="22"/>
          <w:highlight w:val="none"/>
        </w:rPr>
        <w:t>（4）财政部、司法部《关于政府采购支持监狱企业发展有关问题的通知》（财库〔</w:t>
      </w:r>
      <w:r>
        <w:rPr>
          <w:rFonts w:ascii="宋体"/>
          <w:color w:val="auto"/>
          <w:sz w:val="22"/>
          <w:highlight w:val="none"/>
        </w:rPr>
        <w:t>2014</w:t>
      </w:r>
      <w:r>
        <w:rPr>
          <w:rFonts w:hint="eastAsia" w:ascii="宋体"/>
          <w:color w:val="auto"/>
          <w:sz w:val="22"/>
          <w:highlight w:val="none"/>
        </w:rPr>
        <w:t>〕</w:t>
      </w:r>
      <w:r>
        <w:rPr>
          <w:rFonts w:ascii="宋体"/>
          <w:color w:val="auto"/>
          <w:sz w:val="22"/>
          <w:highlight w:val="none"/>
        </w:rPr>
        <w:t>68</w:t>
      </w:r>
      <w:r>
        <w:rPr>
          <w:rFonts w:hint="eastAsia" w:ascii="宋体"/>
          <w:color w:val="auto"/>
          <w:sz w:val="22"/>
          <w:highlight w:val="none"/>
        </w:rPr>
        <w:t>号）</w:t>
      </w:r>
    </w:p>
    <w:p>
      <w:pPr>
        <w:tabs>
          <w:tab w:val="left" w:pos="2352"/>
        </w:tabs>
        <w:spacing w:line="440" w:lineRule="atLeast"/>
        <w:jc w:val="left"/>
        <w:rPr>
          <w:rFonts w:ascii="宋体"/>
          <w:color w:val="auto"/>
          <w:sz w:val="22"/>
          <w:highlight w:val="none"/>
        </w:rPr>
      </w:pPr>
      <w:r>
        <w:rPr>
          <w:rFonts w:hint="eastAsia" w:ascii="宋体"/>
          <w:color w:val="auto"/>
          <w:sz w:val="22"/>
          <w:highlight w:val="none"/>
        </w:rPr>
        <w:t>（5）《财政部民政部中国残疾人联合会关于促进残疾人就业政府采购政策的通知》（财库〔</w:t>
      </w:r>
      <w:r>
        <w:rPr>
          <w:rFonts w:ascii="宋体"/>
          <w:color w:val="auto"/>
          <w:sz w:val="22"/>
          <w:highlight w:val="none"/>
        </w:rPr>
        <w:t>2017</w:t>
      </w:r>
      <w:r>
        <w:rPr>
          <w:rFonts w:hint="eastAsia" w:ascii="宋体"/>
          <w:color w:val="auto"/>
          <w:sz w:val="22"/>
          <w:highlight w:val="none"/>
        </w:rPr>
        <w:t>〕</w:t>
      </w:r>
      <w:r>
        <w:rPr>
          <w:rFonts w:ascii="宋体"/>
          <w:color w:val="auto"/>
          <w:sz w:val="22"/>
          <w:highlight w:val="none"/>
        </w:rPr>
        <w:t xml:space="preserve"> 141</w:t>
      </w:r>
      <w:r>
        <w:rPr>
          <w:rFonts w:hint="eastAsia" w:ascii="宋体"/>
          <w:color w:val="auto"/>
          <w:sz w:val="22"/>
          <w:highlight w:val="none"/>
        </w:rPr>
        <w:t>号）</w:t>
      </w:r>
    </w:p>
    <w:p>
      <w:pPr>
        <w:tabs>
          <w:tab w:val="left" w:pos="1069"/>
          <w:tab w:val="left" w:pos="2352"/>
        </w:tabs>
        <w:spacing w:line="440" w:lineRule="atLeast"/>
        <w:jc w:val="left"/>
        <w:rPr>
          <w:rFonts w:hint="eastAsia" w:hAnsi="宋体" w:eastAsia="宋体" w:cs="宋体"/>
          <w:color w:val="auto"/>
          <w:sz w:val="22"/>
          <w:highlight w:val="none"/>
          <w:lang w:eastAsia="zh-CN"/>
        </w:rPr>
      </w:pPr>
      <w:r>
        <w:rPr>
          <w:rFonts w:hint="eastAsia" w:ascii="宋体"/>
          <w:color w:val="auto"/>
          <w:sz w:val="22"/>
          <w:highlight w:val="none"/>
        </w:rPr>
        <w:t>（6）</w:t>
      </w:r>
      <w:r>
        <w:rPr>
          <w:rFonts w:hint="eastAsia" w:hAnsi="宋体" w:cs="宋体"/>
          <w:color w:val="auto"/>
          <w:sz w:val="22"/>
          <w:highlight w:val="none"/>
        </w:rPr>
        <w:t>《浙江省财政厅关于进一步发挥政府采购政策 功能全力推动经济稳进提质的通知》（浙财采监〔2022〕3号）</w:t>
      </w:r>
    </w:p>
    <w:p>
      <w:pPr>
        <w:tabs>
          <w:tab w:val="left" w:pos="1069"/>
          <w:tab w:val="left" w:pos="2352"/>
        </w:tabs>
        <w:spacing w:line="440" w:lineRule="atLeast"/>
        <w:jc w:val="left"/>
        <w:rPr>
          <w:color w:val="auto"/>
          <w:highlight w:val="none"/>
        </w:rPr>
      </w:pPr>
      <w:r>
        <w:rPr>
          <w:rFonts w:hint="eastAsia" w:hAnsi="宋体" w:cs="宋体"/>
          <w:color w:val="auto"/>
          <w:sz w:val="22"/>
          <w:highlight w:val="none"/>
        </w:rPr>
        <w:t>（7）《关于进一步加大政府采购 支持中小企业力度 助力扎实稳住经济 的通知》（浙财采监〔2022〕8号）</w:t>
      </w:r>
    </w:p>
    <w:p>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2、</w:t>
      </w:r>
      <w:r>
        <w:rPr>
          <w:rFonts w:hint="eastAsia" w:ascii="宋体"/>
          <w:b/>
          <w:bCs/>
          <w:color w:val="auto"/>
          <w:sz w:val="22"/>
          <w:highlight w:val="none"/>
          <w:u w:val="single"/>
        </w:rPr>
        <w:t>本项目对小型和微型企业产品的价格给予</w:t>
      </w:r>
      <w:r>
        <w:rPr>
          <w:rFonts w:hint="eastAsia" w:hAnsi="宋体"/>
          <w:b/>
          <w:bCs/>
          <w:color w:val="auto"/>
          <w:sz w:val="22"/>
          <w:highlight w:val="none"/>
          <w:u w:val="single"/>
        </w:rPr>
        <w:t>扣除20%，按扣除后的价格参与评审</w:t>
      </w:r>
      <w:r>
        <w:rPr>
          <w:rFonts w:hint="eastAsia" w:ascii="宋体"/>
          <w:b/>
          <w:bCs/>
          <w:color w:val="auto"/>
          <w:sz w:val="22"/>
          <w:highlight w:val="none"/>
          <w:u w:val="single"/>
        </w:rPr>
        <w:t>。</w:t>
      </w:r>
      <w:r>
        <w:rPr>
          <w:rFonts w:hint="eastAsia" w:ascii="宋体"/>
          <w:color w:val="auto"/>
          <w:sz w:val="22"/>
          <w:highlight w:val="none"/>
        </w:rPr>
        <w:t>符合要求应的应提供以下证明材料（</w:t>
      </w:r>
      <w:r>
        <w:rPr>
          <w:rFonts w:hint="eastAsia" w:ascii="宋体"/>
          <w:b/>
          <w:bCs/>
          <w:color w:val="auto"/>
          <w:sz w:val="22"/>
          <w:highlight w:val="none"/>
          <w:u w:val="single"/>
        </w:rPr>
        <w:t>附在《商务技术文件》中</w:t>
      </w:r>
      <w:r>
        <w:rPr>
          <w:rFonts w:hint="eastAsia" w:ascii="宋体"/>
          <w:color w:val="auto"/>
          <w:sz w:val="22"/>
          <w:highlight w:val="none"/>
        </w:rPr>
        <w:t>）：</w:t>
      </w:r>
    </w:p>
    <w:p>
      <w:pPr>
        <w:tabs>
          <w:tab w:val="left" w:pos="2352"/>
        </w:tabs>
        <w:spacing w:line="440" w:lineRule="atLeast"/>
        <w:jc w:val="left"/>
        <w:rPr>
          <w:rFonts w:ascii="宋体"/>
          <w:color w:val="auto"/>
          <w:sz w:val="22"/>
          <w:highlight w:val="none"/>
        </w:rPr>
      </w:pPr>
      <w:r>
        <w:rPr>
          <w:rFonts w:hint="eastAsia" w:ascii="宋体"/>
          <w:color w:val="auto"/>
          <w:sz w:val="22"/>
          <w:highlight w:val="none"/>
        </w:rPr>
        <w:t>（1）小微企业：中小企业声明函（原件，加盖供应商公章，格式见附件1）</w:t>
      </w:r>
    </w:p>
    <w:p>
      <w:pPr>
        <w:tabs>
          <w:tab w:val="left" w:pos="2352"/>
        </w:tabs>
        <w:spacing w:line="440" w:lineRule="atLeast"/>
        <w:jc w:val="left"/>
        <w:rPr>
          <w:rFonts w:ascii="宋体"/>
          <w:color w:val="auto"/>
          <w:sz w:val="22"/>
          <w:highlight w:val="none"/>
        </w:rPr>
      </w:pPr>
      <w:r>
        <w:rPr>
          <w:rFonts w:hint="eastAsia" w:ascii="宋体"/>
          <w:color w:val="auto"/>
          <w:sz w:val="22"/>
          <w:highlight w:val="none"/>
        </w:rPr>
        <w:t>（2）残疾人福利性单位：残疾人福利性单位声明函（原件，加盖供应商公章，格式见附件1）</w:t>
      </w:r>
    </w:p>
    <w:p>
      <w:pPr>
        <w:tabs>
          <w:tab w:val="left" w:pos="2352"/>
        </w:tabs>
        <w:spacing w:line="440" w:lineRule="atLeast"/>
        <w:jc w:val="left"/>
        <w:rPr>
          <w:rFonts w:ascii="宋体"/>
          <w:color w:val="auto"/>
          <w:sz w:val="22"/>
          <w:highlight w:val="none"/>
        </w:rPr>
      </w:pPr>
      <w:r>
        <w:rPr>
          <w:rFonts w:hint="eastAsia" w:ascii="宋体"/>
          <w:color w:val="auto"/>
          <w:sz w:val="22"/>
          <w:highlight w:val="none"/>
        </w:rPr>
        <w:t>（3）监狱企业：提供由省级以上监狱管理局、戒毒管理局（含新疆生产建设兵团）出具的属于监狱企业的证明文件（原件）</w:t>
      </w:r>
    </w:p>
    <w:p>
      <w:pPr>
        <w:tabs>
          <w:tab w:val="left" w:pos="2352"/>
        </w:tabs>
        <w:spacing w:line="440" w:lineRule="atLeast"/>
        <w:jc w:val="left"/>
        <w:rPr>
          <w:rFonts w:ascii="宋体"/>
          <w:color w:val="auto"/>
          <w:sz w:val="22"/>
          <w:highlight w:val="none"/>
        </w:rPr>
      </w:pPr>
      <w:r>
        <w:rPr>
          <w:rFonts w:hint="eastAsia" w:ascii="宋体"/>
          <w:color w:val="auto"/>
          <w:sz w:val="22"/>
          <w:highlight w:val="none"/>
        </w:rPr>
        <w:t>3、扶持政策说明：</w:t>
      </w:r>
    </w:p>
    <w:p>
      <w:pPr>
        <w:tabs>
          <w:tab w:val="left" w:pos="2352"/>
        </w:tabs>
        <w:spacing w:line="440" w:lineRule="atLeast"/>
        <w:jc w:val="left"/>
        <w:rPr>
          <w:rFonts w:ascii="宋体"/>
          <w:color w:val="auto"/>
          <w:sz w:val="22"/>
          <w:highlight w:val="none"/>
        </w:rPr>
      </w:pPr>
      <w:r>
        <w:rPr>
          <w:rFonts w:hint="eastAsia" w:ascii="宋体"/>
          <w:color w:val="auto"/>
          <w:sz w:val="22"/>
          <w:highlight w:val="none"/>
        </w:rPr>
        <w:t>残疾人福利性单位、监狱企业参加投标视同小微企业。</w:t>
      </w:r>
    </w:p>
    <w:p>
      <w:pPr>
        <w:tabs>
          <w:tab w:val="left" w:pos="2352"/>
        </w:tabs>
        <w:spacing w:line="440" w:lineRule="atLeast"/>
        <w:jc w:val="left"/>
        <w:rPr>
          <w:rFonts w:ascii="宋体"/>
          <w:color w:val="auto"/>
          <w:sz w:val="22"/>
          <w:highlight w:val="none"/>
        </w:rPr>
      </w:pPr>
      <w:r>
        <w:rPr>
          <w:rFonts w:hint="eastAsia" w:ascii="宋体"/>
          <w:color w:val="auto"/>
          <w:sz w:val="22"/>
          <w:highlight w:val="none"/>
        </w:rPr>
        <w:t>4、</w:t>
      </w:r>
      <w:r>
        <w:rPr>
          <w:rFonts w:hint="eastAsia" w:ascii="宋体"/>
          <w:b/>
          <w:bCs/>
          <w:color w:val="auto"/>
          <w:sz w:val="22"/>
          <w:highlight w:val="none"/>
        </w:rPr>
        <w:t>本项目采购标的所属行业为</w:t>
      </w:r>
      <w:r>
        <w:rPr>
          <w:rFonts w:hint="eastAsia" w:ascii="宋体" w:hAnsi="宋体" w:cs="宋体"/>
          <w:b/>
          <w:bCs/>
          <w:color w:val="auto"/>
          <w:sz w:val="22"/>
          <w:highlight w:val="none"/>
          <w:u w:val="single"/>
        </w:rPr>
        <w:t>其他未列明行业。</w:t>
      </w:r>
    </w:p>
    <w:p>
      <w:pPr>
        <w:tabs>
          <w:tab w:val="left" w:pos="2352"/>
        </w:tabs>
        <w:snapToGrid w:val="0"/>
        <w:spacing w:line="360" w:lineRule="auto"/>
        <w:jc w:val="left"/>
        <w:rPr>
          <w:b/>
          <w:color w:val="auto"/>
          <w:sz w:val="28"/>
          <w:szCs w:val="28"/>
          <w:highlight w:val="none"/>
        </w:rPr>
      </w:pPr>
    </w:p>
    <w:p>
      <w:pPr>
        <w:tabs>
          <w:tab w:val="left" w:pos="2352"/>
        </w:tabs>
        <w:snapToGrid w:val="0"/>
        <w:spacing w:line="360" w:lineRule="auto"/>
        <w:jc w:val="left"/>
        <w:rPr>
          <w:b/>
          <w:color w:val="auto"/>
          <w:sz w:val="28"/>
          <w:szCs w:val="28"/>
          <w:highlight w:val="none"/>
        </w:rPr>
      </w:pPr>
    </w:p>
    <w:p>
      <w:pPr>
        <w:tabs>
          <w:tab w:val="left" w:pos="2352"/>
        </w:tabs>
        <w:snapToGrid w:val="0"/>
        <w:spacing w:line="360" w:lineRule="auto"/>
        <w:jc w:val="left"/>
        <w:rPr>
          <w:b/>
          <w:color w:val="auto"/>
          <w:sz w:val="28"/>
          <w:szCs w:val="28"/>
          <w:highlight w:val="none"/>
        </w:rPr>
      </w:pPr>
    </w:p>
    <w:p>
      <w:pPr>
        <w:tabs>
          <w:tab w:val="left" w:pos="2352"/>
        </w:tabs>
        <w:snapToGrid w:val="0"/>
        <w:spacing w:line="360" w:lineRule="auto"/>
        <w:jc w:val="left"/>
        <w:rPr>
          <w:b/>
          <w:color w:val="auto"/>
          <w:sz w:val="28"/>
          <w:szCs w:val="28"/>
          <w:highlight w:val="none"/>
        </w:rPr>
      </w:pPr>
    </w:p>
    <w:p>
      <w:pPr>
        <w:tabs>
          <w:tab w:val="left" w:pos="2352"/>
        </w:tabs>
        <w:snapToGrid w:val="0"/>
        <w:spacing w:line="360" w:lineRule="auto"/>
        <w:jc w:val="left"/>
        <w:rPr>
          <w:b/>
          <w:color w:val="auto"/>
          <w:sz w:val="28"/>
          <w:szCs w:val="28"/>
          <w:highlight w:val="none"/>
        </w:rPr>
      </w:pPr>
      <w:r>
        <w:rPr>
          <w:rFonts w:hint="eastAsia"/>
          <w:b/>
          <w:color w:val="auto"/>
          <w:sz w:val="28"/>
          <w:szCs w:val="28"/>
          <w:highlight w:val="none"/>
        </w:rPr>
        <w:t>附件1</w:t>
      </w:r>
    </w:p>
    <w:p>
      <w:pPr>
        <w:tabs>
          <w:tab w:val="left" w:pos="2352"/>
        </w:tabs>
        <w:snapToGrid w:val="0"/>
        <w:spacing w:line="360" w:lineRule="auto"/>
        <w:jc w:val="center"/>
        <w:rPr>
          <w:b/>
          <w:color w:val="auto"/>
          <w:sz w:val="28"/>
          <w:szCs w:val="28"/>
          <w:highlight w:val="none"/>
        </w:rPr>
      </w:pPr>
      <w:r>
        <w:rPr>
          <w:rFonts w:hint="eastAsia"/>
          <w:b/>
          <w:color w:val="auto"/>
          <w:sz w:val="28"/>
          <w:szCs w:val="28"/>
          <w:highlight w:val="none"/>
        </w:rPr>
        <w:t>中小企业声明函（服务）</w:t>
      </w:r>
    </w:p>
    <w:p>
      <w:pPr>
        <w:tabs>
          <w:tab w:val="left" w:pos="1069"/>
          <w:tab w:val="left" w:pos="2352"/>
        </w:tabs>
        <w:spacing w:line="400" w:lineRule="exact"/>
        <w:ind w:firstLine="446" w:firstLineChars="200"/>
        <w:rPr>
          <w:rFonts w:ascii="宋体" w:hAnsi="宋体" w:cs="宋体"/>
          <w:color w:val="auto"/>
          <w:sz w:val="22"/>
          <w:highlight w:val="none"/>
        </w:rPr>
      </w:pPr>
      <w:r>
        <w:rPr>
          <w:rFonts w:ascii="宋体" w:hAnsi="宋体" w:cs="宋体"/>
          <w:color w:val="auto"/>
          <w:sz w:val="22"/>
          <w:highlight w:val="none"/>
        </w:rPr>
        <w:t>本公司（联合体）郑重声明，根据《政府采购促进中小企业发展管理办法》（财库﹝2020﹞46 号）的规定，本公司 （联合体）参加</w:t>
      </w:r>
      <w:r>
        <w:rPr>
          <w:rFonts w:ascii="宋体" w:hAnsi="宋体" w:cs="宋体"/>
          <w:color w:val="auto"/>
          <w:sz w:val="22"/>
          <w:highlight w:val="none"/>
          <w:u w:val="single"/>
        </w:rPr>
        <w:t>（</w:t>
      </w:r>
      <w:r>
        <w:rPr>
          <w:rFonts w:hint="eastAsia" w:ascii="宋体" w:hAnsi="宋体" w:cs="宋体"/>
          <w:color w:val="auto"/>
          <w:sz w:val="22"/>
          <w:highlight w:val="none"/>
          <w:u w:val="single"/>
        </w:rPr>
        <w:t>泰顺县自然资源和规划局</w:t>
      </w:r>
      <w:r>
        <w:rPr>
          <w:rFonts w:ascii="宋体" w:hAnsi="宋体" w:cs="宋体"/>
          <w:color w:val="auto"/>
          <w:sz w:val="22"/>
          <w:highlight w:val="none"/>
          <w:u w:val="single"/>
        </w:rPr>
        <w:t>）</w:t>
      </w:r>
      <w:r>
        <w:rPr>
          <w:rFonts w:ascii="宋体" w:hAnsi="宋体" w:cs="宋体"/>
          <w:color w:val="auto"/>
          <w:sz w:val="22"/>
          <w:highlight w:val="none"/>
        </w:rPr>
        <w:t>的</w:t>
      </w:r>
      <w:r>
        <w:rPr>
          <w:rFonts w:ascii="宋体" w:hAnsi="宋体" w:cs="宋体"/>
          <w:color w:val="auto"/>
          <w:sz w:val="22"/>
          <w:highlight w:val="none"/>
          <w:u w:val="single"/>
        </w:rPr>
        <w:t>（</w:t>
      </w:r>
      <w:r>
        <w:rPr>
          <w:rFonts w:hint="eastAsia" w:ascii="宋体" w:hAnsi="宋体" w:cs="宋体"/>
          <w:color w:val="auto"/>
          <w:sz w:val="22"/>
          <w:highlight w:val="none"/>
          <w:u w:val="single"/>
        </w:rPr>
        <w:t>泰顺县集体土地所有权确权登记成果更新</w:t>
      </w:r>
      <w:r>
        <w:rPr>
          <w:rFonts w:ascii="宋体" w:hAnsi="宋体" w:cs="宋体"/>
          <w:color w:val="auto"/>
          <w:sz w:val="22"/>
          <w:highlight w:val="none"/>
          <w:u w:val="single"/>
        </w:rPr>
        <w:t>）</w:t>
      </w:r>
      <w:r>
        <w:rPr>
          <w:rFonts w:ascii="宋体" w:hAnsi="宋体" w:cs="宋体"/>
          <w:color w:val="auto"/>
          <w:sz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pPr>
        <w:numPr>
          <w:ilvl w:val="0"/>
          <w:numId w:val="8"/>
        </w:numPr>
        <w:tabs>
          <w:tab w:val="left" w:pos="1069"/>
          <w:tab w:val="left" w:pos="2352"/>
        </w:tabs>
        <w:spacing w:line="400" w:lineRule="exact"/>
        <w:ind w:firstLine="446" w:firstLineChars="200"/>
        <w:rPr>
          <w:rFonts w:ascii="宋体" w:hAnsi="宋体" w:cs="宋体"/>
          <w:color w:val="auto"/>
          <w:sz w:val="22"/>
          <w:highlight w:val="none"/>
        </w:rPr>
      </w:pPr>
      <w:r>
        <w:rPr>
          <w:rFonts w:ascii="宋体" w:hAnsi="宋体" w:cs="宋体"/>
          <w:b/>
          <w:bCs/>
          <w:color w:val="auto"/>
          <w:sz w:val="22"/>
          <w:highlight w:val="none"/>
          <w:u w:val="single"/>
        </w:rPr>
        <w:t>（</w:t>
      </w:r>
      <w:r>
        <w:rPr>
          <w:rFonts w:hint="eastAsia" w:ascii="宋体" w:hAnsi="宋体" w:cs="宋体"/>
          <w:b/>
          <w:bCs/>
          <w:color w:val="auto"/>
          <w:sz w:val="22"/>
          <w:highlight w:val="none"/>
          <w:u w:val="single"/>
        </w:rPr>
        <w:t>标的名称</w:t>
      </w:r>
      <w:r>
        <w:rPr>
          <w:rFonts w:ascii="宋体" w:hAnsi="宋体" w:cs="宋体"/>
          <w:b/>
          <w:bCs/>
          <w:color w:val="auto"/>
          <w:sz w:val="22"/>
          <w:highlight w:val="none"/>
          <w:u w:val="single"/>
        </w:rPr>
        <w:t>）</w:t>
      </w:r>
      <w:r>
        <w:rPr>
          <w:rFonts w:ascii="宋体" w:hAnsi="宋体" w:cs="宋体"/>
          <w:b/>
          <w:bCs/>
          <w:color w:val="auto"/>
          <w:sz w:val="22"/>
          <w:highlight w:val="none"/>
        </w:rPr>
        <w:t xml:space="preserve"> </w:t>
      </w:r>
      <w:r>
        <w:rPr>
          <w:rFonts w:ascii="宋体" w:hAnsi="宋体" w:cs="宋体"/>
          <w:color w:val="auto"/>
          <w:sz w:val="22"/>
          <w:highlight w:val="none"/>
        </w:rPr>
        <w:t>，属于</w:t>
      </w:r>
      <w:r>
        <w:rPr>
          <w:rFonts w:hint="eastAsia" w:ascii="宋体" w:hAnsi="宋体" w:cs="宋体"/>
          <w:b/>
          <w:bCs/>
          <w:color w:val="auto"/>
          <w:sz w:val="22"/>
          <w:highlight w:val="none"/>
          <w:u w:val="single"/>
        </w:rPr>
        <w:t>（</w:t>
      </w:r>
      <w:r>
        <w:rPr>
          <w:rFonts w:ascii="宋体" w:hAnsi="宋体" w:cs="宋体"/>
          <w:b/>
          <w:bCs/>
          <w:color w:val="auto"/>
          <w:sz w:val="22"/>
          <w:highlight w:val="none"/>
          <w:u w:val="single"/>
        </w:rPr>
        <w:t>采购文件中明确的所属行业</w:t>
      </w:r>
      <w:r>
        <w:rPr>
          <w:rFonts w:hint="eastAsia" w:ascii="宋体" w:hAnsi="宋体" w:cs="宋体"/>
          <w:b/>
          <w:bCs/>
          <w:color w:val="auto"/>
          <w:sz w:val="22"/>
          <w:highlight w:val="none"/>
          <w:u w:val="single"/>
        </w:rPr>
        <w:t>）</w:t>
      </w:r>
      <w:r>
        <w:rPr>
          <w:rFonts w:ascii="宋体" w:hAnsi="宋体" w:cs="宋体"/>
          <w:b/>
          <w:bCs/>
          <w:color w:val="auto"/>
          <w:sz w:val="22"/>
          <w:highlight w:val="none"/>
        </w:rPr>
        <w:t>；</w:t>
      </w:r>
      <w:r>
        <w:rPr>
          <w:rFonts w:ascii="宋体" w:hAnsi="宋体" w:cs="宋体"/>
          <w:color w:val="auto"/>
          <w:sz w:val="22"/>
          <w:highlight w:val="none"/>
        </w:rPr>
        <w:t xml:space="preserve"> 承建（承接）企业为</w:t>
      </w:r>
      <w:r>
        <w:rPr>
          <w:rFonts w:ascii="宋体" w:hAnsi="宋体" w:cs="宋体"/>
          <w:color w:val="auto"/>
          <w:sz w:val="22"/>
          <w:highlight w:val="none"/>
          <w:u w:val="single"/>
        </w:rPr>
        <w:t>（企业名称）</w:t>
      </w:r>
      <w:r>
        <w:rPr>
          <w:rFonts w:ascii="宋体" w:hAnsi="宋体" w:cs="宋体"/>
          <w:color w:val="auto"/>
          <w:sz w:val="22"/>
          <w:highlight w:val="none"/>
        </w:rPr>
        <w:t>，从业人员</w:t>
      </w:r>
      <w:r>
        <w:rPr>
          <w:rFonts w:hint="eastAsia" w:ascii="宋体" w:hAnsi="宋体" w:cs="宋体"/>
          <w:color w:val="auto"/>
          <w:sz w:val="22"/>
          <w:highlight w:val="none"/>
          <w:u w:val="single"/>
        </w:rPr>
        <w:t xml:space="preserve">   </w:t>
      </w:r>
      <w:r>
        <w:rPr>
          <w:rFonts w:ascii="宋体" w:hAnsi="宋体" w:cs="宋体"/>
          <w:color w:val="auto"/>
          <w:sz w:val="22"/>
          <w:highlight w:val="none"/>
        </w:rPr>
        <w:t>人，营业收入为</w:t>
      </w:r>
      <w:r>
        <w:rPr>
          <w:rFonts w:hint="eastAsia" w:ascii="宋体" w:hAnsi="宋体" w:cs="宋体"/>
          <w:color w:val="auto"/>
          <w:sz w:val="22"/>
          <w:highlight w:val="none"/>
          <w:u w:val="single"/>
        </w:rPr>
        <w:t xml:space="preserve">   </w:t>
      </w:r>
      <w:r>
        <w:rPr>
          <w:rFonts w:ascii="宋体" w:hAnsi="宋体" w:cs="宋体"/>
          <w:color w:val="auto"/>
          <w:sz w:val="22"/>
          <w:highlight w:val="none"/>
        </w:rPr>
        <w:t>万元，资产总额为</w:t>
      </w:r>
      <w:r>
        <w:rPr>
          <w:rFonts w:hint="eastAsia" w:ascii="宋体" w:hAnsi="宋体" w:cs="宋体"/>
          <w:color w:val="auto"/>
          <w:sz w:val="22"/>
          <w:highlight w:val="none"/>
          <w:u w:val="single"/>
        </w:rPr>
        <w:t xml:space="preserve">   </w:t>
      </w:r>
      <w:r>
        <w:rPr>
          <w:rFonts w:ascii="宋体" w:hAnsi="宋体" w:cs="宋体"/>
          <w:color w:val="auto"/>
          <w:sz w:val="22"/>
          <w:highlight w:val="none"/>
        </w:rPr>
        <w:t>万元 ，属于</w:t>
      </w:r>
      <w:r>
        <w:rPr>
          <w:rFonts w:ascii="宋体" w:hAnsi="宋体" w:cs="宋体"/>
          <w:color w:val="auto"/>
          <w:sz w:val="22"/>
          <w:highlight w:val="none"/>
          <w:u w:val="single"/>
        </w:rPr>
        <w:t>（中型企业、 小型企业、微型企业）</w:t>
      </w:r>
      <w:r>
        <w:rPr>
          <w:rFonts w:ascii="宋体" w:hAnsi="宋体" w:cs="宋体"/>
          <w:color w:val="auto"/>
          <w:sz w:val="22"/>
          <w:highlight w:val="none"/>
        </w:rPr>
        <w:t xml:space="preserve">； </w:t>
      </w:r>
    </w:p>
    <w:p>
      <w:pPr>
        <w:tabs>
          <w:tab w:val="left" w:pos="1069"/>
          <w:tab w:val="left" w:pos="2352"/>
        </w:tabs>
        <w:spacing w:line="400" w:lineRule="exact"/>
        <w:ind w:firstLine="446" w:firstLineChars="200"/>
        <w:rPr>
          <w:rFonts w:ascii="宋体" w:hAnsi="宋体" w:cs="宋体"/>
          <w:color w:val="auto"/>
          <w:sz w:val="22"/>
          <w:highlight w:val="none"/>
        </w:rPr>
      </w:pPr>
      <w:r>
        <w:rPr>
          <w:rFonts w:ascii="宋体" w:hAnsi="宋体" w:cs="宋体"/>
          <w:color w:val="auto"/>
          <w:sz w:val="22"/>
          <w:highlight w:val="none"/>
        </w:rPr>
        <w:t>2.</w:t>
      </w:r>
      <w:r>
        <w:rPr>
          <w:rFonts w:ascii="宋体" w:hAnsi="宋体" w:cs="宋体"/>
          <w:color w:val="auto"/>
          <w:sz w:val="22"/>
          <w:highlight w:val="none"/>
          <w:u w:val="single"/>
        </w:rPr>
        <w:t xml:space="preserve"> （标的名称）</w:t>
      </w:r>
      <w:r>
        <w:rPr>
          <w:rFonts w:hint="eastAsia" w:ascii="宋体" w:hAnsi="宋体" w:cs="宋体"/>
          <w:color w:val="auto"/>
          <w:sz w:val="22"/>
          <w:highlight w:val="none"/>
          <w:u w:val="single"/>
        </w:rPr>
        <w:t xml:space="preserve">  </w:t>
      </w:r>
      <w:r>
        <w:rPr>
          <w:rFonts w:ascii="宋体" w:hAnsi="宋体" w:cs="宋体"/>
          <w:color w:val="auto"/>
          <w:sz w:val="22"/>
          <w:highlight w:val="none"/>
          <w:u w:val="single"/>
        </w:rPr>
        <w:t xml:space="preserve"> </w:t>
      </w:r>
      <w:r>
        <w:rPr>
          <w:rFonts w:ascii="宋体" w:hAnsi="宋体" w:cs="宋体"/>
          <w:color w:val="auto"/>
          <w:sz w:val="22"/>
          <w:highlight w:val="none"/>
        </w:rPr>
        <w:t>，属于</w:t>
      </w:r>
      <w:r>
        <w:rPr>
          <w:rFonts w:ascii="宋体" w:hAnsi="宋体" w:cs="宋体"/>
          <w:color w:val="auto"/>
          <w:sz w:val="22"/>
          <w:highlight w:val="none"/>
          <w:u w:val="single"/>
        </w:rPr>
        <w:t>（采购文件中明确的所属行业）</w:t>
      </w:r>
      <w:r>
        <w:rPr>
          <w:rFonts w:ascii="宋体" w:hAnsi="宋体" w:cs="宋体"/>
          <w:color w:val="auto"/>
          <w:sz w:val="22"/>
          <w:highlight w:val="none"/>
        </w:rPr>
        <w:t>； 承建（承接）企业为</w:t>
      </w:r>
      <w:r>
        <w:rPr>
          <w:rFonts w:ascii="宋体" w:hAnsi="宋体" w:cs="宋体"/>
          <w:color w:val="auto"/>
          <w:sz w:val="22"/>
          <w:highlight w:val="none"/>
          <w:u w:val="single"/>
        </w:rPr>
        <w:t>（企业名称）</w:t>
      </w:r>
      <w:r>
        <w:rPr>
          <w:rFonts w:ascii="宋体" w:hAnsi="宋体" w:cs="宋体"/>
          <w:color w:val="auto"/>
          <w:sz w:val="22"/>
          <w:highlight w:val="none"/>
        </w:rPr>
        <w:t>，从业人员</w:t>
      </w:r>
      <w:r>
        <w:rPr>
          <w:rFonts w:hint="eastAsia" w:ascii="宋体" w:hAnsi="宋体" w:cs="宋体"/>
          <w:color w:val="auto"/>
          <w:sz w:val="22"/>
          <w:highlight w:val="none"/>
          <w:u w:val="single"/>
        </w:rPr>
        <w:t xml:space="preserve">   </w:t>
      </w:r>
      <w:r>
        <w:rPr>
          <w:rFonts w:ascii="宋体" w:hAnsi="宋体" w:cs="宋体"/>
          <w:color w:val="auto"/>
          <w:sz w:val="22"/>
          <w:highlight w:val="none"/>
        </w:rPr>
        <w:t xml:space="preserve">人，营业收入为 </w:t>
      </w:r>
      <w:r>
        <w:rPr>
          <w:rFonts w:hint="eastAsia" w:ascii="宋体" w:hAnsi="宋体" w:cs="宋体"/>
          <w:color w:val="auto"/>
          <w:sz w:val="22"/>
          <w:highlight w:val="none"/>
          <w:u w:val="single"/>
        </w:rPr>
        <w:t xml:space="preserve">   </w:t>
      </w:r>
      <w:r>
        <w:rPr>
          <w:rFonts w:ascii="宋体" w:hAnsi="宋体" w:cs="宋体"/>
          <w:color w:val="auto"/>
          <w:sz w:val="22"/>
          <w:highlight w:val="none"/>
        </w:rPr>
        <w:t>万元，资产总额为</w:t>
      </w:r>
      <w:r>
        <w:rPr>
          <w:rFonts w:hint="eastAsia" w:ascii="宋体" w:hAnsi="宋体" w:cs="宋体"/>
          <w:color w:val="auto"/>
          <w:sz w:val="22"/>
          <w:highlight w:val="none"/>
          <w:u w:val="single"/>
        </w:rPr>
        <w:t xml:space="preserve">   </w:t>
      </w:r>
      <w:r>
        <w:rPr>
          <w:rFonts w:ascii="宋体" w:hAnsi="宋体" w:cs="宋体"/>
          <w:color w:val="auto"/>
          <w:sz w:val="22"/>
          <w:highlight w:val="none"/>
        </w:rPr>
        <w:t>万元，属于</w:t>
      </w:r>
      <w:r>
        <w:rPr>
          <w:rFonts w:ascii="宋体" w:hAnsi="宋体" w:cs="宋体"/>
          <w:color w:val="auto"/>
          <w:sz w:val="22"/>
          <w:highlight w:val="none"/>
          <w:u w:val="single"/>
        </w:rPr>
        <w:t>（中型企业、 小型企业、微型企业）</w:t>
      </w:r>
      <w:r>
        <w:rPr>
          <w:rFonts w:ascii="宋体" w:hAnsi="宋体" w:cs="宋体"/>
          <w:color w:val="auto"/>
          <w:sz w:val="22"/>
          <w:highlight w:val="none"/>
        </w:rPr>
        <w:t xml:space="preserve">； </w:t>
      </w:r>
    </w:p>
    <w:p>
      <w:pPr>
        <w:tabs>
          <w:tab w:val="left" w:pos="1069"/>
          <w:tab w:val="left" w:pos="2352"/>
        </w:tabs>
        <w:spacing w:line="400" w:lineRule="exact"/>
        <w:ind w:firstLine="446" w:firstLineChars="200"/>
        <w:rPr>
          <w:rFonts w:ascii="宋体" w:hAnsi="宋体" w:cs="宋体"/>
          <w:color w:val="auto"/>
          <w:sz w:val="22"/>
          <w:highlight w:val="none"/>
        </w:rPr>
      </w:pPr>
      <w:r>
        <w:rPr>
          <w:rFonts w:ascii="宋体" w:hAnsi="宋体" w:cs="宋体"/>
          <w:color w:val="auto"/>
          <w:sz w:val="22"/>
          <w:highlight w:val="none"/>
        </w:rPr>
        <w:t xml:space="preserve">…… 以上企业，不属于大企业的分支机构，不存在控股股东 为大企业的情形，也不存在与大企业的负责人为同一人的情形。 本企业对上述声明内容的真实性负责。如有虚假，将依法承担相应责任。 </w:t>
      </w:r>
    </w:p>
    <w:p>
      <w:pPr>
        <w:tabs>
          <w:tab w:val="left" w:pos="1069"/>
          <w:tab w:val="left" w:pos="2352"/>
        </w:tabs>
        <w:spacing w:line="400" w:lineRule="exact"/>
        <w:ind w:firstLine="446" w:firstLineChars="200"/>
        <w:rPr>
          <w:rFonts w:ascii="宋体" w:hAnsi="宋体" w:cs="宋体"/>
          <w:color w:val="auto"/>
          <w:sz w:val="22"/>
          <w:highlight w:val="none"/>
        </w:rPr>
      </w:pPr>
      <w:r>
        <w:rPr>
          <w:rFonts w:ascii="宋体" w:hAnsi="宋体" w:cs="宋体"/>
          <w:color w:val="auto"/>
          <w:sz w:val="22"/>
          <w:highlight w:val="none"/>
        </w:rPr>
        <w:t xml:space="preserve">企业名称（盖章）： </w:t>
      </w:r>
    </w:p>
    <w:p>
      <w:pPr>
        <w:tabs>
          <w:tab w:val="left" w:pos="1069"/>
          <w:tab w:val="left" w:pos="2352"/>
        </w:tabs>
        <w:spacing w:line="400" w:lineRule="exact"/>
        <w:ind w:firstLine="446" w:firstLineChars="200"/>
        <w:rPr>
          <w:rFonts w:ascii="宋体" w:hAnsi="宋体" w:cs="宋体"/>
          <w:color w:val="auto"/>
          <w:sz w:val="22"/>
          <w:highlight w:val="none"/>
        </w:rPr>
      </w:pPr>
      <w:r>
        <w:rPr>
          <w:rFonts w:ascii="宋体" w:hAnsi="宋体" w:cs="宋体"/>
          <w:color w:val="auto"/>
          <w:sz w:val="22"/>
          <w:highlight w:val="none"/>
        </w:rPr>
        <w:t>日 期：</w:t>
      </w:r>
    </w:p>
    <w:p>
      <w:pPr>
        <w:tabs>
          <w:tab w:val="left" w:pos="1069"/>
          <w:tab w:val="left" w:pos="2352"/>
        </w:tabs>
        <w:spacing w:line="400" w:lineRule="exact"/>
        <w:ind w:firstLine="446" w:firstLineChars="200"/>
        <w:rPr>
          <w:rFonts w:ascii="宋体" w:hAnsi="宋体" w:cs="宋体"/>
          <w:color w:val="auto"/>
          <w:sz w:val="22"/>
          <w:highlight w:val="none"/>
        </w:rPr>
      </w:pPr>
      <w:r>
        <w:rPr>
          <w:rFonts w:hint="eastAsia" w:ascii="宋体" w:hAnsi="宋体" w:cs="宋体"/>
          <w:color w:val="auto"/>
          <w:sz w:val="22"/>
          <w:highlight w:val="none"/>
        </w:rPr>
        <w:t>注：</w:t>
      </w:r>
      <w:r>
        <w:rPr>
          <w:rFonts w:ascii="宋体" w:hAnsi="宋体" w:cs="宋体"/>
          <w:color w:val="auto"/>
          <w:sz w:val="22"/>
          <w:highlight w:val="none"/>
        </w:rPr>
        <w:t xml:space="preserve"> 从业人员、营业收入、资产总额填报上一年度数据，无上一年度数据的新成立企业可不填报。</w:t>
      </w:r>
    </w:p>
    <w:p>
      <w:pPr>
        <w:pStyle w:val="23"/>
        <w:tabs>
          <w:tab w:val="left" w:pos="2352"/>
        </w:tabs>
        <w:rPr>
          <w:color w:val="auto"/>
          <w:highlight w:val="none"/>
        </w:rPr>
      </w:pPr>
    </w:p>
    <w:p>
      <w:pPr>
        <w:tabs>
          <w:tab w:val="left" w:pos="2352"/>
        </w:tabs>
        <w:snapToGrid w:val="0"/>
        <w:spacing w:line="360" w:lineRule="auto"/>
        <w:jc w:val="left"/>
        <w:rPr>
          <w:b/>
          <w:color w:val="auto"/>
          <w:sz w:val="28"/>
          <w:szCs w:val="28"/>
          <w:highlight w:val="none"/>
        </w:rPr>
      </w:pPr>
      <w:r>
        <w:rPr>
          <w:rFonts w:hint="eastAsia"/>
          <w:b/>
          <w:color w:val="auto"/>
          <w:sz w:val="28"/>
          <w:szCs w:val="28"/>
          <w:highlight w:val="none"/>
        </w:rPr>
        <w:t>附件2</w:t>
      </w:r>
    </w:p>
    <w:p>
      <w:pPr>
        <w:tabs>
          <w:tab w:val="left" w:pos="2352"/>
        </w:tabs>
        <w:snapToGrid w:val="0"/>
        <w:spacing w:line="360" w:lineRule="auto"/>
        <w:jc w:val="center"/>
        <w:rPr>
          <w:b/>
          <w:color w:val="auto"/>
          <w:sz w:val="28"/>
          <w:szCs w:val="28"/>
          <w:highlight w:val="none"/>
        </w:rPr>
      </w:pPr>
      <w:r>
        <w:rPr>
          <w:rFonts w:hint="eastAsia"/>
          <w:b/>
          <w:color w:val="auto"/>
          <w:sz w:val="28"/>
          <w:szCs w:val="28"/>
          <w:highlight w:val="none"/>
        </w:rPr>
        <w:t>残疾人福利性单位声明函</w:t>
      </w:r>
    </w:p>
    <w:p>
      <w:pPr>
        <w:tabs>
          <w:tab w:val="left" w:pos="2352"/>
        </w:tabs>
        <w:snapToGrid w:val="0"/>
        <w:spacing w:line="360" w:lineRule="auto"/>
        <w:ind w:firstLine="446" w:firstLineChars="200"/>
        <w:rPr>
          <w:color w:val="auto"/>
          <w:sz w:val="22"/>
          <w:highlight w:val="none"/>
        </w:rPr>
      </w:pPr>
      <w:r>
        <w:rPr>
          <w:rFonts w:hint="eastAsia"/>
          <w:color w:val="auto"/>
          <w:sz w:val="22"/>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2352"/>
        </w:tabs>
        <w:snapToGrid w:val="0"/>
        <w:spacing w:line="360" w:lineRule="auto"/>
        <w:ind w:firstLine="446" w:firstLineChars="200"/>
        <w:rPr>
          <w:color w:val="auto"/>
          <w:sz w:val="22"/>
          <w:highlight w:val="none"/>
        </w:rPr>
      </w:pPr>
      <w:r>
        <w:rPr>
          <w:rFonts w:hint="eastAsia"/>
          <w:color w:val="auto"/>
          <w:sz w:val="22"/>
          <w:highlight w:val="none"/>
        </w:rPr>
        <w:t>本单位对上述声明的真实性负责。如有虚假，将依法承担相应责任。</w:t>
      </w:r>
    </w:p>
    <w:p>
      <w:pPr>
        <w:tabs>
          <w:tab w:val="left" w:pos="2352"/>
        </w:tabs>
        <w:snapToGrid w:val="0"/>
        <w:spacing w:line="360" w:lineRule="auto"/>
        <w:ind w:firstLine="446" w:firstLineChars="200"/>
        <w:rPr>
          <w:color w:val="auto"/>
          <w:sz w:val="22"/>
          <w:highlight w:val="none"/>
        </w:rPr>
      </w:pPr>
    </w:p>
    <w:p>
      <w:pPr>
        <w:tabs>
          <w:tab w:val="left" w:pos="2352"/>
        </w:tabs>
        <w:snapToGrid w:val="0"/>
        <w:spacing w:line="360" w:lineRule="auto"/>
        <w:ind w:firstLine="446" w:firstLineChars="200"/>
        <w:rPr>
          <w:color w:val="auto"/>
          <w:sz w:val="22"/>
          <w:highlight w:val="none"/>
        </w:rPr>
      </w:pPr>
    </w:p>
    <w:p>
      <w:pPr>
        <w:tabs>
          <w:tab w:val="left" w:pos="2352"/>
          <w:tab w:val="left" w:pos="4860"/>
        </w:tabs>
        <w:snapToGrid w:val="0"/>
        <w:spacing w:line="360" w:lineRule="auto"/>
        <w:ind w:right="1560" w:firstLine="446" w:firstLineChars="200"/>
        <w:rPr>
          <w:color w:val="auto"/>
          <w:sz w:val="22"/>
          <w:highlight w:val="none"/>
        </w:rPr>
      </w:pPr>
      <w:r>
        <w:rPr>
          <w:rFonts w:hint="eastAsia"/>
          <w:color w:val="auto"/>
          <w:sz w:val="22"/>
          <w:highlight w:val="none"/>
        </w:rPr>
        <w:t xml:space="preserve">       单位名称（盖章）：</w:t>
      </w:r>
    </w:p>
    <w:p>
      <w:pPr>
        <w:tabs>
          <w:tab w:val="left" w:pos="2352"/>
          <w:tab w:val="left" w:pos="4860"/>
        </w:tabs>
        <w:snapToGrid w:val="0"/>
        <w:spacing w:line="360" w:lineRule="auto"/>
        <w:ind w:right="1560" w:firstLine="446" w:firstLineChars="200"/>
        <w:rPr>
          <w:color w:val="auto"/>
          <w:sz w:val="22"/>
          <w:highlight w:val="none"/>
        </w:rPr>
      </w:pPr>
      <w:r>
        <w:rPr>
          <w:rFonts w:hint="eastAsia"/>
          <w:color w:val="auto"/>
          <w:sz w:val="22"/>
          <w:highlight w:val="none"/>
        </w:rPr>
        <w:t xml:space="preserve">       日  期：</w:t>
      </w:r>
    </w:p>
    <w:p>
      <w:pPr>
        <w:pStyle w:val="34"/>
        <w:tabs>
          <w:tab w:val="left" w:pos="2352"/>
        </w:tabs>
        <w:snapToGrid w:val="0"/>
        <w:spacing w:line="360" w:lineRule="auto"/>
        <w:ind w:left="360" w:firstLine="0" w:firstLineChars="0"/>
        <w:rPr>
          <w:rFonts w:cs="宋体"/>
          <w:color w:val="auto"/>
          <w:sz w:val="22"/>
          <w:highlight w:val="none"/>
        </w:rPr>
      </w:pPr>
    </w:p>
    <w:bookmarkEnd w:id="68"/>
    <w:p>
      <w:pPr>
        <w:pStyle w:val="9"/>
        <w:tabs>
          <w:tab w:val="left" w:pos="1069"/>
          <w:tab w:val="left" w:pos="2352"/>
        </w:tabs>
        <w:spacing w:line="480" w:lineRule="exact"/>
        <w:rPr>
          <w:rFonts w:ascii="宋体" w:hAnsi="宋体" w:cs="宋体"/>
          <w:b/>
          <w:bCs/>
          <w:color w:val="auto"/>
          <w:sz w:val="26"/>
          <w:szCs w:val="26"/>
          <w:highlight w:val="none"/>
        </w:rPr>
      </w:pPr>
      <w:r>
        <w:rPr>
          <w:rFonts w:hint="eastAsia" w:ascii="宋体" w:hAnsi="宋体" w:cs="宋体"/>
          <w:b/>
          <w:bCs/>
          <w:color w:val="auto"/>
          <w:sz w:val="26"/>
          <w:szCs w:val="26"/>
          <w:highlight w:val="none"/>
        </w:rPr>
        <w:t>三、信贷政策</w:t>
      </w:r>
    </w:p>
    <w:p>
      <w:pPr>
        <w:tabs>
          <w:tab w:val="left" w:pos="1069"/>
          <w:tab w:val="left" w:pos="2352"/>
        </w:tabs>
        <w:snapToGrid w:val="0"/>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1、温州市财政局关于温州市政府采购支持中小企业信用融资的通知（温财采〔2020〕3号）</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3"/>
        <w:gridCol w:w="4201"/>
        <w:gridCol w:w="1000"/>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94" w:type="dxa"/>
            <w:gridSpan w:val="4"/>
          </w:tcPr>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温州市政府采购支持中小企业信用融资合作银行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373" w:type="dxa"/>
          </w:tcPr>
          <w:p>
            <w:pPr>
              <w:pStyle w:val="35"/>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银行名称</w:t>
            </w:r>
          </w:p>
        </w:tc>
        <w:tc>
          <w:tcPr>
            <w:tcW w:w="4201" w:type="dxa"/>
          </w:tcPr>
          <w:p>
            <w:pPr>
              <w:pStyle w:val="35"/>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产品特点（不超过120字）</w:t>
            </w:r>
          </w:p>
        </w:tc>
        <w:tc>
          <w:tcPr>
            <w:tcW w:w="1000" w:type="dxa"/>
          </w:tcPr>
          <w:p>
            <w:pPr>
              <w:pStyle w:val="35"/>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经办人</w:t>
            </w:r>
          </w:p>
        </w:tc>
        <w:tc>
          <w:tcPr>
            <w:tcW w:w="1820" w:type="dxa"/>
          </w:tcPr>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35"/>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中国工商银行股份有限公司温州分行</w:t>
            </w:r>
          </w:p>
        </w:tc>
        <w:tc>
          <w:tcPr>
            <w:tcW w:w="4201" w:type="dxa"/>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1000" w:type="dxa"/>
          </w:tcPr>
          <w:p>
            <w:pPr>
              <w:pStyle w:val="35"/>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王经理</w:t>
            </w:r>
          </w:p>
        </w:tc>
        <w:tc>
          <w:tcPr>
            <w:tcW w:w="1820" w:type="dxa"/>
          </w:tcPr>
          <w:p>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0577-88186626</w:t>
            </w:r>
          </w:p>
          <w:p>
            <w:pPr>
              <w:tabs>
                <w:tab w:val="left" w:pos="1069"/>
                <w:tab w:val="left" w:pos="2352"/>
              </w:tabs>
              <w:jc w:val="left"/>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2373" w:type="dxa"/>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中国建设银行股份有限公司温州分行</w:t>
            </w:r>
          </w:p>
        </w:tc>
        <w:tc>
          <w:tcPr>
            <w:tcW w:w="4201" w:type="dxa"/>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1000" w:type="dxa"/>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张经理</w:t>
            </w:r>
          </w:p>
        </w:tc>
        <w:tc>
          <w:tcPr>
            <w:tcW w:w="1820" w:type="dxa"/>
          </w:tcPr>
          <w:p>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0577-88093286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35"/>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中国邮政储蓄银行股份有限公司温州市分行</w:t>
            </w:r>
          </w:p>
        </w:tc>
        <w:tc>
          <w:tcPr>
            <w:tcW w:w="4201" w:type="dxa"/>
            <w:vAlign w:val="center"/>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1000" w:type="dxa"/>
            <w:vAlign w:val="center"/>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郑经理</w:t>
            </w:r>
          </w:p>
        </w:tc>
        <w:tc>
          <w:tcPr>
            <w:tcW w:w="1820" w:type="dxa"/>
            <w:vAlign w:val="center"/>
          </w:tcPr>
          <w:p>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0577-88193910</w:t>
            </w:r>
          </w:p>
          <w:p>
            <w:pPr>
              <w:tabs>
                <w:tab w:val="left" w:pos="1069"/>
                <w:tab w:val="left" w:pos="2352"/>
              </w:tabs>
              <w:jc w:val="left"/>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35"/>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中国民生银行股份有限公司温州分行</w:t>
            </w:r>
          </w:p>
        </w:tc>
        <w:tc>
          <w:tcPr>
            <w:tcW w:w="4201" w:type="dxa"/>
          </w:tcPr>
          <w:p>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1000" w:type="dxa"/>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项经理</w:t>
            </w:r>
          </w:p>
        </w:tc>
        <w:tc>
          <w:tcPr>
            <w:tcW w:w="1820" w:type="dxa"/>
          </w:tcPr>
          <w:p>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18057779630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35"/>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宁波银行股份有限公司温州分行</w:t>
            </w:r>
          </w:p>
        </w:tc>
        <w:tc>
          <w:tcPr>
            <w:tcW w:w="4201" w:type="dxa"/>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最大金额不超过2000万元。</w:t>
            </w:r>
          </w:p>
        </w:tc>
        <w:tc>
          <w:tcPr>
            <w:tcW w:w="1000" w:type="dxa"/>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陈经理</w:t>
            </w:r>
          </w:p>
        </w:tc>
        <w:tc>
          <w:tcPr>
            <w:tcW w:w="1820" w:type="dxa"/>
          </w:tcPr>
          <w:p>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0577－88007377</w:t>
            </w:r>
          </w:p>
          <w:p>
            <w:pPr>
              <w:tabs>
                <w:tab w:val="left" w:pos="1069"/>
                <w:tab w:val="left" w:pos="2352"/>
              </w:tabs>
              <w:jc w:val="left"/>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35"/>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杭州银行股份有限公司温州分行</w:t>
            </w:r>
          </w:p>
        </w:tc>
        <w:tc>
          <w:tcPr>
            <w:tcW w:w="4201" w:type="dxa"/>
          </w:tcPr>
          <w:p>
            <w:pPr>
              <w:tabs>
                <w:tab w:val="left" w:pos="1069"/>
                <w:tab w:val="left" w:pos="2352"/>
              </w:tabs>
              <w:rPr>
                <w:rFonts w:ascii="宋体" w:hAnsi="宋体" w:cs="宋体"/>
                <w:bCs/>
                <w:color w:val="auto"/>
                <w:sz w:val="22"/>
                <w:highlight w:val="none"/>
              </w:rPr>
            </w:pPr>
            <w:r>
              <w:rPr>
                <w:rFonts w:hint="eastAsia" w:ascii="宋体" w:hAnsi="宋体" w:cs="宋体"/>
                <w:bCs/>
                <w:color w:val="auto"/>
                <w:sz w:val="22"/>
                <w:highlight w:val="none"/>
              </w:rPr>
              <w:t>门槛低：纯信用，平台注册入库并取得采购合同即可申请</w:t>
            </w:r>
          </w:p>
          <w:p>
            <w:pPr>
              <w:tabs>
                <w:tab w:val="left" w:pos="1069"/>
                <w:tab w:val="left" w:pos="2352"/>
              </w:tabs>
              <w:rPr>
                <w:rFonts w:ascii="宋体" w:hAnsi="宋体" w:cs="宋体"/>
                <w:bCs/>
                <w:color w:val="auto"/>
                <w:sz w:val="22"/>
                <w:highlight w:val="none"/>
              </w:rPr>
            </w:pPr>
            <w:r>
              <w:rPr>
                <w:rFonts w:hint="eastAsia" w:ascii="宋体" w:hAnsi="宋体" w:cs="宋体"/>
                <w:bCs/>
                <w:color w:val="auto"/>
                <w:sz w:val="22"/>
                <w:highlight w:val="none"/>
              </w:rPr>
              <w:t>手续简：线上申请+线上签约，足不出户</w:t>
            </w:r>
          </w:p>
          <w:p>
            <w:pPr>
              <w:tabs>
                <w:tab w:val="left" w:pos="1069"/>
                <w:tab w:val="left" w:pos="2352"/>
              </w:tabs>
              <w:rPr>
                <w:rFonts w:ascii="宋体" w:hAnsi="宋体" w:cs="宋体"/>
                <w:bCs/>
                <w:color w:val="auto"/>
                <w:sz w:val="22"/>
                <w:highlight w:val="none"/>
              </w:rPr>
            </w:pPr>
            <w:r>
              <w:rPr>
                <w:rFonts w:hint="eastAsia" w:ascii="宋体" w:hAnsi="宋体" w:cs="宋体"/>
                <w:bCs/>
                <w:color w:val="auto"/>
                <w:sz w:val="22"/>
                <w:highlight w:val="none"/>
              </w:rPr>
              <w:t>利率优：按优于一般中小企业贷款利率执行</w:t>
            </w:r>
          </w:p>
          <w:p>
            <w:pPr>
              <w:tabs>
                <w:tab w:val="left" w:pos="1069"/>
                <w:tab w:val="left" w:pos="2352"/>
              </w:tabs>
              <w:rPr>
                <w:rFonts w:ascii="宋体" w:hAnsi="宋体" w:cs="宋体"/>
                <w:color w:val="auto"/>
                <w:sz w:val="22"/>
                <w:highlight w:val="none"/>
              </w:rPr>
            </w:pPr>
            <w:r>
              <w:rPr>
                <w:rFonts w:hint="eastAsia" w:ascii="宋体" w:hAnsi="宋体" w:cs="宋体"/>
                <w:bCs/>
                <w:color w:val="auto"/>
                <w:sz w:val="22"/>
                <w:highlight w:val="none"/>
              </w:rPr>
              <w:t>额度高：最高为合同金额的80%</w:t>
            </w:r>
          </w:p>
        </w:tc>
        <w:tc>
          <w:tcPr>
            <w:tcW w:w="1000" w:type="dxa"/>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叶经理</w:t>
            </w:r>
          </w:p>
        </w:tc>
        <w:tc>
          <w:tcPr>
            <w:tcW w:w="1820" w:type="dxa"/>
          </w:tcPr>
          <w:p>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0577-88008933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35"/>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招商银行股份有限公司温州分行</w:t>
            </w:r>
          </w:p>
        </w:tc>
        <w:tc>
          <w:tcPr>
            <w:tcW w:w="4201" w:type="dxa"/>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政采贷是招商银行针对政府采购招投标中标（成交）供应商，以政府采购合同项下未来应收账款为第一还款来源的融资业务，无需抵质押物。额度最高可达2000万，同时可开通自助贷款直通功能，自助贷款额度最高可达1000万，支持线上申请、随借随还。</w:t>
            </w:r>
          </w:p>
        </w:tc>
        <w:tc>
          <w:tcPr>
            <w:tcW w:w="1000" w:type="dxa"/>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陈经理</w:t>
            </w:r>
          </w:p>
        </w:tc>
        <w:tc>
          <w:tcPr>
            <w:tcW w:w="1820" w:type="dxa"/>
          </w:tcPr>
          <w:p>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0577-88056876</w:t>
            </w:r>
          </w:p>
          <w:p>
            <w:pPr>
              <w:tabs>
                <w:tab w:val="left" w:pos="1069"/>
                <w:tab w:val="left" w:pos="2352"/>
              </w:tabs>
              <w:jc w:val="left"/>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35"/>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兴业银行股份有限公司温州分行</w:t>
            </w:r>
          </w:p>
        </w:tc>
        <w:tc>
          <w:tcPr>
            <w:tcW w:w="4201" w:type="dxa"/>
            <w:vAlign w:val="center"/>
          </w:tcPr>
          <w:p>
            <w:pPr>
              <w:pStyle w:val="35"/>
              <w:tabs>
                <w:tab w:val="left" w:pos="1069"/>
                <w:tab w:val="left" w:pos="2352"/>
              </w:tabs>
              <w:spacing w:line="240" w:lineRule="auto"/>
              <w:ind w:firstLine="0" w:firstLineChars="0"/>
              <w:jc w:val="both"/>
              <w:rPr>
                <w:rFonts w:ascii="宋体" w:hAnsi="宋体" w:eastAsia="宋体" w:cs="宋体"/>
                <w:bCs/>
                <w:color w:val="auto"/>
                <w:kern w:val="0"/>
                <w:sz w:val="22"/>
                <w:highlight w:val="none"/>
              </w:rPr>
            </w:pPr>
            <w:r>
              <w:rPr>
                <w:rFonts w:hint="eastAsia" w:ascii="宋体" w:hAnsi="宋体" w:eastAsia="宋体" w:cs="宋体"/>
                <w:bCs/>
                <w:color w:val="auto"/>
                <w:kern w:val="0"/>
                <w:sz w:val="22"/>
                <w:highlight w:val="none"/>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1000" w:type="dxa"/>
            <w:vAlign w:val="center"/>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张经理</w:t>
            </w:r>
          </w:p>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陈经理</w:t>
            </w:r>
          </w:p>
        </w:tc>
        <w:tc>
          <w:tcPr>
            <w:tcW w:w="1820" w:type="dxa"/>
            <w:vAlign w:val="center"/>
          </w:tcPr>
          <w:p>
            <w:pPr>
              <w:pStyle w:val="35"/>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0577-88369368/13857713118</w:t>
            </w:r>
          </w:p>
          <w:p>
            <w:pPr>
              <w:pStyle w:val="35"/>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0577-56969696-526506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35"/>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温州银行股份有限公司温州分行</w:t>
            </w:r>
          </w:p>
        </w:tc>
        <w:tc>
          <w:tcPr>
            <w:tcW w:w="4201" w:type="dxa"/>
          </w:tcPr>
          <w:p>
            <w:pPr>
              <w:tabs>
                <w:tab w:val="left" w:pos="1069"/>
                <w:tab w:val="left" w:pos="2352"/>
              </w:tabs>
              <w:rPr>
                <w:rFonts w:ascii="宋体" w:hAnsi="宋体" w:cs="宋体"/>
                <w:bCs/>
                <w:color w:val="auto"/>
                <w:sz w:val="22"/>
                <w:highlight w:val="none"/>
              </w:rPr>
            </w:pPr>
            <w:r>
              <w:rPr>
                <w:rFonts w:hint="eastAsia" w:ascii="宋体" w:hAnsi="宋体" w:cs="宋体"/>
                <w:bCs/>
                <w:color w:val="auto"/>
                <w:sz w:val="22"/>
                <w:highlight w:val="none"/>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000" w:type="dxa"/>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陈经理</w:t>
            </w:r>
          </w:p>
        </w:tc>
        <w:tc>
          <w:tcPr>
            <w:tcW w:w="1820" w:type="dxa"/>
          </w:tcPr>
          <w:p>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13736355866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35"/>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温州银行股份有限公司鹿城分行</w:t>
            </w:r>
          </w:p>
        </w:tc>
        <w:tc>
          <w:tcPr>
            <w:tcW w:w="4201" w:type="dxa"/>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政采订单贷：1、面向政府采购项目供应商，满足供应商资金周转需求，凭中标通知书即可申请，2、秒知额高，最高可贷500万元，单笔业务金额可贷中标金额的80%，</w:t>
            </w:r>
          </w:p>
          <w:p>
            <w:pPr>
              <w:pStyle w:val="34"/>
              <w:tabs>
                <w:tab w:val="left" w:pos="1069"/>
                <w:tab w:val="left" w:pos="2352"/>
              </w:tabs>
              <w:ind w:left="5" w:firstLine="0" w:firstLineChars="0"/>
              <w:rPr>
                <w:rFonts w:ascii="宋体" w:hAnsi="宋体" w:cs="宋体"/>
                <w:color w:val="auto"/>
                <w:sz w:val="22"/>
                <w:highlight w:val="none"/>
              </w:rPr>
            </w:pPr>
            <w:r>
              <w:rPr>
                <w:rFonts w:hint="eastAsia" w:ascii="宋体" w:hAnsi="宋体" w:cs="宋体"/>
                <w:color w:val="auto"/>
                <w:sz w:val="22"/>
                <w:highlight w:val="none"/>
              </w:rPr>
              <w:t>最长期限可贷1年。信保贷：1、额度最高可达500万元</w:t>
            </w:r>
          </w:p>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2、担保灵活，信用贷款3、贷款年利率至少可享受本单位一般性中小企业信用贷款利率基础上下浮10 %</w:t>
            </w:r>
          </w:p>
        </w:tc>
        <w:tc>
          <w:tcPr>
            <w:tcW w:w="1000" w:type="dxa"/>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戴经理</w:t>
            </w:r>
          </w:p>
        </w:tc>
        <w:tc>
          <w:tcPr>
            <w:tcW w:w="1820" w:type="dxa"/>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13605772302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35"/>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交通银行股份有限公司温州分行</w:t>
            </w:r>
          </w:p>
        </w:tc>
        <w:tc>
          <w:tcPr>
            <w:tcW w:w="4201" w:type="dxa"/>
          </w:tcPr>
          <w:p>
            <w:pPr>
              <w:tabs>
                <w:tab w:val="left" w:pos="1069"/>
                <w:tab w:val="left" w:pos="2352"/>
              </w:tabs>
              <w:autoSpaceDE w:val="0"/>
              <w:autoSpaceDN w:val="0"/>
              <w:adjustRightInd w:val="0"/>
              <w:jc w:val="left"/>
              <w:rPr>
                <w:rFonts w:ascii="宋体" w:hAnsi="宋体" w:cs="宋体"/>
                <w:color w:val="auto"/>
                <w:sz w:val="22"/>
                <w:highlight w:val="none"/>
              </w:rPr>
            </w:pPr>
            <w:r>
              <w:rPr>
                <w:rFonts w:hint="eastAsia" w:ascii="宋体" w:hAnsi="宋体" w:cs="宋体"/>
                <w:color w:val="auto"/>
                <w:sz w:val="22"/>
                <w:highlight w:val="none"/>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1000" w:type="dxa"/>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缪经理</w:t>
            </w:r>
          </w:p>
        </w:tc>
        <w:tc>
          <w:tcPr>
            <w:tcW w:w="1820" w:type="dxa"/>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0577-88248454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tcPr>
          <w:p>
            <w:pPr>
              <w:pStyle w:val="35"/>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上海浦东发展银行股份有限公司温州分行</w:t>
            </w:r>
          </w:p>
        </w:tc>
        <w:tc>
          <w:tcPr>
            <w:tcW w:w="4201" w:type="dxa"/>
          </w:tcPr>
          <w:p>
            <w:pPr>
              <w:tabs>
                <w:tab w:val="left" w:pos="1069"/>
                <w:tab w:val="left" w:pos="2352"/>
              </w:tabs>
              <w:jc w:val="left"/>
              <w:rPr>
                <w:rFonts w:ascii="宋体" w:hAnsi="宋体" w:cs="宋体"/>
                <w:bCs/>
                <w:color w:val="auto"/>
                <w:sz w:val="22"/>
                <w:highlight w:val="none"/>
              </w:rPr>
            </w:pPr>
            <w:r>
              <w:rPr>
                <w:rFonts w:hint="eastAsia" w:ascii="宋体" w:hAnsi="宋体" w:cs="宋体"/>
                <w:bCs/>
                <w:color w:val="auto"/>
                <w:sz w:val="22"/>
                <w:highlight w:val="none"/>
              </w:rPr>
              <w:t>政采e贷：是浦发银行面向温州地区经营状况良好的小微企业政府采购项目供应商所提供的专属政府采购订单融资产品。产品特点：纯信用、免担保、门槛低、授信快、在线贷、秒放款</w:t>
            </w:r>
          </w:p>
          <w:p>
            <w:pPr>
              <w:shd w:val="clear" w:color="auto" w:fill="FFFFFF"/>
              <w:tabs>
                <w:tab w:val="left" w:pos="1069"/>
                <w:tab w:val="left" w:pos="2352"/>
              </w:tabs>
              <w:jc w:val="left"/>
              <w:rPr>
                <w:rFonts w:ascii="宋体" w:hAnsi="宋体" w:cs="宋体"/>
                <w:color w:val="auto"/>
                <w:sz w:val="22"/>
                <w:highlight w:val="none"/>
              </w:rPr>
            </w:pPr>
            <w:r>
              <w:rPr>
                <w:rFonts w:hint="eastAsia" w:ascii="宋体" w:hAnsi="宋体" w:cs="宋体"/>
                <w:bCs/>
                <w:color w:val="auto"/>
                <w:sz w:val="22"/>
                <w:highlight w:val="none"/>
              </w:rPr>
              <w:t>所需材料：企业基础证件、相关中标文件（中标通知书 、采购合同等）、其他必要文件</w:t>
            </w:r>
          </w:p>
        </w:tc>
        <w:tc>
          <w:tcPr>
            <w:tcW w:w="1000" w:type="dxa"/>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叶经理</w:t>
            </w:r>
          </w:p>
        </w:tc>
        <w:tc>
          <w:tcPr>
            <w:tcW w:w="1820" w:type="dxa"/>
          </w:tcPr>
          <w:p>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0577-55570829</w:t>
            </w:r>
          </w:p>
          <w:p>
            <w:pPr>
              <w:tabs>
                <w:tab w:val="left" w:pos="1069"/>
                <w:tab w:val="left" w:pos="2352"/>
              </w:tabs>
              <w:jc w:val="left"/>
              <w:rPr>
                <w:rFonts w:ascii="宋体" w:hAnsi="宋体" w:cs="宋体"/>
                <w:color w:val="auto"/>
                <w:sz w:val="22"/>
                <w:highlight w:val="none"/>
              </w:rPr>
            </w:pPr>
          </w:p>
        </w:tc>
      </w:tr>
    </w:tbl>
    <w:p>
      <w:pPr>
        <w:tabs>
          <w:tab w:val="left" w:pos="1069"/>
          <w:tab w:val="left" w:pos="2352"/>
        </w:tabs>
        <w:snapToGrid w:val="0"/>
        <w:spacing w:line="460" w:lineRule="atLeast"/>
        <w:ind w:firstLine="446" w:firstLineChars="200"/>
        <w:jc w:val="left"/>
        <w:rPr>
          <w:rFonts w:ascii="宋体" w:hAnsi="宋体" w:cs="宋体"/>
          <w:color w:val="auto"/>
          <w:sz w:val="22"/>
          <w:highlight w:val="none"/>
        </w:rPr>
      </w:pPr>
    </w:p>
    <w:p>
      <w:pPr>
        <w:tabs>
          <w:tab w:val="left" w:pos="1069"/>
          <w:tab w:val="left" w:pos="2352"/>
        </w:tabs>
        <w:jc w:val="center"/>
        <w:rPr>
          <w:rFonts w:ascii="宋体" w:hAnsi="宋体" w:cs="宋体"/>
          <w:color w:val="auto"/>
          <w:sz w:val="22"/>
          <w:highlight w:val="none"/>
        </w:rPr>
      </w:pPr>
      <w:r>
        <w:rPr>
          <w:rFonts w:hint="eastAsia" w:ascii="宋体" w:hAnsi="宋体" w:cs="宋体"/>
          <w:b/>
          <w:bCs/>
          <w:color w:val="auto"/>
          <w:sz w:val="28"/>
          <w:szCs w:val="28"/>
          <w:highlight w:val="none"/>
        </w:rPr>
        <w:t>温州市政府采购信用融资意向银行选择表</w:t>
      </w:r>
    </w:p>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（温州市供应商填写）</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268"/>
        <w:gridCol w:w="1417"/>
        <w:gridCol w:w="851"/>
        <w:gridCol w:w="1559"/>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tcPr>
          <w:p>
            <w:pPr>
              <w:pStyle w:val="35"/>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企业名称</w:t>
            </w:r>
          </w:p>
        </w:tc>
        <w:tc>
          <w:tcPr>
            <w:tcW w:w="8221" w:type="dxa"/>
            <w:gridSpan w:val="5"/>
          </w:tcPr>
          <w:p>
            <w:pPr>
              <w:pStyle w:val="35"/>
              <w:tabs>
                <w:tab w:val="left" w:pos="1069"/>
                <w:tab w:val="left" w:pos="2352"/>
              </w:tabs>
              <w:spacing w:line="360" w:lineRule="auto"/>
              <w:ind w:firstLine="0" w:firstLineChars="0"/>
              <w:jc w:val="center"/>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tcPr>
          <w:p>
            <w:pPr>
              <w:pStyle w:val="35"/>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企业注册地</w:t>
            </w:r>
          </w:p>
        </w:tc>
        <w:tc>
          <w:tcPr>
            <w:tcW w:w="3685" w:type="dxa"/>
            <w:gridSpan w:val="2"/>
          </w:tcPr>
          <w:p>
            <w:pPr>
              <w:pStyle w:val="35"/>
              <w:tabs>
                <w:tab w:val="left" w:pos="1069"/>
                <w:tab w:val="left" w:pos="2352"/>
              </w:tabs>
              <w:spacing w:line="360" w:lineRule="auto"/>
              <w:ind w:firstLine="0" w:firstLineChars="0"/>
              <w:jc w:val="center"/>
              <w:rPr>
                <w:rFonts w:ascii="宋体" w:hAnsi="宋体" w:eastAsia="宋体" w:cs="宋体"/>
                <w:color w:val="auto"/>
                <w:kern w:val="0"/>
                <w:sz w:val="22"/>
                <w:highlight w:val="none"/>
              </w:rPr>
            </w:pPr>
          </w:p>
        </w:tc>
        <w:tc>
          <w:tcPr>
            <w:tcW w:w="2410" w:type="dxa"/>
            <w:gridSpan w:val="2"/>
          </w:tcPr>
          <w:p>
            <w:pPr>
              <w:pStyle w:val="35"/>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是否有融资意向</w:t>
            </w:r>
          </w:p>
        </w:tc>
        <w:tc>
          <w:tcPr>
            <w:tcW w:w="2126" w:type="dxa"/>
          </w:tcPr>
          <w:p>
            <w:pPr>
              <w:pStyle w:val="35"/>
              <w:tabs>
                <w:tab w:val="left" w:pos="1069"/>
                <w:tab w:val="left" w:pos="2352"/>
              </w:tabs>
              <w:spacing w:line="360" w:lineRule="auto"/>
              <w:ind w:firstLine="0" w:firstLineChars="0"/>
              <w:jc w:val="center"/>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668" w:type="dxa"/>
          </w:tcPr>
          <w:p>
            <w:pPr>
              <w:pStyle w:val="35"/>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融资联系人</w:t>
            </w:r>
          </w:p>
        </w:tc>
        <w:tc>
          <w:tcPr>
            <w:tcW w:w="2268" w:type="dxa"/>
          </w:tcPr>
          <w:p>
            <w:pPr>
              <w:pStyle w:val="35"/>
              <w:tabs>
                <w:tab w:val="left" w:pos="1069"/>
                <w:tab w:val="left" w:pos="2352"/>
              </w:tabs>
              <w:spacing w:line="360" w:lineRule="auto"/>
              <w:ind w:firstLine="0" w:firstLineChars="0"/>
              <w:jc w:val="center"/>
              <w:rPr>
                <w:rFonts w:ascii="宋体" w:hAnsi="宋体" w:eastAsia="宋体" w:cs="宋体"/>
                <w:color w:val="auto"/>
                <w:kern w:val="0"/>
                <w:sz w:val="22"/>
                <w:highlight w:val="none"/>
              </w:rPr>
            </w:pPr>
          </w:p>
        </w:tc>
        <w:tc>
          <w:tcPr>
            <w:tcW w:w="2268" w:type="dxa"/>
            <w:gridSpan w:val="2"/>
          </w:tcPr>
          <w:p>
            <w:pPr>
              <w:pStyle w:val="35"/>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联系方式</w:t>
            </w:r>
          </w:p>
        </w:tc>
        <w:tc>
          <w:tcPr>
            <w:tcW w:w="3685" w:type="dxa"/>
            <w:gridSpan w:val="2"/>
          </w:tcPr>
          <w:p>
            <w:pPr>
              <w:pStyle w:val="35"/>
              <w:tabs>
                <w:tab w:val="left" w:pos="1069"/>
                <w:tab w:val="left" w:pos="2352"/>
              </w:tabs>
              <w:spacing w:line="360" w:lineRule="auto"/>
              <w:ind w:firstLine="0" w:firstLineChars="0"/>
              <w:jc w:val="center"/>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vAlign w:val="center"/>
          </w:tcPr>
          <w:p>
            <w:pPr>
              <w:pStyle w:val="35"/>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温州市政府采购信用融资合作银行</w:t>
            </w:r>
          </w:p>
        </w:tc>
        <w:tc>
          <w:tcPr>
            <w:tcW w:w="3685" w:type="dxa"/>
            <w:gridSpan w:val="2"/>
          </w:tcPr>
          <w:p>
            <w:pPr>
              <w:pStyle w:val="35"/>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选择作为意向融资银行（可多选）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tcPr>
          <w:p>
            <w:pPr>
              <w:pStyle w:val="35"/>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温州银行股份有限公司温州分行</w:t>
            </w:r>
          </w:p>
        </w:tc>
        <w:tc>
          <w:tcPr>
            <w:tcW w:w="3685" w:type="dxa"/>
            <w:gridSpan w:val="2"/>
          </w:tcPr>
          <w:p>
            <w:pPr>
              <w:pStyle w:val="35"/>
              <w:tabs>
                <w:tab w:val="left" w:pos="1069"/>
                <w:tab w:val="left" w:pos="2352"/>
              </w:tabs>
              <w:spacing w:line="360" w:lineRule="auto"/>
              <w:ind w:firstLine="0" w:firstLineChars="0"/>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tcPr>
          <w:p>
            <w:pPr>
              <w:pStyle w:val="35"/>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温州银行股份有限公司鹿城分行</w:t>
            </w:r>
          </w:p>
        </w:tc>
        <w:tc>
          <w:tcPr>
            <w:tcW w:w="3685" w:type="dxa"/>
            <w:gridSpan w:val="2"/>
          </w:tcPr>
          <w:p>
            <w:pPr>
              <w:pStyle w:val="35"/>
              <w:tabs>
                <w:tab w:val="left" w:pos="1069"/>
                <w:tab w:val="left" w:pos="2352"/>
              </w:tabs>
              <w:spacing w:line="360" w:lineRule="auto"/>
              <w:ind w:firstLine="0" w:firstLineChars="0"/>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pPr>
              <w:pStyle w:val="35"/>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中国工商银行股份有限公司温州分行</w:t>
            </w:r>
          </w:p>
        </w:tc>
        <w:tc>
          <w:tcPr>
            <w:tcW w:w="3685" w:type="dxa"/>
            <w:gridSpan w:val="2"/>
          </w:tcPr>
          <w:p>
            <w:pPr>
              <w:pStyle w:val="35"/>
              <w:tabs>
                <w:tab w:val="left" w:pos="1069"/>
                <w:tab w:val="left" w:pos="2352"/>
              </w:tabs>
              <w:spacing w:line="360" w:lineRule="auto"/>
              <w:ind w:firstLine="0" w:firstLineChars="0"/>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204" w:type="dxa"/>
            <w:gridSpan w:val="4"/>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中国建设银行股份有限公司温州分行</w:t>
            </w:r>
          </w:p>
        </w:tc>
        <w:tc>
          <w:tcPr>
            <w:tcW w:w="3685" w:type="dxa"/>
            <w:gridSpan w:val="2"/>
          </w:tcPr>
          <w:p>
            <w:pPr>
              <w:tabs>
                <w:tab w:val="left" w:pos="1069"/>
                <w:tab w:val="left" w:pos="2352"/>
              </w:tabs>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pPr>
              <w:pStyle w:val="35"/>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中国邮政储蓄银行股份有限公司温州市分行</w:t>
            </w:r>
          </w:p>
        </w:tc>
        <w:tc>
          <w:tcPr>
            <w:tcW w:w="3685" w:type="dxa"/>
            <w:gridSpan w:val="2"/>
          </w:tcPr>
          <w:p>
            <w:pPr>
              <w:pStyle w:val="35"/>
              <w:tabs>
                <w:tab w:val="left" w:pos="1069"/>
                <w:tab w:val="left" w:pos="2352"/>
              </w:tabs>
              <w:spacing w:line="360" w:lineRule="auto"/>
              <w:ind w:firstLine="0" w:firstLineChars="0"/>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pPr>
              <w:pStyle w:val="35"/>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中国民生银行股份有限公司温州分行</w:t>
            </w:r>
          </w:p>
        </w:tc>
        <w:tc>
          <w:tcPr>
            <w:tcW w:w="3685" w:type="dxa"/>
            <w:gridSpan w:val="2"/>
          </w:tcPr>
          <w:p>
            <w:pPr>
              <w:pStyle w:val="35"/>
              <w:tabs>
                <w:tab w:val="left" w:pos="1069"/>
                <w:tab w:val="left" w:pos="2352"/>
              </w:tabs>
              <w:spacing w:line="360" w:lineRule="auto"/>
              <w:ind w:firstLine="0" w:firstLineChars="0"/>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pPr>
              <w:pStyle w:val="35"/>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宁波银行股份有限公司温州分行</w:t>
            </w:r>
          </w:p>
        </w:tc>
        <w:tc>
          <w:tcPr>
            <w:tcW w:w="3685" w:type="dxa"/>
            <w:gridSpan w:val="2"/>
          </w:tcPr>
          <w:p>
            <w:pPr>
              <w:pStyle w:val="35"/>
              <w:tabs>
                <w:tab w:val="left" w:pos="1069"/>
                <w:tab w:val="left" w:pos="2352"/>
              </w:tabs>
              <w:spacing w:line="360" w:lineRule="auto"/>
              <w:ind w:firstLine="0" w:firstLineChars="0"/>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pPr>
              <w:pStyle w:val="35"/>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杭州银行股份有限公司温州分行</w:t>
            </w:r>
          </w:p>
        </w:tc>
        <w:tc>
          <w:tcPr>
            <w:tcW w:w="3685" w:type="dxa"/>
            <w:gridSpan w:val="2"/>
          </w:tcPr>
          <w:p>
            <w:pPr>
              <w:pStyle w:val="35"/>
              <w:tabs>
                <w:tab w:val="left" w:pos="1069"/>
                <w:tab w:val="left" w:pos="2352"/>
              </w:tabs>
              <w:spacing w:line="360" w:lineRule="auto"/>
              <w:ind w:firstLine="0" w:firstLineChars="0"/>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pPr>
              <w:pStyle w:val="35"/>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招商银行股份有限公司温州分行</w:t>
            </w:r>
          </w:p>
        </w:tc>
        <w:tc>
          <w:tcPr>
            <w:tcW w:w="3685" w:type="dxa"/>
            <w:gridSpan w:val="2"/>
          </w:tcPr>
          <w:p>
            <w:pPr>
              <w:pStyle w:val="35"/>
              <w:tabs>
                <w:tab w:val="left" w:pos="1069"/>
                <w:tab w:val="left" w:pos="2352"/>
              </w:tabs>
              <w:spacing w:line="360" w:lineRule="auto"/>
              <w:ind w:firstLine="0" w:firstLineChars="0"/>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pPr>
              <w:pStyle w:val="35"/>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兴业银行股份有限公司温州分行</w:t>
            </w:r>
          </w:p>
        </w:tc>
        <w:tc>
          <w:tcPr>
            <w:tcW w:w="3685" w:type="dxa"/>
            <w:gridSpan w:val="2"/>
          </w:tcPr>
          <w:p>
            <w:pPr>
              <w:pStyle w:val="35"/>
              <w:tabs>
                <w:tab w:val="left" w:pos="1069"/>
                <w:tab w:val="left" w:pos="2352"/>
              </w:tabs>
              <w:spacing w:line="360" w:lineRule="auto"/>
              <w:ind w:firstLine="0" w:firstLineChars="0"/>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pPr>
              <w:pStyle w:val="35"/>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交通银行股份有限公司温州分行</w:t>
            </w:r>
          </w:p>
        </w:tc>
        <w:tc>
          <w:tcPr>
            <w:tcW w:w="3685" w:type="dxa"/>
            <w:gridSpan w:val="2"/>
          </w:tcPr>
          <w:p>
            <w:pPr>
              <w:pStyle w:val="35"/>
              <w:tabs>
                <w:tab w:val="left" w:pos="1069"/>
                <w:tab w:val="left" w:pos="2352"/>
              </w:tabs>
              <w:spacing w:line="360" w:lineRule="auto"/>
              <w:ind w:firstLine="0" w:firstLineChars="0"/>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204" w:type="dxa"/>
            <w:gridSpan w:val="4"/>
          </w:tcPr>
          <w:p>
            <w:pPr>
              <w:pStyle w:val="35"/>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上海浦东发展银行股份有限公司温州分行</w:t>
            </w:r>
          </w:p>
        </w:tc>
        <w:tc>
          <w:tcPr>
            <w:tcW w:w="3685" w:type="dxa"/>
            <w:gridSpan w:val="2"/>
          </w:tcPr>
          <w:p>
            <w:pPr>
              <w:pStyle w:val="35"/>
              <w:tabs>
                <w:tab w:val="left" w:pos="1069"/>
                <w:tab w:val="left" w:pos="2352"/>
              </w:tabs>
              <w:spacing w:line="360" w:lineRule="auto"/>
              <w:ind w:firstLine="0" w:firstLineChars="0"/>
              <w:rPr>
                <w:rFonts w:ascii="宋体" w:hAnsi="宋体" w:eastAsia="宋体" w:cs="宋体"/>
                <w:color w:val="auto"/>
                <w:kern w:val="0"/>
                <w:sz w:val="22"/>
                <w:highlight w:val="none"/>
              </w:rPr>
            </w:pPr>
          </w:p>
        </w:tc>
      </w:tr>
    </w:tbl>
    <w:p>
      <w:pPr>
        <w:tabs>
          <w:tab w:val="left" w:pos="1069"/>
          <w:tab w:val="left" w:pos="2352"/>
        </w:tabs>
        <w:rPr>
          <w:rFonts w:ascii="宋体" w:hAnsi="宋体" w:cs="宋体"/>
          <w:color w:val="auto"/>
          <w:sz w:val="22"/>
          <w:highlight w:val="none"/>
        </w:rPr>
      </w:pPr>
    </w:p>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注：1、本表填写对象为注册地在温州市域内的供应商。</w:t>
      </w:r>
    </w:p>
    <w:p>
      <w:pPr>
        <w:tabs>
          <w:tab w:val="left" w:pos="1069"/>
          <w:tab w:val="left" w:pos="2352"/>
        </w:tabs>
        <w:spacing w:line="588" w:lineRule="exact"/>
        <w:ind w:firstLine="446" w:firstLineChars="200"/>
        <w:rPr>
          <w:rFonts w:ascii="宋体" w:hAnsi="宋体" w:cs="宋体"/>
          <w:b/>
          <w:color w:val="auto"/>
          <w:sz w:val="22"/>
          <w:highlight w:val="none"/>
        </w:rPr>
      </w:pPr>
      <w:r>
        <w:rPr>
          <w:rFonts w:hint="eastAsia" w:ascii="宋体" w:hAnsi="宋体" w:cs="宋体"/>
          <w:color w:val="auto"/>
          <w:sz w:val="22"/>
          <w:highlight w:val="none"/>
        </w:rPr>
        <w:t>2、财政部门根据企业自行选择，将本表及企业相关信息推送至相对应的融资意向银行经办人。</w:t>
      </w:r>
    </w:p>
    <w:p>
      <w:pPr>
        <w:pStyle w:val="23"/>
        <w:tabs>
          <w:tab w:val="left" w:pos="1069"/>
          <w:tab w:val="left" w:pos="2352"/>
        </w:tabs>
        <w:rPr>
          <w:rFonts w:ascii="宋体" w:hAnsi="宋体" w:cs="宋体"/>
          <w:b/>
          <w:color w:val="auto"/>
          <w:sz w:val="32"/>
          <w:szCs w:val="32"/>
          <w:highlight w:val="none"/>
        </w:rPr>
      </w:pPr>
    </w:p>
    <w:p>
      <w:pPr>
        <w:tabs>
          <w:tab w:val="left" w:pos="1069"/>
          <w:tab w:val="left" w:pos="2352"/>
        </w:tabs>
        <w:snapToGrid w:val="0"/>
        <w:spacing w:line="380" w:lineRule="exact"/>
        <w:jc w:val="center"/>
        <w:rPr>
          <w:rFonts w:ascii="宋体" w:hAnsi="宋体" w:cs="宋体"/>
          <w:b/>
          <w:color w:val="auto"/>
          <w:sz w:val="32"/>
          <w:szCs w:val="32"/>
          <w:highlight w:val="none"/>
        </w:rPr>
      </w:pPr>
    </w:p>
    <w:p>
      <w:pPr>
        <w:tabs>
          <w:tab w:val="left" w:pos="1069"/>
          <w:tab w:val="left" w:pos="2352"/>
        </w:tabs>
        <w:snapToGrid w:val="0"/>
        <w:spacing w:line="380" w:lineRule="exact"/>
        <w:jc w:val="center"/>
        <w:rPr>
          <w:rFonts w:ascii="宋体" w:hAnsi="宋体" w:cs="宋体"/>
          <w:b/>
          <w:color w:val="auto"/>
          <w:sz w:val="32"/>
          <w:szCs w:val="32"/>
          <w:highlight w:val="none"/>
        </w:rPr>
      </w:pPr>
    </w:p>
    <w:p>
      <w:pPr>
        <w:tabs>
          <w:tab w:val="left" w:pos="1069"/>
          <w:tab w:val="left" w:pos="2352"/>
        </w:tabs>
        <w:snapToGrid w:val="0"/>
        <w:spacing w:line="380" w:lineRule="exact"/>
        <w:jc w:val="center"/>
        <w:rPr>
          <w:rFonts w:ascii="宋体" w:hAnsi="宋体" w:cs="宋体"/>
          <w:b/>
          <w:color w:val="auto"/>
          <w:sz w:val="32"/>
          <w:szCs w:val="32"/>
          <w:highlight w:val="none"/>
        </w:rPr>
      </w:pPr>
    </w:p>
    <w:p>
      <w:pPr>
        <w:tabs>
          <w:tab w:val="left" w:pos="1069"/>
          <w:tab w:val="left" w:pos="2352"/>
        </w:tabs>
        <w:snapToGrid w:val="0"/>
        <w:spacing w:line="380" w:lineRule="exact"/>
        <w:jc w:val="center"/>
        <w:rPr>
          <w:rFonts w:ascii="宋体" w:hAnsi="宋体" w:cs="宋体"/>
          <w:b/>
          <w:color w:val="auto"/>
          <w:sz w:val="32"/>
          <w:szCs w:val="32"/>
          <w:highlight w:val="none"/>
        </w:rPr>
      </w:pPr>
    </w:p>
    <w:p>
      <w:pPr>
        <w:tabs>
          <w:tab w:val="left" w:pos="1069"/>
          <w:tab w:val="left" w:pos="2352"/>
        </w:tabs>
        <w:snapToGrid w:val="0"/>
        <w:spacing w:line="380" w:lineRule="exact"/>
        <w:jc w:val="center"/>
        <w:rPr>
          <w:rFonts w:ascii="宋体" w:hAnsi="宋体" w:cs="宋体"/>
          <w:b/>
          <w:color w:val="auto"/>
          <w:sz w:val="32"/>
          <w:szCs w:val="32"/>
          <w:highlight w:val="none"/>
        </w:rPr>
      </w:pPr>
    </w:p>
    <w:p>
      <w:pPr>
        <w:tabs>
          <w:tab w:val="left" w:pos="1069"/>
          <w:tab w:val="left" w:pos="2352"/>
        </w:tabs>
        <w:snapToGrid w:val="0"/>
        <w:spacing w:line="380" w:lineRule="exact"/>
        <w:jc w:val="center"/>
        <w:rPr>
          <w:rFonts w:ascii="宋体" w:hAnsi="宋体" w:cs="宋体"/>
          <w:b/>
          <w:color w:val="auto"/>
          <w:sz w:val="32"/>
          <w:szCs w:val="32"/>
          <w:highlight w:val="none"/>
        </w:rPr>
      </w:pPr>
    </w:p>
    <w:p>
      <w:pPr>
        <w:tabs>
          <w:tab w:val="left" w:pos="1069"/>
          <w:tab w:val="left" w:pos="2352"/>
        </w:tabs>
        <w:snapToGrid w:val="0"/>
        <w:spacing w:line="380" w:lineRule="exact"/>
        <w:jc w:val="center"/>
        <w:rPr>
          <w:rFonts w:ascii="宋体" w:hAnsi="宋体" w:cs="宋体"/>
          <w:b/>
          <w:bCs/>
          <w:color w:val="auto"/>
          <w:sz w:val="28"/>
          <w:szCs w:val="28"/>
          <w:highlight w:val="none"/>
        </w:rPr>
      </w:pPr>
      <w:r>
        <w:rPr>
          <w:rFonts w:hint="eastAsia" w:ascii="宋体" w:hAnsi="宋体" w:cs="宋体"/>
          <w:b/>
          <w:color w:val="auto"/>
          <w:sz w:val="32"/>
          <w:szCs w:val="32"/>
          <w:highlight w:val="none"/>
        </w:rPr>
        <w:t>第五部分、合同格式</w:t>
      </w:r>
      <w:bookmarkEnd w:id="66"/>
      <w:bookmarkStart w:id="69" w:name="_Toc11700_WPSOffice_Level1"/>
    </w:p>
    <w:p>
      <w:pPr>
        <w:tabs>
          <w:tab w:val="left" w:pos="1069"/>
          <w:tab w:val="left" w:pos="2352"/>
        </w:tabs>
        <w:spacing w:line="460" w:lineRule="exact"/>
        <w:rPr>
          <w:rFonts w:ascii="宋体"/>
          <w:color w:val="auto"/>
          <w:sz w:val="22"/>
          <w:highlight w:val="none"/>
        </w:rPr>
      </w:pPr>
      <w:r>
        <w:rPr>
          <w:rFonts w:hint="eastAsia" w:ascii="宋体"/>
          <w:color w:val="auto"/>
          <w:sz w:val="22"/>
          <w:highlight w:val="none"/>
        </w:rPr>
        <w:t>甲方（采购人）：</w:t>
      </w:r>
      <w:r>
        <w:rPr>
          <w:rFonts w:hint="eastAsia" w:ascii="宋体"/>
          <w:color w:val="auto"/>
          <w:sz w:val="22"/>
          <w:highlight w:val="none"/>
          <w:u w:val="single"/>
        </w:rPr>
        <w:t xml:space="preserve">           </w:t>
      </w:r>
      <w:r>
        <w:rPr>
          <w:rFonts w:ascii="宋体"/>
          <w:color w:val="auto"/>
          <w:sz w:val="22"/>
          <w:highlight w:val="none"/>
        </w:rPr>
        <w:t xml:space="preserve"> </w:t>
      </w:r>
    </w:p>
    <w:p>
      <w:pPr>
        <w:tabs>
          <w:tab w:val="left" w:pos="1069"/>
          <w:tab w:val="left" w:pos="2352"/>
        </w:tabs>
        <w:spacing w:line="460" w:lineRule="exact"/>
        <w:rPr>
          <w:rFonts w:ascii="宋体"/>
          <w:color w:val="auto"/>
          <w:sz w:val="22"/>
          <w:highlight w:val="none"/>
        </w:rPr>
      </w:pPr>
      <w:r>
        <w:rPr>
          <w:rFonts w:hint="eastAsia" w:ascii="宋体"/>
          <w:color w:val="auto"/>
          <w:sz w:val="22"/>
          <w:highlight w:val="none"/>
        </w:rPr>
        <w:t>乙方（中标单位）：</w:t>
      </w:r>
      <w:r>
        <w:rPr>
          <w:rFonts w:ascii="宋体"/>
          <w:color w:val="auto"/>
          <w:sz w:val="22"/>
          <w:highlight w:val="none"/>
        </w:rPr>
        <w:t xml:space="preserve"> </w:t>
      </w:r>
      <w:r>
        <w:rPr>
          <w:rFonts w:hint="eastAsia" w:ascii="宋体"/>
          <w:color w:val="auto"/>
          <w:sz w:val="22"/>
          <w:highlight w:val="none"/>
          <w:u w:val="single"/>
        </w:rPr>
        <w:t xml:space="preserve">           </w:t>
      </w:r>
      <w:r>
        <w:rPr>
          <w:rFonts w:ascii="宋体"/>
          <w:color w:val="auto"/>
          <w:sz w:val="22"/>
          <w:highlight w:val="none"/>
        </w:rPr>
        <w:t xml:space="preserve"> </w:t>
      </w:r>
    </w:p>
    <w:p>
      <w:pPr>
        <w:tabs>
          <w:tab w:val="left" w:pos="1069"/>
          <w:tab w:val="left" w:pos="2352"/>
        </w:tabs>
        <w:snapToGrid w:val="0"/>
        <w:spacing w:line="400" w:lineRule="exact"/>
        <w:ind w:firstLine="446" w:firstLineChars="200"/>
        <w:rPr>
          <w:rFonts w:ascii="宋体" w:hAnsi="宋体" w:cs="宋体"/>
          <w:bCs/>
          <w:color w:val="auto"/>
          <w:sz w:val="22"/>
          <w:highlight w:val="none"/>
        </w:rPr>
      </w:pPr>
      <w:r>
        <w:rPr>
          <w:rFonts w:hint="eastAsia" w:ascii="宋体" w:hAnsi="宋体" w:cs="宋体"/>
          <w:bCs/>
          <w:color w:val="auto"/>
          <w:sz w:val="22"/>
          <w:highlight w:val="none"/>
        </w:rPr>
        <w:t>甲、乙双方根据</w:t>
      </w:r>
      <w:r>
        <w:rPr>
          <w:rFonts w:hint="eastAsia" w:ascii="宋体" w:hAnsi="宋体" w:cs="宋体"/>
          <w:bCs/>
          <w:color w:val="auto"/>
          <w:sz w:val="22"/>
          <w:highlight w:val="none"/>
          <w:u w:val="single"/>
        </w:rPr>
        <w:t>泰顺县集体土地所有权确权登记成果更新（项目编号：TSCG202207022）公开</w:t>
      </w:r>
      <w:r>
        <w:rPr>
          <w:rFonts w:hint="eastAsia" w:ascii="宋体" w:hAnsi="宋体" w:cs="宋体"/>
          <w:bCs/>
          <w:color w:val="auto"/>
          <w:sz w:val="22"/>
          <w:highlight w:val="none"/>
        </w:rPr>
        <w:t>招标采购结果，签订此合同。</w:t>
      </w:r>
    </w:p>
    <w:p>
      <w:pPr>
        <w:tabs>
          <w:tab w:val="left" w:pos="1069"/>
          <w:tab w:val="left" w:pos="2352"/>
        </w:tabs>
        <w:snapToGrid w:val="0"/>
        <w:spacing w:line="400" w:lineRule="exact"/>
        <w:ind w:firstLine="446" w:firstLineChars="200"/>
        <w:rPr>
          <w:rFonts w:ascii="宋体" w:hAnsi="宋体" w:cs="宋体"/>
          <w:b/>
          <w:color w:val="auto"/>
          <w:sz w:val="22"/>
          <w:highlight w:val="none"/>
        </w:rPr>
      </w:pPr>
      <w:r>
        <w:rPr>
          <w:rFonts w:hint="eastAsia" w:ascii="宋体" w:hAnsi="宋体" w:cs="宋体"/>
          <w:b/>
          <w:color w:val="auto"/>
          <w:sz w:val="22"/>
          <w:highlight w:val="none"/>
        </w:rPr>
        <w:t>一、合同内容</w:t>
      </w:r>
    </w:p>
    <w:p>
      <w:pPr>
        <w:tabs>
          <w:tab w:val="left" w:pos="1069"/>
          <w:tab w:val="left" w:pos="2352"/>
        </w:tabs>
        <w:snapToGrid w:val="0"/>
        <w:spacing w:line="400" w:lineRule="exact"/>
        <w:ind w:firstLine="446" w:firstLineChars="200"/>
        <w:rPr>
          <w:rFonts w:ascii="宋体" w:hAnsi="宋体" w:cs="宋体"/>
          <w:bCs/>
          <w:color w:val="auto"/>
          <w:sz w:val="22"/>
          <w:highlight w:val="none"/>
        </w:rPr>
      </w:pPr>
      <w:r>
        <w:rPr>
          <w:rFonts w:hint="eastAsia" w:ascii="宋体" w:hAnsi="宋体" w:cs="宋体"/>
          <w:bCs/>
          <w:color w:val="auto"/>
          <w:sz w:val="22"/>
          <w:highlight w:val="none"/>
        </w:rPr>
        <w:t>1.集体土地所有权确权登记成果整理入库</w:t>
      </w:r>
    </w:p>
    <w:p>
      <w:pPr>
        <w:tabs>
          <w:tab w:val="left" w:pos="1069"/>
          <w:tab w:val="left" w:pos="2352"/>
        </w:tabs>
        <w:snapToGrid w:val="0"/>
        <w:spacing w:line="400" w:lineRule="exact"/>
        <w:ind w:firstLine="446" w:firstLineChars="200"/>
        <w:rPr>
          <w:rFonts w:ascii="宋体" w:hAnsi="宋体" w:cs="宋体"/>
          <w:bCs/>
          <w:color w:val="auto"/>
          <w:sz w:val="22"/>
          <w:highlight w:val="none"/>
        </w:rPr>
      </w:pPr>
      <w:r>
        <w:rPr>
          <w:rFonts w:hint="eastAsia" w:ascii="宋体" w:hAnsi="宋体" w:cs="宋体"/>
          <w:bCs/>
          <w:color w:val="auto"/>
          <w:sz w:val="22"/>
          <w:highlight w:val="none"/>
        </w:rPr>
        <w:t>在全面进行数据收集、数据分析的基础上，按照《不动产登记数据库标准》等技术规范要求，通过对现有集体土地所有权确权登记成果进行数据对照、数据标准化转换、数据质量检查、数据入库等工作，纳入不动产登记数据库，形成集体土地所有权地籍图。</w:t>
      </w:r>
    </w:p>
    <w:p>
      <w:pPr>
        <w:tabs>
          <w:tab w:val="left" w:pos="1069"/>
          <w:tab w:val="left" w:pos="2352"/>
        </w:tabs>
        <w:snapToGrid w:val="0"/>
        <w:spacing w:line="400" w:lineRule="exact"/>
        <w:ind w:firstLine="446" w:firstLineChars="200"/>
        <w:rPr>
          <w:rFonts w:ascii="宋体" w:hAnsi="宋体" w:cs="宋体"/>
          <w:bCs/>
          <w:color w:val="auto"/>
          <w:sz w:val="22"/>
          <w:highlight w:val="none"/>
        </w:rPr>
      </w:pPr>
      <w:r>
        <w:rPr>
          <w:rFonts w:hint="eastAsia" w:ascii="宋体" w:hAnsi="宋体" w:cs="宋体"/>
          <w:bCs/>
          <w:color w:val="auto"/>
          <w:sz w:val="22"/>
          <w:highlight w:val="none"/>
        </w:rPr>
        <w:t>2.集体土地所有权数据整合</w:t>
      </w:r>
    </w:p>
    <w:p>
      <w:pPr>
        <w:tabs>
          <w:tab w:val="left" w:pos="1069"/>
          <w:tab w:val="left" w:pos="2352"/>
        </w:tabs>
        <w:snapToGrid w:val="0"/>
        <w:spacing w:line="400" w:lineRule="exact"/>
        <w:ind w:firstLine="446" w:firstLineChars="200"/>
        <w:rPr>
          <w:rFonts w:ascii="宋体" w:hAnsi="宋体" w:cs="宋体"/>
          <w:bCs/>
          <w:color w:val="auto"/>
          <w:sz w:val="22"/>
          <w:highlight w:val="none"/>
        </w:rPr>
      </w:pPr>
      <w:r>
        <w:rPr>
          <w:rFonts w:hint="eastAsia" w:ascii="宋体" w:hAnsi="宋体" w:cs="宋体"/>
          <w:bCs/>
          <w:color w:val="auto"/>
          <w:sz w:val="22"/>
          <w:highlight w:val="none"/>
        </w:rPr>
        <w:t>对于集体土地所有权的确权登记成果数据已建库的，要完成信息补充采集工作、数据清理工作、不动产单元代码编制工作、数据整合关联工作。不动产登记数据库要做好与同级国土空间基础信息平台和国土空间规划“一张图”关联、衔接。</w:t>
      </w:r>
    </w:p>
    <w:p>
      <w:pPr>
        <w:tabs>
          <w:tab w:val="left" w:pos="1069"/>
          <w:tab w:val="left" w:pos="2352"/>
        </w:tabs>
        <w:snapToGrid w:val="0"/>
        <w:spacing w:line="400" w:lineRule="exact"/>
        <w:ind w:firstLine="446" w:firstLineChars="200"/>
        <w:rPr>
          <w:rFonts w:ascii="宋体" w:hAnsi="宋体" w:cs="宋体"/>
          <w:bCs/>
          <w:color w:val="auto"/>
          <w:sz w:val="22"/>
          <w:highlight w:val="none"/>
        </w:rPr>
      </w:pPr>
      <w:r>
        <w:rPr>
          <w:rFonts w:hint="eastAsia" w:ascii="宋体" w:hAnsi="宋体" w:cs="宋体"/>
          <w:bCs/>
          <w:color w:val="auto"/>
          <w:sz w:val="22"/>
          <w:highlight w:val="none"/>
        </w:rPr>
        <w:t>3.（不动产）集体土地所有权登记管理模块部署培训维护</w:t>
      </w:r>
    </w:p>
    <w:p>
      <w:pPr>
        <w:tabs>
          <w:tab w:val="left" w:pos="1069"/>
          <w:tab w:val="left" w:pos="2352"/>
        </w:tabs>
        <w:snapToGrid w:val="0"/>
        <w:spacing w:line="400" w:lineRule="exact"/>
        <w:ind w:firstLine="446" w:firstLineChars="200"/>
        <w:rPr>
          <w:rFonts w:ascii="宋体" w:hAnsi="宋体" w:cs="宋体"/>
          <w:bCs/>
          <w:color w:val="auto"/>
          <w:sz w:val="22"/>
          <w:highlight w:val="none"/>
        </w:rPr>
      </w:pPr>
      <w:r>
        <w:rPr>
          <w:rFonts w:hint="eastAsia" w:ascii="宋体" w:hAnsi="宋体" w:cs="宋体"/>
          <w:bCs/>
          <w:color w:val="auto"/>
          <w:sz w:val="22"/>
          <w:highlight w:val="none"/>
        </w:rPr>
        <w:t>根据市级统一部署，（不动产）集体土地所有权登记管理模块开发由市里统一开发，本次需完成（不动产）集体土地所有权登记管理模块的部署培训以及后期维护工作（3年），包含（不动产）集体土地所有权登记管理模块（权调）、（不动产）集体土地所有权登记管理模块（登记）、（不动产）集体土地所有权登记管理模块（档案）、（不动产）集体土地所有权登记管理模块（汇交监管）；</w:t>
      </w:r>
    </w:p>
    <w:p>
      <w:pPr>
        <w:tabs>
          <w:tab w:val="left" w:pos="1069"/>
          <w:tab w:val="left" w:pos="2352"/>
        </w:tabs>
        <w:snapToGrid w:val="0"/>
        <w:spacing w:line="400" w:lineRule="exact"/>
        <w:ind w:firstLine="446" w:firstLineChars="200"/>
        <w:rPr>
          <w:rFonts w:ascii="宋体" w:hAnsi="宋体" w:cs="宋体"/>
          <w:bCs/>
          <w:color w:val="auto"/>
          <w:sz w:val="22"/>
          <w:highlight w:val="none"/>
        </w:rPr>
      </w:pPr>
      <w:r>
        <w:rPr>
          <w:rFonts w:hint="eastAsia" w:ascii="宋体" w:hAnsi="宋体" w:cs="宋体"/>
          <w:bCs/>
          <w:color w:val="auto"/>
          <w:sz w:val="22"/>
          <w:highlight w:val="none"/>
        </w:rPr>
        <w:t>4.集中更新集体土地所有权确权登记成果</w:t>
      </w:r>
    </w:p>
    <w:p>
      <w:pPr>
        <w:tabs>
          <w:tab w:val="left" w:pos="1069"/>
          <w:tab w:val="left" w:pos="2352"/>
        </w:tabs>
        <w:snapToGrid w:val="0"/>
        <w:spacing w:line="400" w:lineRule="exact"/>
        <w:ind w:firstLine="446" w:firstLineChars="200"/>
        <w:rPr>
          <w:rFonts w:ascii="宋体" w:hAnsi="宋体" w:cs="宋体"/>
          <w:bCs/>
          <w:color w:val="auto"/>
          <w:sz w:val="22"/>
          <w:highlight w:val="none"/>
        </w:rPr>
      </w:pPr>
      <w:r>
        <w:rPr>
          <w:rFonts w:hint="eastAsia" w:ascii="宋体" w:hAnsi="宋体" w:cs="宋体"/>
          <w:bCs/>
          <w:color w:val="auto"/>
          <w:sz w:val="22"/>
          <w:highlight w:val="none"/>
        </w:rPr>
        <w:t>通过内外业结合的方式，采集集体土地所有权数据并形成标准化成果，实现对未办理相应注销、变更等登记手续，未及时更新登记成果等增量数据的更新。</w:t>
      </w:r>
    </w:p>
    <w:p>
      <w:pPr>
        <w:tabs>
          <w:tab w:val="left" w:pos="1069"/>
          <w:tab w:val="left" w:pos="2352"/>
        </w:tabs>
        <w:snapToGrid w:val="0"/>
        <w:spacing w:line="400" w:lineRule="exact"/>
        <w:ind w:firstLine="446" w:firstLineChars="200"/>
        <w:rPr>
          <w:rFonts w:ascii="宋体" w:hAnsi="宋体" w:cs="宋体"/>
          <w:bCs/>
          <w:color w:val="auto"/>
          <w:sz w:val="22"/>
          <w:highlight w:val="none"/>
        </w:rPr>
      </w:pPr>
      <w:r>
        <w:rPr>
          <w:rFonts w:hint="eastAsia" w:ascii="宋体" w:hAnsi="宋体" w:cs="宋体"/>
          <w:bCs/>
          <w:color w:val="auto"/>
          <w:sz w:val="22"/>
          <w:highlight w:val="none"/>
        </w:rPr>
        <w:t>对于因征收导致全部或部分集体土地所有权消灭的，因农民集体因互换、土地调整等原因导致集体土地所有权转移的，因农民集体合并或撤销、行政区划调整等导致集体土地所有权、农民集体名称或代码发生变化的，以及因测绘精度等原因造成集体土地与国有土地、其他集体土地所有权重叠的四大类所有权发生变化的，须在本次建设中做好数据的集中更新。</w:t>
      </w:r>
    </w:p>
    <w:p>
      <w:pPr>
        <w:tabs>
          <w:tab w:val="left" w:pos="1069"/>
          <w:tab w:val="left" w:pos="2352"/>
        </w:tabs>
        <w:snapToGrid w:val="0"/>
        <w:spacing w:line="400" w:lineRule="exact"/>
        <w:ind w:firstLine="446" w:firstLineChars="200"/>
        <w:rPr>
          <w:rFonts w:ascii="宋体" w:hAnsi="宋体" w:cs="宋体"/>
          <w:bCs/>
          <w:color w:val="auto"/>
          <w:sz w:val="22"/>
          <w:highlight w:val="none"/>
        </w:rPr>
      </w:pPr>
      <w:r>
        <w:rPr>
          <w:rFonts w:hint="eastAsia" w:ascii="宋体" w:hAnsi="宋体" w:cs="宋体"/>
          <w:bCs/>
          <w:color w:val="auto"/>
          <w:sz w:val="22"/>
          <w:highlight w:val="none"/>
        </w:rPr>
        <w:t>5.配合登记发证</w:t>
      </w:r>
    </w:p>
    <w:p>
      <w:pPr>
        <w:tabs>
          <w:tab w:val="left" w:pos="1069"/>
          <w:tab w:val="left" w:pos="2352"/>
        </w:tabs>
        <w:snapToGrid w:val="0"/>
        <w:spacing w:line="400" w:lineRule="exact"/>
        <w:ind w:firstLine="446" w:firstLineChars="200"/>
        <w:rPr>
          <w:rFonts w:ascii="宋体" w:hAnsi="宋体" w:cs="宋体"/>
          <w:bCs/>
          <w:color w:val="auto"/>
          <w:sz w:val="22"/>
          <w:highlight w:val="none"/>
        </w:rPr>
      </w:pPr>
      <w:r>
        <w:rPr>
          <w:rFonts w:hint="eastAsia" w:ascii="宋体" w:hAnsi="宋体" w:cs="宋体"/>
          <w:bCs/>
          <w:color w:val="auto"/>
          <w:sz w:val="22"/>
          <w:highlight w:val="none"/>
        </w:rPr>
        <w:t>对于权属发生变化的部分，需补充土地权属界线协议书等相关材料，对接修改后，完成权属审核和确权登记发证工作。因地类图斑调整的宗地不重新编制协议书和公示图。由村民组农民集体经济组织(或村民小组)及其法定代表人或委托人提出登记申请，依据《土地管理法》、《不动产登记暂行条例》、《不动产登记实施细则》等相关法律法规，将农村集体土地所有权确认到每个具有所有权的农民集体，颁发所有权证书。</w:t>
      </w:r>
    </w:p>
    <w:p>
      <w:pPr>
        <w:tabs>
          <w:tab w:val="left" w:pos="1069"/>
          <w:tab w:val="left" w:pos="2352"/>
        </w:tabs>
        <w:snapToGrid w:val="0"/>
        <w:spacing w:line="400" w:lineRule="exact"/>
        <w:ind w:firstLine="446" w:firstLineChars="200"/>
        <w:rPr>
          <w:rFonts w:ascii="宋体" w:hAnsi="宋体" w:cs="宋体"/>
          <w:bCs/>
          <w:color w:val="auto"/>
          <w:sz w:val="22"/>
          <w:highlight w:val="none"/>
        </w:rPr>
      </w:pPr>
      <w:r>
        <w:rPr>
          <w:rFonts w:hint="eastAsia" w:ascii="宋体" w:hAnsi="宋体" w:cs="宋体"/>
          <w:bCs/>
          <w:color w:val="auto"/>
          <w:sz w:val="22"/>
          <w:highlight w:val="none"/>
        </w:rPr>
        <w:t>6.完成登记档案归档及数字化工作</w:t>
      </w:r>
    </w:p>
    <w:p>
      <w:pPr>
        <w:tabs>
          <w:tab w:val="left" w:pos="1069"/>
          <w:tab w:val="left" w:pos="2352"/>
        </w:tabs>
        <w:snapToGrid w:val="0"/>
        <w:spacing w:line="400" w:lineRule="exact"/>
        <w:ind w:firstLine="446" w:firstLineChars="200"/>
        <w:rPr>
          <w:rFonts w:ascii="宋体" w:hAnsi="宋体" w:cs="宋体"/>
          <w:bCs/>
          <w:color w:val="auto"/>
          <w:sz w:val="22"/>
          <w:highlight w:val="none"/>
        </w:rPr>
      </w:pPr>
      <w:r>
        <w:rPr>
          <w:rFonts w:hint="eastAsia" w:ascii="宋体" w:hAnsi="宋体" w:cs="宋体"/>
          <w:bCs/>
          <w:color w:val="auto"/>
          <w:sz w:val="22"/>
          <w:highlight w:val="none"/>
        </w:rPr>
        <w:t>对前期工作中形成的各类纸质档案（含登记档案）进行整理、打印和粘贴条码，包括填写立卷信息；敲页码；填写并打印封面、卷内目录、备考表、打孔和装订等，完成档案资料归档工作。根据采购方档案管理及数字化档案相关要求进行归档及数字化，建立规范化纸质及数字档案成果库。</w:t>
      </w:r>
    </w:p>
    <w:p>
      <w:pPr>
        <w:tabs>
          <w:tab w:val="left" w:pos="1069"/>
          <w:tab w:val="left" w:pos="2352"/>
        </w:tabs>
        <w:snapToGrid w:val="0"/>
        <w:spacing w:line="400" w:lineRule="exact"/>
        <w:ind w:firstLine="446" w:firstLineChars="200"/>
        <w:rPr>
          <w:rFonts w:ascii="宋体" w:hAnsi="宋体" w:cs="宋体"/>
          <w:bCs/>
          <w:color w:val="auto"/>
          <w:sz w:val="22"/>
          <w:highlight w:val="none"/>
        </w:rPr>
      </w:pPr>
      <w:r>
        <w:rPr>
          <w:rFonts w:hint="eastAsia" w:ascii="宋体" w:hAnsi="宋体" w:cs="宋体"/>
          <w:bCs/>
          <w:color w:val="auto"/>
          <w:sz w:val="22"/>
          <w:highlight w:val="none"/>
        </w:rPr>
        <w:t>7.统一汇交集体土地所有权确权登记成果</w:t>
      </w:r>
    </w:p>
    <w:p>
      <w:pPr>
        <w:tabs>
          <w:tab w:val="left" w:pos="1069"/>
          <w:tab w:val="left" w:pos="2352"/>
        </w:tabs>
        <w:snapToGrid w:val="0"/>
        <w:spacing w:line="400" w:lineRule="exact"/>
        <w:ind w:firstLine="446" w:firstLineChars="200"/>
        <w:rPr>
          <w:rFonts w:ascii="宋体" w:hAnsi="宋体" w:cs="宋体"/>
          <w:bCs/>
          <w:color w:val="auto"/>
          <w:sz w:val="22"/>
          <w:highlight w:val="none"/>
        </w:rPr>
      </w:pPr>
      <w:r>
        <w:rPr>
          <w:rFonts w:hint="eastAsia" w:ascii="宋体" w:hAnsi="宋体" w:cs="宋体"/>
          <w:bCs/>
          <w:color w:val="auto"/>
          <w:sz w:val="22"/>
          <w:highlight w:val="none"/>
        </w:rPr>
        <w:t>要求以县级为单位，实现集体土地所有权确权登记成果和地籍图更新数据的逐一汇交上报。</w:t>
      </w:r>
    </w:p>
    <w:p>
      <w:pPr>
        <w:tabs>
          <w:tab w:val="left" w:pos="1069"/>
          <w:tab w:val="left" w:pos="2352"/>
        </w:tabs>
        <w:snapToGrid w:val="0"/>
        <w:spacing w:line="400" w:lineRule="exact"/>
        <w:rPr>
          <w:rFonts w:ascii="宋体" w:hAnsi="宋体" w:cs="宋体"/>
          <w:b/>
          <w:color w:val="auto"/>
          <w:sz w:val="22"/>
          <w:highlight w:val="none"/>
        </w:rPr>
      </w:pPr>
      <w:r>
        <w:rPr>
          <w:rFonts w:hint="eastAsia" w:ascii="宋体" w:hAnsi="宋体" w:cs="宋体"/>
          <w:bCs/>
          <w:color w:val="auto"/>
          <w:sz w:val="22"/>
          <w:highlight w:val="none"/>
        </w:rPr>
        <w:t xml:space="preserve">  </w:t>
      </w:r>
      <w:r>
        <w:rPr>
          <w:rFonts w:hint="eastAsia" w:ascii="宋体" w:hAnsi="宋体" w:cs="宋体"/>
          <w:b/>
          <w:color w:val="auto"/>
          <w:sz w:val="22"/>
          <w:highlight w:val="none"/>
        </w:rPr>
        <w:t xml:space="preserve"> 二、合同金额</w:t>
      </w:r>
    </w:p>
    <w:p>
      <w:pPr>
        <w:tabs>
          <w:tab w:val="left" w:pos="1069"/>
          <w:tab w:val="left" w:pos="2352"/>
        </w:tabs>
        <w:snapToGrid w:val="0"/>
        <w:spacing w:line="400" w:lineRule="exact"/>
        <w:rPr>
          <w:rFonts w:ascii="宋体" w:hAnsi="宋体" w:cs="宋体"/>
          <w:bCs/>
          <w:color w:val="auto"/>
          <w:sz w:val="22"/>
          <w:highlight w:val="none"/>
        </w:rPr>
      </w:pPr>
      <w:r>
        <w:rPr>
          <w:rFonts w:hint="eastAsia" w:ascii="宋体" w:hAnsi="宋体" w:cs="宋体"/>
          <w:bCs/>
          <w:color w:val="auto"/>
          <w:sz w:val="22"/>
          <w:highlight w:val="none"/>
        </w:rPr>
        <w:t xml:space="preserve">   1.合同金额：</w:t>
      </w:r>
    </w:p>
    <w:p>
      <w:pPr>
        <w:tabs>
          <w:tab w:val="left" w:pos="1060"/>
          <w:tab w:val="left" w:pos="1069"/>
          <w:tab w:val="left" w:pos="2352"/>
        </w:tabs>
        <w:spacing w:line="400" w:lineRule="exact"/>
        <w:ind w:firstLine="446" w:firstLineChars="200"/>
        <w:rPr>
          <w:rFonts w:ascii="宋体" w:hAnsi="宋体" w:cs="宋体"/>
          <w:bCs/>
          <w:color w:val="auto"/>
          <w:sz w:val="22"/>
          <w:highlight w:val="none"/>
          <w:u w:val="single"/>
        </w:rPr>
      </w:pPr>
      <w:r>
        <w:rPr>
          <w:rFonts w:hint="eastAsia" w:ascii="宋体" w:hAnsi="宋体" w:cs="宋体"/>
          <w:bCs/>
          <w:color w:val="auto"/>
          <w:sz w:val="22"/>
          <w:highlight w:val="none"/>
        </w:rPr>
        <w:t>合同总价：</w:t>
      </w:r>
      <w:r>
        <w:rPr>
          <w:rFonts w:hint="eastAsia" w:ascii="宋体" w:hAnsi="宋体" w:cs="宋体"/>
          <w:bCs/>
          <w:color w:val="auto"/>
          <w:sz w:val="22"/>
          <w:highlight w:val="none"/>
          <w:u w:val="single"/>
        </w:rPr>
        <w:t>人民币（大写）        元整（￥      ）。</w:t>
      </w:r>
    </w:p>
    <w:p>
      <w:pPr>
        <w:tabs>
          <w:tab w:val="left" w:pos="1069"/>
          <w:tab w:val="left" w:pos="2352"/>
        </w:tabs>
        <w:spacing w:line="400" w:lineRule="exact"/>
        <w:ind w:firstLine="446" w:firstLineChars="200"/>
        <w:rPr>
          <w:rFonts w:ascii="宋体" w:hAnsi="宋体" w:cs="宋体"/>
          <w:bCs/>
          <w:color w:val="auto"/>
          <w:sz w:val="22"/>
          <w:highlight w:val="none"/>
        </w:rPr>
      </w:pPr>
      <w:r>
        <w:rPr>
          <w:rFonts w:hint="eastAsia" w:ascii="宋体" w:hAnsi="宋体" w:cs="宋体"/>
          <w:bCs/>
          <w:color w:val="auto"/>
          <w:sz w:val="22"/>
          <w:highlight w:val="none"/>
        </w:rPr>
        <w:t>合同金额己包含因采购本项目所需服务而产生的全部费用和税费、合理理利润、验收费用以及采购需求未提及但完成本项目所需服务必不可少的费用。</w:t>
      </w:r>
    </w:p>
    <w:p>
      <w:pPr>
        <w:tabs>
          <w:tab w:val="left" w:pos="1069"/>
          <w:tab w:val="left" w:pos="2352"/>
        </w:tabs>
        <w:spacing w:line="400" w:lineRule="exact"/>
        <w:ind w:firstLine="446" w:firstLineChars="200"/>
        <w:rPr>
          <w:rFonts w:ascii="宋体" w:hAnsi="宋体" w:cs="宋体"/>
          <w:b/>
          <w:color w:val="auto"/>
          <w:sz w:val="22"/>
          <w:highlight w:val="none"/>
        </w:rPr>
      </w:pPr>
      <w:r>
        <w:rPr>
          <w:rFonts w:hint="eastAsia" w:ascii="宋体" w:hAnsi="宋体" w:cs="宋体"/>
          <w:b/>
          <w:color w:val="auto"/>
          <w:sz w:val="22"/>
          <w:highlight w:val="none"/>
        </w:rPr>
        <w:t>三、成果提交</w:t>
      </w:r>
    </w:p>
    <w:p>
      <w:pPr>
        <w:tabs>
          <w:tab w:val="left" w:pos="1069"/>
          <w:tab w:val="left" w:pos="2352"/>
        </w:tabs>
        <w:spacing w:line="400" w:lineRule="exact"/>
        <w:ind w:firstLine="446" w:firstLineChars="200"/>
        <w:rPr>
          <w:rFonts w:ascii="宋体" w:hAnsi="宋体" w:cs="宋体"/>
          <w:bCs/>
          <w:color w:val="auto"/>
          <w:sz w:val="22"/>
          <w:highlight w:val="none"/>
        </w:rPr>
      </w:pPr>
      <w:r>
        <w:rPr>
          <w:rFonts w:hint="eastAsia" w:ascii="宋体" w:hAnsi="宋体" w:cs="宋体"/>
          <w:bCs/>
          <w:color w:val="auto"/>
          <w:sz w:val="22"/>
          <w:highlight w:val="none"/>
        </w:rPr>
        <w:t>1．乙方应按采购文件规定的时间向甲方提供下列预期成果：</w:t>
      </w:r>
    </w:p>
    <w:p>
      <w:pPr>
        <w:spacing w:line="400" w:lineRule="exact"/>
        <w:ind w:firstLine="446" w:firstLineChars="200"/>
        <w:rPr>
          <w:rFonts w:ascii="宋体" w:hAnsi="宋体" w:cs="宋体"/>
          <w:b/>
          <w:bCs/>
          <w:color w:val="auto"/>
          <w:sz w:val="22"/>
          <w:highlight w:val="none"/>
        </w:rPr>
      </w:pPr>
      <w:r>
        <w:rPr>
          <w:rFonts w:hint="eastAsia" w:ascii="宋体" w:hAnsi="宋体" w:cs="宋体"/>
          <w:b/>
          <w:bCs/>
          <w:color w:val="auto"/>
          <w:sz w:val="22"/>
          <w:highlight w:val="none"/>
        </w:rPr>
        <w:t>四、成果报告</w:t>
      </w:r>
    </w:p>
    <w:p>
      <w:pPr>
        <w:tabs>
          <w:tab w:val="left" w:pos="1069"/>
          <w:tab w:val="left" w:pos="2352"/>
        </w:tabs>
        <w:spacing w:line="400" w:lineRule="exact"/>
        <w:ind w:firstLine="446" w:firstLineChars="200"/>
        <w:rPr>
          <w:rFonts w:ascii="宋体" w:hAnsi="宋体" w:cs="宋体"/>
          <w:bCs/>
          <w:color w:val="auto"/>
          <w:sz w:val="22"/>
          <w:highlight w:val="none"/>
        </w:rPr>
      </w:pPr>
      <w:r>
        <w:rPr>
          <w:rFonts w:hint="eastAsia" w:ascii="宋体" w:hAnsi="宋体" w:cs="宋体"/>
          <w:bCs/>
          <w:color w:val="auto"/>
          <w:sz w:val="22"/>
          <w:highlight w:val="none"/>
        </w:rPr>
        <w:t>1.成果主要有数据库成果、文档成果和元数据成果。</w:t>
      </w:r>
    </w:p>
    <w:p>
      <w:pPr>
        <w:tabs>
          <w:tab w:val="left" w:pos="1069"/>
          <w:tab w:val="left" w:pos="2352"/>
        </w:tabs>
        <w:spacing w:line="400" w:lineRule="exact"/>
        <w:ind w:firstLine="446" w:firstLineChars="200"/>
        <w:rPr>
          <w:rFonts w:ascii="宋体" w:hAnsi="宋体" w:cs="宋体"/>
          <w:bCs/>
          <w:color w:val="auto"/>
          <w:sz w:val="22"/>
          <w:highlight w:val="none"/>
        </w:rPr>
      </w:pPr>
      <w:r>
        <w:rPr>
          <w:rFonts w:hint="eastAsia" w:ascii="宋体" w:hAnsi="宋体" w:cs="宋体"/>
          <w:bCs/>
          <w:color w:val="auto"/>
          <w:sz w:val="22"/>
          <w:highlight w:val="none"/>
        </w:rPr>
        <w:t>（1）数据库成果</w:t>
      </w:r>
    </w:p>
    <w:p>
      <w:pPr>
        <w:tabs>
          <w:tab w:val="left" w:pos="1069"/>
          <w:tab w:val="left" w:pos="2352"/>
        </w:tabs>
        <w:spacing w:line="400" w:lineRule="exact"/>
        <w:ind w:firstLine="446" w:firstLineChars="200"/>
        <w:rPr>
          <w:rFonts w:ascii="宋体" w:hAnsi="宋体" w:cs="宋体"/>
          <w:bCs/>
          <w:color w:val="auto"/>
          <w:sz w:val="22"/>
          <w:highlight w:val="none"/>
        </w:rPr>
      </w:pPr>
      <w:r>
        <w:rPr>
          <w:rFonts w:hint="eastAsia" w:ascii="宋体" w:hAnsi="宋体" w:cs="宋体"/>
          <w:bCs/>
          <w:color w:val="auto"/>
          <w:sz w:val="22"/>
          <w:highlight w:val="none"/>
        </w:rPr>
        <w:t>农村集体土地所有权确权登记成果更新数据库</w:t>
      </w:r>
    </w:p>
    <w:p>
      <w:pPr>
        <w:tabs>
          <w:tab w:val="left" w:pos="1069"/>
          <w:tab w:val="left" w:pos="2352"/>
        </w:tabs>
        <w:spacing w:line="400" w:lineRule="exact"/>
        <w:ind w:firstLine="446" w:firstLineChars="200"/>
        <w:rPr>
          <w:rFonts w:ascii="宋体" w:hAnsi="宋体" w:cs="宋体"/>
          <w:bCs/>
          <w:color w:val="auto"/>
          <w:sz w:val="22"/>
          <w:highlight w:val="none"/>
        </w:rPr>
      </w:pPr>
      <w:r>
        <w:rPr>
          <w:rFonts w:hint="eastAsia" w:ascii="宋体" w:hAnsi="宋体" w:cs="宋体"/>
          <w:bCs/>
          <w:color w:val="auto"/>
          <w:sz w:val="22"/>
          <w:highlight w:val="none"/>
        </w:rPr>
        <w:t>（2）文档成果</w:t>
      </w:r>
    </w:p>
    <w:p>
      <w:pPr>
        <w:tabs>
          <w:tab w:val="left" w:pos="1069"/>
          <w:tab w:val="left" w:pos="2352"/>
        </w:tabs>
        <w:spacing w:line="400" w:lineRule="exact"/>
        <w:ind w:firstLine="446" w:firstLineChars="200"/>
        <w:rPr>
          <w:rFonts w:ascii="宋体" w:hAnsi="宋体" w:cs="宋体"/>
          <w:bCs/>
          <w:color w:val="auto"/>
          <w:sz w:val="22"/>
          <w:highlight w:val="none"/>
        </w:rPr>
      </w:pPr>
      <w:r>
        <w:rPr>
          <w:rFonts w:hint="eastAsia" w:ascii="宋体" w:hAnsi="宋体" w:cs="宋体"/>
          <w:bCs/>
          <w:color w:val="auto"/>
          <w:sz w:val="22"/>
          <w:highlight w:val="none"/>
        </w:rPr>
        <w:t>1）农村集体土地所有权确权登记成果更新工作方案</w:t>
      </w:r>
    </w:p>
    <w:p>
      <w:pPr>
        <w:tabs>
          <w:tab w:val="left" w:pos="1069"/>
          <w:tab w:val="left" w:pos="2352"/>
        </w:tabs>
        <w:spacing w:line="400" w:lineRule="exact"/>
        <w:ind w:firstLine="446" w:firstLineChars="200"/>
        <w:rPr>
          <w:rFonts w:ascii="宋体" w:hAnsi="宋体" w:cs="宋体"/>
          <w:bCs/>
          <w:color w:val="auto"/>
          <w:sz w:val="22"/>
          <w:highlight w:val="none"/>
        </w:rPr>
      </w:pPr>
      <w:r>
        <w:rPr>
          <w:rFonts w:hint="eastAsia" w:ascii="宋体" w:hAnsi="宋体" w:cs="宋体"/>
          <w:bCs/>
          <w:color w:val="auto"/>
          <w:sz w:val="22"/>
          <w:highlight w:val="none"/>
        </w:rPr>
        <w:t>2）农村集体土地所有权确权登记成果更新工作报告</w:t>
      </w:r>
    </w:p>
    <w:p>
      <w:pPr>
        <w:tabs>
          <w:tab w:val="left" w:pos="1069"/>
          <w:tab w:val="left" w:pos="2352"/>
        </w:tabs>
        <w:spacing w:line="400" w:lineRule="exact"/>
        <w:ind w:firstLine="446" w:firstLineChars="200"/>
        <w:rPr>
          <w:rFonts w:ascii="宋体" w:hAnsi="宋体" w:cs="宋体"/>
          <w:bCs/>
          <w:color w:val="auto"/>
          <w:sz w:val="22"/>
          <w:highlight w:val="none"/>
        </w:rPr>
      </w:pPr>
      <w:r>
        <w:rPr>
          <w:rFonts w:hint="eastAsia" w:ascii="宋体" w:hAnsi="宋体" w:cs="宋体"/>
          <w:bCs/>
          <w:color w:val="auto"/>
          <w:sz w:val="22"/>
          <w:highlight w:val="none"/>
        </w:rPr>
        <w:t>3）农村集体土地所有权确权登记成果更新技术报告</w:t>
      </w:r>
    </w:p>
    <w:p>
      <w:pPr>
        <w:tabs>
          <w:tab w:val="left" w:pos="1069"/>
          <w:tab w:val="left" w:pos="2352"/>
        </w:tabs>
        <w:spacing w:line="400" w:lineRule="exact"/>
        <w:ind w:firstLine="446" w:firstLineChars="200"/>
        <w:rPr>
          <w:rFonts w:ascii="宋体" w:hAnsi="宋体" w:cs="宋体"/>
          <w:bCs/>
          <w:color w:val="auto"/>
          <w:sz w:val="22"/>
          <w:highlight w:val="none"/>
        </w:rPr>
      </w:pPr>
      <w:r>
        <w:rPr>
          <w:rFonts w:hint="eastAsia" w:ascii="宋体" w:hAnsi="宋体" w:cs="宋体"/>
          <w:bCs/>
          <w:color w:val="auto"/>
          <w:sz w:val="22"/>
          <w:highlight w:val="none"/>
        </w:rPr>
        <w:t>4）农村集体土地所有权确权登记成果更新数据库建设报告</w:t>
      </w:r>
    </w:p>
    <w:p>
      <w:pPr>
        <w:tabs>
          <w:tab w:val="left" w:pos="1069"/>
          <w:tab w:val="left" w:pos="2352"/>
        </w:tabs>
        <w:spacing w:line="400" w:lineRule="exact"/>
        <w:ind w:firstLine="446" w:firstLineChars="200"/>
        <w:rPr>
          <w:rFonts w:ascii="宋体" w:hAnsi="宋体" w:cs="宋体"/>
          <w:bCs/>
          <w:color w:val="auto"/>
          <w:sz w:val="22"/>
          <w:highlight w:val="none"/>
        </w:rPr>
      </w:pPr>
      <w:r>
        <w:rPr>
          <w:rFonts w:hint="eastAsia" w:ascii="宋体" w:hAnsi="宋体" w:cs="宋体"/>
          <w:bCs/>
          <w:color w:val="auto"/>
          <w:sz w:val="22"/>
          <w:highlight w:val="none"/>
        </w:rPr>
        <w:t>5）农村集体土地所有权确权登记成果更新质量检查报告</w:t>
      </w:r>
    </w:p>
    <w:p>
      <w:pPr>
        <w:tabs>
          <w:tab w:val="left" w:pos="1069"/>
          <w:tab w:val="left" w:pos="2352"/>
        </w:tabs>
        <w:spacing w:line="400" w:lineRule="exact"/>
        <w:ind w:firstLine="446" w:firstLineChars="200"/>
        <w:rPr>
          <w:rFonts w:ascii="宋体" w:hAnsi="宋体" w:cs="宋体"/>
          <w:bCs/>
          <w:color w:val="auto"/>
          <w:sz w:val="22"/>
          <w:highlight w:val="none"/>
        </w:rPr>
      </w:pPr>
      <w:r>
        <w:rPr>
          <w:rFonts w:hint="eastAsia" w:ascii="宋体" w:hAnsi="宋体" w:cs="宋体"/>
          <w:bCs/>
          <w:color w:val="auto"/>
          <w:sz w:val="22"/>
          <w:highlight w:val="none"/>
        </w:rPr>
        <w:t>6）其他相关文档。</w:t>
      </w:r>
    </w:p>
    <w:p>
      <w:pPr>
        <w:tabs>
          <w:tab w:val="left" w:pos="1069"/>
          <w:tab w:val="left" w:pos="2352"/>
        </w:tabs>
        <w:spacing w:line="400" w:lineRule="exact"/>
        <w:ind w:firstLine="446" w:firstLineChars="200"/>
        <w:rPr>
          <w:rFonts w:ascii="宋体" w:hAnsi="宋体" w:cs="宋体"/>
          <w:bCs/>
          <w:color w:val="auto"/>
          <w:sz w:val="22"/>
          <w:highlight w:val="none"/>
        </w:rPr>
      </w:pPr>
      <w:r>
        <w:rPr>
          <w:rFonts w:hint="eastAsia" w:ascii="宋体" w:hAnsi="宋体" w:cs="宋体"/>
          <w:bCs/>
          <w:color w:val="auto"/>
          <w:sz w:val="22"/>
          <w:highlight w:val="none"/>
        </w:rPr>
        <w:t>（3）元数据成果</w:t>
      </w:r>
    </w:p>
    <w:p>
      <w:pPr>
        <w:tabs>
          <w:tab w:val="left" w:pos="1069"/>
          <w:tab w:val="left" w:pos="2352"/>
        </w:tabs>
        <w:spacing w:line="400" w:lineRule="exact"/>
        <w:ind w:firstLine="446" w:firstLineChars="200"/>
        <w:rPr>
          <w:rFonts w:ascii="宋体" w:hAnsi="宋体" w:cs="宋体"/>
          <w:bCs/>
          <w:color w:val="auto"/>
          <w:sz w:val="22"/>
          <w:highlight w:val="none"/>
        </w:rPr>
      </w:pPr>
      <w:r>
        <w:rPr>
          <w:rFonts w:hint="eastAsia" w:ascii="宋体" w:hAnsi="宋体" w:cs="宋体"/>
          <w:bCs/>
          <w:color w:val="auto"/>
          <w:sz w:val="22"/>
          <w:highlight w:val="none"/>
        </w:rPr>
        <w:t>农村集体土地所有权确权登记成果更新元数据信</w:t>
      </w:r>
      <w:r>
        <w:rPr>
          <w:rFonts w:hint="eastAsia" w:asciiTheme="minorEastAsia" w:hAnsiTheme="minorEastAsia" w:eastAsiaTheme="minorEastAsia" w:cstheme="minorEastAsia"/>
          <w:color w:val="auto"/>
          <w:sz w:val="22"/>
          <w:highlight w:val="none"/>
        </w:rPr>
        <w:t>息，采用XML格式。</w:t>
      </w:r>
    </w:p>
    <w:p>
      <w:pPr>
        <w:tabs>
          <w:tab w:val="left" w:pos="1069"/>
          <w:tab w:val="left" w:pos="2352"/>
        </w:tabs>
        <w:spacing w:line="400" w:lineRule="exact"/>
        <w:ind w:firstLine="446" w:firstLineChars="200"/>
        <w:rPr>
          <w:rFonts w:ascii="宋体" w:hAnsi="宋体" w:cs="宋体"/>
          <w:bCs/>
          <w:color w:val="auto"/>
          <w:sz w:val="22"/>
          <w:highlight w:val="none"/>
        </w:rPr>
      </w:pPr>
      <w:r>
        <w:rPr>
          <w:rFonts w:hint="eastAsia" w:ascii="宋体" w:hAnsi="宋体" w:cs="宋体"/>
          <w:bCs/>
          <w:color w:val="auto"/>
          <w:sz w:val="22"/>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tabs>
          <w:tab w:val="left" w:pos="1069"/>
          <w:tab w:val="left" w:pos="2352"/>
        </w:tabs>
        <w:spacing w:line="400" w:lineRule="exact"/>
        <w:ind w:firstLine="223" w:firstLineChars="100"/>
        <w:rPr>
          <w:rFonts w:ascii="宋体" w:hAnsi="宋体" w:cs="宋体"/>
          <w:b/>
          <w:color w:val="auto"/>
          <w:sz w:val="22"/>
          <w:highlight w:val="none"/>
        </w:rPr>
      </w:pPr>
      <w:r>
        <w:rPr>
          <w:rFonts w:hint="eastAsia" w:ascii="宋体" w:hAnsi="宋体" w:cs="宋体"/>
          <w:bCs/>
          <w:color w:val="auto"/>
          <w:sz w:val="22"/>
          <w:highlight w:val="none"/>
        </w:rPr>
        <w:t xml:space="preserve"> </w:t>
      </w:r>
      <w:r>
        <w:rPr>
          <w:rFonts w:hint="eastAsia" w:ascii="宋体" w:hAnsi="宋体" w:cs="宋体"/>
          <w:b/>
          <w:color w:val="auto"/>
          <w:sz w:val="22"/>
          <w:highlight w:val="none"/>
        </w:rPr>
        <w:t xml:space="preserve"> 四、知识产权</w:t>
      </w:r>
    </w:p>
    <w:p>
      <w:pPr>
        <w:tabs>
          <w:tab w:val="left" w:pos="1069"/>
          <w:tab w:val="left" w:pos="2352"/>
        </w:tabs>
        <w:spacing w:line="400" w:lineRule="exact"/>
        <w:ind w:firstLine="223" w:firstLineChars="100"/>
        <w:rPr>
          <w:rFonts w:ascii="宋体" w:hAnsi="宋体" w:cs="宋体"/>
          <w:bCs/>
          <w:color w:val="auto"/>
          <w:sz w:val="22"/>
          <w:highlight w:val="none"/>
        </w:rPr>
      </w:pPr>
      <w:r>
        <w:rPr>
          <w:rFonts w:hint="eastAsia" w:ascii="宋体" w:hAnsi="宋体" w:cs="宋体"/>
          <w:bCs/>
          <w:color w:val="auto"/>
          <w:sz w:val="22"/>
          <w:highlight w:val="none"/>
        </w:rPr>
        <w:t xml:space="preserve">  乙方应保证提供服务过程中不会侵犯任何第三方的知识产权，所有提交资料成果所有权均归甲方所有，不得设置保密、保护措施。没有甲方事先书面同意，乙方不得将由甲方提供的有关合同或任何合同条文、规划报告、图纸、样品或资料提供给与履行本合同无关的任何其他人。即使向履行本合同有关的人员提供，也应注意保密并限于履行合同的必需范围。</w:t>
      </w:r>
    </w:p>
    <w:p>
      <w:pPr>
        <w:tabs>
          <w:tab w:val="left" w:pos="1069"/>
          <w:tab w:val="left" w:pos="2352"/>
        </w:tabs>
        <w:spacing w:line="400" w:lineRule="exact"/>
        <w:ind w:left="221" w:leftChars="104"/>
        <w:rPr>
          <w:rFonts w:ascii="宋体" w:hAnsi="宋体" w:cs="宋体"/>
          <w:b/>
          <w:color w:val="auto"/>
          <w:sz w:val="22"/>
          <w:highlight w:val="none"/>
        </w:rPr>
      </w:pPr>
      <w:r>
        <w:rPr>
          <w:rFonts w:hint="eastAsia" w:ascii="宋体" w:hAnsi="宋体" w:cs="宋体"/>
          <w:b/>
          <w:color w:val="auto"/>
          <w:sz w:val="22"/>
          <w:highlight w:val="none"/>
        </w:rPr>
        <w:t>五、转包或分包</w:t>
      </w:r>
    </w:p>
    <w:p>
      <w:pPr>
        <w:tabs>
          <w:tab w:val="left" w:pos="1069"/>
          <w:tab w:val="left" w:pos="2352"/>
        </w:tabs>
        <w:spacing w:line="400" w:lineRule="exact"/>
        <w:ind w:left="221" w:leftChars="104"/>
        <w:rPr>
          <w:rFonts w:ascii="宋体" w:hAnsi="宋体" w:cs="宋体"/>
          <w:bCs/>
          <w:color w:val="auto"/>
          <w:sz w:val="22"/>
          <w:highlight w:val="none"/>
        </w:rPr>
      </w:pPr>
      <w:r>
        <w:rPr>
          <w:rFonts w:hint="eastAsia" w:ascii="宋体" w:hAnsi="宋体" w:cs="宋体"/>
          <w:bCs/>
          <w:color w:val="auto"/>
          <w:sz w:val="22"/>
          <w:highlight w:val="none"/>
        </w:rPr>
        <w:t>1.本合同范围的服务，应由乙方直接供应，不得转让他人供应；</w:t>
      </w:r>
    </w:p>
    <w:p>
      <w:pPr>
        <w:tabs>
          <w:tab w:val="left" w:pos="1069"/>
          <w:tab w:val="left" w:pos="2352"/>
        </w:tabs>
        <w:spacing w:line="400" w:lineRule="exact"/>
        <w:ind w:left="221" w:leftChars="104"/>
        <w:rPr>
          <w:rFonts w:ascii="宋体" w:hAnsi="宋体" w:cs="宋体"/>
          <w:bCs/>
          <w:color w:val="auto"/>
          <w:sz w:val="22"/>
          <w:highlight w:val="none"/>
        </w:rPr>
      </w:pPr>
      <w:r>
        <w:rPr>
          <w:rFonts w:hint="eastAsia" w:ascii="宋体" w:hAnsi="宋体" w:cs="宋体"/>
          <w:bCs/>
          <w:color w:val="auto"/>
          <w:sz w:val="22"/>
          <w:highlight w:val="none"/>
        </w:rPr>
        <w:t>2.除非得到甲方的书面同意，乙方不得将本合同范围的服务全部或部分分包给他人供应；</w:t>
      </w:r>
    </w:p>
    <w:p>
      <w:pPr>
        <w:tabs>
          <w:tab w:val="left" w:pos="1060"/>
          <w:tab w:val="left" w:pos="1069"/>
          <w:tab w:val="left" w:pos="2352"/>
        </w:tabs>
        <w:spacing w:line="400" w:lineRule="exact"/>
        <w:ind w:left="221" w:leftChars="104"/>
        <w:rPr>
          <w:rFonts w:ascii="宋体" w:hAnsi="宋体" w:cs="宋体"/>
          <w:bCs/>
          <w:color w:val="auto"/>
          <w:sz w:val="22"/>
          <w:highlight w:val="none"/>
        </w:rPr>
      </w:pPr>
      <w:r>
        <w:rPr>
          <w:rFonts w:hint="eastAsia" w:ascii="宋体" w:hAnsi="宋体" w:cs="宋体"/>
          <w:bCs/>
          <w:color w:val="auto"/>
          <w:sz w:val="22"/>
          <w:highlight w:val="none"/>
        </w:rPr>
        <w:t>3.如有转让和未经甲方同意的分包行为，甲方有权解除合同，并追究乙方的违约责任。</w:t>
      </w:r>
    </w:p>
    <w:p>
      <w:pPr>
        <w:tabs>
          <w:tab w:val="left" w:pos="1060"/>
          <w:tab w:val="left" w:pos="1069"/>
          <w:tab w:val="left" w:pos="2352"/>
        </w:tabs>
        <w:spacing w:line="400" w:lineRule="exact"/>
        <w:ind w:left="221" w:leftChars="104"/>
        <w:rPr>
          <w:rFonts w:ascii="宋体" w:hAnsi="宋体" w:cs="宋体"/>
          <w:bCs/>
          <w:color w:val="auto"/>
          <w:sz w:val="22"/>
          <w:highlight w:val="none"/>
        </w:rPr>
      </w:pPr>
      <w:r>
        <w:rPr>
          <w:rFonts w:hint="eastAsia" w:ascii="宋体" w:hAnsi="宋体" w:cs="宋体"/>
          <w:b/>
          <w:color w:val="auto"/>
          <w:sz w:val="22"/>
          <w:highlight w:val="none"/>
        </w:rPr>
        <w:t>六、工期进度要求及履行地点</w:t>
      </w:r>
    </w:p>
    <w:p>
      <w:pPr>
        <w:tabs>
          <w:tab w:val="left" w:pos="2352"/>
        </w:tabs>
        <w:spacing w:line="400" w:lineRule="exact"/>
        <w:ind w:firstLine="446" w:firstLineChars="200"/>
        <w:rPr>
          <w:rFonts w:ascii="宋体" w:hAnsi="宋体" w:cs="宋体"/>
          <w:color w:val="auto"/>
          <w:sz w:val="22"/>
          <w:highlight w:val="none"/>
        </w:rPr>
      </w:pPr>
      <w:r>
        <w:rPr>
          <w:rFonts w:hint="eastAsia" w:ascii="宋体" w:hAnsi="宋体" w:cs="宋体"/>
          <w:bCs/>
          <w:color w:val="auto"/>
          <w:sz w:val="22"/>
          <w:highlight w:val="none"/>
        </w:rPr>
        <w:t>1.</w:t>
      </w:r>
      <w:r>
        <w:rPr>
          <w:rFonts w:hint="eastAsia" w:ascii="宋体" w:hAnsi="宋体" w:cs="宋体"/>
          <w:b/>
          <w:color w:val="auto"/>
          <w:sz w:val="22"/>
          <w:highlight w:val="none"/>
        </w:rPr>
        <w:t>工期进度要求</w:t>
      </w:r>
    </w:p>
    <w:tbl>
      <w:tblPr>
        <w:tblStyle w:val="24"/>
        <w:tblW w:w="9050" w:type="dxa"/>
        <w:jc w:val="center"/>
        <w:tblLayout w:type="fixed"/>
        <w:tblCellMar>
          <w:top w:w="0" w:type="dxa"/>
          <w:left w:w="108" w:type="dxa"/>
          <w:bottom w:w="0" w:type="dxa"/>
          <w:right w:w="108" w:type="dxa"/>
        </w:tblCellMar>
      </w:tblPr>
      <w:tblGrid>
        <w:gridCol w:w="1084"/>
        <w:gridCol w:w="1800"/>
        <w:gridCol w:w="6166"/>
      </w:tblGrid>
      <w:tr>
        <w:tblPrEx>
          <w:tblCellMar>
            <w:top w:w="0" w:type="dxa"/>
            <w:left w:w="108" w:type="dxa"/>
            <w:bottom w:w="0" w:type="dxa"/>
            <w:right w:w="108" w:type="dxa"/>
          </w:tblCellMar>
        </w:tblPrEx>
        <w:trPr>
          <w:trHeight w:val="400" w:hRule="atLeast"/>
          <w:jc w:val="center"/>
        </w:trPr>
        <w:tc>
          <w:tcPr>
            <w:tcW w:w="1084"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ind w:firstLine="223" w:firstLineChars="100"/>
              <w:jc w:val="left"/>
              <w:textAlignment w:val="center"/>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kern w:val="0"/>
                <w:sz w:val="22"/>
                <w:highlight w:val="none"/>
                <w:lang w:bidi="ar"/>
              </w:rPr>
              <w:t>序号</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ind w:firstLine="223" w:firstLineChars="100"/>
              <w:textAlignment w:val="center"/>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kern w:val="0"/>
                <w:sz w:val="22"/>
                <w:highlight w:val="none"/>
                <w:lang w:bidi="ar"/>
              </w:rPr>
              <w:t>完成时间</w:t>
            </w:r>
          </w:p>
        </w:tc>
        <w:tc>
          <w:tcPr>
            <w:tcW w:w="6166"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ind w:firstLine="480"/>
              <w:jc w:val="center"/>
              <w:textAlignment w:val="center"/>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kern w:val="0"/>
                <w:sz w:val="22"/>
                <w:highlight w:val="none"/>
                <w:lang w:bidi="ar"/>
              </w:rPr>
              <w:t>完成内容</w:t>
            </w:r>
          </w:p>
        </w:tc>
      </w:tr>
      <w:tr>
        <w:tblPrEx>
          <w:tblCellMar>
            <w:top w:w="0" w:type="dxa"/>
            <w:left w:w="108" w:type="dxa"/>
            <w:bottom w:w="0" w:type="dxa"/>
            <w:right w:w="108" w:type="dxa"/>
          </w:tblCellMar>
        </w:tblPrEx>
        <w:trPr>
          <w:trHeight w:val="400" w:hRule="atLeast"/>
          <w:jc w:val="center"/>
        </w:trPr>
        <w:tc>
          <w:tcPr>
            <w:tcW w:w="1084"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ind w:firstLine="440"/>
              <w:jc w:val="left"/>
              <w:textAlignment w:val="center"/>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kern w:val="0"/>
                <w:sz w:val="22"/>
                <w:highlight w:val="none"/>
                <w:lang w:bidi="ar"/>
              </w:rPr>
              <w:t>1</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ind w:firstLine="223" w:firstLineChars="100"/>
              <w:textAlignment w:val="center"/>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kern w:val="0"/>
                <w:sz w:val="22"/>
                <w:highlight w:val="none"/>
                <w:lang w:bidi="ar"/>
              </w:rPr>
              <w:t>2022年8月</w:t>
            </w:r>
          </w:p>
        </w:tc>
        <w:tc>
          <w:tcPr>
            <w:tcW w:w="6166"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left"/>
              <w:textAlignment w:val="center"/>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kern w:val="0"/>
                <w:sz w:val="22"/>
                <w:highlight w:val="none"/>
                <w:lang w:bidi="ar"/>
              </w:rPr>
              <w:t>收集资料制定工作方案，开展集体土地所有权确权登记成果整理与分析，集体土地所有权确权登记成果按不动产有关汇交要求整合入库</w:t>
            </w:r>
          </w:p>
        </w:tc>
      </w:tr>
      <w:tr>
        <w:tblPrEx>
          <w:tblCellMar>
            <w:top w:w="0" w:type="dxa"/>
            <w:left w:w="108" w:type="dxa"/>
            <w:bottom w:w="0" w:type="dxa"/>
            <w:right w:w="108" w:type="dxa"/>
          </w:tblCellMar>
        </w:tblPrEx>
        <w:trPr>
          <w:trHeight w:val="825" w:hRule="atLeast"/>
          <w:jc w:val="center"/>
        </w:trPr>
        <w:tc>
          <w:tcPr>
            <w:tcW w:w="1084"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ind w:firstLine="440"/>
              <w:jc w:val="left"/>
              <w:textAlignment w:val="center"/>
              <w:rPr>
                <w:rFonts w:hint="eastAsia" w:asciiTheme="minorEastAsia" w:hAnsiTheme="minorEastAsia" w:eastAsiaTheme="minorEastAsia" w:cstheme="minorEastAsia"/>
                <w:color w:val="auto"/>
                <w:kern w:val="0"/>
                <w:sz w:val="22"/>
                <w:highlight w:val="none"/>
                <w:lang w:val="en-US" w:eastAsia="zh-CN" w:bidi="ar"/>
              </w:rPr>
            </w:pPr>
            <w:r>
              <w:rPr>
                <w:rFonts w:hint="eastAsia" w:asciiTheme="minorEastAsia" w:hAnsiTheme="minorEastAsia" w:eastAsiaTheme="minorEastAsia" w:cstheme="minorEastAsia"/>
                <w:color w:val="auto"/>
                <w:kern w:val="0"/>
                <w:sz w:val="22"/>
                <w:highlight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textAlignment w:val="center"/>
              <w:rPr>
                <w:rFonts w:hint="default" w:asciiTheme="minorEastAsia" w:hAnsiTheme="minorEastAsia" w:eastAsiaTheme="minorEastAsia" w:cstheme="minorEastAsia"/>
                <w:color w:val="auto"/>
                <w:kern w:val="0"/>
                <w:sz w:val="22"/>
                <w:highlight w:val="none"/>
                <w:lang w:val="en-US" w:eastAsia="zh-CN" w:bidi="ar"/>
              </w:rPr>
            </w:pPr>
            <w:r>
              <w:rPr>
                <w:rFonts w:hint="eastAsia" w:asciiTheme="minorEastAsia" w:hAnsiTheme="minorEastAsia" w:eastAsiaTheme="minorEastAsia" w:cstheme="minorEastAsia"/>
                <w:color w:val="auto"/>
                <w:kern w:val="0"/>
                <w:sz w:val="22"/>
                <w:highlight w:val="none"/>
                <w:lang w:val="en-US" w:eastAsia="zh-CN" w:bidi="ar"/>
              </w:rPr>
              <w:t>2022年9-10月</w:t>
            </w:r>
          </w:p>
        </w:tc>
        <w:tc>
          <w:tcPr>
            <w:tcW w:w="6166"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left"/>
              <w:textAlignment w:val="center"/>
              <w:rPr>
                <w:rFonts w:hint="eastAsia" w:asciiTheme="minorEastAsia" w:hAnsiTheme="minorEastAsia" w:eastAsiaTheme="minorEastAsia" w:cstheme="minorEastAsia"/>
                <w:color w:val="auto"/>
                <w:kern w:val="0"/>
                <w:sz w:val="22"/>
                <w:highlight w:val="none"/>
                <w:lang w:eastAsia="zh-CN" w:bidi="ar"/>
              </w:rPr>
            </w:pPr>
            <w:r>
              <w:rPr>
                <w:rFonts w:hint="eastAsia" w:asciiTheme="minorEastAsia" w:hAnsiTheme="minorEastAsia" w:eastAsiaTheme="minorEastAsia" w:cstheme="minorEastAsia"/>
                <w:color w:val="auto"/>
                <w:sz w:val="22"/>
                <w:highlight w:val="none"/>
                <w:lang w:val="en-US" w:eastAsia="zh-CN"/>
              </w:rPr>
              <w:t>工作底图制作</w:t>
            </w:r>
            <w:r>
              <w:rPr>
                <w:rFonts w:hint="eastAsia" w:asciiTheme="minorEastAsia" w:hAnsiTheme="minorEastAsia" w:eastAsiaTheme="minorEastAsia" w:cstheme="minorEastAsia"/>
                <w:color w:val="auto"/>
                <w:sz w:val="22"/>
                <w:highlight w:val="none"/>
              </w:rPr>
              <w:t>补充外业测量调查</w:t>
            </w:r>
            <w:r>
              <w:rPr>
                <w:rFonts w:hint="eastAsia" w:asciiTheme="minorEastAsia" w:hAnsiTheme="minorEastAsia" w:eastAsiaTheme="minorEastAsia" w:cstheme="minorEastAsia"/>
                <w:color w:val="auto"/>
                <w:sz w:val="22"/>
                <w:highlight w:val="none"/>
                <w:lang w:eastAsia="zh-CN"/>
              </w:rPr>
              <w:t>，</w:t>
            </w:r>
            <w:r>
              <w:rPr>
                <w:rFonts w:hint="eastAsia" w:asciiTheme="minorEastAsia" w:hAnsiTheme="minorEastAsia" w:eastAsiaTheme="minorEastAsia" w:cstheme="minorEastAsia"/>
                <w:color w:val="auto"/>
                <w:sz w:val="22"/>
                <w:highlight w:val="none"/>
              </w:rPr>
              <w:t>完成信息补充采集工作、数据清理工作、不动产单元代码编制工作、数据整合关联工作</w:t>
            </w:r>
          </w:p>
        </w:tc>
      </w:tr>
      <w:tr>
        <w:tblPrEx>
          <w:tblCellMar>
            <w:top w:w="0" w:type="dxa"/>
            <w:left w:w="108" w:type="dxa"/>
            <w:bottom w:w="0" w:type="dxa"/>
            <w:right w:w="108" w:type="dxa"/>
          </w:tblCellMar>
        </w:tblPrEx>
        <w:trPr>
          <w:trHeight w:val="400" w:hRule="atLeast"/>
          <w:jc w:val="center"/>
        </w:trPr>
        <w:tc>
          <w:tcPr>
            <w:tcW w:w="1084"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ind w:firstLine="440"/>
              <w:jc w:val="left"/>
              <w:textAlignment w:val="center"/>
              <w:rPr>
                <w:rFonts w:hint="eastAsia" w:asciiTheme="minorEastAsia" w:hAnsiTheme="minorEastAsia" w:eastAsiaTheme="minorEastAsia" w:cstheme="minorEastAsia"/>
                <w:color w:val="auto"/>
                <w:sz w:val="22"/>
                <w:highlight w:val="none"/>
                <w:lang w:eastAsia="zh-CN"/>
              </w:rPr>
            </w:pPr>
            <w:r>
              <w:rPr>
                <w:rFonts w:hint="eastAsia" w:asciiTheme="minorEastAsia" w:hAnsiTheme="minorEastAsia" w:eastAsiaTheme="minorEastAsia" w:cstheme="minorEastAsia"/>
                <w:color w:val="auto"/>
                <w:kern w:val="0"/>
                <w:sz w:val="22"/>
                <w:highlight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ind w:firstLine="223" w:firstLineChars="100"/>
              <w:textAlignment w:val="center"/>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kern w:val="0"/>
                <w:sz w:val="22"/>
                <w:highlight w:val="none"/>
                <w:lang w:bidi="ar"/>
              </w:rPr>
              <w:t>2022年11月</w:t>
            </w:r>
          </w:p>
        </w:tc>
        <w:tc>
          <w:tcPr>
            <w:tcW w:w="6166"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left"/>
              <w:textAlignment w:val="center"/>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kern w:val="0"/>
                <w:sz w:val="22"/>
                <w:highlight w:val="none"/>
                <w:lang w:bidi="ar"/>
              </w:rPr>
              <w:t>开展集体土地所有权确权登记成果更新，完成更新转换成果县级自检与上报</w:t>
            </w:r>
          </w:p>
        </w:tc>
      </w:tr>
      <w:tr>
        <w:tblPrEx>
          <w:tblCellMar>
            <w:top w:w="0" w:type="dxa"/>
            <w:left w:w="108" w:type="dxa"/>
            <w:bottom w:w="0" w:type="dxa"/>
            <w:right w:w="108" w:type="dxa"/>
          </w:tblCellMar>
        </w:tblPrEx>
        <w:trPr>
          <w:trHeight w:val="400" w:hRule="atLeast"/>
          <w:jc w:val="center"/>
        </w:trPr>
        <w:tc>
          <w:tcPr>
            <w:tcW w:w="1084"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ind w:firstLine="440"/>
              <w:jc w:val="left"/>
              <w:textAlignment w:val="center"/>
              <w:rPr>
                <w:rFonts w:hint="eastAsia" w:asciiTheme="minorEastAsia" w:hAnsiTheme="minorEastAsia" w:eastAsiaTheme="minorEastAsia" w:cstheme="minorEastAsia"/>
                <w:color w:val="auto"/>
                <w:sz w:val="22"/>
                <w:highlight w:val="none"/>
                <w:lang w:eastAsia="zh-CN"/>
              </w:rPr>
            </w:pPr>
            <w:r>
              <w:rPr>
                <w:rFonts w:hint="eastAsia" w:asciiTheme="minorEastAsia" w:hAnsiTheme="minorEastAsia" w:eastAsiaTheme="minorEastAsia" w:cstheme="minorEastAsia"/>
                <w:color w:val="auto"/>
                <w:kern w:val="0"/>
                <w:sz w:val="22"/>
                <w:highlight w:val="none"/>
                <w:lang w:val="en-US" w:eastAsia="zh-CN" w:bidi="ar"/>
              </w:rPr>
              <w:t>4</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ind w:firstLine="223" w:firstLineChars="100"/>
              <w:textAlignment w:val="center"/>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kern w:val="0"/>
                <w:sz w:val="22"/>
                <w:highlight w:val="none"/>
                <w:lang w:bidi="ar"/>
              </w:rPr>
              <w:t>2023年1月</w:t>
            </w:r>
          </w:p>
        </w:tc>
        <w:tc>
          <w:tcPr>
            <w:tcW w:w="61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kern w:val="0"/>
                <w:sz w:val="22"/>
                <w:highlight w:val="none"/>
                <w:lang w:bidi="ar"/>
              </w:rPr>
              <w:t>更新成果市级质检及上报</w:t>
            </w:r>
          </w:p>
        </w:tc>
      </w:tr>
      <w:tr>
        <w:tblPrEx>
          <w:tblCellMar>
            <w:top w:w="0" w:type="dxa"/>
            <w:left w:w="108" w:type="dxa"/>
            <w:bottom w:w="0" w:type="dxa"/>
            <w:right w:w="108" w:type="dxa"/>
          </w:tblCellMar>
        </w:tblPrEx>
        <w:trPr>
          <w:trHeight w:val="400" w:hRule="atLeast"/>
          <w:jc w:val="center"/>
        </w:trPr>
        <w:tc>
          <w:tcPr>
            <w:tcW w:w="1084"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ind w:firstLine="440"/>
              <w:jc w:val="left"/>
              <w:textAlignment w:val="center"/>
              <w:rPr>
                <w:rFonts w:hint="eastAsia" w:asciiTheme="minorEastAsia" w:hAnsiTheme="minorEastAsia" w:eastAsiaTheme="minorEastAsia" w:cstheme="minorEastAsia"/>
                <w:color w:val="auto"/>
                <w:sz w:val="22"/>
                <w:highlight w:val="none"/>
                <w:lang w:eastAsia="zh-CN"/>
              </w:rPr>
            </w:pPr>
            <w:r>
              <w:rPr>
                <w:rFonts w:hint="eastAsia" w:asciiTheme="minorEastAsia" w:hAnsiTheme="minorEastAsia" w:eastAsiaTheme="minorEastAsia" w:cstheme="minorEastAsia"/>
                <w:color w:val="auto"/>
                <w:kern w:val="0"/>
                <w:sz w:val="22"/>
                <w:highlight w:val="none"/>
                <w:lang w:val="en-US" w:eastAsia="zh-CN" w:bidi="ar"/>
              </w:rPr>
              <w:t>5</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ind w:firstLine="223" w:firstLineChars="100"/>
              <w:textAlignment w:val="center"/>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kern w:val="0"/>
                <w:sz w:val="22"/>
                <w:highlight w:val="none"/>
                <w:lang w:bidi="ar"/>
              </w:rPr>
              <w:t>2023年8月</w:t>
            </w:r>
          </w:p>
        </w:tc>
        <w:tc>
          <w:tcPr>
            <w:tcW w:w="6166"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left"/>
              <w:textAlignment w:val="center"/>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kern w:val="0"/>
                <w:sz w:val="22"/>
                <w:highlight w:val="none"/>
                <w:lang w:bidi="ar"/>
              </w:rPr>
              <w:t>按要求报部汇交</w:t>
            </w:r>
          </w:p>
        </w:tc>
      </w:tr>
      <w:tr>
        <w:tblPrEx>
          <w:tblCellMar>
            <w:top w:w="0" w:type="dxa"/>
            <w:left w:w="108" w:type="dxa"/>
            <w:bottom w:w="0" w:type="dxa"/>
            <w:right w:w="108" w:type="dxa"/>
          </w:tblCellMar>
        </w:tblPrEx>
        <w:trPr>
          <w:trHeight w:val="400" w:hRule="atLeast"/>
          <w:jc w:val="center"/>
        </w:trPr>
        <w:tc>
          <w:tcPr>
            <w:tcW w:w="1084"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ind w:firstLine="440"/>
              <w:jc w:val="left"/>
              <w:textAlignment w:val="center"/>
              <w:rPr>
                <w:rFonts w:hint="eastAsia" w:asciiTheme="minorEastAsia" w:hAnsiTheme="minorEastAsia" w:eastAsiaTheme="minorEastAsia" w:cstheme="minorEastAsia"/>
                <w:color w:val="auto"/>
                <w:sz w:val="22"/>
                <w:highlight w:val="none"/>
                <w:lang w:eastAsia="zh-CN"/>
              </w:rPr>
            </w:pPr>
            <w:r>
              <w:rPr>
                <w:rFonts w:hint="eastAsia" w:asciiTheme="minorEastAsia" w:hAnsiTheme="minorEastAsia" w:eastAsiaTheme="minorEastAsia" w:cstheme="minorEastAsia"/>
                <w:color w:val="auto"/>
                <w:kern w:val="0"/>
                <w:sz w:val="22"/>
                <w:highlight w:val="none"/>
                <w:lang w:val="en-US" w:eastAsia="zh-CN" w:bidi="ar"/>
              </w:rPr>
              <w:t>6</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ind w:firstLine="223" w:firstLineChars="100"/>
              <w:textAlignment w:val="center"/>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kern w:val="0"/>
                <w:sz w:val="22"/>
                <w:highlight w:val="none"/>
                <w:lang w:bidi="ar"/>
              </w:rPr>
              <w:t>2023年12月</w:t>
            </w:r>
          </w:p>
        </w:tc>
        <w:tc>
          <w:tcPr>
            <w:tcW w:w="6166"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left"/>
              <w:textAlignment w:val="center"/>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kern w:val="0"/>
                <w:sz w:val="22"/>
                <w:highlight w:val="none"/>
                <w:lang w:bidi="ar"/>
              </w:rPr>
              <w:t>依据部质检结果进行整改完善，直至成果报部质检通过</w:t>
            </w:r>
          </w:p>
        </w:tc>
      </w:tr>
    </w:tbl>
    <w:p>
      <w:pPr>
        <w:tabs>
          <w:tab w:val="left" w:pos="2352"/>
        </w:tabs>
        <w:spacing w:line="400" w:lineRule="exact"/>
        <w:ind w:firstLine="446" w:firstLineChars="200"/>
        <w:rPr>
          <w:rFonts w:hint="eastAsia" w:ascii="宋体" w:hAnsi="宋体" w:cs="宋体"/>
          <w:b/>
          <w:color w:val="auto"/>
          <w:sz w:val="22"/>
          <w:highlight w:val="none"/>
        </w:rPr>
      </w:pPr>
      <w:r>
        <w:rPr>
          <w:rFonts w:hint="eastAsia" w:ascii="宋体" w:hAnsi="宋体" w:cs="宋体"/>
          <w:b/>
          <w:color w:val="auto"/>
          <w:sz w:val="22"/>
          <w:highlight w:val="none"/>
        </w:rPr>
        <w:t>2.履行地点：甲方指定地点。</w:t>
      </w:r>
    </w:p>
    <w:p>
      <w:pPr>
        <w:tabs>
          <w:tab w:val="left" w:pos="1069"/>
          <w:tab w:val="left" w:pos="2352"/>
        </w:tabs>
        <w:snapToGrid w:val="0"/>
        <w:spacing w:line="400" w:lineRule="exact"/>
        <w:ind w:left="443" w:leftChars="208" w:firstLine="0" w:firstLineChars="0"/>
        <w:rPr>
          <w:rFonts w:ascii="宋体" w:hAnsi="宋体" w:cs="宋体"/>
          <w:b/>
          <w:color w:val="auto"/>
          <w:sz w:val="22"/>
          <w:highlight w:val="none"/>
        </w:rPr>
      </w:pPr>
      <w:r>
        <w:rPr>
          <w:rFonts w:hint="eastAsia" w:ascii="宋体" w:hAnsi="宋体" w:cs="宋体"/>
          <w:b/>
          <w:color w:val="auto"/>
          <w:sz w:val="22"/>
          <w:highlight w:val="none"/>
        </w:rPr>
        <w:t>七、付款方式及履约保证金</w:t>
      </w:r>
    </w:p>
    <w:p>
      <w:pPr>
        <w:tabs>
          <w:tab w:val="left" w:pos="2352"/>
        </w:tabs>
        <w:autoSpaceDE w:val="0"/>
        <w:autoSpaceDN w:val="0"/>
        <w:adjustRightInd w:val="0"/>
        <w:snapToGrid w:val="0"/>
        <w:spacing w:line="400" w:lineRule="exact"/>
        <w:ind w:firstLine="446" w:firstLineChars="200"/>
        <w:textAlignment w:val="bottom"/>
        <w:rPr>
          <w:rFonts w:ascii="宋体" w:hAnsi="宋体" w:cs="宋体"/>
          <w:color w:val="auto"/>
          <w:sz w:val="22"/>
          <w:highlight w:val="none"/>
        </w:rPr>
      </w:pPr>
      <w:r>
        <w:rPr>
          <w:rFonts w:hint="eastAsia" w:ascii="宋体" w:hAnsi="宋体" w:cs="宋体"/>
          <w:color w:val="auto"/>
          <w:sz w:val="22"/>
          <w:highlight w:val="none"/>
        </w:rPr>
        <w:t>1、履约保证金：合同签订前，乙方须提供合同金额1%的履约保证金至甲方账户（以转账或者金融机构、担保机构出具的保函等非现金形式提交），</w:t>
      </w:r>
      <w:r>
        <w:rPr>
          <w:rFonts w:hint="eastAsia" w:ascii="宋体" w:hAnsi="宋体" w:cs="宋体"/>
          <w:bCs/>
          <w:color w:val="auto"/>
          <w:sz w:val="22"/>
          <w:highlight w:val="none"/>
        </w:rPr>
        <w:t>即</w:t>
      </w:r>
      <w:r>
        <w:rPr>
          <w:rFonts w:hint="eastAsia" w:ascii="宋体" w:hAnsi="宋体" w:cs="宋体"/>
          <w:bCs/>
          <w:color w:val="auto"/>
          <w:sz w:val="22"/>
          <w:highlight w:val="none"/>
          <w:u w:val="single"/>
        </w:rPr>
        <w:t xml:space="preserve">人民币（大写）        元整（￥      ） </w:t>
      </w:r>
      <w:r>
        <w:rPr>
          <w:rFonts w:hint="eastAsia" w:ascii="宋体" w:hAnsi="宋体" w:cs="宋体"/>
          <w:color w:val="auto"/>
          <w:sz w:val="22"/>
          <w:highlight w:val="none"/>
        </w:rPr>
        <w:t>。</w:t>
      </w:r>
    </w:p>
    <w:p>
      <w:pPr>
        <w:tabs>
          <w:tab w:val="left" w:pos="2352"/>
        </w:tabs>
        <w:autoSpaceDE w:val="0"/>
        <w:autoSpaceDN w:val="0"/>
        <w:adjustRightInd w:val="0"/>
        <w:snapToGrid w:val="0"/>
        <w:spacing w:line="400" w:lineRule="exact"/>
        <w:ind w:firstLine="446" w:firstLineChars="200"/>
        <w:textAlignment w:val="bottom"/>
        <w:rPr>
          <w:rFonts w:ascii="宋体" w:hAnsi="宋体" w:cs="宋体"/>
          <w:b/>
          <w:bCs/>
          <w:color w:val="auto"/>
          <w:sz w:val="22"/>
          <w:highlight w:val="none"/>
        </w:rPr>
      </w:pPr>
      <w:r>
        <w:rPr>
          <w:rFonts w:hint="eastAsia" w:ascii="宋体" w:hAnsi="宋体" w:cs="宋体"/>
          <w:color w:val="auto"/>
          <w:sz w:val="22"/>
          <w:highlight w:val="none"/>
        </w:rPr>
        <w:t>2.</w:t>
      </w:r>
      <w:r>
        <w:rPr>
          <w:rFonts w:hint="eastAsia" w:ascii="宋体" w:hAnsi="宋体" w:cs="宋体"/>
          <w:b/>
          <w:bCs/>
          <w:color w:val="auto"/>
          <w:sz w:val="22"/>
          <w:highlight w:val="none"/>
        </w:rPr>
        <w:t>付款方式</w:t>
      </w:r>
    </w:p>
    <w:p>
      <w:pPr>
        <w:tabs>
          <w:tab w:val="left" w:pos="2352"/>
        </w:tabs>
        <w:autoSpaceDE w:val="0"/>
        <w:autoSpaceDN w:val="0"/>
        <w:adjustRightInd w:val="0"/>
        <w:snapToGrid w:val="0"/>
        <w:spacing w:line="400" w:lineRule="exact"/>
        <w:ind w:firstLine="446" w:firstLineChars="200"/>
        <w:textAlignment w:val="bottom"/>
        <w:rPr>
          <w:rFonts w:hint="eastAsia" w:ascii="宋体" w:hAnsi="宋体" w:cs="宋体"/>
          <w:color w:val="auto"/>
          <w:sz w:val="22"/>
          <w:highlight w:val="none"/>
        </w:rPr>
      </w:pPr>
      <w:r>
        <w:rPr>
          <w:rFonts w:hint="eastAsia" w:ascii="宋体" w:hAnsi="宋体" w:cs="宋体"/>
          <w:color w:val="auto"/>
          <w:sz w:val="22"/>
          <w:highlight w:val="none"/>
        </w:rPr>
        <w:t>下列付款条件具备后，乙方提供相应的增值税发票并经甲方确认无误后7个工作日内支付合同价款。</w:t>
      </w:r>
    </w:p>
    <w:p>
      <w:pPr>
        <w:tabs>
          <w:tab w:val="left" w:pos="2352"/>
        </w:tabs>
        <w:autoSpaceDE w:val="0"/>
        <w:autoSpaceDN w:val="0"/>
        <w:adjustRightInd w:val="0"/>
        <w:snapToGrid w:val="0"/>
        <w:spacing w:line="400" w:lineRule="exact"/>
        <w:ind w:firstLine="446" w:firstLineChars="200"/>
        <w:textAlignment w:val="bottom"/>
        <w:rPr>
          <w:rFonts w:hint="eastAsia" w:ascii="宋体" w:hAnsi="宋体" w:cs="宋体"/>
          <w:color w:val="auto"/>
          <w:sz w:val="22"/>
          <w:highlight w:val="none"/>
          <w:lang w:eastAsia="zh-CN"/>
        </w:rPr>
      </w:pPr>
      <w:r>
        <w:rPr>
          <w:rFonts w:hint="eastAsia" w:ascii="宋体" w:hAnsi="宋体" w:cs="宋体"/>
          <w:color w:val="auto"/>
          <w:sz w:val="22"/>
          <w:highlight w:val="none"/>
        </w:rPr>
        <w:t>根据《保障中小企业款项支付条例》、省财政厅《关于坚决打赢疫情防控阻击战进一步做好政府采购资金支持企业发展工作的通知》（浙财采监〔2020〕33号）、省财政厅《关于进一步发挥政府采购政策功能全力推动经济稳进提质的通知》（浙财采监〔2022〕3号）</w:t>
      </w:r>
      <w:r>
        <w:rPr>
          <w:rFonts w:hint="eastAsia" w:ascii="宋体" w:hAnsi="宋体" w:cs="宋体"/>
          <w:color w:val="auto"/>
          <w:sz w:val="22"/>
          <w:highlight w:val="none"/>
          <w:lang w:eastAsia="zh-CN"/>
        </w:rPr>
        <w:t>、</w:t>
      </w:r>
      <w:r>
        <w:rPr>
          <w:rFonts w:hint="eastAsia" w:ascii="宋体" w:hAnsi="宋体" w:cs="宋体"/>
          <w:color w:val="auto"/>
          <w:sz w:val="22"/>
          <w:highlight w:val="none"/>
        </w:rPr>
        <w:t>《关于进一步加大政府采购 支持中小企业力度 助力扎实稳住经济 的通知》（浙财采监〔2022〕8号）要求</w:t>
      </w:r>
      <w:r>
        <w:rPr>
          <w:rFonts w:hint="eastAsia" w:ascii="宋体" w:hAnsi="宋体" w:cs="宋体"/>
          <w:color w:val="auto"/>
          <w:sz w:val="22"/>
          <w:highlight w:val="none"/>
          <w:lang w:eastAsia="zh-CN"/>
        </w:rPr>
        <w:t>。</w:t>
      </w:r>
    </w:p>
    <w:p>
      <w:pPr>
        <w:tabs>
          <w:tab w:val="left" w:pos="2352"/>
        </w:tabs>
        <w:autoSpaceDE w:val="0"/>
        <w:autoSpaceDN w:val="0"/>
        <w:adjustRightInd w:val="0"/>
        <w:snapToGrid w:val="0"/>
        <w:spacing w:line="400" w:lineRule="exact"/>
        <w:ind w:firstLine="446" w:firstLineChars="200"/>
        <w:textAlignment w:val="bottom"/>
        <w:rPr>
          <w:rFonts w:hint="eastAsia" w:ascii="宋体" w:hAnsi="宋体" w:cs="宋体"/>
          <w:color w:val="auto"/>
          <w:sz w:val="22"/>
          <w:highlight w:val="none"/>
        </w:rPr>
      </w:pPr>
      <w:r>
        <w:rPr>
          <w:rFonts w:hint="eastAsia" w:ascii="宋体" w:hAnsi="宋体" w:cs="宋体"/>
          <w:color w:val="auto"/>
          <w:sz w:val="22"/>
          <w:highlight w:val="none"/>
        </w:rPr>
        <w:t>制定如下付款方式：</w:t>
      </w:r>
    </w:p>
    <w:p>
      <w:pPr>
        <w:tabs>
          <w:tab w:val="left" w:pos="2352"/>
        </w:tabs>
        <w:spacing w:line="400" w:lineRule="exact"/>
        <w:ind w:firstLine="446" w:firstLineChars="200"/>
        <w:rPr>
          <w:rFonts w:ascii="宋体" w:hAnsi="宋体" w:cs="宋体"/>
          <w:bCs/>
          <w:color w:val="auto"/>
          <w:sz w:val="22"/>
          <w:highlight w:val="none"/>
        </w:rPr>
      </w:pPr>
      <w:r>
        <w:rPr>
          <w:rFonts w:hint="eastAsia" w:ascii="宋体" w:hAnsi="宋体" w:cs="宋体"/>
          <w:bCs/>
          <w:color w:val="auto"/>
          <w:sz w:val="22"/>
          <w:highlight w:val="none"/>
        </w:rPr>
        <w:t>1.合同生效且具备支付条件后，甲方支付合同总价的20%，即</w:t>
      </w:r>
      <w:r>
        <w:rPr>
          <w:rFonts w:hint="eastAsia" w:ascii="宋体" w:hAnsi="宋体" w:cs="宋体"/>
          <w:bCs/>
          <w:color w:val="auto"/>
          <w:sz w:val="22"/>
          <w:highlight w:val="none"/>
          <w:u w:val="single"/>
        </w:rPr>
        <w:t xml:space="preserve">人民币（大写）        元整（￥      ） </w:t>
      </w:r>
      <w:r>
        <w:rPr>
          <w:rFonts w:hint="eastAsia" w:ascii="宋体" w:hAnsi="宋体" w:cs="宋体"/>
          <w:bCs/>
          <w:color w:val="auto"/>
          <w:sz w:val="22"/>
          <w:highlight w:val="none"/>
        </w:rPr>
        <w:t>。</w:t>
      </w:r>
    </w:p>
    <w:p>
      <w:pPr>
        <w:tabs>
          <w:tab w:val="left" w:pos="2352"/>
        </w:tabs>
        <w:spacing w:line="400" w:lineRule="exact"/>
        <w:ind w:firstLine="446" w:firstLineChars="200"/>
        <w:rPr>
          <w:rFonts w:ascii="宋体" w:hAnsi="宋体" w:cs="宋体"/>
          <w:bCs/>
          <w:color w:val="auto"/>
          <w:sz w:val="22"/>
          <w:highlight w:val="none"/>
        </w:rPr>
      </w:pPr>
      <w:r>
        <w:rPr>
          <w:rFonts w:hint="eastAsia" w:ascii="宋体" w:hAnsi="宋体" w:cs="宋体"/>
          <w:bCs/>
          <w:color w:val="auto"/>
          <w:sz w:val="22"/>
          <w:highlight w:val="none"/>
        </w:rPr>
        <w:t>2.通过采购人验收后，甲方支付合同总价的80%，即</w:t>
      </w:r>
      <w:r>
        <w:rPr>
          <w:rFonts w:hint="eastAsia" w:ascii="宋体" w:hAnsi="宋体" w:cs="宋体"/>
          <w:bCs/>
          <w:color w:val="auto"/>
          <w:sz w:val="22"/>
          <w:highlight w:val="none"/>
          <w:u w:val="single"/>
        </w:rPr>
        <w:t xml:space="preserve">人民币（大写）        元整（￥      ） </w:t>
      </w:r>
      <w:r>
        <w:rPr>
          <w:rFonts w:hint="eastAsia" w:ascii="宋体" w:hAnsi="宋体" w:cs="宋体"/>
          <w:bCs/>
          <w:color w:val="auto"/>
          <w:sz w:val="22"/>
          <w:highlight w:val="none"/>
        </w:rPr>
        <w:t>。</w:t>
      </w:r>
    </w:p>
    <w:p>
      <w:pPr>
        <w:pStyle w:val="11"/>
        <w:numPr>
          <w:ilvl w:val="0"/>
          <w:numId w:val="9"/>
        </w:numPr>
        <w:tabs>
          <w:tab w:val="left" w:pos="1069"/>
          <w:tab w:val="left" w:pos="2352"/>
        </w:tabs>
        <w:snapToGrid w:val="0"/>
        <w:spacing w:line="400" w:lineRule="exact"/>
        <w:ind w:firstLine="223" w:firstLineChars="100"/>
        <w:rPr>
          <w:rFonts w:hAnsi="宋体" w:cs="宋体"/>
          <w:b/>
          <w:color w:val="auto"/>
          <w:kern w:val="2"/>
          <w:sz w:val="22"/>
          <w:szCs w:val="22"/>
          <w:highlight w:val="none"/>
        </w:rPr>
      </w:pPr>
      <w:r>
        <w:rPr>
          <w:rFonts w:hint="eastAsia" w:hAnsi="宋体" w:cs="宋体"/>
          <w:b/>
          <w:color w:val="auto"/>
          <w:kern w:val="2"/>
          <w:sz w:val="22"/>
          <w:szCs w:val="22"/>
          <w:highlight w:val="none"/>
        </w:rPr>
        <w:t>验收</w:t>
      </w:r>
    </w:p>
    <w:p>
      <w:pPr>
        <w:tabs>
          <w:tab w:val="left" w:pos="1069"/>
          <w:tab w:val="left" w:pos="2352"/>
        </w:tabs>
        <w:snapToGrid w:val="0"/>
        <w:spacing w:line="400" w:lineRule="exact"/>
        <w:ind w:firstLine="223" w:firstLineChars="100"/>
        <w:rPr>
          <w:rFonts w:ascii="宋体" w:hAnsi="宋体"/>
          <w:color w:val="auto"/>
          <w:sz w:val="22"/>
          <w:highlight w:val="none"/>
        </w:rPr>
      </w:pPr>
      <w:r>
        <w:rPr>
          <w:rFonts w:hint="eastAsia" w:ascii="宋体" w:hAnsi="宋体"/>
          <w:color w:val="auto"/>
          <w:sz w:val="22"/>
          <w:highlight w:val="none"/>
        </w:rPr>
        <w:t>1.按项目相关规定、规范进行。</w:t>
      </w:r>
    </w:p>
    <w:p>
      <w:pPr>
        <w:tabs>
          <w:tab w:val="left" w:pos="1069"/>
          <w:tab w:val="left" w:pos="2352"/>
        </w:tabs>
        <w:snapToGrid w:val="0"/>
        <w:spacing w:line="400" w:lineRule="exact"/>
        <w:ind w:firstLine="223" w:firstLineChars="100"/>
        <w:rPr>
          <w:rFonts w:ascii="宋体" w:hAnsi="宋体"/>
          <w:color w:val="auto"/>
          <w:sz w:val="22"/>
          <w:highlight w:val="none"/>
        </w:rPr>
      </w:pPr>
      <w:r>
        <w:rPr>
          <w:rFonts w:hint="eastAsia" w:ascii="宋体" w:hAnsi="宋体"/>
          <w:color w:val="auto"/>
          <w:sz w:val="22"/>
          <w:highlight w:val="none"/>
        </w:rPr>
        <w:t>2.验收标准：提交的</w:t>
      </w:r>
      <w:r>
        <w:rPr>
          <w:rFonts w:hint="eastAsia" w:ascii="宋体" w:hAnsi="宋体" w:cs="宋体"/>
          <w:color w:val="auto"/>
          <w:sz w:val="22"/>
          <w:highlight w:val="none"/>
        </w:rPr>
        <w:t>成果通过专家评审，满足省市考核要求</w:t>
      </w:r>
      <w:r>
        <w:rPr>
          <w:rFonts w:hint="eastAsia" w:ascii="宋体" w:hAnsi="宋体"/>
          <w:color w:val="auto"/>
          <w:sz w:val="22"/>
          <w:highlight w:val="none"/>
        </w:rPr>
        <w:t>。</w:t>
      </w:r>
    </w:p>
    <w:p>
      <w:pPr>
        <w:tabs>
          <w:tab w:val="left" w:pos="1069"/>
          <w:tab w:val="left" w:pos="2352"/>
        </w:tabs>
        <w:snapToGrid w:val="0"/>
        <w:spacing w:line="400" w:lineRule="exact"/>
        <w:ind w:firstLine="223" w:firstLineChars="100"/>
        <w:rPr>
          <w:rFonts w:hAnsi="宋体" w:cs="宋体"/>
          <w:b/>
          <w:color w:val="auto"/>
          <w:sz w:val="22"/>
          <w:highlight w:val="none"/>
        </w:rPr>
      </w:pPr>
      <w:r>
        <w:rPr>
          <w:rFonts w:hint="eastAsia" w:ascii="宋体" w:hAnsi="宋体"/>
          <w:color w:val="auto"/>
          <w:sz w:val="22"/>
          <w:highlight w:val="none"/>
        </w:rPr>
        <w:t>3.验收所需（含专家评审费用）费用由乙方承担</w:t>
      </w:r>
      <w:r>
        <w:rPr>
          <w:rFonts w:hint="eastAsia" w:hAnsi="宋体" w:cs="宋体"/>
          <w:bCs/>
          <w:color w:val="auto"/>
          <w:sz w:val="22"/>
          <w:highlight w:val="none"/>
        </w:rPr>
        <w:t>。</w:t>
      </w:r>
    </w:p>
    <w:p>
      <w:pPr>
        <w:pStyle w:val="11"/>
        <w:tabs>
          <w:tab w:val="left" w:pos="1069"/>
          <w:tab w:val="left" w:pos="2352"/>
        </w:tabs>
        <w:adjustRightInd w:val="0"/>
        <w:snapToGrid w:val="0"/>
        <w:spacing w:line="400" w:lineRule="atLeast"/>
        <w:ind w:firstLine="223" w:firstLineChars="100"/>
        <w:rPr>
          <w:rFonts w:hAnsi="宋体" w:cs="宋体"/>
          <w:bCs/>
          <w:color w:val="auto"/>
          <w:sz w:val="22"/>
          <w:szCs w:val="22"/>
          <w:highlight w:val="none"/>
        </w:rPr>
      </w:pPr>
      <w:r>
        <w:rPr>
          <w:rFonts w:hint="eastAsia" w:hAnsi="宋体" w:cs="宋体"/>
          <w:b/>
          <w:color w:val="auto"/>
          <w:sz w:val="22"/>
          <w:szCs w:val="22"/>
          <w:highlight w:val="none"/>
        </w:rPr>
        <w:t>九、税费</w:t>
      </w:r>
    </w:p>
    <w:p>
      <w:pPr>
        <w:tabs>
          <w:tab w:val="left" w:pos="2352"/>
        </w:tabs>
        <w:spacing w:line="400" w:lineRule="exact"/>
        <w:ind w:firstLine="223" w:firstLineChars="100"/>
        <w:rPr>
          <w:rFonts w:hAnsi="宋体" w:cs="宋体"/>
          <w:bCs/>
          <w:color w:val="auto"/>
          <w:sz w:val="22"/>
          <w:highlight w:val="none"/>
        </w:rPr>
      </w:pPr>
      <w:r>
        <w:rPr>
          <w:rFonts w:hint="eastAsia" w:hAnsi="宋体" w:cs="宋体"/>
          <w:bCs/>
          <w:color w:val="auto"/>
          <w:sz w:val="22"/>
          <w:highlight w:val="none"/>
        </w:rPr>
        <w:t>本合同执行中相关的一切税费均由乙方负担。</w:t>
      </w:r>
    </w:p>
    <w:p>
      <w:pPr>
        <w:tabs>
          <w:tab w:val="left" w:pos="2352"/>
        </w:tabs>
        <w:spacing w:line="400" w:lineRule="exact"/>
        <w:ind w:firstLine="223" w:firstLineChars="100"/>
        <w:rPr>
          <w:rFonts w:hAnsi="宋体" w:cs="宋体"/>
          <w:b/>
          <w:color w:val="auto"/>
          <w:sz w:val="22"/>
          <w:highlight w:val="none"/>
        </w:rPr>
      </w:pPr>
      <w:r>
        <w:rPr>
          <w:rFonts w:hint="eastAsia" w:hAnsi="宋体" w:cs="宋体"/>
          <w:bCs/>
          <w:color w:val="auto"/>
          <w:sz w:val="22"/>
          <w:highlight w:val="none"/>
        </w:rPr>
        <w:t>十</w:t>
      </w:r>
      <w:r>
        <w:rPr>
          <w:rFonts w:hint="eastAsia" w:hAnsi="宋体" w:cs="宋体"/>
          <w:b/>
          <w:color w:val="auto"/>
          <w:sz w:val="22"/>
          <w:highlight w:val="none"/>
        </w:rPr>
        <w:t>、质量保证及后续服务</w:t>
      </w:r>
    </w:p>
    <w:p>
      <w:pPr>
        <w:tabs>
          <w:tab w:val="left" w:pos="2352"/>
        </w:tabs>
        <w:spacing w:line="400" w:lineRule="exact"/>
        <w:ind w:firstLine="223" w:firstLineChars="100"/>
        <w:rPr>
          <w:rFonts w:hAnsi="宋体" w:cs="宋体"/>
          <w:bCs/>
          <w:color w:val="auto"/>
          <w:sz w:val="22"/>
          <w:highlight w:val="none"/>
        </w:rPr>
      </w:pPr>
      <w:r>
        <w:rPr>
          <w:rFonts w:hint="eastAsia" w:hAnsi="宋体" w:cs="宋体"/>
          <w:bCs/>
          <w:color w:val="auto"/>
          <w:sz w:val="22"/>
          <w:highlight w:val="none"/>
        </w:rPr>
        <w:t>1．本项目成果维护期为自项目验收合格之日起1年</w:t>
      </w:r>
      <w:r>
        <w:rPr>
          <w:rFonts w:hint="eastAsia" w:ascii="宋体" w:hAnsi="宋体" w:cs="宋体"/>
          <w:color w:val="auto"/>
          <w:sz w:val="22"/>
          <w:highlight w:val="none"/>
        </w:rPr>
        <w:t>。</w:t>
      </w:r>
      <w:r>
        <w:rPr>
          <w:rFonts w:hint="eastAsia" w:hAnsi="宋体" w:cs="宋体"/>
          <w:bCs/>
          <w:color w:val="auto"/>
          <w:sz w:val="22"/>
          <w:highlight w:val="none"/>
        </w:rPr>
        <w:t>维护期内乙方负责提供免费的技术、咨询及修改工作，乙方应对服务成果出现的质量问题负责处理解决并承担一切费用。</w:t>
      </w:r>
    </w:p>
    <w:p>
      <w:pPr>
        <w:pStyle w:val="11"/>
        <w:tabs>
          <w:tab w:val="left" w:pos="1069"/>
          <w:tab w:val="left" w:pos="2352"/>
        </w:tabs>
        <w:adjustRightInd w:val="0"/>
        <w:snapToGrid w:val="0"/>
        <w:spacing w:line="400" w:lineRule="atLeast"/>
        <w:ind w:left="221" w:leftChars="104"/>
        <w:rPr>
          <w:rFonts w:hAnsi="宋体" w:cs="宋体"/>
          <w:bCs/>
          <w:color w:val="auto"/>
          <w:sz w:val="22"/>
          <w:szCs w:val="22"/>
          <w:highlight w:val="none"/>
        </w:rPr>
      </w:pPr>
      <w:r>
        <w:rPr>
          <w:rFonts w:hint="eastAsia" w:hAnsi="宋体" w:cs="宋体"/>
          <w:bCs/>
          <w:color w:val="auto"/>
          <w:sz w:val="22"/>
          <w:szCs w:val="22"/>
          <w:highlight w:val="none"/>
        </w:rPr>
        <w:t>2.乙方应按响应文件承诺及采购文件规定向甲方提供服务。</w:t>
      </w:r>
    </w:p>
    <w:p>
      <w:pPr>
        <w:pStyle w:val="11"/>
        <w:tabs>
          <w:tab w:val="left" w:pos="1069"/>
          <w:tab w:val="left" w:pos="2352"/>
        </w:tabs>
        <w:adjustRightInd w:val="0"/>
        <w:snapToGrid w:val="0"/>
        <w:spacing w:line="400" w:lineRule="atLeast"/>
        <w:ind w:left="221" w:leftChars="104"/>
        <w:rPr>
          <w:rFonts w:hAnsi="宋体" w:cs="宋体"/>
          <w:bCs/>
          <w:color w:val="auto"/>
          <w:sz w:val="22"/>
          <w:szCs w:val="22"/>
          <w:highlight w:val="none"/>
        </w:rPr>
      </w:pPr>
      <w:r>
        <w:rPr>
          <w:rFonts w:hint="eastAsia" w:hAnsi="宋体" w:cs="宋体"/>
          <w:bCs/>
          <w:color w:val="auto"/>
          <w:sz w:val="22"/>
          <w:szCs w:val="22"/>
          <w:highlight w:val="none"/>
        </w:rPr>
        <w:t>3．乙方提供的服务成果在服务质量保证期内发生质量问题，乙方应负责免费提供后续服务。对达不到要求者，根据实际情况，经双方协商，可按以下办法处理：</w:t>
      </w:r>
    </w:p>
    <w:p>
      <w:pPr>
        <w:pStyle w:val="11"/>
        <w:tabs>
          <w:tab w:val="left" w:pos="1069"/>
          <w:tab w:val="left" w:pos="2352"/>
        </w:tabs>
        <w:adjustRightInd w:val="0"/>
        <w:snapToGrid w:val="0"/>
        <w:spacing w:line="400" w:lineRule="atLeast"/>
        <w:ind w:left="221" w:leftChars="104"/>
        <w:rPr>
          <w:rFonts w:hAnsi="宋体" w:cs="宋体"/>
          <w:bCs/>
          <w:color w:val="auto"/>
          <w:sz w:val="22"/>
          <w:szCs w:val="22"/>
          <w:highlight w:val="none"/>
        </w:rPr>
      </w:pPr>
      <w:r>
        <w:rPr>
          <w:rFonts w:hint="eastAsia" w:hAnsi="宋体" w:cs="宋体"/>
          <w:bCs/>
          <w:color w:val="auto"/>
          <w:sz w:val="22"/>
          <w:szCs w:val="22"/>
          <w:highlight w:val="none"/>
        </w:rPr>
        <w:t>（1）重做：由乙方承担所发生的全部费用。</w:t>
      </w:r>
    </w:p>
    <w:p>
      <w:pPr>
        <w:pStyle w:val="11"/>
        <w:tabs>
          <w:tab w:val="left" w:pos="1069"/>
          <w:tab w:val="left" w:pos="2352"/>
        </w:tabs>
        <w:adjustRightInd w:val="0"/>
        <w:snapToGrid w:val="0"/>
        <w:spacing w:line="400" w:lineRule="atLeast"/>
        <w:ind w:left="221" w:leftChars="104"/>
        <w:rPr>
          <w:rFonts w:hAnsi="宋体" w:cs="宋体"/>
          <w:bCs/>
          <w:color w:val="auto"/>
          <w:sz w:val="22"/>
          <w:szCs w:val="22"/>
          <w:highlight w:val="none"/>
        </w:rPr>
      </w:pPr>
      <w:r>
        <w:rPr>
          <w:rFonts w:hint="eastAsia" w:hAnsi="宋体" w:cs="宋体"/>
          <w:bCs/>
          <w:color w:val="auto"/>
          <w:sz w:val="22"/>
          <w:szCs w:val="22"/>
          <w:highlight w:val="none"/>
        </w:rPr>
        <w:t>（2）贬值处理：由甲乙双方合议定价。</w:t>
      </w:r>
    </w:p>
    <w:p>
      <w:pPr>
        <w:pStyle w:val="11"/>
        <w:tabs>
          <w:tab w:val="left" w:pos="1069"/>
          <w:tab w:val="left" w:pos="2352"/>
        </w:tabs>
        <w:adjustRightInd w:val="0"/>
        <w:snapToGrid w:val="0"/>
        <w:spacing w:line="400" w:lineRule="atLeast"/>
        <w:ind w:left="221" w:leftChars="104"/>
        <w:rPr>
          <w:rFonts w:hAnsi="宋体" w:cs="宋体"/>
          <w:bCs/>
          <w:color w:val="auto"/>
          <w:sz w:val="22"/>
          <w:szCs w:val="22"/>
          <w:highlight w:val="none"/>
        </w:rPr>
      </w:pPr>
      <w:r>
        <w:rPr>
          <w:rFonts w:hint="eastAsia" w:hAnsi="宋体" w:cs="宋体"/>
          <w:bCs/>
          <w:color w:val="auto"/>
          <w:sz w:val="22"/>
          <w:szCs w:val="22"/>
          <w:highlight w:val="none"/>
        </w:rPr>
        <w:t>（3）解除合同。</w:t>
      </w:r>
    </w:p>
    <w:p>
      <w:pPr>
        <w:pStyle w:val="11"/>
        <w:tabs>
          <w:tab w:val="left" w:pos="1069"/>
          <w:tab w:val="left" w:pos="2352"/>
        </w:tabs>
        <w:adjustRightInd w:val="0"/>
        <w:snapToGrid w:val="0"/>
        <w:spacing w:line="400" w:lineRule="atLeast"/>
        <w:ind w:firstLine="223" w:firstLineChars="100"/>
        <w:rPr>
          <w:rFonts w:hAnsi="宋体" w:cs="宋体"/>
          <w:bCs/>
          <w:color w:val="auto"/>
          <w:sz w:val="22"/>
          <w:szCs w:val="22"/>
          <w:highlight w:val="none"/>
        </w:rPr>
      </w:pPr>
      <w:r>
        <w:rPr>
          <w:rFonts w:hint="eastAsia" w:hAnsi="宋体" w:cs="宋体"/>
          <w:bCs/>
          <w:color w:val="auto"/>
          <w:sz w:val="22"/>
          <w:szCs w:val="22"/>
          <w:highlight w:val="none"/>
        </w:rPr>
        <w:t>4.乙方需提供7×24小时电话技术咨询支持，在收到甲方质量问题通知后30分钟内须作出有效响应，如非现场响应无法解决问题的，须到达现场解决问题。</w:t>
      </w:r>
    </w:p>
    <w:p>
      <w:pPr>
        <w:pStyle w:val="11"/>
        <w:tabs>
          <w:tab w:val="left" w:pos="1069"/>
          <w:tab w:val="left" w:pos="2352"/>
        </w:tabs>
        <w:adjustRightInd w:val="0"/>
        <w:snapToGrid w:val="0"/>
        <w:spacing w:line="400" w:lineRule="atLeast"/>
        <w:ind w:firstLine="223" w:firstLineChars="100"/>
        <w:rPr>
          <w:rFonts w:hAnsi="宋体" w:cs="宋体"/>
          <w:b/>
          <w:color w:val="auto"/>
          <w:sz w:val="22"/>
          <w:szCs w:val="22"/>
          <w:highlight w:val="none"/>
        </w:rPr>
      </w:pPr>
      <w:r>
        <w:rPr>
          <w:rFonts w:hint="eastAsia" w:hAnsi="宋体" w:cs="宋体"/>
          <w:bCs/>
          <w:color w:val="auto"/>
          <w:sz w:val="22"/>
          <w:szCs w:val="22"/>
          <w:highlight w:val="none"/>
        </w:rPr>
        <w:t xml:space="preserve"> </w:t>
      </w:r>
      <w:r>
        <w:rPr>
          <w:rFonts w:hint="eastAsia" w:hAnsi="宋体" w:cs="宋体"/>
          <w:b/>
          <w:color w:val="auto"/>
          <w:sz w:val="22"/>
          <w:szCs w:val="22"/>
          <w:highlight w:val="none"/>
        </w:rPr>
        <w:t>十一、违约责任</w:t>
      </w:r>
    </w:p>
    <w:p>
      <w:pPr>
        <w:pStyle w:val="11"/>
        <w:tabs>
          <w:tab w:val="left" w:pos="1069"/>
          <w:tab w:val="left" w:pos="2352"/>
        </w:tabs>
        <w:adjustRightInd w:val="0"/>
        <w:snapToGrid w:val="0"/>
        <w:spacing w:line="400" w:lineRule="atLeast"/>
        <w:ind w:firstLine="223" w:firstLineChars="100"/>
        <w:rPr>
          <w:rFonts w:hAnsi="宋体" w:cs="宋体"/>
          <w:bCs/>
          <w:color w:val="auto"/>
          <w:sz w:val="22"/>
          <w:szCs w:val="22"/>
          <w:highlight w:val="none"/>
        </w:rPr>
      </w:pPr>
      <w:r>
        <w:rPr>
          <w:rFonts w:hint="eastAsia" w:hAnsi="宋体" w:cs="宋体"/>
          <w:bCs/>
          <w:color w:val="auto"/>
          <w:sz w:val="22"/>
          <w:szCs w:val="22"/>
          <w:highlight w:val="none"/>
        </w:rPr>
        <w:t xml:space="preserve"> 1.乙方没有达到服务质量要求，甲方有权终止服务合同并停止付款及扣除全部服务质量保证金。</w:t>
      </w:r>
    </w:p>
    <w:p>
      <w:pPr>
        <w:pStyle w:val="11"/>
        <w:tabs>
          <w:tab w:val="left" w:pos="1069"/>
          <w:tab w:val="left" w:pos="2352"/>
        </w:tabs>
        <w:adjustRightInd w:val="0"/>
        <w:snapToGrid w:val="0"/>
        <w:spacing w:line="400" w:lineRule="atLeast"/>
        <w:ind w:firstLine="223" w:firstLineChars="100"/>
        <w:rPr>
          <w:rFonts w:hAnsi="宋体" w:cs="宋体"/>
          <w:bCs/>
          <w:color w:val="auto"/>
          <w:sz w:val="22"/>
          <w:szCs w:val="22"/>
          <w:highlight w:val="none"/>
        </w:rPr>
      </w:pPr>
      <w:r>
        <w:rPr>
          <w:rFonts w:hint="eastAsia" w:hAnsi="宋体" w:cs="宋体"/>
          <w:bCs/>
          <w:color w:val="auto"/>
          <w:sz w:val="22"/>
          <w:szCs w:val="22"/>
          <w:highlight w:val="none"/>
        </w:rPr>
        <w:t xml:space="preserve"> 2.甲方无正当理理由拒收接受服务的，甲方向乙方偿付合同款项百分之五作为违约金</w:t>
      </w:r>
    </w:p>
    <w:p>
      <w:pPr>
        <w:pStyle w:val="11"/>
        <w:tabs>
          <w:tab w:val="left" w:pos="1069"/>
          <w:tab w:val="left" w:pos="2352"/>
        </w:tabs>
        <w:adjustRightInd w:val="0"/>
        <w:snapToGrid w:val="0"/>
        <w:spacing w:line="400" w:lineRule="atLeast"/>
        <w:ind w:firstLine="223" w:firstLineChars="100"/>
        <w:rPr>
          <w:rFonts w:hAnsi="宋体" w:cs="宋体"/>
          <w:bCs/>
          <w:color w:val="auto"/>
          <w:sz w:val="22"/>
          <w:szCs w:val="22"/>
          <w:highlight w:val="none"/>
        </w:rPr>
      </w:pPr>
      <w:r>
        <w:rPr>
          <w:rFonts w:hint="eastAsia" w:hAnsi="宋体" w:cs="宋体"/>
          <w:bCs/>
          <w:color w:val="auto"/>
          <w:sz w:val="22"/>
          <w:szCs w:val="22"/>
          <w:highlight w:val="none"/>
        </w:rPr>
        <w:t xml:space="preserve"> 3.甲方无故逾期考核验收和办理款项支付手续的，甲方应按逾期付款总额每日万分之五向乙方支付违约金。</w:t>
      </w:r>
    </w:p>
    <w:p>
      <w:pPr>
        <w:pStyle w:val="11"/>
        <w:tabs>
          <w:tab w:val="left" w:pos="1069"/>
          <w:tab w:val="left" w:pos="2352"/>
        </w:tabs>
        <w:adjustRightInd w:val="0"/>
        <w:snapToGrid w:val="0"/>
        <w:spacing w:line="400" w:lineRule="atLeast"/>
        <w:ind w:firstLine="223" w:firstLineChars="100"/>
        <w:rPr>
          <w:rFonts w:hAnsi="宋体" w:cs="宋体"/>
          <w:bCs/>
          <w:color w:val="auto"/>
          <w:sz w:val="22"/>
          <w:szCs w:val="22"/>
          <w:highlight w:val="none"/>
        </w:rPr>
      </w:pPr>
      <w:r>
        <w:rPr>
          <w:rFonts w:hint="eastAsia" w:hAnsi="宋体" w:cs="宋体"/>
          <w:bCs/>
          <w:color w:val="auto"/>
          <w:sz w:val="22"/>
          <w:szCs w:val="22"/>
          <w:highlight w:val="none"/>
        </w:rPr>
        <w:t xml:space="preserve"> 4.乙方未能如期提供服务的，</w:t>
      </w:r>
      <w:r>
        <w:rPr>
          <w:rFonts w:hint="eastAsia" w:hAnsi="宋体" w:cs="宋体"/>
          <w:bCs/>
          <w:color w:val="auto"/>
          <w:sz w:val="22"/>
          <w:szCs w:val="22"/>
          <w:highlight w:val="none"/>
          <w:lang w:val="zh-CN"/>
        </w:rPr>
        <w:t>每滞后一天按1000元/天</w:t>
      </w:r>
      <w:r>
        <w:rPr>
          <w:rFonts w:hint="eastAsia" w:hAnsi="宋体" w:cs="宋体"/>
          <w:bCs/>
          <w:color w:val="auto"/>
          <w:sz w:val="22"/>
          <w:szCs w:val="22"/>
          <w:highlight w:val="none"/>
        </w:rPr>
        <w:t>。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pPr>
        <w:pStyle w:val="11"/>
        <w:tabs>
          <w:tab w:val="left" w:pos="1069"/>
          <w:tab w:val="left" w:pos="2352"/>
        </w:tabs>
        <w:adjustRightInd w:val="0"/>
        <w:snapToGrid w:val="0"/>
        <w:spacing w:line="400" w:lineRule="atLeast"/>
        <w:ind w:firstLine="223" w:firstLineChars="100"/>
        <w:rPr>
          <w:rFonts w:hAnsi="宋体" w:cs="宋体"/>
          <w:b/>
          <w:color w:val="auto"/>
          <w:sz w:val="22"/>
          <w:szCs w:val="22"/>
          <w:highlight w:val="none"/>
        </w:rPr>
      </w:pPr>
      <w:r>
        <w:rPr>
          <w:rFonts w:hint="eastAsia" w:hAnsi="宋体" w:cs="宋体"/>
          <w:b/>
          <w:color w:val="auto"/>
          <w:sz w:val="22"/>
          <w:szCs w:val="22"/>
          <w:highlight w:val="none"/>
        </w:rPr>
        <w:t>十二、合同生效和终止</w:t>
      </w:r>
    </w:p>
    <w:p>
      <w:pPr>
        <w:pStyle w:val="11"/>
        <w:tabs>
          <w:tab w:val="left" w:pos="1069"/>
          <w:tab w:val="left" w:pos="2352"/>
        </w:tabs>
        <w:adjustRightInd w:val="0"/>
        <w:snapToGrid w:val="0"/>
        <w:spacing w:line="400" w:lineRule="atLeast"/>
        <w:ind w:firstLine="223" w:firstLineChars="100"/>
        <w:rPr>
          <w:rFonts w:hAnsi="宋体" w:cs="宋体"/>
          <w:bCs/>
          <w:color w:val="auto"/>
          <w:sz w:val="22"/>
          <w:szCs w:val="22"/>
          <w:highlight w:val="none"/>
        </w:rPr>
      </w:pPr>
      <w:r>
        <w:rPr>
          <w:rFonts w:hint="eastAsia" w:hAnsi="宋体" w:cs="宋体"/>
          <w:bCs/>
          <w:color w:val="auto"/>
          <w:sz w:val="22"/>
          <w:szCs w:val="22"/>
          <w:highlight w:val="none"/>
        </w:rPr>
        <w:t>1.本合同经双方法定代表人或其授权代表签字盖章后生效。</w:t>
      </w:r>
    </w:p>
    <w:p>
      <w:pPr>
        <w:pStyle w:val="11"/>
        <w:tabs>
          <w:tab w:val="left" w:pos="1069"/>
          <w:tab w:val="left" w:pos="2352"/>
        </w:tabs>
        <w:adjustRightInd w:val="0"/>
        <w:snapToGrid w:val="0"/>
        <w:spacing w:line="400" w:lineRule="atLeast"/>
        <w:ind w:firstLine="223" w:firstLineChars="100"/>
        <w:rPr>
          <w:rFonts w:hAnsi="宋体" w:cs="宋体"/>
          <w:bCs/>
          <w:color w:val="auto"/>
          <w:sz w:val="22"/>
          <w:szCs w:val="22"/>
          <w:highlight w:val="none"/>
        </w:rPr>
      </w:pPr>
      <w:r>
        <w:rPr>
          <w:rFonts w:hint="eastAsia" w:hAnsi="宋体" w:cs="宋体"/>
          <w:bCs/>
          <w:color w:val="auto"/>
          <w:sz w:val="22"/>
          <w:szCs w:val="22"/>
          <w:highlight w:val="none"/>
        </w:rPr>
        <w:t>2.终止</w:t>
      </w:r>
    </w:p>
    <w:p>
      <w:pPr>
        <w:pStyle w:val="11"/>
        <w:tabs>
          <w:tab w:val="left" w:pos="1069"/>
          <w:tab w:val="left" w:pos="2352"/>
        </w:tabs>
        <w:adjustRightInd w:val="0"/>
        <w:snapToGrid w:val="0"/>
        <w:spacing w:line="400" w:lineRule="atLeast"/>
        <w:ind w:firstLine="223" w:firstLineChars="100"/>
        <w:rPr>
          <w:rFonts w:hAnsi="宋体" w:cs="宋体"/>
          <w:bCs/>
          <w:color w:val="auto"/>
          <w:sz w:val="22"/>
          <w:szCs w:val="22"/>
          <w:highlight w:val="none"/>
        </w:rPr>
      </w:pPr>
      <w:r>
        <w:rPr>
          <w:rFonts w:hint="eastAsia" w:hAnsi="宋体" w:cs="宋体"/>
          <w:bCs/>
          <w:color w:val="auto"/>
          <w:sz w:val="22"/>
          <w:szCs w:val="22"/>
          <w:highlight w:val="none"/>
        </w:rPr>
        <w:t>2.1提前终止</w:t>
      </w:r>
    </w:p>
    <w:p>
      <w:pPr>
        <w:pStyle w:val="11"/>
        <w:tabs>
          <w:tab w:val="left" w:pos="1069"/>
          <w:tab w:val="left" w:pos="2352"/>
        </w:tabs>
        <w:adjustRightInd w:val="0"/>
        <w:snapToGrid w:val="0"/>
        <w:spacing w:line="400" w:lineRule="atLeast"/>
        <w:ind w:firstLine="223" w:firstLineChars="100"/>
        <w:rPr>
          <w:rFonts w:hAnsi="宋体" w:cs="宋体"/>
          <w:bCs/>
          <w:color w:val="auto"/>
          <w:sz w:val="22"/>
          <w:szCs w:val="22"/>
          <w:highlight w:val="none"/>
        </w:rPr>
      </w:pPr>
      <w:r>
        <w:rPr>
          <w:rFonts w:hint="eastAsia" w:hAnsi="宋体" w:cs="宋体"/>
          <w:bCs/>
          <w:color w:val="auto"/>
          <w:sz w:val="22"/>
          <w:szCs w:val="22"/>
          <w:highlight w:val="none"/>
        </w:rPr>
        <w:t>（1）乙方未能提供符合本合同约定的服务要求，甲方有权向乙方发出书面通知提前终止合同。</w:t>
      </w:r>
    </w:p>
    <w:p>
      <w:pPr>
        <w:pStyle w:val="11"/>
        <w:tabs>
          <w:tab w:val="left" w:pos="1069"/>
          <w:tab w:val="left" w:pos="2352"/>
        </w:tabs>
        <w:adjustRightInd w:val="0"/>
        <w:snapToGrid w:val="0"/>
        <w:spacing w:line="400" w:lineRule="atLeast"/>
        <w:ind w:firstLine="223" w:firstLineChars="100"/>
        <w:rPr>
          <w:rFonts w:hAnsi="宋体" w:cs="宋体"/>
          <w:bCs/>
          <w:color w:val="auto"/>
          <w:sz w:val="22"/>
          <w:szCs w:val="22"/>
          <w:highlight w:val="none"/>
        </w:rPr>
      </w:pPr>
      <w:r>
        <w:rPr>
          <w:rFonts w:hint="eastAsia" w:hAnsi="宋体" w:cs="宋体"/>
          <w:bCs/>
          <w:color w:val="auto"/>
          <w:sz w:val="22"/>
          <w:szCs w:val="22"/>
          <w:highlight w:val="none"/>
        </w:rPr>
        <w:t>（2）乙方亦可向甲方提前二个月发出书面通知终止执行合同，但需获得甲方同意。甲方有正当理由不同意的，则乙方应继续履约。</w:t>
      </w:r>
    </w:p>
    <w:p>
      <w:pPr>
        <w:pStyle w:val="11"/>
        <w:tabs>
          <w:tab w:val="left" w:pos="1069"/>
          <w:tab w:val="left" w:pos="2352"/>
        </w:tabs>
        <w:adjustRightInd w:val="0"/>
        <w:snapToGrid w:val="0"/>
        <w:spacing w:line="400" w:lineRule="atLeast"/>
        <w:ind w:firstLine="223" w:firstLineChars="100"/>
        <w:rPr>
          <w:rFonts w:hAnsi="宋体" w:cs="宋体"/>
          <w:bCs/>
          <w:color w:val="auto"/>
          <w:sz w:val="22"/>
          <w:szCs w:val="22"/>
          <w:highlight w:val="none"/>
        </w:rPr>
      </w:pPr>
      <w:r>
        <w:rPr>
          <w:rFonts w:hint="eastAsia" w:hAnsi="宋体" w:cs="宋体"/>
          <w:bCs/>
          <w:color w:val="auto"/>
          <w:sz w:val="22"/>
          <w:szCs w:val="22"/>
          <w:highlight w:val="none"/>
        </w:rPr>
        <w:t>（3）乙方未能履行合同和遵守有关规定，在甲方发出书面警告后仍未采取补救措施或补救措施无效的，甲方可立即终止合同。</w:t>
      </w:r>
    </w:p>
    <w:p>
      <w:pPr>
        <w:pStyle w:val="11"/>
        <w:tabs>
          <w:tab w:val="left" w:pos="1069"/>
          <w:tab w:val="left" w:pos="2352"/>
        </w:tabs>
        <w:adjustRightInd w:val="0"/>
        <w:snapToGrid w:val="0"/>
        <w:spacing w:line="400" w:lineRule="atLeast"/>
        <w:ind w:firstLine="223" w:firstLineChars="100"/>
        <w:rPr>
          <w:rFonts w:hAnsi="宋体" w:cs="宋体"/>
          <w:bCs/>
          <w:color w:val="auto"/>
          <w:sz w:val="22"/>
          <w:szCs w:val="22"/>
          <w:highlight w:val="none"/>
        </w:rPr>
      </w:pPr>
      <w:r>
        <w:rPr>
          <w:rFonts w:hint="eastAsia" w:hAnsi="宋体" w:cs="宋体"/>
          <w:bCs/>
          <w:color w:val="auto"/>
          <w:sz w:val="22"/>
          <w:szCs w:val="22"/>
          <w:highlight w:val="none"/>
        </w:rPr>
        <w:t>（4）乙方破产清算、重组及兼并等事实发生，或被债权人接管经营，甲方不必通知乙方即可终止合同。</w:t>
      </w:r>
    </w:p>
    <w:p>
      <w:pPr>
        <w:pStyle w:val="11"/>
        <w:tabs>
          <w:tab w:val="left" w:pos="1069"/>
          <w:tab w:val="left" w:pos="2352"/>
        </w:tabs>
        <w:adjustRightInd w:val="0"/>
        <w:snapToGrid w:val="0"/>
        <w:spacing w:line="400" w:lineRule="atLeast"/>
        <w:ind w:firstLine="223" w:firstLineChars="100"/>
        <w:rPr>
          <w:rFonts w:hAnsi="宋体" w:cs="宋体"/>
          <w:bCs/>
          <w:color w:val="auto"/>
          <w:sz w:val="22"/>
          <w:szCs w:val="22"/>
          <w:highlight w:val="none"/>
        </w:rPr>
      </w:pPr>
      <w:r>
        <w:rPr>
          <w:rFonts w:hint="eastAsia" w:hAnsi="宋体" w:cs="宋体"/>
          <w:bCs/>
          <w:color w:val="auto"/>
          <w:sz w:val="22"/>
          <w:szCs w:val="22"/>
          <w:highlight w:val="none"/>
        </w:rPr>
        <w:t>2.2自然终止</w:t>
      </w:r>
    </w:p>
    <w:p>
      <w:pPr>
        <w:pStyle w:val="11"/>
        <w:tabs>
          <w:tab w:val="left" w:pos="1069"/>
          <w:tab w:val="left" w:pos="2352"/>
        </w:tabs>
        <w:adjustRightInd w:val="0"/>
        <w:snapToGrid w:val="0"/>
        <w:spacing w:line="400" w:lineRule="atLeast"/>
        <w:ind w:firstLine="223" w:firstLineChars="100"/>
        <w:rPr>
          <w:rFonts w:hAnsi="宋体" w:cs="宋体"/>
          <w:bCs/>
          <w:color w:val="auto"/>
          <w:sz w:val="22"/>
          <w:szCs w:val="22"/>
          <w:highlight w:val="none"/>
        </w:rPr>
      </w:pPr>
      <w:r>
        <w:rPr>
          <w:rFonts w:hint="eastAsia" w:hAnsi="宋体" w:cs="宋体"/>
          <w:bCs/>
          <w:color w:val="auto"/>
          <w:sz w:val="22"/>
          <w:szCs w:val="22"/>
          <w:highlight w:val="none"/>
        </w:rPr>
        <w:t>合同约定的服务期限届满，本合同自然终止。</w:t>
      </w:r>
    </w:p>
    <w:p>
      <w:pPr>
        <w:pStyle w:val="11"/>
        <w:tabs>
          <w:tab w:val="left" w:pos="1069"/>
          <w:tab w:val="left" w:pos="2352"/>
        </w:tabs>
        <w:adjustRightInd w:val="0"/>
        <w:snapToGrid w:val="0"/>
        <w:spacing w:line="400" w:lineRule="atLeast"/>
        <w:ind w:firstLine="223" w:firstLineChars="100"/>
        <w:rPr>
          <w:rFonts w:hAnsi="宋体" w:cs="宋体"/>
          <w:b/>
          <w:color w:val="auto"/>
          <w:sz w:val="22"/>
          <w:szCs w:val="22"/>
          <w:highlight w:val="none"/>
        </w:rPr>
      </w:pPr>
      <w:r>
        <w:rPr>
          <w:rFonts w:hint="eastAsia" w:hAnsi="宋体" w:cs="宋体"/>
          <w:b/>
          <w:color w:val="auto"/>
          <w:sz w:val="22"/>
          <w:szCs w:val="22"/>
          <w:highlight w:val="none"/>
        </w:rPr>
        <w:t>十三、争议的解决</w:t>
      </w:r>
    </w:p>
    <w:p>
      <w:pPr>
        <w:pStyle w:val="11"/>
        <w:tabs>
          <w:tab w:val="left" w:pos="1069"/>
          <w:tab w:val="left" w:pos="2352"/>
        </w:tabs>
        <w:adjustRightInd w:val="0"/>
        <w:snapToGrid w:val="0"/>
        <w:spacing w:line="400" w:lineRule="atLeast"/>
        <w:ind w:firstLine="223" w:firstLineChars="100"/>
        <w:rPr>
          <w:rFonts w:hAnsi="宋体" w:cs="宋体"/>
          <w:bCs/>
          <w:color w:val="auto"/>
          <w:sz w:val="22"/>
          <w:szCs w:val="22"/>
          <w:highlight w:val="none"/>
        </w:rPr>
      </w:pPr>
      <w:r>
        <w:rPr>
          <w:rFonts w:hint="eastAsia" w:hAnsi="宋体" w:cs="宋体"/>
          <w:bCs/>
          <w:color w:val="auto"/>
          <w:sz w:val="22"/>
          <w:szCs w:val="22"/>
          <w:highlight w:val="none"/>
        </w:rPr>
        <w:t xml:space="preserve">   因本合同引起的或与本合同有关的任何争议，合同双方应首先通过协商解决，达成书面协议，如协商不成，可选择下列第（2）种方式解决。</w:t>
      </w:r>
    </w:p>
    <w:p>
      <w:pPr>
        <w:pStyle w:val="11"/>
        <w:tabs>
          <w:tab w:val="left" w:pos="1069"/>
          <w:tab w:val="left" w:pos="2352"/>
        </w:tabs>
        <w:adjustRightInd w:val="0"/>
        <w:snapToGrid w:val="0"/>
        <w:spacing w:line="400" w:lineRule="atLeast"/>
        <w:ind w:firstLine="223" w:firstLineChars="100"/>
        <w:rPr>
          <w:rFonts w:hAnsi="宋体" w:cs="宋体"/>
          <w:bCs/>
          <w:color w:val="auto"/>
          <w:sz w:val="22"/>
          <w:szCs w:val="22"/>
          <w:highlight w:val="none"/>
        </w:rPr>
      </w:pPr>
      <w:r>
        <w:rPr>
          <w:rFonts w:hint="eastAsia" w:hAnsi="宋体" w:cs="宋体"/>
          <w:bCs/>
          <w:color w:val="auto"/>
          <w:sz w:val="22"/>
          <w:szCs w:val="22"/>
          <w:highlight w:val="none"/>
        </w:rPr>
        <w:t>（1）提请温州仲裁委员会按照该会仲裁规则进行仲裁，仲裁裁决是终局的，对合同双方均有约束力。</w:t>
      </w:r>
    </w:p>
    <w:p>
      <w:pPr>
        <w:pStyle w:val="11"/>
        <w:tabs>
          <w:tab w:val="left" w:pos="1069"/>
          <w:tab w:val="left" w:pos="2352"/>
        </w:tabs>
        <w:adjustRightInd w:val="0"/>
        <w:snapToGrid w:val="0"/>
        <w:spacing w:line="400" w:lineRule="atLeast"/>
        <w:ind w:firstLine="223" w:firstLineChars="100"/>
        <w:rPr>
          <w:rFonts w:hAnsi="宋体" w:cs="宋体"/>
          <w:bCs/>
          <w:color w:val="auto"/>
          <w:sz w:val="22"/>
          <w:szCs w:val="22"/>
          <w:highlight w:val="none"/>
        </w:rPr>
      </w:pPr>
      <w:r>
        <w:rPr>
          <w:rFonts w:hint="eastAsia" w:hAnsi="宋体" w:cs="宋体"/>
          <w:bCs/>
          <w:color w:val="auto"/>
          <w:sz w:val="22"/>
          <w:szCs w:val="22"/>
          <w:highlight w:val="none"/>
        </w:rPr>
        <w:t>（2）向泰顺县人民法院提起诉讼。</w:t>
      </w:r>
    </w:p>
    <w:p>
      <w:pPr>
        <w:pStyle w:val="11"/>
        <w:tabs>
          <w:tab w:val="left" w:pos="1069"/>
          <w:tab w:val="left" w:pos="2352"/>
        </w:tabs>
        <w:adjustRightInd w:val="0"/>
        <w:snapToGrid w:val="0"/>
        <w:spacing w:line="400" w:lineRule="atLeast"/>
        <w:ind w:firstLine="223" w:firstLineChars="100"/>
        <w:rPr>
          <w:rFonts w:hAnsi="宋体" w:cs="宋体"/>
          <w:b/>
          <w:color w:val="auto"/>
          <w:sz w:val="22"/>
          <w:szCs w:val="22"/>
          <w:highlight w:val="none"/>
        </w:rPr>
      </w:pPr>
      <w:r>
        <w:rPr>
          <w:rFonts w:hint="eastAsia" w:hAnsi="宋体" w:cs="宋体"/>
          <w:b/>
          <w:color w:val="auto"/>
          <w:sz w:val="22"/>
          <w:szCs w:val="22"/>
          <w:highlight w:val="none"/>
        </w:rPr>
        <w:t>十四、不可抗力</w:t>
      </w:r>
    </w:p>
    <w:p>
      <w:pPr>
        <w:pStyle w:val="11"/>
        <w:tabs>
          <w:tab w:val="left" w:pos="1069"/>
          <w:tab w:val="left" w:pos="2352"/>
        </w:tabs>
        <w:adjustRightInd w:val="0"/>
        <w:snapToGrid w:val="0"/>
        <w:spacing w:line="400" w:lineRule="atLeast"/>
        <w:ind w:firstLine="223" w:firstLineChars="100"/>
        <w:rPr>
          <w:rFonts w:hAnsi="宋体" w:cs="宋体"/>
          <w:bCs/>
          <w:color w:val="auto"/>
          <w:sz w:val="22"/>
          <w:szCs w:val="22"/>
          <w:highlight w:val="none"/>
        </w:rPr>
      </w:pPr>
      <w:r>
        <w:rPr>
          <w:rFonts w:hint="eastAsia" w:hAnsi="宋体" w:cs="宋体"/>
          <w:bCs/>
          <w:color w:val="auto"/>
          <w:sz w:val="22"/>
          <w:szCs w:val="22"/>
          <w:highlight w:val="none"/>
        </w:rPr>
        <w:t xml:space="preserve"> 1.合同存续期间发生地震、火灾及其他双方不能控制的原因，导致服务区域损毁或灭</w:t>
      </w:r>
    </w:p>
    <w:p>
      <w:pPr>
        <w:pStyle w:val="11"/>
        <w:tabs>
          <w:tab w:val="left" w:pos="1069"/>
          <w:tab w:val="left" w:pos="2352"/>
        </w:tabs>
        <w:adjustRightInd w:val="0"/>
        <w:snapToGrid w:val="0"/>
        <w:spacing w:line="400" w:lineRule="atLeast"/>
        <w:ind w:firstLine="223" w:firstLineChars="100"/>
        <w:rPr>
          <w:rFonts w:hAnsi="宋体" w:cs="宋体"/>
          <w:bCs/>
          <w:color w:val="auto"/>
          <w:sz w:val="22"/>
          <w:szCs w:val="22"/>
          <w:highlight w:val="none"/>
        </w:rPr>
      </w:pPr>
      <w:r>
        <w:rPr>
          <w:rFonts w:hint="eastAsia" w:hAnsi="宋体" w:cs="宋体"/>
          <w:bCs/>
          <w:color w:val="auto"/>
          <w:sz w:val="22"/>
          <w:szCs w:val="22"/>
          <w:highlight w:val="none"/>
        </w:rPr>
        <w:t>失，合同不能或不能全部履行的。双方按以下各项执行：</w:t>
      </w:r>
    </w:p>
    <w:p>
      <w:pPr>
        <w:pStyle w:val="11"/>
        <w:tabs>
          <w:tab w:val="left" w:pos="1069"/>
          <w:tab w:val="left" w:pos="2352"/>
        </w:tabs>
        <w:adjustRightInd w:val="0"/>
        <w:snapToGrid w:val="0"/>
        <w:spacing w:line="400" w:lineRule="atLeast"/>
        <w:ind w:firstLine="223" w:firstLineChars="100"/>
        <w:rPr>
          <w:rFonts w:hAnsi="宋体" w:cs="宋体"/>
          <w:bCs/>
          <w:color w:val="auto"/>
          <w:sz w:val="22"/>
          <w:szCs w:val="22"/>
          <w:highlight w:val="none"/>
        </w:rPr>
      </w:pPr>
      <w:r>
        <w:rPr>
          <w:rFonts w:hint="eastAsia" w:hAnsi="宋体" w:cs="宋体"/>
          <w:bCs/>
          <w:color w:val="auto"/>
          <w:sz w:val="22"/>
          <w:szCs w:val="22"/>
          <w:highlight w:val="none"/>
        </w:rPr>
        <w:t>（1）任何一方均可以书面形式提出终止合同且无需做出任何赔偿。</w:t>
      </w:r>
    </w:p>
    <w:p>
      <w:pPr>
        <w:pStyle w:val="11"/>
        <w:tabs>
          <w:tab w:val="left" w:pos="1069"/>
          <w:tab w:val="left" w:pos="2352"/>
        </w:tabs>
        <w:adjustRightInd w:val="0"/>
        <w:snapToGrid w:val="0"/>
        <w:spacing w:line="400" w:lineRule="atLeast"/>
        <w:ind w:firstLine="223" w:firstLineChars="100"/>
        <w:rPr>
          <w:rFonts w:hAnsi="宋体" w:cs="宋体"/>
          <w:bCs/>
          <w:color w:val="auto"/>
          <w:sz w:val="22"/>
          <w:szCs w:val="22"/>
          <w:highlight w:val="none"/>
        </w:rPr>
      </w:pPr>
      <w:r>
        <w:rPr>
          <w:rFonts w:hint="eastAsia" w:hAnsi="宋体" w:cs="宋体"/>
          <w:bCs/>
          <w:color w:val="auto"/>
          <w:sz w:val="22"/>
          <w:szCs w:val="22"/>
          <w:highlight w:val="none"/>
        </w:rPr>
        <w:t>（2） 因不可抗力导致合同终止，并不影响任何一方对不可抗力发生前的违约行为的合</w:t>
      </w:r>
    </w:p>
    <w:p>
      <w:pPr>
        <w:pStyle w:val="11"/>
        <w:tabs>
          <w:tab w:val="left" w:pos="1069"/>
          <w:tab w:val="left" w:pos="2352"/>
        </w:tabs>
        <w:adjustRightInd w:val="0"/>
        <w:snapToGrid w:val="0"/>
        <w:spacing w:line="400" w:lineRule="atLeast"/>
        <w:ind w:firstLine="223" w:firstLineChars="100"/>
        <w:rPr>
          <w:rFonts w:hAnsi="宋体" w:cs="宋体"/>
          <w:bCs/>
          <w:color w:val="auto"/>
          <w:sz w:val="22"/>
          <w:szCs w:val="22"/>
          <w:highlight w:val="none"/>
        </w:rPr>
      </w:pPr>
      <w:r>
        <w:rPr>
          <w:rFonts w:hint="eastAsia" w:hAnsi="宋体" w:cs="宋体"/>
          <w:bCs/>
          <w:color w:val="auto"/>
          <w:sz w:val="22"/>
          <w:szCs w:val="22"/>
          <w:highlight w:val="none"/>
        </w:rPr>
        <w:t>法追偿。</w:t>
      </w:r>
    </w:p>
    <w:p>
      <w:pPr>
        <w:pStyle w:val="11"/>
        <w:tabs>
          <w:tab w:val="left" w:pos="1069"/>
          <w:tab w:val="left" w:pos="2352"/>
        </w:tabs>
        <w:adjustRightInd w:val="0"/>
        <w:snapToGrid w:val="0"/>
        <w:spacing w:line="400" w:lineRule="atLeast"/>
        <w:ind w:firstLine="223" w:firstLineChars="100"/>
        <w:rPr>
          <w:rFonts w:hAnsi="宋体" w:cs="宋体"/>
          <w:bCs/>
          <w:color w:val="auto"/>
          <w:sz w:val="22"/>
          <w:szCs w:val="22"/>
          <w:highlight w:val="none"/>
        </w:rPr>
      </w:pPr>
      <w:r>
        <w:rPr>
          <w:rFonts w:hint="eastAsia" w:hAnsi="宋体" w:cs="宋体"/>
          <w:bCs/>
          <w:color w:val="auto"/>
          <w:sz w:val="22"/>
          <w:szCs w:val="22"/>
          <w:highlight w:val="none"/>
        </w:rPr>
        <w:t>2.遇国家政策调整，影响合同履行的，双方协商解决。</w:t>
      </w:r>
    </w:p>
    <w:p>
      <w:pPr>
        <w:pStyle w:val="11"/>
        <w:tabs>
          <w:tab w:val="left" w:pos="1069"/>
          <w:tab w:val="left" w:pos="2352"/>
        </w:tabs>
        <w:adjustRightInd w:val="0"/>
        <w:snapToGrid w:val="0"/>
        <w:spacing w:line="400" w:lineRule="atLeast"/>
        <w:ind w:firstLine="223" w:firstLineChars="100"/>
        <w:rPr>
          <w:rFonts w:hAnsi="宋体" w:cs="宋体"/>
          <w:b/>
          <w:color w:val="auto"/>
          <w:sz w:val="22"/>
          <w:szCs w:val="22"/>
          <w:highlight w:val="none"/>
        </w:rPr>
      </w:pPr>
      <w:r>
        <w:rPr>
          <w:rFonts w:hint="eastAsia" w:hAnsi="宋体" w:cs="宋体"/>
          <w:b/>
          <w:color w:val="auto"/>
          <w:sz w:val="22"/>
          <w:szCs w:val="22"/>
          <w:highlight w:val="none"/>
        </w:rPr>
        <w:t>十五、合同生效</w:t>
      </w:r>
    </w:p>
    <w:p>
      <w:pPr>
        <w:pStyle w:val="11"/>
        <w:tabs>
          <w:tab w:val="left" w:pos="1069"/>
          <w:tab w:val="left" w:pos="2352"/>
        </w:tabs>
        <w:adjustRightInd w:val="0"/>
        <w:snapToGrid w:val="0"/>
        <w:spacing w:line="400" w:lineRule="atLeast"/>
        <w:ind w:firstLine="223" w:firstLineChars="100"/>
        <w:rPr>
          <w:rFonts w:hAnsi="宋体" w:cs="宋体"/>
          <w:bCs/>
          <w:color w:val="auto"/>
          <w:sz w:val="22"/>
          <w:szCs w:val="22"/>
          <w:highlight w:val="none"/>
        </w:rPr>
      </w:pPr>
      <w:r>
        <w:rPr>
          <w:rFonts w:hint="eastAsia" w:hAnsi="宋体" w:cs="宋体"/>
          <w:bCs/>
          <w:color w:val="auto"/>
          <w:sz w:val="22"/>
          <w:szCs w:val="22"/>
          <w:highlight w:val="none"/>
        </w:rPr>
        <w:t>1．中标（成交）通知书作为乙方与甲方签订合同的凭证。</w:t>
      </w:r>
    </w:p>
    <w:p>
      <w:pPr>
        <w:pStyle w:val="11"/>
        <w:tabs>
          <w:tab w:val="left" w:pos="1069"/>
          <w:tab w:val="left" w:pos="2352"/>
        </w:tabs>
        <w:adjustRightInd w:val="0"/>
        <w:snapToGrid w:val="0"/>
        <w:spacing w:line="400" w:lineRule="atLeast"/>
        <w:ind w:firstLine="223" w:firstLineChars="100"/>
        <w:rPr>
          <w:rFonts w:hAnsi="宋体" w:cs="宋体"/>
          <w:bCs/>
          <w:color w:val="auto"/>
          <w:sz w:val="22"/>
          <w:szCs w:val="22"/>
          <w:highlight w:val="none"/>
        </w:rPr>
      </w:pPr>
      <w:r>
        <w:rPr>
          <w:rFonts w:hint="eastAsia" w:hAnsi="宋体" w:cs="宋体"/>
          <w:bCs/>
          <w:color w:val="auto"/>
          <w:sz w:val="22"/>
          <w:szCs w:val="22"/>
          <w:highlight w:val="none"/>
        </w:rPr>
        <w:t>2．本合同经甲、乙双方法定代表人或其授权委托人签字并加盖单位公章后生效。</w:t>
      </w:r>
    </w:p>
    <w:p>
      <w:pPr>
        <w:pStyle w:val="11"/>
        <w:tabs>
          <w:tab w:val="left" w:pos="1069"/>
          <w:tab w:val="left" w:pos="2352"/>
        </w:tabs>
        <w:adjustRightInd w:val="0"/>
        <w:snapToGrid w:val="0"/>
        <w:spacing w:line="400" w:lineRule="atLeast"/>
        <w:ind w:firstLine="223" w:firstLineChars="100"/>
        <w:rPr>
          <w:rFonts w:hAnsi="宋体" w:cs="宋体"/>
          <w:bCs/>
          <w:color w:val="auto"/>
          <w:sz w:val="22"/>
          <w:szCs w:val="22"/>
          <w:highlight w:val="none"/>
        </w:rPr>
      </w:pPr>
      <w:r>
        <w:rPr>
          <w:rFonts w:hint="eastAsia" w:hAnsi="宋体" w:cs="宋体"/>
          <w:bCs/>
          <w:color w:val="auto"/>
          <w:sz w:val="22"/>
          <w:szCs w:val="22"/>
          <w:highlight w:val="none"/>
        </w:rPr>
        <w:t>3. 本合同一式伍份，甲、乙双方各执</w:t>
      </w:r>
      <w:r>
        <w:rPr>
          <w:rFonts w:hint="eastAsia" w:hAnsi="宋体" w:cs="宋体"/>
          <w:bCs/>
          <w:color w:val="auto"/>
          <w:sz w:val="22"/>
          <w:szCs w:val="22"/>
          <w:highlight w:val="none"/>
          <w:u w:val="single"/>
        </w:rPr>
        <w:t>贰</w:t>
      </w:r>
      <w:r>
        <w:rPr>
          <w:rFonts w:hint="eastAsia" w:hAnsi="宋体" w:cs="宋体"/>
          <w:bCs/>
          <w:color w:val="auto"/>
          <w:sz w:val="22"/>
          <w:szCs w:val="22"/>
          <w:highlight w:val="none"/>
        </w:rPr>
        <w:t>份，招标代理机构备案</w:t>
      </w:r>
      <w:r>
        <w:rPr>
          <w:rFonts w:hint="eastAsia" w:hAnsi="宋体" w:cs="宋体"/>
          <w:bCs/>
          <w:color w:val="auto"/>
          <w:sz w:val="22"/>
          <w:szCs w:val="22"/>
          <w:highlight w:val="none"/>
          <w:u w:val="single"/>
        </w:rPr>
        <w:t>壹</w:t>
      </w:r>
      <w:r>
        <w:rPr>
          <w:rFonts w:hint="eastAsia" w:hAnsi="宋体" w:cs="宋体"/>
          <w:bCs/>
          <w:color w:val="auto"/>
          <w:sz w:val="22"/>
          <w:szCs w:val="22"/>
          <w:highlight w:val="none"/>
        </w:rPr>
        <w:t>份。</w:t>
      </w:r>
    </w:p>
    <w:p>
      <w:pPr>
        <w:widowControl/>
        <w:tabs>
          <w:tab w:val="left" w:pos="1069"/>
          <w:tab w:val="left" w:pos="2352"/>
        </w:tabs>
        <w:spacing w:line="380" w:lineRule="exact"/>
        <w:jc w:val="left"/>
        <w:rPr>
          <w:rFonts w:ascii="宋体" w:hAnsi="宋体" w:cs="宋体"/>
          <w:b/>
          <w:color w:val="auto"/>
          <w:sz w:val="22"/>
          <w:highlight w:val="none"/>
        </w:rPr>
      </w:pPr>
      <w:r>
        <w:rPr>
          <w:rFonts w:hint="eastAsia" w:ascii="宋体" w:hAnsi="宋体" w:cs="宋体"/>
          <w:b/>
          <w:color w:val="auto"/>
          <w:sz w:val="22"/>
          <w:highlight w:val="none"/>
        </w:rPr>
        <w:t>十六、合同组成文件及解释顺序</w:t>
      </w:r>
    </w:p>
    <w:p>
      <w:pPr>
        <w:widowControl/>
        <w:tabs>
          <w:tab w:val="left" w:pos="1069"/>
          <w:tab w:val="left" w:pos="2352"/>
        </w:tabs>
        <w:spacing w:line="380" w:lineRule="exact"/>
        <w:jc w:val="left"/>
        <w:rPr>
          <w:rFonts w:ascii="宋体" w:hAnsi="宋体" w:cs="宋体"/>
          <w:bCs/>
          <w:color w:val="auto"/>
          <w:sz w:val="22"/>
          <w:highlight w:val="none"/>
        </w:rPr>
      </w:pPr>
      <w:r>
        <w:rPr>
          <w:rFonts w:hint="eastAsia" w:ascii="宋体" w:hAnsi="宋体" w:cs="宋体"/>
          <w:bCs/>
          <w:color w:val="auto"/>
          <w:sz w:val="22"/>
          <w:highlight w:val="none"/>
        </w:rPr>
        <w:t>1．合同条款；</w:t>
      </w:r>
    </w:p>
    <w:p>
      <w:pPr>
        <w:widowControl/>
        <w:tabs>
          <w:tab w:val="left" w:pos="1069"/>
          <w:tab w:val="left" w:pos="2352"/>
        </w:tabs>
        <w:spacing w:line="380" w:lineRule="exact"/>
        <w:jc w:val="left"/>
        <w:rPr>
          <w:rFonts w:ascii="宋体" w:hAnsi="宋体" w:cs="宋体"/>
          <w:bCs/>
          <w:color w:val="auto"/>
          <w:sz w:val="22"/>
          <w:highlight w:val="none"/>
        </w:rPr>
      </w:pPr>
      <w:r>
        <w:rPr>
          <w:rFonts w:hint="eastAsia" w:ascii="宋体" w:hAnsi="宋体" w:cs="宋体"/>
          <w:bCs/>
          <w:color w:val="auto"/>
          <w:sz w:val="22"/>
          <w:highlight w:val="none"/>
        </w:rPr>
        <w:t>2．中标（成交）通知书；</w:t>
      </w:r>
    </w:p>
    <w:p>
      <w:pPr>
        <w:widowControl/>
        <w:tabs>
          <w:tab w:val="left" w:pos="1069"/>
          <w:tab w:val="left" w:pos="2352"/>
        </w:tabs>
        <w:spacing w:line="380" w:lineRule="exact"/>
        <w:jc w:val="left"/>
        <w:rPr>
          <w:rFonts w:ascii="宋体" w:hAnsi="宋体" w:cs="宋体"/>
          <w:bCs/>
          <w:color w:val="auto"/>
          <w:sz w:val="22"/>
          <w:highlight w:val="none"/>
        </w:rPr>
      </w:pPr>
      <w:r>
        <w:rPr>
          <w:rFonts w:hint="eastAsia" w:ascii="宋体" w:hAnsi="宋体" w:cs="宋体"/>
          <w:bCs/>
          <w:color w:val="auto"/>
          <w:sz w:val="22"/>
          <w:highlight w:val="none"/>
        </w:rPr>
        <w:t>3．响应文件及澄清内容；</w:t>
      </w:r>
    </w:p>
    <w:p>
      <w:pPr>
        <w:widowControl/>
        <w:tabs>
          <w:tab w:val="left" w:pos="1069"/>
          <w:tab w:val="left" w:pos="2352"/>
        </w:tabs>
        <w:spacing w:line="380" w:lineRule="exact"/>
        <w:jc w:val="left"/>
        <w:rPr>
          <w:rFonts w:ascii="宋体" w:hAnsi="宋体" w:cs="宋体"/>
          <w:bCs/>
          <w:color w:val="auto"/>
          <w:sz w:val="22"/>
          <w:highlight w:val="none"/>
        </w:rPr>
      </w:pPr>
      <w:r>
        <w:rPr>
          <w:rFonts w:hint="eastAsia" w:ascii="宋体" w:hAnsi="宋体" w:cs="宋体"/>
          <w:bCs/>
          <w:color w:val="auto"/>
          <w:sz w:val="22"/>
          <w:highlight w:val="none"/>
        </w:rPr>
        <w:t>4．澄清更正公告（如有）；</w:t>
      </w:r>
    </w:p>
    <w:p>
      <w:pPr>
        <w:widowControl/>
        <w:tabs>
          <w:tab w:val="left" w:pos="1069"/>
          <w:tab w:val="left" w:pos="2352"/>
        </w:tabs>
        <w:spacing w:line="380" w:lineRule="exact"/>
        <w:jc w:val="left"/>
        <w:rPr>
          <w:rFonts w:ascii="宋体" w:hAnsi="宋体" w:cs="宋体"/>
          <w:bCs/>
          <w:color w:val="auto"/>
          <w:sz w:val="22"/>
          <w:highlight w:val="none"/>
        </w:rPr>
      </w:pPr>
      <w:r>
        <w:rPr>
          <w:rFonts w:hint="eastAsia" w:ascii="宋体" w:hAnsi="宋体" w:cs="宋体"/>
          <w:bCs/>
          <w:color w:val="auto"/>
          <w:sz w:val="22"/>
          <w:highlight w:val="none"/>
        </w:rPr>
        <w:t>5．采购文件。</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261" w:type="dxa"/>
          </w:tcPr>
          <w:p>
            <w:pPr>
              <w:widowControl/>
              <w:tabs>
                <w:tab w:val="left" w:pos="1069"/>
                <w:tab w:val="left" w:pos="2352"/>
              </w:tabs>
              <w:spacing w:line="380" w:lineRule="exact"/>
              <w:jc w:val="left"/>
              <w:rPr>
                <w:rFonts w:ascii="宋体" w:hAnsi="宋体" w:cs="宋体"/>
                <w:bCs/>
                <w:color w:val="auto"/>
                <w:sz w:val="22"/>
                <w:highlight w:val="none"/>
              </w:rPr>
            </w:pPr>
            <w:r>
              <w:rPr>
                <w:rFonts w:hint="eastAsia" w:ascii="宋体" w:hAnsi="宋体" w:cs="宋体"/>
                <w:bCs/>
                <w:color w:val="auto"/>
                <w:sz w:val="22"/>
                <w:highlight w:val="none"/>
              </w:rPr>
              <w:t>甲方（盖章）：</w:t>
            </w:r>
          </w:p>
        </w:tc>
        <w:tc>
          <w:tcPr>
            <w:tcW w:w="4261" w:type="dxa"/>
          </w:tcPr>
          <w:p>
            <w:pPr>
              <w:widowControl/>
              <w:tabs>
                <w:tab w:val="left" w:pos="1069"/>
                <w:tab w:val="left" w:pos="2352"/>
              </w:tabs>
              <w:spacing w:line="380" w:lineRule="exact"/>
              <w:jc w:val="left"/>
              <w:rPr>
                <w:rFonts w:ascii="宋体" w:hAnsi="宋体" w:cs="宋体"/>
                <w:bCs/>
                <w:color w:val="auto"/>
                <w:sz w:val="22"/>
                <w:highlight w:val="none"/>
              </w:rPr>
            </w:pPr>
            <w:r>
              <w:rPr>
                <w:rFonts w:hint="eastAsia" w:ascii="宋体" w:hAnsi="宋体" w:cs="宋体"/>
                <w:bCs/>
                <w:color w:val="auto"/>
                <w:sz w:val="22"/>
                <w:highlight w:val="none"/>
              </w:rPr>
              <w:t>乙方（盖章）：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61" w:type="dxa"/>
          </w:tcPr>
          <w:p>
            <w:pPr>
              <w:widowControl/>
              <w:tabs>
                <w:tab w:val="left" w:pos="1069"/>
                <w:tab w:val="left" w:pos="2352"/>
              </w:tabs>
              <w:spacing w:line="380" w:lineRule="exact"/>
              <w:jc w:val="left"/>
              <w:rPr>
                <w:rFonts w:ascii="宋体" w:hAnsi="宋体" w:cs="宋体"/>
                <w:bCs/>
                <w:color w:val="auto"/>
                <w:sz w:val="22"/>
                <w:highlight w:val="none"/>
              </w:rPr>
            </w:pPr>
            <w:r>
              <w:rPr>
                <w:rFonts w:hint="eastAsia" w:ascii="宋体" w:hAnsi="宋体" w:cs="宋体"/>
                <w:bCs/>
                <w:color w:val="auto"/>
                <w:sz w:val="22"/>
                <w:highlight w:val="none"/>
              </w:rPr>
              <w:t>地址：</w:t>
            </w:r>
          </w:p>
        </w:tc>
        <w:tc>
          <w:tcPr>
            <w:tcW w:w="4261" w:type="dxa"/>
          </w:tcPr>
          <w:p>
            <w:pPr>
              <w:widowControl/>
              <w:tabs>
                <w:tab w:val="left" w:pos="1069"/>
                <w:tab w:val="left" w:pos="2352"/>
              </w:tabs>
              <w:spacing w:line="380" w:lineRule="exact"/>
              <w:jc w:val="left"/>
              <w:rPr>
                <w:rFonts w:ascii="宋体" w:hAnsi="宋体" w:cs="宋体"/>
                <w:bCs/>
                <w:color w:val="auto"/>
                <w:sz w:val="22"/>
                <w:highlight w:val="none"/>
              </w:rPr>
            </w:pPr>
            <w:r>
              <w:rPr>
                <w:rFonts w:hint="eastAsia" w:ascii="宋体" w:hAnsi="宋体" w:cs="宋体"/>
                <w:bCs/>
                <w:color w:val="auto"/>
                <w:sz w:val="22"/>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261" w:type="dxa"/>
          </w:tcPr>
          <w:p>
            <w:pPr>
              <w:widowControl/>
              <w:tabs>
                <w:tab w:val="left" w:pos="1069"/>
                <w:tab w:val="left" w:pos="2352"/>
              </w:tabs>
              <w:spacing w:line="380" w:lineRule="exact"/>
              <w:jc w:val="left"/>
              <w:rPr>
                <w:rFonts w:ascii="宋体" w:hAnsi="宋体" w:cs="宋体"/>
                <w:bCs/>
                <w:color w:val="auto"/>
                <w:sz w:val="22"/>
                <w:highlight w:val="none"/>
              </w:rPr>
            </w:pPr>
            <w:r>
              <w:rPr>
                <w:rFonts w:hint="eastAsia" w:ascii="宋体" w:hAnsi="宋体" w:cs="宋体"/>
                <w:bCs/>
                <w:color w:val="auto"/>
                <w:sz w:val="22"/>
                <w:highlight w:val="none"/>
              </w:rPr>
              <w:t>法定代表人签字</w:t>
            </w:r>
          </w:p>
        </w:tc>
        <w:tc>
          <w:tcPr>
            <w:tcW w:w="4261" w:type="dxa"/>
          </w:tcPr>
          <w:p>
            <w:pPr>
              <w:widowControl/>
              <w:tabs>
                <w:tab w:val="left" w:pos="1069"/>
                <w:tab w:val="left" w:pos="2352"/>
              </w:tabs>
              <w:spacing w:line="380" w:lineRule="exact"/>
              <w:jc w:val="left"/>
              <w:rPr>
                <w:rFonts w:ascii="宋体" w:hAnsi="宋体" w:cs="宋体"/>
                <w:bCs/>
                <w:color w:val="auto"/>
                <w:sz w:val="22"/>
                <w:highlight w:val="none"/>
              </w:rPr>
            </w:pPr>
            <w:r>
              <w:rPr>
                <w:rFonts w:hint="eastAsia" w:ascii="宋体" w:hAnsi="宋体" w:cs="宋体"/>
                <w:bCs/>
                <w:color w:val="auto"/>
                <w:sz w:val="22"/>
                <w:highlight w:val="none"/>
              </w:rPr>
              <w:t>法定（授权）代表人签字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61" w:type="dxa"/>
          </w:tcPr>
          <w:p>
            <w:pPr>
              <w:widowControl/>
              <w:tabs>
                <w:tab w:val="left" w:pos="1069"/>
                <w:tab w:val="left" w:pos="2352"/>
              </w:tabs>
              <w:spacing w:line="380" w:lineRule="exact"/>
              <w:jc w:val="left"/>
              <w:rPr>
                <w:rFonts w:ascii="宋体" w:hAnsi="宋体" w:cs="宋体"/>
                <w:bCs/>
                <w:color w:val="auto"/>
                <w:sz w:val="22"/>
                <w:highlight w:val="none"/>
              </w:rPr>
            </w:pPr>
            <w:r>
              <w:rPr>
                <w:rFonts w:hint="eastAsia" w:ascii="宋体" w:hAnsi="宋体" w:cs="宋体"/>
                <w:bCs/>
                <w:color w:val="auto"/>
                <w:sz w:val="22"/>
                <w:highlight w:val="none"/>
              </w:rPr>
              <w:t>联系电话：</w:t>
            </w:r>
          </w:p>
        </w:tc>
        <w:tc>
          <w:tcPr>
            <w:tcW w:w="4261" w:type="dxa"/>
          </w:tcPr>
          <w:p>
            <w:pPr>
              <w:widowControl/>
              <w:tabs>
                <w:tab w:val="left" w:pos="1069"/>
                <w:tab w:val="left" w:pos="2352"/>
              </w:tabs>
              <w:spacing w:line="380" w:lineRule="exact"/>
              <w:jc w:val="left"/>
              <w:rPr>
                <w:rFonts w:ascii="宋体" w:hAnsi="宋体" w:cs="宋体"/>
                <w:bCs/>
                <w:color w:val="auto"/>
                <w:sz w:val="22"/>
                <w:highlight w:val="none"/>
              </w:rPr>
            </w:pPr>
            <w:r>
              <w:rPr>
                <w:rFonts w:hint="eastAsia" w:ascii="宋体" w:hAnsi="宋体" w:cs="宋体"/>
                <w:bCs/>
                <w:color w:val="auto"/>
                <w:sz w:val="22"/>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261" w:type="dxa"/>
          </w:tcPr>
          <w:p>
            <w:pPr>
              <w:widowControl/>
              <w:tabs>
                <w:tab w:val="left" w:pos="1069"/>
                <w:tab w:val="left" w:pos="2352"/>
              </w:tabs>
              <w:spacing w:line="380" w:lineRule="exact"/>
              <w:jc w:val="left"/>
              <w:rPr>
                <w:rFonts w:ascii="宋体" w:hAnsi="宋体" w:cs="宋体"/>
                <w:bCs/>
                <w:color w:val="auto"/>
                <w:sz w:val="22"/>
                <w:highlight w:val="none"/>
              </w:rPr>
            </w:pPr>
            <w:r>
              <w:rPr>
                <w:rFonts w:hint="eastAsia" w:ascii="宋体" w:hAnsi="宋体" w:cs="宋体"/>
                <w:bCs/>
                <w:color w:val="auto"/>
                <w:sz w:val="22"/>
                <w:highlight w:val="none"/>
              </w:rPr>
              <w:t>邮政编码：</w:t>
            </w:r>
          </w:p>
        </w:tc>
        <w:tc>
          <w:tcPr>
            <w:tcW w:w="4261" w:type="dxa"/>
          </w:tcPr>
          <w:p>
            <w:pPr>
              <w:widowControl/>
              <w:tabs>
                <w:tab w:val="left" w:pos="1069"/>
                <w:tab w:val="left" w:pos="2352"/>
              </w:tabs>
              <w:spacing w:line="380" w:lineRule="exact"/>
              <w:jc w:val="left"/>
              <w:rPr>
                <w:rFonts w:ascii="宋体" w:hAnsi="宋体" w:cs="宋体"/>
                <w:bCs/>
                <w:color w:val="auto"/>
                <w:sz w:val="22"/>
                <w:highlight w:val="none"/>
              </w:rPr>
            </w:pPr>
            <w:r>
              <w:rPr>
                <w:rFonts w:hint="eastAsia" w:ascii="宋体" w:hAnsi="宋体" w:cs="宋体"/>
                <w:bCs/>
                <w:color w:val="auto"/>
                <w:sz w:val="22"/>
                <w:highlight w:val="none"/>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261" w:type="dxa"/>
          </w:tcPr>
          <w:p>
            <w:pPr>
              <w:widowControl/>
              <w:tabs>
                <w:tab w:val="left" w:pos="1069"/>
                <w:tab w:val="left" w:pos="2352"/>
              </w:tabs>
              <w:spacing w:line="380" w:lineRule="exact"/>
              <w:jc w:val="left"/>
              <w:rPr>
                <w:rFonts w:ascii="宋体" w:hAnsi="宋体" w:cs="宋体"/>
                <w:bCs/>
                <w:color w:val="auto"/>
                <w:sz w:val="22"/>
                <w:highlight w:val="none"/>
              </w:rPr>
            </w:pPr>
            <w:r>
              <w:rPr>
                <w:rFonts w:hint="eastAsia" w:ascii="宋体" w:hAnsi="宋体" w:cs="宋体"/>
                <w:bCs/>
                <w:color w:val="auto"/>
                <w:sz w:val="22"/>
                <w:highlight w:val="none"/>
              </w:rPr>
              <w:t>开户银行：</w:t>
            </w:r>
          </w:p>
        </w:tc>
        <w:tc>
          <w:tcPr>
            <w:tcW w:w="4261" w:type="dxa"/>
          </w:tcPr>
          <w:p>
            <w:pPr>
              <w:widowControl/>
              <w:tabs>
                <w:tab w:val="left" w:pos="1069"/>
                <w:tab w:val="left" w:pos="2352"/>
              </w:tabs>
              <w:spacing w:line="380" w:lineRule="exact"/>
              <w:jc w:val="left"/>
              <w:rPr>
                <w:rFonts w:ascii="宋体" w:hAnsi="宋体" w:cs="宋体"/>
                <w:bCs/>
                <w:color w:val="auto"/>
                <w:sz w:val="22"/>
                <w:highlight w:val="none"/>
              </w:rPr>
            </w:pPr>
            <w:r>
              <w:rPr>
                <w:rFonts w:hint="eastAsia" w:ascii="宋体" w:hAnsi="宋体" w:cs="宋体"/>
                <w:bCs/>
                <w:color w:val="auto"/>
                <w:sz w:val="22"/>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61" w:type="dxa"/>
          </w:tcPr>
          <w:p>
            <w:pPr>
              <w:widowControl/>
              <w:tabs>
                <w:tab w:val="left" w:pos="1069"/>
                <w:tab w:val="left" w:pos="2352"/>
              </w:tabs>
              <w:spacing w:line="380" w:lineRule="exact"/>
              <w:jc w:val="left"/>
              <w:rPr>
                <w:rFonts w:ascii="宋体" w:hAnsi="宋体" w:cs="宋体"/>
                <w:bCs/>
                <w:color w:val="auto"/>
                <w:sz w:val="22"/>
                <w:highlight w:val="none"/>
              </w:rPr>
            </w:pPr>
            <w:r>
              <w:rPr>
                <w:rFonts w:hint="eastAsia" w:ascii="宋体" w:hAnsi="宋体" w:cs="宋体"/>
                <w:bCs/>
                <w:color w:val="auto"/>
                <w:sz w:val="22"/>
                <w:highlight w:val="none"/>
              </w:rPr>
              <w:t>账号：</w:t>
            </w:r>
          </w:p>
        </w:tc>
        <w:tc>
          <w:tcPr>
            <w:tcW w:w="4261" w:type="dxa"/>
          </w:tcPr>
          <w:p>
            <w:pPr>
              <w:widowControl/>
              <w:tabs>
                <w:tab w:val="left" w:pos="1069"/>
                <w:tab w:val="left" w:pos="2352"/>
              </w:tabs>
              <w:spacing w:line="380" w:lineRule="exact"/>
              <w:jc w:val="left"/>
              <w:rPr>
                <w:rFonts w:ascii="宋体" w:hAnsi="宋体" w:cs="宋体"/>
                <w:bCs/>
                <w:color w:val="auto"/>
                <w:sz w:val="22"/>
                <w:highlight w:val="none"/>
              </w:rPr>
            </w:pPr>
            <w:r>
              <w:rPr>
                <w:rFonts w:hint="eastAsia" w:ascii="宋体" w:hAnsi="宋体" w:cs="宋体"/>
                <w:bCs/>
                <w:color w:val="auto"/>
                <w:sz w:val="22"/>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22" w:type="dxa"/>
            <w:gridSpan w:val="2"/>
          </w:tcPr>
          <w:p>
            <w:pPr>
              <w:widowControl/>
              <w:tabs>
                <w:tab w:val="left" w:pos="1069"/>
                <w:tab w:val="left" w:pos="2352"/>
              </w:tabs>
              <w:spacing w:line="380" w:lineRule="exact"/>
              <w:jc w:val="left"/>
              <w:rPr>
                <w:rFonts w:ascii="宋体" w:hAnsi="宋体" w:cs="宋体"/>
                <w:bCs/>
                <w:color w:val="auto"/>
                <w:sz w:val="22"/>
                <w:highlight w:val="none"/>
              </w:rPr>
            </w:pPr>
            <w:r>
              <w:rPr>
                <w:rFonts w:hint="eastAsia" w:ascii="宋体" w:hAnsi="宋体" w:cs="宋体"/>
                <w:bCs/>
                <w:color w:val="auto"/>
                <w:sz w:val="22"/>
                <w:highlight w:val="none"/>
              </w:rPr>
              <w:t>签订地点：                         签订时间：                年  月  日</w:t>
            </w:r>
          </w:p>
        </w:tc>
      </w:tr>
    </w:tbl>
    <w:p>
      <w:pPr>
        <w:tabs>
          <w:tab w:val="left" w:pos="1069"/>
          <w:tab w:val="left" w:pos="2352"/>
        </w:tabs>
        <w:spacing w:line="430" w:lineRule="atLeast"/>
        <w:rPr>
          <w:rFonts w:ascii="宋体"/>
          <w:color w:val="auto"/>
          <w:sz w:val="22"/>
          <w:highlight w:val="none"/>
          <w:u w:val="single"/>
        </w:rPr>
      </w:pPr>
    </w:p>
    <w:p>
      <w:pPr>
        <w:tabs>
          <w:tab w:val="left" w:pos="1069"/>
          <w:tab w:val="left" w:pos="2352"/>
        </w:tabs>
        <w:spacing w:line="430" w:lineRule="atLeast"/>
        <w:rPr>
          <w:rFonts w:ascii="宋体" w:hAnsi="宋体" w:cs="宋体"/>
          <w:color w:val="auto"/>
          <w:sz w:val="22"/>
          <w:highlight w:val="none"/>
          <w:u w:val="single"/>
        </w:rPr>
      </w:pPr>
      <w:r>
        <w:rPr>
          <w:rFonts w:hint="eastAsia" w:ascii="宋体"/>
          <w:color w:val="auto"/>
          <w:sz w:val="22"/>
          <w:highlight w:val="none"/>
          <w:u w:val="single"/>
        </w:rPr>
        <w:t>注：以上合同条款供采购人及中标（成交）供应商作为商务参考，具体签订时，采购人可根据自身项目情况与中标（成交）供应商协商另行修改拟定相关合同具体条款。</w:t>
      </w:r>
    </w:p>
    <w:p>
      <w:pPr>
        <w:pStyle w:val="7"/>
        <w:tabs>
          <w:tab w:val="left" w:pos="1069"/>
          <w:tab w:val="left" w:pos="2352"/>
        </w:tabs>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第六部分、附件-投标（响应）文件格式</w:t>
      </w:r>
      <w:bookmarkEnd w:id="69"/>
    </w:p>
    <w:p>
      <w:pPr>
        <w:tabs>
          <w:tab w:val="left" w:pos="1069"/>
          <w:tab w:val="left" w:pos="2352"/>
        </w:tabs>
        <w:snapToGrid w:val="0"/>
        <w:spacing w:line="440" w:lineRule="exact"/>
        <w:rPr>
          <w:rFonts w:ascii="宋体" w:hAnsi="宋体" w:cs="宋体"/>
          <w:b/>
          <w:bCs/>
          <w:color w:val="auto"/>
          <w:sz w:val="32"/>
          <w:szCs w:val="32"/>
          <w:highlight w:val="none"/>
        </w:rPr>
      </w:pPr>
      <w:r>
        <w:rPr>
          <w:rFonts w:hint="eastAsia" w:ascii="宋体" w:hAnsi="宋体" w:cs="宋体"/>
          <w:b/>
          <w:bCs/>
          <w:color w:val="auto"/>
          <w:sz w:val="22"/>
          <w:highlight w:val="none"/>
          <w:lang w:val="zh-CN"/>
        </w:rPr>
        <w:t>一、</w:t>
      </w:r>
      <w:r>
        <w:rPr>
          <w:rFonts w:hint="eastAsia" w:ascii="宋体" w:hAnsi="宋体" w:cs="宋体"/>
          <w:b/>
          <w:bCs/>
          <w:color w:val="auto"/>
          <w:sz w:val="22"/>
          <w:highlight w:val="none"/>
        </w:rPr>
        <w:t>报价</w:t>
      </w:r>
      <w:r>
        <w:rPr>
          <w:rFonts w:hint="eastAsia" w:ascii="宋体" w:hAnsi="宋体" w:cs="宋体"/>
          <w:b/>
          <w:bCs/>
          <w:color w:val="auto"/>
          <w:sz w:val="22"/>
          <w:highlight w:val="none"/>
          <w:lang w:val="zh-CN"/>
        </w:rPr>
        <w:t>部分投标文件格式</w:t>
      </w:r>
    </w:p>
    <w:p>
      <w:pPr>
        <w:pStyle w:val="9"/>
        <w:tabs>
          <w:tab w:val="left" w:pos="1069"/>
          <w:tab w:val="left" w:pos="2352"/>
        </w:tabs>
        <w:rPr>
          <w:rFonts w:ascii="宋体" w:hAnsi="宋体" w:cs="宋体"/>
          <w:color w:val="auto"/>
          <w:sz w:val="22"/>
          <w:szCs w:val="22"/>
          <w:highlight w:val="none"/>
        </w:rPr>
      </w:pPr>
      <w:r>
        <w:rPr>
          <w:rFonts w:hint="eastAsia" w:ascii="宋体" w:hAnsi="宋体" w:cs="宋体"/>
          <w:b/>
          <w:bCs/>
          <w:color w:val="auto"/>
          <w:sz w:val="22"/>
          <w:highlight w:val="none"/>
        </w:rPr>
        <w:t>报价</w:t>
      </w:r>
      <w:r>
        <w:rPr>
          <w:rFonts w:hint="eastAsia" w:ascii="宋体" w:hAnsi="宋体" w:cs="宋体"/>
          <w:b/>
          <w:bCs/>
          <w:color w:val="auto"/>
          <w:sz w:val="22"/>
          <w:highlight w:val="none"/>
          <w:lang w:val="zh-CN"/>
        </w:rPr>
        <w:t>部分投标文件</w:t>
      </w:r>
      <w:r>
        <w:rPr>
          <w:rFonts w:hint="eastAsia" w:ascii="宋体" w:hAnsi="宋体" w:cs="宋体"/>
          <w:color w:val="auto"/>
          <w:sz w:val="22"/>
          <w:szCs w:val="22"/>
          <w:highlight w:val="none"/>
        </w:rPr>
        <w:t>封面参考：</w:t>
      </w:r>
    </w:p>
    <w:p>
      <w:pPr>
        <w:tabs>
          <w:tab w:val="left" w:pos="1069"/>
          <w:tab w:val="left" w:pos="2352"/>
        </w:tabs>
        <w:snapToGrid w:val="0"/>
        <w:spacing w:line="440" w:lineRule="exact"/>
        <w:jc w:val="center"/>
        <w:rPr>
          <w:rFonts w:ascii="宋体" w:hAnsi="宋体" w:cs="宋体"/>
          <w:b/>
          <w:color w:val="auto"/>
          <w:sz w:val="32"/>
          <w:szCs w:val="32"/>
          <w:highlight w:val="none"/>
        </w:rPr>
      </w:pPr>
    </w:p>
    <w:p>
      <w:pPr>
        <w:tabs>
          <w:tab w:val="left" w:pos="1069"/>
          <w:tab w:val="left" w:pos="2352"/>
        </w:tabs>
        <w:spacing w:line="480" w:lineRule="auto"/>
        <w:jc w:val="center"/>
        <w:rPr>
          <w:rFonts w:ascii="宋体" w:hAnsi="宋体" w:cs="宋体"/>
          <w:b/>
          <w:color w:val="auto"/>
          <w:sz w:val="64"/>
          <w:szCs w:val="64"/>
          <w:highlight w:val="none"/>
        </w:rPr>
      </w:pPr>
      <w:r>
        <w:rPr>
          <w:rFonts w:hint="eastAsia" w:ascii="宋体" w:hAnsi="宋体" w:cs="宋体"/>
          <w:b/>
          <w:color w:val="auto"/>
          <w:sz w:val="64"/>
          <w:szCs w:val="64"/>
          <w:highlight w:val="none"/>
        </w:rPr>
        <w:t>泰顺县集体土地所有权确权登记成果更新</w:t>
      </w:r>
    </w:p>
    <w:p>
      <w:pPr>
        <w:tabs>
          <w:tab w:val="left" w:pos="1069"/>
          <w:tab w:val="left" w:pos="2352"/>
        </w:tabs>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84"/>
          <w:szCs w:val="84"/>
          <w:highlight w:val="none"/>
        </w:rPr>
        <w:t>投 标 文 件</w:t>
      </w:r>
    </w:p>
    <w:p>
      <w:pPr>
        <w:tabs>
          <w:tab w:val="left" w:pos="1069"/>
          <w:tab w:val="left" w:pos="2352"/>
        </w:tabs>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60"/>
          <w:szCs w:val="60"/>
          <w:highlight w:val="none"/>
        </w:rPr>
        <w:t>（报 价 部 分）</w:t>
      </w:r>
    </w:p>
    <w:p>
      <w:pPr>
        <w:tabs>
          <w:tab w:val="left" w:pos="1069"/>
          <w:tab w:val="left" w:pos="2352"/>
        </w:tabs>
        <w:snapToGrid w:val="0"/>
        <w:spacing w:line="600" w:lineRule="atLeast"/>
        <w:ind w:firstLine="1052" w:firstLineChars="400"/>
        <w:rPr>
          <w:rFonts w:ascii="宋体" w:hAnsi="宋体" w:cs="宋体"/>
          <w:b/>
          <w:color w:val="auto"/>
          <w:sz w:val="26"/>
          <w:szCs w:val="26"/>
          <w:highlight w:val="none"/>
        </w:rPr>
      </w:pPr>
    </w:p>
    <w:p>
      <w:pPr>
        <w:tabs>
          <w:tab w:val="left" w:pos="1069"/>
          <w:tab w:val="left" w:pos="2352"/>
        </w:tabs>
        <w:snapToGrid w:val="0"/>
        <w:spacing w:line="600" w:lineRule="atLeast"/>
        <w:ind w:firstLine="1052" w:firstLineChars="400"/>
        <w:rPr>
          <w:rFonts w:ascii="宋体" w:hAnsi="宋体" w:cs="宋体"/>
          <w:b/>
          <w:color w:val="auto"/>
          <w:sz w:val="26"/>
          <w:szCs w:val="26"/>
          <w:highlight w:val="none"/>
        </w:rPr>
      </w:pPr>
    </w:p>
    <w:tbl>
      <w:tblPr>
        <w:tblStyle w:val="24"/>
        <w:tblW w:w="0" w:type="auto"/>
        <w:tblInd w:w="844"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7678"/>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项目编号：TSCG202207022</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采购单位：泰顺县自然资源和规划局</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供应商名称：</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供应商地址：</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法定代表人（签字或盖章）或</w:t>
            </w:r>
            <w:r>
              <w:rPr>
                <w:rFonts w:hint="eastAsia" w:ascii="宋体" w:hAnsi="宋体" w:cs="宋体"/>
                <w:b/>
                <w:color w:val="auto"/>
                <w:sz w:val="26"/>
                <w:szCs w:val="26"/>
                <w:highlight w:val="none"/>
                <w:lang w:val="zh-CN"/>
              </w:rPr>
              <w:t>授权代表（签字）：</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日期：  年 月 日</w:t>
            </w:r>
          </w:p>
        </w:tc>
      </w:tr>
    </w:tbl>
    <w:p>
      <w:pPr>
        <w:tabs>
          <w:tab w:val="left" w:pos="1069"/>
          <w:tab w:val="left" w:pos="2352"/>
        </w:tabs>
        <w:autoSpaceDE w:val="0"/>
        <w:autoSpaceDN w:val="0"/>
        <w:adjustRightInd w:val="0"/>
        <w:spacing w:line="360" w:lineRule="exact"/>
        <w:rPr>
          <w:rFonts w:ascii="宋体" w:hAnsi="宋体" w:cs="宋体"/>
          <w:b/>
          <w:bCs/>
          <w:color w:val="auto"/>
          <w:sz w:val="32"/>
          <w:szCs w:val="32"/>
          <w:highlight w:val="none"/>
          <w:lang w:val="zh-CN"/>
        </w:rPr>
      </w:pPr>
    </w:p>
    <w:p>
      <w:pPr>
        <w:pStyle w:val="7"/>
        <w:tabs>
          <w:tab w:val="left" w:pos="1069"/>
          <w:tab w:val="left" w:pos="2352"/>
        </w:tabs>
        <w:rPr>
          <w:color w:val="auto"/>
          <w:highlight w:val="none"/>
          <w:lang w:val="zh-CN"/>
        </w:rPr>
      </w:pPr>
    </w:p>
    <w:p>
      <w:pPr>
        <w:tabs>
          <w:tab w:val="left" w:pos="1069"/>
          <w:tab w:val="left" w:pos="2352"/>
        </w:tabs>
        <w:autoSpaceDE w:val="0"/>
        <w:autoSpaceDN w:val="0"/>
        <w:adjustRightInd w:val="0"/>
        <w:spacing w:line="360" w:lineRule="exact"/>
        <w:rPr>
          <w:rFonts w:ascii="宋体" w:hAnsi="宋体" w:cs="宋体"/>
          <w:b/>
          <w:bCs/>
          <w:color w:val="auto"/>
          <w:sz w:val="32"/>
          <w:szCs w:val="32"/>
          <w:highlight w:val="none"/>
          <w:lang w:val="zh-CN"/>
        </w:rPr>
      </w:pPr>
    </w:p>
    <w:p>
      <w:pPr>
        <w:tabs>
          <w:tab w:val="left" w:pos="1069"/>
          <w:tab w:val="left" w:pos="2352"/>
        </w:tabs>
        <w:autoSpaceDE w:val="0"/>
        <w:autoSpaceDN w:val="0"/>
        <w:adjustRightInd w:val="0"/>
        <w:spacing w:line="360" w:lineRule="exact"/>
        <w:rPr>
          <w:rFonts w:ascii="宋体" w:hAnsi="宋体" w:cs="宋体"/>
          <w:b/>
          <w:bCs/>
          <w:color w:val="auto"/>
          <w:sz w:val="32"/>
          <w:szCs w:val="32"/>
          <w:highlight w:val="none"/>
          <w:lang w:val="zh-CN"/>
        </w:rPr>
      </w:pPr>
    </w:p>
    <w:p>
      <w:pPr>
        <w:tabs>
          <w:tab w:val="left" w:pos="1069"/>
          <w:tab w:val="left" w:pos="2352"/>
        </w:tabs>
        <w:autoSpaceDE w:val="0"/>
        <w:autoSpaceDN w:val="0"/>
        <w:adjustRightInd w:val="0"/>
        <w:spacing w:line="360" w:lineRule="exact"/>
        <w:rPr>
          <w:rFonts w:ascii="宋体" w:hAnsi="宋体" w:cs="宋体"/>
          <w:b/>
          <w:bCs/>
          <w:color w:val="auto"/>
          <w:sz w:val="32"/>
          <w:szCs w:val="32"/>
          <w:highlight w:val="none"/>
          <w:lang w:val="zh-CN"/>
        </w:rPr>
      </w:pPr>
    </w:p>
    <w:p>
      <w:pPr>
        <w:tabs>
          <w:tab w:val="left" w:pos="1069"/>
          <w:tab w:val="left" w:pos="2352"/>
        </w:tabs>
        <w:autoSpaceDE w:val="0"/>
        <w:autoSpaceDN w:val="0"/>
        <w:adjustRightInd w:val="0"/>
        <w:spacing w:line="360" w:lineRule="exact"/>
        <w:rPr>
          <w:rFonts w:ascii="宋体" w:hAnsi="宋体" w:cs="宋体"/>
          <w:b/>
          <w:bCs/>
          <w:color w:val="auto"/>
          <w:sz w:val="32"/>
          <w:szCs w:val="32"/>
          <w:highlight w:val="none"/>
          <w:lang w:val="zh-CN"/>
        </w:rPr>
      </w:pPr>
    </w:p>
    <w:p>
      <w:pPr>
        <w:tabs>
          <w:tab w:val="left" w:pos="1069"/>
          <w:tab w:val="left" w:pos="2352"/>
        </w:tabs>
        <w:autoSpaceDE w:val="0"/>
        <w:autoSpaceDN w:val="0"/>
        <w:adjustRightInd w:val="0"/>
        <w:spacing w:line="360" w:lineRule="exact"/>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附件一</w:t>
      </w:r>
    </w:p>
    <w:p>
      <w:pPr>
        <w:tabs>
          <w:tab w:val="left" w:pos="1069"/>
          <w:tab w:val="left" w:pos="2352"/>
        </w:tabs>
        <w:autoSpaceDE w:val="0"/>
        <w:autoSpaceDN w:val="0"/>
        <w:adjustRightInd w:val="0"/>
        <w:spacing w:line="360" w:lineRule="atLeast"/>
        <w:jc w:val="center"/>
        <w:textAlignment w:val="baseline"/>
        <w:rPr>
          <w:rFonts w:ascii="宋体" w:hAnsi="宋体" w:cs="宋体"/>
          <w:b/>
          <w:bCs/>
          <w:color w:val="auto"/>
          <w:sz w:val="32"/>
          <w:szCs w:val="32"/>
          <w:highlight w:val="none"/>
          <w:lang w:val="zh-CN"/>
        </w:rPr>
      </w:pPr>
      <w:r>
        <w:rPr>
          <w:rFonts w:hint="eastAsia" w:ascii="宋体" w:hAnsi="宋体" w:cs="宋体"/>
          <w:b/>
          <w:bCs/>
          <w:color w:val="auto"/>
          <w:sz w:val="32"/>
          <w:szCs w:val="32"/>
          <w:highlight w:val="none"/>
        </w:rPr>
        <w:t>开标（报价）一览表</w:t>
      </w:r>
    </w:p>
    <w:p>
      <w:pPr>
        <w:tabs>
          <w:tab w:val="left" w:pos="1069"/>
          <w:tab w:val="left" w:pos="2352"/>
        </w:tabs>
        <w:autoSpaceDE w:val="0"/>
        <w:autoSpaceDN w:val="0"/>
        <w:adjustRightInd w:val="0"/>
        <w:spacing w:line="400" w:lineRule="exact"/>
        <w:rPr>
          <w:rFonts w:ascii="宋体" w:hAnsi="宋体" w:cs="宋体"/>
          <w:color w:val="auto"/>
          <w:sz w:val="22"/>
          <w:highlight w:val="none"/>
          <w:lang w:val="zh-CN"/>
        </w:rPr>
      </w:pPr>
      <w:r>
        <w:rPr>
          <w:rFonts w:hint="eastAsia" w:ascii="宋体" w:hAnsi="宋体" w:cs="宋体"/>
          <w:color w:val="auto"/>
          <w:sz w:val="22"/>
          <w:highlight w:val="none"/>
        </w:rPr>
        <w:t>项目名称</w:t>
      </w:r>
      <w:r>
        <w:rPr>
          <w:rFonts w:hint="eastAsia" w:ascii="宋体" w:hAnsi="宋体" w:cs="宋体"/>
          <w:color w:val="auto"/>
          <w:sz w:val="22"/>
          <w:highlight w:val="none"/>
          <w:lang w:val="zh-CN"/>
        </w:rPr>
        <w:t>：</w:t>
      </w:r>
      <w:r>
        <w:rPr>
          <w:rFonts w:hint="eastAsia" w:ascii="宋体" w:hAnsi="宋体" w:cs="宋体"/>
          <w:color w:val="auto"/>
          <w:sz w:val="22"/>
          <w:highlight w:val="none"/>
          <w:u w:val="single"/>
        </w:rPr>
        <w:t>泰顺县集体土地所有权确权登记成果更新</w:t>
      </w:r>
    </w:p>
    <w:p>
      <w:pPr>
        <w:tabs>
          <w:tab w:val="left" w:pos="1069"/>
          <w:tab w:val="left" w:pos="2352"/>
        </w:tabs>
        <w:autoSpaceDE w:val="0"/>
        <w:autoSpaceDN w:val="0"/>
        <w:adjustRightInd w:val="0"/>
        <w:spacing w:line="400" w:lineRule="exact"/>
        <w:rPr>
          <w:rFonts w:ascii="宋体" w:hAnsi="宋体" w:cs="宋体"/>
          <w:color w:val="auto"/>
          <w:sz w:val="22"/>
          <w:highlight w:val="none"/>
          <w:lang w:val="zh-CN"/>
        </w:rPr>
      </w:pPr>
      <w:r>
        <w:rPr>
          <w:rFonts w:hint="eastAsia" w:ascii="宋体" w:hAnsi="宋体" w:cs="宋体"/>
          <w:color w:val="auto"/>
          <w:sz w:val="22"/>
          <w:highlight w:val="none"/>
          <w:lang w:val="zh-CN"/>
        </w:rPr>
        <w:t>采购编号：</w:t>
      </w:r>
      <w:r>
        <w:rPr>
          <w:rFonts w:hint="eastAsia" w:ascii="宋体" w:hAnsi="宋体" w:cs="宋体"/>
          <w:color w:val="auto"/>
          <w:sz w:val="22"/>
          <w:highlight w:val="none"/>
          <w:u w:val="single"/>
        </w:rPr>
        <w:t>TSCG202207022</w:t>
      </w:r>
    </w:p>
    <w:p>
      <w:pPr>
        <w:tabs>
          <w:tab w:val="left" w:pos="1069"/>
          <w:tab w:val="left" w:pos="2352"/>
        </w:tabs>
        <w:autoSpaceDE w:val="0"/>
        <w:autoSpaceDN w:val="0"/>
        <w:adjustRightInd w:val="0"/>
        <w:spacing w:line="400" w:lineRule="exact"/>
        <w:rPr>
          <w:rFonts w:ascii="宋体" w:hAnsi="宋体" w:cs="宋体"/>
          <w:color w:val="auto"/>
          <w:sz w:val="22"/>
          <w:highlight w:val="none"/>
          <w:u w:val="single"/>
        </w:rPr>
      </w:pPr>
      <w:r>
        <w:rPr>
          <w:rFonts w:hint="eastAsia" w:ascii="宋体" w:hAnsi="宋体" w:cs="宋体"/>
          <w:color w:val="auto"/>
          <w:sz w:val="22"/>
          <w:highlight w:val="none"/>
        </w:rPr>
        <w:t>价格单位：</w:t>
      </w:r>
      <w:r>
        <w:rPr>
          <w:rFonts w:hint="eastAsia" w:ascii="宋体" w:hAnsi="宋体" w:cs="宋体"/>
          <w:color w:val="auto"/>
          <w:sz w:val="22"/>
          <w:highlight w:val="none"/>
          <w:u w:val="single"/>
        </w:rPr>
        <w:t>元人民币</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724"/>
        <w:gridCol w:w="4225"/>
        <w:gridCol w:w="1540"/>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767" w:type="dxa"/>
            <w:vAlign w:val="center"/>
          </w:tcPr>
          <w:p>
            <w:pPr>
              <w:pStyle w:val="11"/>
              <w:tabs>
                <w:tab w:val="left" w:pos="1069"/>
                <w:tab w:val="left" w:pos="2352"/>
              </w:tabs>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标项</w:t>
            </w:r>
          </w:p>
        </w:tc>
        <w:tc>
          <w:tcPr>
            <w:tcW w:w="1724" w:type="dxa"/>
            <w:tcBorders>
              <w:right w:val="single" w:color="000000" w:sz="4" w:space="0"/>
            </w:tcBorders>
            <w:vAlign w:val="center"/>
          </w:tcPr>
          <w:p>
            <w:pPr>
              <w:pStyle w:val="11"/>
              <w:tabs>
                <w:tab w:val="left" w:pos="1069"/>
                <w:tab w:val="left" w:pos="2352"/>
              </w:tabs>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标项名称</w:t>
            </w:r>
          </w:p>
        </w:tc>
        <w:tc>
          <w:tcPr>
            <w:tcW w:w="4225" w:type="dxa"/>
            <w:tcBorders>
              <w:left w:val="single" w:color="000000" w:sz="4" w:space="0"/>
            </w:tcBorders>
            <w:vAlign w:val="center"/>
          </w:tcPr>
          <w:p>
            <w:pPr>
              <w:pStyle w:val="11"/>
              <w:tabs>
                <w:tab w:val="left" w:pos="1069"/>
                <w:tab w:val="left" w:pos="2352"/>
              </w:tabs>
              <w:jc w:val="center"/>
              <w:rPr>
                <w:rFonts w:hAnsi="宋体" w:cs="宋体"/>
                <w:color w:val="auto"/>
                <w:sz w:val="22"/>
                <w:highlight w:val="none"/>
              </w:rPr>
            </w:pPr>
            <w:r>
              <w:rPr>
                <w:rFonts w:hint="eastAsia" w:hAnsi="宋体" w:cs="宋体"/>
                <w:color w:val="auto"/>
                <w:sz w:val="22"/>
                <w:highlight w:val="none"/>
              </w:rPr>
              <w:t>投标报价</w:t>
            </w:r>
          </w:p>
        </w:tc>
        <w:tc>
          <w:tcPr>
            <w:tcW w:w="1540" w:type="dxa"/>
            <w:vAlign w:val="center"/>
          </w:tcPr>
          <w:p>
            <w:pPr>
              <w:pStyle w:val="11"/>
              <w:tabs>
                <w:tab w:val="left" w:pos="1069"/>
                <w:tab w:val="left" w:pos="2352"/>
              </w:tabs>
              <w:jc w:val="center"/>
              <w:rPr>
                <w:rFonts w:hAnsi="宋体" w:cs="宋体"/>
                <w:b/>
                <w:bCs/>
                <w:color w:val="auto"/>
                <w:kern w:val="2"/>
                <w:sz w:val="22"/>
                <w:szCs w:val="22"/>
                <w:highlight w:val="none"/>
              </w:rPr>
            </w:pPr>
            <w:r>
              <w:rPr>
                <w:rFonts w:hint="eastAsia" w:hAnsi="宋体" w:cs="宋体"/>
                <w:color w:val="auto"/>
                <w:sz w:val="22"/>
                <w:highlight w:val="none"/>
              </w:rPr>
              <w:t>项目负责人</w:t>
            </w:r>
          </w:p>
        </w:tc>
        <w:tc>
          <w:tcPr>
            <w:tcW w:w="1225" w:type="dxa"/>
            <w:vAlign w:val="center"/>
          </w:tcPr>
          <w:p>
            <w:pPr>
              <w:pStyle w:val="11"/>
              <w:tabs>
                <w:tab w:val="left" w:pos="1069"/>
                <w:tab w:val="left" w:pos="2352"/>
              </w:tabs>
              <w:jc w:val="center"/>
              <w:rPr>
                <w:rFonts w:hAnsi="宋体" w:cs="宋体"/>
                <w:color w:val="auto"/>
                <w:sz w:val="22"/>
                <w:highlight w:val="none"/>
              </w:rPr>
            </w:pPr>
            <w:r>
              <w:rPr>
                <w:rFonts w:hint="eastAsia" w:hAnsi="宋体" w:cs="宋体"/>
                <w:color w:val="auto"/>
                <w:kern w:val="2"/>
                <w:sz w:val="22"/>
                <w:szCs w:val="22"/>
                <w:highlight w:val="none"/>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8" w:hRule="atLeast"/>
        </w:trPr>
        <w:tc>
          <w:tcPr>
            <w:tcW w:w="767" w:type="dxa"/>
            <w:vAlign w:val="center"/>
          </w:tcPr>
          <w:p>
            <w:pPr>
              <w:pStyle w:val="11"/>
              <w:tabs>
                <w:tab w:val="left" w:pos="1069"/>
                <w:tab w:val="left" w:pos="2352"/>
              </w:tabs>
              <w:spacing w:line="440" w:lineRule="atLeast"/>
              <w:jc w:val="center"/>
              <w:rPr>
                <w:rFonts w:hAnsi="宋体" w:cs="宋体"/>
                <w:color w:val="auto"/>
                <w:kern w:val="2"/>
                <w:sz w:val="22"/>
                <w:szCs w:val="22"/>
                <w:highlight w:val="none"/>
              </w:rPr>
            </w:pPr>
            <w:r>
              <w:rPr>
                <w:rFonts w:hint="eastAsia" w:hAnsi="宋体" w:cs="宋体"/>
                <w:color w:val="auto"/>
                <w:kern w:val="2"/>
                <w:sz w:val="22"/>
                <w:szCs w:val="22"/>
                <w:highlight w:val="none"/>
              </w:rPr>
              <w:t>一</w:t>
            </w:r>
          </w:p>
        </w:tc>
        <w:tc>
          <w:tcPr>
            <w:tcW w:w="1724" w:type="dxa"/>
            <w:tcBorders>
              <w:right w:val="single" w:color="000000" w:sz="4" w:space="0"/>
            </w:tcBorders>
            <w:vAlign w:val="center"/>
          </w:tcPr>
          <w:p>
            <w:pPr>
              <w:pStyle w:val="11"/>
              <w:tabs>
                <w:tab w:val="left" w:pos="1069"/>
                <w:tab w:val="left" w:pos="2352"/>
              </w:tabs>
              <w:spacing w:line="440" w:lineRule="atLeast"/>
              <w:jc w:val="center"/>
              <w:rPr>
                <w:rFonts w:hAnsi="宋体" w:cs="宋体"/>
                <w:color w:val="auto"/>
                <w:kern w:val="2"/>
                <w:sz w:val="22"/>
                <w:szCs w:val="22"/>
                <w:highlight w:val="none"/>
              </w:rPr>
            </w:pPr>
            <w:r>
              <w:rPr>
                <w:rFonts w:hint="eastAsia" w:hAnsi="宋体" w:cs="宋体"/>
                <w:bCs/>
                <w:color w:val="auto"/>
                <w:sz w:val="22"/>
                <w:highlight w:val="none"/>
              </w:rPr>
              <w:t>泰顺县集体土地所有权确权登记成果更新</w:t>
            </w:r>
          </w:p>
        </w:tc>
        <w:tc>
          <w:tcPr>
            <w:tcW w:w="4225" w:type="dxa"/>
            <w:tcBorders>
              <w:left w:val="single" w:color="000000" w:sz="4" w:space="0"/>
            </w:tcBorders>
            <w:vAlign w:val="center"/>
          </w:tcPr>
          <w:p>
            <w:pPr>
              <w:pStyle w:val="11"/>
              <w:tabs>
                <w:tab w:val="left" w:pos="1069"/>
                <w:tab w:val="left" w:pos="2352"/>
              </w:tabs>
              <w:spacing w:line="440" w:lineRule="atLeast"/>
              <w:ind w:firstLine="446" w:firstLineChars="200"/>
              <w:rPr>
                <w:rFonts w:hAnsi="宋体" w:cs="宋体"/>
                <w:color w:val="auto"/>
                <w:kern w:val="2"/>
                <w:sz w:val="22"/>
                <w:szCs w:val="22"/>
                <w:highlight w:val="none"/>
                <w:u w:val="single"/>
              </w:rPr>
            </w:pPr>
            <w:r>
              <w:rPr>
                <w:rFonts w:hint="eastAsia" w:hAnsi="宋体" w:cs="宋体"/>
                <w:color w:val="auto"/>
                <w:kern w:val="2"/>
                <w:sz w:val="22"/>
                <w:szCs w:val="22"/>
                <w:highlight w:val="none"/>
                <w:u w:val="single"/>
              </w:rPr>
              <w:t xml:space="preserve">大写：                  </w:t>
            </w:r>
          </w:p>
          <w:p>
            <w:pPr>
              <w:pStyle w:val="11"/>
              <w:tabs>
                <w:tab w:val="left" w:pos="1069"/>
                <w:tab w:val="left" w:pos="2352"/>
              </w:tabs>
              <w:ind w:firstLine="892" w:firstLineChars="400"/>
              <w:rPr>
                <w:rFonts w:hAnsi="宋体" w:cs="宋体"/>
                <w:color w:val="auto"/>
                <w:sz w:val="22"/>
                <w:highlight w:val="none"/>
                <w:u w:val="single"/>
              </w:rPr>
            </w:pPr>
            <w:r>
              <w:rPr>
                <w:rFonts w:hint="eastAsia" w:hAnsi="宋体" w:cs="宋体"/>
                <w:color w:val="auto"/>
                <w:kern w:val="2"/>
                <w:sz w:val="22"/>
                <w:szCs w:val="22"/>
                <w:highlight w:val="none"/>
                <w:u w:val="single"/>
              </w:rPr>
              <w:t xml:space="preserve">小写：                </w:t>
            </w:r>
          </w:p>
        </w:tc>
        <w:tc>
          <w:tcPr>
            <w:tcW w:w="1540" w:type="dxa"/>
            <w:vAlign w:val="center"/>
          </w:tcPr>
          <w:p>
            <w:pPr>
              <w:pStyle w:val="11"/>
              <w:tabs>
                <w:tab w:val="left" w:pos="1069"/>
                <w:tab w:val="left" w:pos="2352"/>
              </w:tabs>
              <w:spacing w:line="440" w:lineRule="atLeast"/>
              <w:rPr>
                <w:rFonts w:hAnsi="宋体" w:cs="宋体"/>
                <w:color w:val="auto"/>
                <w:kern w:val="2"/>
                <w:sz w:val="22"/>
                <w:szCs w:val="22"/>
                <w:highlight w:val="none"/>
                <w:u w:val="single"/>
              </w:rPr>
            </w:pPr>
          </w:p>
        </w:tc>
        <w:tc>
          <w:tcPr>
            <w:tcW w:w="1225" w:type="dxa"/>
            <w:vAlign w:val="center"/>
          </w:tcPr>
          <w:p>
            <w:pPr>
              <w:pStyle w:val="11"/>
              <w:tabs>
                <w:tab w:val="left" w:pos="1069"/>
                <w:tab w:val="left" w:pos="2352"/>
              </w:tabs>
              <w:spacing w:line="440" w:lineRule="atLeast"/>
              <w:jc w:val="center"/>
              <w:rPr>
                <w:rFonts w:hAnsi="宋体" w:cs="宋体"/>
                <w:color w:val="auto"/>
                <w:kern w:val="2"/>
                <w:sz w:val="22"/>
                <w:szCs w:val="22"/>
                <w:highlight w:val="none"/>
              </w:rPr>
            </w:pPr>
            <w:r>
              <w:rPr>
                <w:rFonts w:hint="eastAsia" w:hAnsi="宋体" w:cs="宋体"/>
                <w:color w:val="auto"/>
                <w:kern w:val="2"/>
                <w:sz w:val="22"/>
                <w:szCs w:val="22"/>
                <w:highlight w:val="none"/>
              </w:rPr>
              <w:t>2200000元</w:t>
            </w:r>
          </w:p>
        </w:tc>
      </w:tr>
    </w:tbl>
    <w:p>
      <w:pPr>
        <w:pStyle w:val="11"/>
        <w:tabs>
          <w:tab w:val="left" w:pos="1069"/>
          <w:tab w:val="left" w:pos="2352"/>
        </w:tabs>
        <w:spacing w:line="440" w:lineRule="atLeast"/>
        <w:rPr>
          <w:rFonts w:hAnsi="宋体" w:cs="宋体"/>
          <w:color w:val="auto"/>
          <w:sz w:val="22"/>
          <w:highlight w:val="none"/>
        </w:rPr>
      </w:pPr>
    </w:p>
    <w:p>
      <w:pPr>
        <w:tabs>
          <w:tab w:val="left" w:pos="1069"/>
          <w:tab w:val="left" w:pos="2352"/>
        </w:tabs>
        <w:autoSpaceDE w:val="0"/>
        <w:autoSpaceDN w:val="0"/>
        <w:spacing w:line="360" w:lineRule="auto"/>
        <w:rPr>
          <w:rFonts w:ascii="宋体" w:hAnsi="宋体" w:cs="宋体"/>
          <w:color w:val="auto"/>
          <w:sz w:val="22"/>
          <w:highlight w:val="none"/>
        </w:rPr>
      </w:pPr>
      <w:r>
        <w:rPr>
          <w:rFonts w:hint="eastAsia" w:ascii="宋体" w:hAnsi="宋体" w:cs="宋体"/>
          <w:color w:val="auto"/>
          <w:sz w:val="22"/>
          <w:highlight w:val="none"/>
        </w:rPr>
        <w:t>1、▲</w:t>
      </w:r>
      <w:r>
        <w:rPr>
          <w:rFonts w:hint="eastAsia" w:ascii="宋体" w:hAnsi="宋体" w:cs="宋体"/>
          <w:b/>
          <w:bCs/>
          <w:color w:val="auto"/>
          <w:sz w:val="22"/>
          <w:highlight w:val="none"/>
          <w:u w:val="single"/>
        </w:rPr>
        <w:t>开标（报价）一览表中投标价为符合竞争性磋商文件要求的总价</w:t>
      </w:r>
      <w:r>
        <w:rPr>
          <w:rFonts w:hint="eastAsia" w:ascii="宋体" w:hAnsi="宋体" w:cs="宋体"/>
          <w:color w:val="auto"/>
          <w:sz w:val="22"/>
          <w:highlight w:val="none"/>
        </w:rPr>
        <w:t>。</w:t>
      </w:r>
    </w:p>
    <w:p>
      <w:pPr>
        <w:tabs>
          <w:tab w:val="left" w:pos="1069"/>
          <w:tab w:val="left" w:pos="2352"/>
        </w:tabs>
        <w:autoSpaceDE w:val="0"/>
        <w:autoSpaceDN w:val="0"/>
        <w:spacing w:line="360" w:lineRule="auto"/>
        <w:rPr>
          <w:rFonts w:ascii="宋体" w:hAnsi="宋体" w:cs="宋体"/>
          <w:b/>
          <w:bCs/>
          <w:color w:val="auto"/>
          <w:sz w:val="22"/>
          <w:highlight w:val="none"/>
        </w:rPr>
      </w:pPr>
      <w:r>
        <w:rPr>
          <w:rFonts w:hint="eastAsia" w:ascii="宋体" w:hAnsi="宋体" w:cs="宋体"/>
          <w:color w:val="auto"/>
          <w:sz w:val="22"/>
          <w:highlight w:val="none"/>
        </w:rPr>
        <w:t>3、▲</w:t>
      </w:r>
      <w:r>
        <w:rPr>
          <w:rFonts w:hint="eastAsia" w:ascii="宋体" w:hAnsi="宋体" w:cs="宋体"/>
          <w:b/>
          <w:bCs/>
          <w:color w:val="auto"/>
          <w:sz w:val="22"/>
          <w:highlight w:val="none"/>
          <w:u w:val="single"/>
        </w:rPr>
        <w:t>不提供此表格的将视为没有实质性响应竞争性磋商文件</w:t>
      </w:r>
      <w:r>
        <w:rPr>
          <w:rFonts w:hint="eastAsia" w:ascii="宋体" w:hAnsi="宋体" w:cs="宋体"/>
          <w:color w:val="auto"/>
          <w:sz w:val="22"/>
          <w:highlight w:val="none"/>
        </w:rPr>
        <w:t>。</w:t>
      </w:r>
    </w:p>
    <w:p>
      <w:pPr>
        <w:pStyle w:val="11"/>
        <w:tabs>
          <w:tab w:val="left" w:pos="1069"/>
          <w:tab w:val="left" w:pos="2352"/>
        </w:tabs>
        <w:spacing w:line="440" w:lineRule="atLeast"/>
        <w:rPr>
          <w:rFonts w:hAnsi="宋体" w:cs="宋体"/>
          <w:b/>
          <w:bCs/>
          <w:color w:val="auto"/>
          <w:sz w:val="22"/>
          <w:highlight w:val="none"/>
        </w:rPr>
      </w:pPr>
    </w:p>
    <w:p>
      <w:pPr>
        <w:pStyle w:val="11"/>
        <w:tabs>
          <w:tab w:val="left" w:pos="1069"/>
          <w:tab w:val="left" w:pos="2352"/>
        </w:tabs>
        <w:spacing w:line="440" w:lineRule="atLeast"/>
        <w:rPr>
          <w:rFonts w:hAnsi="宋体" w:cs="宋体"/>
          <w:b/>
          <w:bCs/>
          <w:color w:val="auto"/>
          <w:sz w:val="22"/>
          <w:highlight w:val="none"/>
        </w:rPr>
      </w:pPr>
      <w:r>
        <w:rPr>
          <w:rFonts w:hint="eastAsia" w:hAnsi="宋体" w:cs="宋体"/>
          <w:color w:val="auto"/>
          <w:sz w:val="22"/>
          <w:highlight w:val="none"/>
        </w:rPr>
        <w:t>供应商全称：（盖章）</w:t>
      </w:r>
    </w:p>
    <w:p>
      <w:pPr>
        <w:pStyle w:val="11"/>
        <w:tabs>
          <w:tab w:val="left" w:pos="1069"/>
          <w:tab w:val="left" w:pos="2352"/>
        </w:tabs>
        <w:spacing w:line="440" w:lineRule="atLeast"/>
        <w:rPr>
          <w:rFonts w:hAnsi="宋体" w:cs="宋体"/>
          <w:b/>
          <w:bCs/>
          <w:color w:val="auto"/>
          <w:sz w:val="22"/>
          <w:highlight w:val="none"/>
          <w:lang w:val="zh-CN"/>
        </w:rPr>
      </w:pPr>
      <w:r>
        <w:rPr>
          <w:rFonts w:hint="eastAsia" w:hAnsi="宋体" w:cs="宋体"/>
          <w:color w:val="auto"/>
          <w:sz w:val="22"/>
          <w:highlight w:val="none"/>
        </w:rPr>
        <w:t>法定代表人（签字或盖章）或</w:t>
      </w:r>
      <w:r>
        <w:rPr>
          <w:rFonts w:hint="eastAsia" w:hAnsi="宋体" w:cs="宋体"/>
          <w:color w:val="auto"/>
          <w:sz w:val="22"/>
          <w:highlight w:val="none"/>
          <w:lang w:val="zh-CN"/>
        </w:rPr>
        <w:t>授权代表（签字）：</w:t>
      </w:r>
    </w:p>
    <w:p>
      <w:pPr>
        <w:pStyle w:val="11"/>
        <w:tabs>
          <w:tab w:val="left" w:pos="1069"/>
          <w:tab w:val="left" w:pos="2352"/>
        </w:tabs>
        <w:spacing w:line="440" w:lineRule="atLeast"/>
        <w:rPr>
          <w:rFonts w:hAnsi="宋体" w:cs="宋体"/>
          <w:b/>
          <w:bCs/>
          <w:color w:val="auto"/>
          <w:sz w:val="22"/>
          <w:highlight w:val="none"/>
        </w:rPr>
      </w:pPr>
      <w:r>
        <w:rPr>
          <w:rFonts w:hint="eastAsia" w:hAnsi="宋体" w:cs="宋体"/>
          <w:color w:val="auto"/>
          <w:sz w:val="22"/>
          <w:highlight w:val="none"/>
        </w:rPr>
        <w:t>日期：</w:t>
      </w:r>
    </w:p>
    <w:p>
      <w:pPr>
        <w:tabs>
          <w:tab w:val="left" w:pos="1069"/>
          <w:tab w:val="left" w:pos="2352"/>
        </w:tabs>
        <w:spacing w:line="360" w:lineRule="exact"/>
        <w:jc w:val="left"/>
        <w:rPr>
          <w:rFonts w:ascii="宋体" w:hAnsi="宋体" w:cs="宋体"/>
          <w:color w:val="auto"/>
          <w:sz w:val="22"/>
          <w:highlight w:val="none"/>
          <w:lang w:val="zh-CN"/>
        </w:rPr>
      </w:pPr>
      <w:bookmarkStart w:id="70" w:name="_Toc31481_WPSOffice_Level2"/>
    </w:p>
    <w:p>
      <w:pPr>
        <w:pStyle w:val="23"/>
        <w:tabs>
          <w:tab w:val="left" w:pos="1069"/>
          <w:tab w:val="left" w:pos="2352"/>
        </w:tabs>
        <w:rPr>
          <w:rFonts w:ascii="宋体" w:hAnsi="宋体" w:cs="宋体"/>
          <w:color w:val="auto"/>
          <w:sz w:val="22"/>
          <w:highlight w:val="none"/>
          <w:lang w:val="zh-CN"/>
        </w:rPr>
      </w:pPr>
    </w:p>
    <w:p>
      <w:pPr>
        <w:pStyle w:val="23"/>
        <w:tabs>
          <w:tab w:val="left" w:pos="1069"/>
          <w:tab w:val="left" w:pos="2352"/>
        </w:tabs>
        <w:rPr>
          <w:rFonts w:ascii="宋体" w:hAnsi="宋体" w:cs="宋体"/>
          <w:color w:val="auto"/>
          <w:sz w:val="22"/>
          <w:highlight w:val="none"/>
          <w:lang w:val="zh-CN"/>
        </w:rPr>
      </w:pPr>
    </w:p>
    <w:p>
      <w:pPr>
        <w:pStyle w:val="23"/>
        <w:tabs>
          <w:tab w:val="left" w:pos="1069"/>
          <w:tab w:val="left" w:pos="2352"/>
        </w:tabs>
        <w:rPr>
          <w:rFonts w:ascii="宋体" w:hAnsi="宋体" w:cs="宋体"/>
          <w:color w:val="auto"/>
          <w:sz w:val="22"/>
          <w:highlight w:val="none"/>
          <w:lang w:val="zh-CN"/>
        </w:rPr>
      </w:pPr>
    </w:p>
    <w:bookmarkEnd w:id="70"/>
    <w:p>
      <w:pPr>
        <w:pStyle w:val="9"/>
        <w:tabs>
          <w:tab w:val="left" w:pos="1069"/>
          <w:tab w:val="left" w:pos="2352"/>
        </w:tabs>
        <w:rPr>
          <w:rFonts w:ascii="宋体" w:hAnsi="宋体" w:cs="宋体"/>
          <w:b/>
          <w:bCs/>
          <w:color w:val="auto"/>
          <w:sz w:val="32"/>
          <w:szCs w:val="32"/>
          <w:highlight w:val="none"/>
        </w:rPr>
      </w:pPr>
    </w:p>
    <w:p>
      <w:pPr>
        <w:pStyle w:val="9"/>
        <w:tabs>
          <w:tab w:val="left" w:pos="1069"/>
          <w:tab w:val="left" w:pos="2352"/>
        </w:tabs>
        <w:rPr>
          <w:rFonts w:ascii="宋体" w:hAnsi="宋体" w:cs="宋体"/>
          <w:b/>
          <w:bCs/>
          <w:color w:val="auto"/>
          <w:sz w:val="32"/>
          <w:szCs w:val="32"/>
          <w:highlight w:val="none"/>
        </w:rPr>
      </w:pPr>
    </w:p>
    <w:p>
      <w:pPr>
        <w:pStyle w:val="9"/>
        <w:tabs>
          <w:tab w:val="left" w:pos="2352"/>
        </w:tabs>
        <w:rPr>
          <w:rFonts w:ascii="宋体"/>
          <w:b/>
          <w:bCs/>
          <w:color w:val="auto"/>
          <w:sz w:val="32"/>
          <w:szCs w:val="32"/>
          <w:highlight w:val="none"/>
        </w:rPr>
      </w:pPr>
      <w:r>
        <w:rPr>
          <w:rFonts w:hint="eastAsia" w:ascii="宋体"/>
          <w:b/>
          <w:bCs/>
          <w:color w:val="auto"/>
          <w:sz w:val="32"/>
          <w:szCs w:val="32"/>
          <w:highlight w:val="none"/>
        </w:rPr>
        <w:t>附件二</w:t>
      </w:r>
    </w:p>
    <w:p>
      <w:pPr>
        <w:tabs>
          <w:tab w:val="left" w:pos="2352"/>
        </w:tabs>
        <w:autoSpaceDE w:val="0"/>
        <w:autoSpaceDN w:val="0"/>
        <w:adjustRightInd w:val="0"/>
        <w:spacing w:line="400" w:lineRule="exact"/>
        <w:jc w:val="center"/>
        <w:rPr>
          <w:rFonts w:hAnsi="宋体"/>
          <w:color w:val="auto"/>
          <w:sz w:val="22"/>
          <w:highlight w:val="none"/>
        </w:rPr>
      </w:pPr>
      <w:r>
        <w:rPr>
          <w:rFonts w:hint="eastAsia" w:ascii="宋体"/>
          <w:b/>
          <w:bCs/>
          <w:color w:val="auto"/>
          <w:sz w:val="32"/>
          <w:szCs w:val="32"/>
          <w:highlight w:val="none"/>
        </w:rPr>
        <w:t>投标分项报价表</w:t>
      </w:r>
    </w:p>
    <w:p>
      <w:pPr>
        <w:tabs>
          <w:tab w:val="left" w:pos="1069"/>
          <w:tab w:val="left" w:pos="2352"/>
        </w:tabs>
        <w:autoSpaceDE w:val="0"/>
        <w:autoSpaceDN w:val="0"/>
        <w:adjustRightInd w:val="0"/>
        <w:spacing w:line="400" w:lineRule="exact"/>
        <w:rPr>
          <w:rFonts w:ascii="宋体" w:hAnsi="宋体" w:cs="宋体"/>
          <w:color w:val="auto"/>
          <w:sz w:val="22"/>
          <w:highlight w:val="none"/>
          <w:lang w:val="zh-CN"/>
        </w:rPr>
      </w:pPr>
      <w:r>
        <w:rPr>
          <w:rFonts w:hint="eastAsia" w:ascii="宋体" w:hAnsi="宋体" w:cs="宋体"/>
          <w:color w:val="auto"/>
          <w:sz w:val="22"/>
          <w:highlight w:val="none"/>
        </w:rPr>
        <w:t>项目名称</w:t>
      </w:r>
      <w:r>
        <w:rPr>
          <w:rFonts w:hint="eastAsia" w:ascii="宋体" w:hAnsi="宋体" w:cs="宋体"/>
          <w:color w:val="auto"/>
          <w:sz w:val="22"/>
          <w:highlight w:val="none"/>
          <w:lang w:val="zh-CN"/>
        </w:rPr>
        <w:t>：</w:t>
      </w:r>
      <w:r>
        <w:rPr>
          <w:rFonts w:hint="eastAsia" w:ascii="宋体" w:hAnsi="宋体" w:cs="宋体"/>
          <w:color w:val="auto"/>
          <w:sz w:val="22"/>
          <w:highlight w:val="none"/>
          <w:u w:val="single"/>
        </w:rPr>
        <w:t>泰顺县集体土地所有权确权登记成果更新</w:t>
      </w:r>
    </w:p>
    <w:p>
      <w:pPr>
        <w:tabs>
          <w:tab w:val="left" w:pos="1069"/>
          <w:tab w:val="left" w:pos="2352"/>
        </w:tabs>
        <w:autoSpaceDE w:val="0"/>
        <w:autoSpaceDN w:val="0"/>
        <w:adjustRightInd w:val="0"/>
        <w:spacing w:line="400" w:lineRule="exact"/>
        <w:rPr>
          <w:rFonts w:ascii="宋体" w:hAnsi="宋体" w:cs="宋体"/>
          <w:color w:val="auto"/>
          <w:sz w:val="22"/>
          <w:highlight w:val="none"/>
          <w:lang w:val="zh-CN"/>
        </w:rPr>
      </w:pPr>
      <w:r>
        <w:rPr>
          <w:rFonts w:hint="eastAsia" w:ascii="宋体" w:hAnsi="宋体" w:cs="宋体"/>
          <w:color w:val="auto"/>
          <w:sz w:val="22"/>
          <w:highlight w:val="none"/>
          <w:lang w:val="zh-CN"/>
        </w:rPr>
        <w:t>采购编号：</w:t>
      </w:r>
      <w:r>
        <w:rPr>
          <w:rFonts w:hint="eastAsia" w:ascii="宋体" w:hAnsi="宋体" w:cs="宋体"/>
          <w:color w:val="auto"/>
          <w:sz w:val="22"/>
          <w:highlight w:val="none"/>
          <w:u w:val="single"/>
        </w:rPr>
        <w:t>TSCG202207022</w:t>
      </w:r>
    </w:p>
    <w:p>
      <w:pPr>
        <w:tabs>
          <w:tab w:val="left" w:pos="2352"/>
        </w:tabs>
        <w:autoSpaceDE w:val="0"/>
        <w:autoSpaceDN w:val="0"/>
        <w:adjustRightInd w:val="0"/>
        <w:spacing w:line="400" w:lineRule="exact"/>
        <w:rPr>
          <w:color w:val="auto"/>
          <w:sz w:val="22"/>
          <w:highlight w:val="none"/>
          <w:u w:val="single"/>
        </w:rPr>
      </w:pPr>
      <w:r>
        <w:rPr>
          <w:rFonts w:hint="eastAsia" w:ascii="宋体" w:hAnsi="宋体" w:cs="宋体"/>
          <w:color w:val="auto"/>
          <w:sz w:val="22"/>
          <w:highlight w:val="none"/>
        </w:rPr>
        <w:t>价格单位：</w:t>
      </w:r>
      <w:r>
        <w:rPr>
          <w:rFonts w:hint="eastAsia" w:ascii="宋体" w:hAnsi="宋体" w:cs="宋体"/>
          <w:color w:val="auto"/>
          <w:sz w:val="22"/>
          <w:highlight w:val="none"/>
          <w:u w:val="single"/>
        </w:rPr>
        <w:t>元人民币</w:t>
      </w:r>
    </w:p>
    <w:tbl>
      <w:tblPr>
        <w:tblStyle w:val="24"/>
        <w:tblW w:w="9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79"/>
        <w:gridCol w:w="2668"/>
        <w:gridCol w:w="988"/>
        <w:gridCol w:w="1012"/>
        <w:gridCol w:w="1336"/>
        <w:gridCol w:w="1503"/>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3" w:hRule="atLeast"/>
        </w:trPr>
        <w:tc>
          <w:tcPr>
            <w:tcW w:w="779" w:type="dxa"/>
            <w:vAlign w:val="center"/>
          </w:tcPr>
          <w:p>
            <w:pPr>
              <w:tabs>
                <w:tab w:val="left" w:pos="2352"/>
              </w:tabs>
              <w:ind w:right="-11"/>
              <w:jc w:val="center"/>
              <w:rPr>
                <w:rFonts w:ascii="宋体" w:cs="Arial"/>
                <w:bCs/>
                <w:color w:val="auto"/>
                <w:sz w:val="22"/>
                <w:highlight w:val="none"/>
              </w:rPr>
            </w:pPr>
            <w:r>
              <w:rPr>
                <w:rFonts w:hint="eastAsia" w:ascii="宋体" w:cs="Arial"/>
                <w:bCs/>
                <w:color w:val="auto"/>
                <w:sz w:val="22"/>
                <w:highlight w:val="none"/>
              </w:rPr>
              <w:t>序号</w:t>
            </w:r>
          </w:p>
        </w:tc>
        <w:tc>
          <w:tcPr>
            <w:tcW w:w="2668" w:type="dxa"/>
            <w:vAlign w:val="center"/>
          </w:tcPr>
          <w:p>
            <w:pPr>
              <w:tabs>
                <w:tab w:val="left" w:pos="2352"/>
              </w:tabs>
              <w:ind w:right="-11"/>
              <w:jc w:val="center"/>
              <w:rPr>
                <w:rFonts w:ascii="宋体" w:cs="Arial"/>
                <w:bCs/>
                <w:color w:val="auto"/>
                <w:sz w:val="22"/>
                <w:highlight w:val="none"/>
              </w:rPr>
            </w:pPr>
            <w:r>
              <w:rPr>
                <w:rFonts w:hint="eastAsia" w:ascii="宋体" w:cs="Arial"/>
                <w:bCs/>
                <w:color w:val="auto"/>
                <w:sz w:val="22"/>
                <w:highlight w:val="none"/>
              </w:rPr>
              <w:t>报价项</w:t>
            </w:r>
          </w:p>
        </w:tc>
        <w:tc>
          <w:tcPr>
            <w:tcW w:w="988" w:type="dxa"/>
            <w:vAlign w:val="center"/>
          </w:tcPr>
          <w:p>
            <w:pPr>
              <w:tabs>
                <w:tab w:val="left" w:pos="2352"/>
              </w:tabs>
              <w:ind w:right="-11"/>
              <w:jc w:val="center"/>
              <w:rPr>
                <w:rFonts w:ascii="宋体" w:cs="Arial"/>
                <w:bCs/>
                <w:color w:val="auto"/>
                <w:sz w:val="22"/>
                <w:highlight w:val="none"/>
              </w:rPr>
            </w:pPr>
            <w:r>
              <w:rPr>
                <w:rFonts w:hint="eastAsia" w:ascii="宋体" w:cs="Arial"/>
                <w:bCs/>
                <w:color w:val="auto"/>
                <w:sz w:val="22"/>
                <w:highlight w:val="none"/>
              </w:rPr>
              <w:t>单位</w:t>
            </w:r>
          </w:p>
        </w:tc>
        <w:tc>
          <w:tcPr>
            <w:tcW w:w="1012" w:type="dxa"/>
            <w:vAlign w:val="center"/>
          </w:tcPr>
          <w:p>
            <w:pPr>
              <w:tabs>
                <w:tab w:val="left" w:pos="2352"/>
              </w:tabs>
              <w:ind w:right="-11"/>
              <w:jc w:val="center"/>
              <w:rPr>
                <w:rFonts w:ascii="宋体" w:cs="Arial"/>
                <w:bCs/>
                <w:color w:val="auto"/>
                <w:sz w:val="22"/>
                <w:highlight w:val="none"/>
              </w:rPr>
            </w:pPr>
            <w:r>
              <w:rPr>
                <w:rFonts w:hint="eastAsia" w:ascii="宋体" w:cs="Arial"/>
                <w:bCs/>
                <w:color w:val="auto"/>
                <w:sz w:val="22"/>
                <w:highlight w:val="none"/>
              </w:rPr>
              <w:t>数量</w:t>
            </w:r>
          </w:p>
        </w:tc>
        <w:tc>
          <w:tcPr>
            <w:tcW w:w="1336" w:type="dxa"/>
            <w:vAlign w:val="center"/>
          </w:tcPr>
          <w:p>
            <w:pPr>
              <w:tabs>
                <w:tab w:val="left" w:pos="2352"/>
              </w:tabs>
              <w:ind w:right="-11"/>
              <w:jc w:val="center"/>
              <w:rPr>
                <w:rFonts w:ascii="宋体" w:cs="Arial"/>
                <w:color w:val="auto"/>
                <w:sz w:val="22"/>
                <w:highlight w:val="none"/>
              </w:rPr>
            </w:pPr>
            <w:r>
              <w:rPr>
                <w:rFonts w:hint="eastAsia" w:ascii="宋体" w:cs="Arial"/>
                <w:bCs/>
                <w:color w:val="auto"/>
                <w:sz w:val="22"/>
                <w:highlight w:val="none"/>
              </w:rPr>
              <w:t>单价</w:t>
            </w:r>
          </w:p>
        </w:tc>
        <w:tc>
          <w:tcPr>
            <w:tcW w:w="1503" w:type="dxa"/>
            <w:vAlign w:val="center"/>
          </w:tcPr>
          <w:p>
            <w:pPr>
              <w:tabs>
                <w:tab w:val="left" w:pos="2352"/>
              </w:tabs>
              <w:ind w:right="-11"/>
              <w:jc w:val="center"/>
              <w:rPr>
                <w:rFonts w:ascii="宋体" w:cs="Arial"/>
                <w:color w:val="auto"/>
                <w:sz w:val="22"/>
                <w:highlight w:val="none"/>
              </w:rPr>
            </w:pPr>
            <w:r>
              <w:rPr>
                <w:rFonts w:hint="eastAsia" w:ascii="宋体" w:cs="Arial"/>
                <w:bCs/>
                <w:color w:val="auto"/>
                <w:sz w:val="22"/>
                <w:highlight w:val="none"/>
              </w:rPr>
              <w:t>总价</w:t>
            </w:r>
          </w:p>
        </w:tc>
        <w:tc>
          <w:tcPr>
            <w:tcW w:w="1560" w:type="dxa"/>
            <w:vAlign w:val="center"/>
          </w:tcPr>
          <w:p>
            <w:pPr>
              <w:tabs>
                <w:tab w:val="left" w:pos="2352"/>
              </w:tabs>
              <w:ind w:right="-11"/>
              <w:jc w:val="center"/>
              <w:rPr>
                <w:rFonts w:ascii="宋体" w:cs="Arial"/>
                <w:bCs/>
                <w:color w:val="auto"/>
                <w:sz w:val="22"/>
                <w:highlight w:val="none"/>
              </w:rPr>
            </w:pPr>
            <w:r>
              <w:rPr>
                <w:rFonts w:hint="eastAsia" w:ascii="宋体" w:cs="Arial"/>
                <w:bCs/>
                <w:color w:val="auto"/>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pPr>
              <w:tabs>
                <w:tab w:val="left" w:pos="2352"/>
              </w:tabs>
              <w:ind w:right="-11"/>
              <w:jc w:val="center"/>
              <w:rPr>
                <w:rFonts w:ascii="宋体" w:cs="Arial"/>
                <w:color w:val="auto"/>
                <w:sz w:val="22"/>
                <w:highlight w:val="none"/>
              </w:rPr>
            </w:pPr>
            <w:r>
              <w:rPr>
                <w:rFonts w:hint="eastAsia" w:ascii="宋体" w:cs="Arial"/>
                <w:color w:val="auto"/>
                <w:sz w:val="22"/>
                <w:highlight w:val="none"/>
              </w:rPr>
              <w:t>1</w:t>
            </w:r>
          </w:p>
        </w:tc>
        <w:tc>
          <w:tcPr>
            <w:tcW w:w="2668" w:type="dxa"/>
            <w:vAlign w:val="center"/>
          </w:tcPr>
          <w:p>
            <w:pPr>
              <w:tabs>
                <w:tab w:val="left" w:pos="2352"/>
              </w:tabs>
              <w:rPr>
                <w:rFonts w:ascii="宋体" w:cs="Arial"/>
                <w:color w:val="auto"/>
                <w:sz w:val="22"/>
                <w:highlight w:val="none"/>
              </w:rPr>
            </w:pPr>
          </w:p>
        </w:tc>
        <w:tc>
          <w:tcPr>
            <w:tcW w:w="988" w:type="dxa"/>
            <w:vAlign w:val="center"/>
          </w:tcPr>
          <w:p>
            <w:pPr>
              <w:tabs>
                <w:tab w:val="left" w:pos="2352"/>
              </w:tabs>
              <w:ind w:right="-11"/>
              <w:jc w:val="center"/>
              <w:rPr>
                <w:rFonts w:ascii="宋体" w:cs="Arial"/>
                <w:color w:val="auto"/>
                <w:sz w:val="22"/>
                <w:highlight w:val="none"/>
              </w:rPr>
            </w:pPr>
          </w:p>
        </w:tc>
        <w:tc>
          <w:tcPr>
            <w:tcW w:w="1012" w:type="dxa"/>
            <w:vAlign w:val="center"/>
          </w:tcPr>
          <w:p>
            <w:pPr>
              <w:tabs>
                <w:tab w:val="left" w:pos="2352"/>
              </w:tabs>
              <w:jc w:val="center"/>
              <w:rPr>
                <w:rFonts w:ascii="宋体" w:cs="Arial"/>
                <w:color w:val="auto"/>
                <w:sz w:val="22"/>
                <w:highlight w:val="none"/>
              </w:rPr>
            </w:pPr>
          </w:p>
        </w:tc>
        <w:tc>
          <w:tcPr>
            <w:tcW w:w="1336" w:type="dxa"/>
            <w:vAlign w:val="center"/>
          </w:tcPr>
          <w:p>
            <w:pPr>
              <w:tabs>
                <w:tab w:val="left" w:pos="2352"/>
              </w:tabs>
              <w:ind w:right="-11"/>
              <w:jc w:val="center"/>
              <w:rPr>
                <w:rFonts w:ascii="宋体" w:cs="Arial"/>
                <w:color w:val="auto"/>
                <w:sz w:val="22"/>
                <w:highlight w:val="none"/>
              </w:rPr>
            </w:pPr>
          </w:p>
        </w:tc>
        <w:tc>
          <w:tcPr>
            <w:tcW w:w="1503" w:type="dxa"/>
            <w:vAlign w:val="center"/>
          </w:tcPr>
          <w:p>
            <w:pPr>
              <w:tabs>
                <w:tab w:val="left" w:pos="2352"/>
              </w:tabs>
              <w:ind w:right="-11"/>
              <w:jc w:val="center"/>
              <w:rPr>
                <w:rFonts w:ascii="宋体" w:cs="Arial"/>
                <w:color w:val="auto"/>
                <w:sz w:val="22"/>
                <w:highlight w:val="none"/>
              </w:rPr>
            </w:pPr>
          </w:p>
        </w:tc>
        <w:tc>
          <w:tcPr>
            <w:tcW w:w="1560" w:type="dxa"/>
            <w:vAlign w:val="center"/>
          </w:tcPr>
          <w:p>
            <w:pPr>
              <w:tabs>
                <w:tab w:val="left" w:pos="2352"/>
              </w:tabs>
              <w:ind w:right="-11"/>
              <w:jc w:val="center"/>
              <w:rPr>
                <w:rFonts w:ascii="宋体" w:cs="Arial"/>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pPr>
              <w:tabs>
                <w:tab w:val="left" w:pos="2352"/>
              </w:tabs>
              <w:ind w:right="-11"/>
              <w:jc w:val="center"/>
              <w:rPr>
                <w:rFonts w:ascii="宋体" w:cs="Arial"/>
                <w:color w:val="auto"/>
                <w:sz w:val="22"/>
                <w:highlight w:val="none"/>
              </w:rPr>
            </w:pPr>
            <w:r>
              <w:rPr>
                <w:rFonts w:hint="eastAsia" w:ascii="宋体" w:cs="Arial"/>
                <w:color w:val="auto"/>
                <w:sz w:val="22"/>
                <w:highlight w:val="none"/>
              </w:rPr>
              <w:t>2</w:t>
            </w:r>
          </w:p>
        </w:tc>
        <w:tc>
          <w:tcPr>
            <w:tcW w:w="2668" w:type="dxa"/>
            <w:vAlign w:val="center"/>
          </w:tcPr>
          <w:p>
            <w:pPr>
              <w:tabs>
                <w:tab w:val="left" w:pos="2352"/>
              </w:tabs>
              <w:rPr>
                <w:rFonts w:ascii="宋体" w:cs="Arial"/>
                <w:color w:val="auto"/>
                <w:sz w:val="22"/>
                <w:highlight w:val="none"/>
              </w:rPr>
            </w:pPr>
          </w:p>
        </w:tc>
        <w:tc>
          <w:tcPr>
            <w:tcW w:w="988" w:type="dxa"/>
            <w:vAlign w:val="center"/>
          </w:tcPr>
          <w:p>
            <w:pPr>
              <w:tabs>
                <w:tab w:val="left" w:pos="2352"/>
              </w:tabs>
              <w:ind w:right="-11"/>
              <w:jc w:val="center"/>
              <w:rPr>
                <w:rFonts w:ascii="宋体" w:cs="Arial"/>
                <w:color w:val="auto"/>
                <w:sz w:val="22"/>
                <w:highlight w:val="none"/>
              </w:rPr>
            </w:pPr>
          </w:p>
        </w:tc>
        <w:tc>
          <w:tcPr>
            <w:tcW w:w="1012" w:type="dxa"/>
            <w:vAlign w:val="center"/>
          </w:tcPr>
          <w:p>
            <w:pPr>
              <w:tabs>
                <w:tab w:val="left" w:pos="2352"/>
              </w:tabs>
              <w:jc w:val="center"/>
              <w:rPr>
                <w:rFonts w:ascii="宋体" w:cs="Arial"/>
                <w:color w:val="auto"/>
                <w:sz w:val="22"/>
                <w:highlight w:val="none"/>
              </w:rPr>
            </w:pPr>
          </w:p>
        </w:tc>
        <w:tc>
          <w:tcPr>
            <w:tcW w:w="1336" w:type="dxa"/>
            <w:vAlign w:val="center"/>
          </w:tcPr>
          <w:p>
            <w:pPr>
              <w:tabs>
                <w:tab w:val="left" w:pos="2352"/>
              </w:tabs>
              <w:ind w:right="-11"/>
              <w:jc w:val="center"/>
              <w:rPr>
                <w:rFonts w:ascii="宋体" w:cs="Arial"/>
                <w:color w:val="auto"/>
                <w:sz w:val="22"/>
                <w:highlight w:val="none"/>
              </w:rPr>
            </w:pPr>
          </w:p>
        </w:tc>
        <w:tc>
          <w:tcPr>
            <w:tcW w:w="1503" w:type="dxa"/>
            <w:vAlign w:val="center"/>
          </w:tcPr>
          <w:p>
            <w:pPr>
              <w:tabs>
                <w:tab w:val="left" w:pos="2352"/>
              </w:tabs>
              <w:ind w:right="-11"/>
              <w:jc w:val="center"/>
              <w:rPr>
                <w:rFonts w:ascii="宋体" w:cs="Arial"/>
                <w:color w:val="auto"/>
                <w:sz w:val="22"/>
                <w:highlight w:val="none"/>
              </w:rPr>
            </w:pPr>
          </w:p>
        </w:tc>
        <w:tc>
          <w:tcPr>
            <w:tcW w:w="1560" w:type="dxa"/>
            <w:vAlign w:val="center"/>
          </w:tcPr>
          <w:p>
            <w:pPr>
              <w:tabs>
                <w:tab w:val="left" w:pos="2352"/>
              </w:tabs>
              <w:ind w:right="-11"/>
              <w:jc w:val="center"/>
              <w:rPr>
                <w:rFonts w:ascii="宋体" w:cs="Arial"/>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pPr>
              <w:tabs>
                <w:tab w:val="left" w:pos="2352"/>
              </w:tabs>
              <w:ind w:right="-11"/>
              <w:jc w:val="center"/>
              <w:rPr>
                <w:rFonts w:ascii="宋体" w:cs="Arial"/>
                <w:color w:val="auto"/>
                <w:sz w:val="22"/>
                <w:highlight w:val="none"/>
              </w:rPr>
            </w:pPr>
            <w:r>
              <w:rPr>
                <w:rFonts w:hint="eastAsia" w:ascii="宋体" w:cs="Arial"/>
                <w:color w:val="auto"/>
                <w:sz w:val="22"/>
                <w:highlight w:val="none"/>
              </w:rPr>
              <w:t>3</w:t>
            </w:r>
          </w:p>
        </w:tc>
        <w:tc>
          <w:tcPr>
            <w:tcW w:w="2668" w:type="dxa"/>
            <w:vAlign w:val="center"/>
          </w:tcPr>
          <w:p>
            <w:pPr>
              <w:tabs>
                <w:tab w:val="left" w:pos="2352"/>
              </w:tabs>
              <w:rPr>
                <w:rFonts w:ascii="宋体" w:cs="Arial"/>
                <w:color w:val="auto"/>
                <w:sz w:val="22"/>
                <w:highlight w:val="none"/>
              </w:rPr>
            </w:pPr>
          </w:p>
        </w:tc>
        <w:tc>
          <w:tcPr>
            <w:tcW w:w="988" w:type="dxa"/>
            <w:vAlign w:val="center"/>
          </w:tcPr>
          <w:p>
            <w:pPr>
              <w:tabs>
                <w:tab w:val="left" w:pos="2352"/>
              </w:tabs>
              <w:ind w:right="-11"/>
              <w:jc w:val="center"/>
              <w:rPr>
                <w:rFonts w:ascii="宋体" w:cs="Arial"/>
                <w:color w:val="auto"/>
                <w:sz w:val="22"/>
                <w:highlight w:val="none"/>
              </w:rPr>
            </w:pPr>
          </w:p>
        </w:tc>
        <w:tc>
          <w:tcPr>
            <w:tcW w:w="1012" w:type="dxa"/>
            <w:vAlign w:val="center"/>
          </w:tcPr>
          <w:p>
            <w:pPr>
              <w:tabs>
                <w:tab w:val="left" w:pos="2352"/>
              </w:tabs>
              <w:jc w:val="center"/>
              <w:rPr>
                <w:rFonts w:ascii="宋体" w:cs="Arial"/>
                <w:color w:val="auto"/>
                <w:sz w:val="22"/>
                <w:highlight w:val="none"/>
              </w:rPr>
            </w:pPr>
          </w:p>
        </w:tc>
        <w:tc>
          <w:tcPr>
            <w:tcW w:w="1336" w:type="dxa"/>
            <w:vAlign w:val="center"/>
          </w:tcPr>
          <w:p>
            <w:pPr>
              <w:tabs>
                <w:tab w:val="left" w:pos="2352"/>
              </w:tabs>
              <w:ind w:right="-11"/>
              <w:jc w:val="center"/>
              <w:rPr>
                <w:rFonts w:ascii="宋体" w:cs="Arial"/>
                <w:color w:val="auto"/>
                <w:sz w:val="22"/>
                <w:highlight w:val="none"/>
              </w:rPr>
            </w:pPr>
          </w:p>
        </w:tc>
        <w:tc>
          <w:tcPr>
            <w:tcW w:w="1503" w:type="dxa"/>
            <w:vAlign w:val="center"/>
          </w:tcPr>
          <w:p>
            <w:pPr>
              <w:tabs>
                <w:tab w:val="left" w:pos="2352"/>
              </w:tabs>
              <w:ind w:right="-11"/>
              <w:jc w:val="center"/>
              <w:rPr>
                <w:rFonts w:ascii="宋体" w:cs="Arial"/>
                <w:color w:val="auto"/>
                <w:sz w:val="22"/>
                <w:highlight w:val="none"/>
              </w:rPr>
            </w:pPr>
          </w:p>
        </w:tc>
        <w:tc>
          <w:tcPr>
            <w:tcW w:w="1560" w:type="dxa"/>
            <w:vAlign w:val="center"/>
          </w:tcPr>
          <w:p>
            <w:pPr>
              <w:tabs>
                <w:tab w:val="left" w:pos="2352"/>
              </w:tabs>
              <w:ind w:right="-11"/>
              <w:jc w:val="center"/>
              <w:rPr>
                <w:rFonts w:ascii="宋体" w:cs="Arial"/>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pPr>
              <w:tabs>
                <w:tab w:val="left" w:pos="2352"/>
              </w:tabs>
              <w:ind w:right="-11"/>
              <w:jc w:val="center"/>
              <w:rPr>
                <w:rFonts w:ascii="宋体" w:cs="Arial"/>
                <w:color w:val="auto"/>
                <w:sz w:val="22"/>
                <w:highlight w:val="none"/>
              </w:rPr>
            </w:pPr>
            <w:r>
              <w:rPr>
                <w:rFonts w:hint="eastAsia" w:ascii="宋体" w:cs="Arial"/>
                <w:color w:val="auto"/>
                <w:sz w:val="22"/>
                <w:highlight w:val="none"/>
              </w:rPr>
              <w:t>.</w:t>
            </w:r>
          </w:p>
        </w:tc>
        <w:tc>
          <w:tcPr>
            <w:tcW w:w="2668" w:type="dxa"/>
            <w:vAlign w:val="center"/>
          </w:tcPr>
          <w:p>
            <w:pPr>
              <w:tabs>
                <w:tab w:val="left" w:pos="2352"/>
              </w:tabs>
              <w:rPr>
                <w:rFonts w:ascii="宋体" w:cs="Arial"/>
                <w:color w:val="auto"/>
                <w:sz w:val="22"/>
                <w:highlight w:val="none"/>
              </w:rPr>
            </w:pPr>
          </w:p>
        </w:tc>
        <w:tc>
          <w:tcPr>
            <w:tcW w:w="988" w:type="dxa"/>
            <w:vAlign w:val="center"/>
          </w:tcPr>
          <w:p>
            <w:pPr>
              <w:tabs>
                <w:tab w:val="left" w:pos="2352"/>
              </w:tabs>
              <w:ind w:right="-11"/>
              <w:jc w:val="center"/>
              <w:rPr>
                <w:rFonts w:ascii="宋体" w:cs="Arial"/>
                <w:color w:val="auto"/>
                <w:sz w:val="22"/>
                <w:highlight w:val="none"/>
              </w:rPr>
            </w:pPr>
          </w:p>
        </w:tc>
        <w:tc>
          <w:tcPr>
            <w:tcW w:w="1012" w:type="dxa"/>
            <w:vAlign w:val="center"/>
          </w:tcPr>
          <w:p>
            <w:pPr>
              <w:tabs>
                <w:tab w:val="left" w:pos="2352"/>
              </w:tabs>
              <w:rPr>
                <w:rFonts w:ascii="宋体" w:cs="Arial"/>
                <w:color w:val="auto"/>
                <w:sz w:val="22"/>
                <w:highlight w:val="none"/>
              </w:rPr>
            </w:pPr>
          </w:p>
        </w:tc>
        <w:tc>
          <w:tcPr>
            <w:tcW w:w="1336" w:type="dxa"/>
            <w:vAlign w:val="center"/>
          </w:tcPr>
          <w:p>
            <w:pPr>
              <w:tabs>
                <w:tab w:val="left" w:pos="2352"/>
              </w:tabs>
              <w:ind w:right="-11"/>
              <w:jc w:val="center"/>
              <w:rPr>
                <w:rFonts w:ascii="宋体" w:cs="Arial"/>
                <w:color w:val="auto"/>
                <w:sz w:val="22"/>
                <w:highlight w:val="none"/>
              </w:rPr>
            </w:pPr>
          </w:p>
        </w:tc>
        <w:tc>
          <w:tcPr>
            <w:tcW w:w="1503" w:type="dxa"/>
            <w:vAlign w:val="center"/>
          </w:tcPr>
          <w:p>
            <w:pPr>
              <w:tabs>
                <w:tab w:val="left" w:pos="2352"/>
              </w:tabs>
              <w:ind w:right="-11"/>
              <w:jc w:val="center"/>
              <w:rPr>
                <w:rFonts w:ascii="宋体" w:cs="Arial"/>
                <w:color w:val="auto"/>
                <w:sz w:val="22"/>
                <w:highlight w:val="none"/>
              </w:rPr>
            </w:pPr>
          </w:p>
        </w:tc>
        <w:tc>
          <w:tcPr>
            <w:tcW w:w="1560" w:type="dxa"/>
            <w:vAlign w:val="center"/>
          </w:tcPr>
          <w:p>
            <w:pPr>
              <w:tabs>
                <w:tab w:val="left" w:pos="2352"/>
              </w:tabs>
              <w:ind w:right="-11"/>
              <w:jc w:val="center"/>
              <w:rPr>
                <w:rFonts w:ascii="宋体" w:cs="Arial"/>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pPr>
              <w:tabs>
                <w:tab w:val="left" w:pos="2352"/>
              </w:tabs>
              <w:ind w:right="-11"/>
              <w:jc w:val="center"/>
              <w:rPr>
                <w:rFonts w:ascii="宋体" w:cs="Arial"/>
                <w:color w:val="auto"/>
                <w:sz w:val="22"/>
                <w:highlight w:val="none"/>
              </w:rPr>
            </w:pPr>
            <w:r>
              <w:rPr>
                <w:rFonts w:hint="eastAsia" w:ascii="宋体" w:cs="Arial"/>
                <w:color w:val="auto"/>
                <w:sz w:val="22"/>
                <w:highlight w:val="none"/>
              </w:rPr>
              <w:t>.</w:t>
            </w:r>
          </w:p>
        </w:tc>
        <w:tc>
          <w:tcPr>
            <w:tcW w:w="2668" w:type="dxa"/>
            <w:vAlign w:val="center"/>
          </w:tcPr>
          <w:p>
            <w:pPr>
              <w:tabs>
                <w:tab w:val="left" w:pos="2352"/>
              </w:tabs>
              <w:rPr>
                <w:rFonts w:ascii="宋体" w:cs="Arial"/>
                <w:color w:val="auto"/>
                <w:sz w:val="22"/>
                <w:highlight w:val="none"/>
              </w:rPr>
            </w:pPr>
          </w:p>
        </w:tc>
        <w:tc>
          <w:tcPr>
            <w:tcW w:w="988" w:type="dxa"/>
            <w:vAlign w:val="center"/>
          </w:tcPr>
          <w:p>
            <w:pPr>
              <w:tabs>
                <w:tab w:val="left" w:pos="2352"/>
              </w:tabs>
              <w:ind w:right="-11"/>
              <w:jc w:val="center"/>
              <w:rPr>
                <w:rFonts w:ascii="宋体" w:cs="Arial"/>
                <w:color w:val="auto"/>
                <w:sz w:val="22"/>
                <w:highlight w:val="none"/>
              </w:rPr>
            </w:pPr>
          </w:p>
        </w:tc>
        <w:tc>
          <w:tcPr>
            <w:tcW w:w="1012" w:type="dxa"/>
            <w:vAlign w:val="center"/>
          </w:tcPr>
          <w:p>
            <w:pPr>
              <w:tabs>
                <w:tab w:val="left" w:pos="2352"/>
              </w:tabs>
              <w:jc w:val="center"/>
              <w:rPr>
                <w:rFonts w:ascii="宋体" w:cs="Arial"/>
                <w:color w:val="auto"/>
                <w:sz w:val="22"/>
                <w:highlight w:val="none"/>
              </w:rPr>
            </w:pPr>
          </w:p>
        </w:tc>
        <w:tc>
          <w:tcPr>
            <w:tcW w:w="1336" w:type="dxa"/>
            <w:vAlign w:val="center"/>
          </w:tcPr>
          <w:p>
            <w:pPr>
              <w:tabs>
                <w:tab w:val="left" w:pos="2352"/>
              </w:tabs>
              <w:ind w:right="-11"/>
              <w:jc w:val="center"/>
              <w:rPr>
                <w:rFonts w:ascii="宋体" w:cs="Arial"/>
                <w:color w:val="auto"/>
                <w:sz w:val="22"/>
                <w:highlight w:val="none"/>
              </w:rPr>
            </w:pPr>
          </w:p>
        </w:tc>
        <w:tc>
          <w:tcPr>
            <w:tcW w:w="1503" w:type="dxa"/>
            <w:vAlign w:val="center"/>
          </w:tcPr>
          <w:p>
            <w:pPr>
              <w:tabs>
                <w:tab w:val="left" w:pos="2352"/>
              </w:tabs>
              <w:ind w:right="-11"/>
              <w:jc w:val="center"/>
              <w:rPr>
                <w:rFonts w:ascii="宋体" w:cs="Arial"/>
                <w:color w:val="auto"/>
                <w:sz w:val="22"/>
                <w:highlight w:val="none"/>
              </w:rPr>
            </w:pPr>
          </w:p>
        </w:tc>
        <w:tc>
          <w:tcPr>
            <w:tcW w:w="1560" w:type="dxa"/>
            <w:vAlign w:val="center"/>
          </w:tcPr>
          <w:p>
            <w:pPr>
              <w:tabs>
                <w:tab w:val="left" w:pos="2352"/>
              </w:tabs>
              <w:ind w:right="-11"/>
              <w:jc w:val="center"/>
              <w:rPr>
                <w:rFonts w:ascii="宋体" w:cs="Arial"/>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pPr>
              <w:tabs>
                <w:tab w:val="left" w:pos="2352"/>
              </w:tabs>
              <w:ind w:right="-11"/>
              <w:jc w:val="center"/>
              <w:rPr>
                <w:rFonts w:ascii="宋体" w:cs="Arial"/>
                <w:color w:val="auto"/>
                <w:sz w:val="22"/>
                <w:highlight w:val="none"/>
              </w:rPr>
            </w:pPr>
            <w:r>
              <w:rPr>
                <w:rFonts w:hint="eastAsia" w:ascii="宋体" w:cs="Arial"/>
                <w:color w:val="auto"/>
                <w:sz w:val="22"/>
                <w:highlight w:val="none"/>
              </w:rPr>
              <w:t>.</w:t>
            </w:r>
          </w:p>
        </w:tc>
        <w:tc>
          <w:tcPr>
            <w:tcW w:w="2668" w:type="dxa"/>
            <w:vAlign w:val="center"/>
          </w:tcPr>
          <w:p>
            <w:pPr>
              <w:tabs>
                <w:tab w:val="left" w:pos="2352"/>
              </w:tabs>
              <w:rPr>
                <w:rFonts w:ascii="宋体" w:cs="Arial"/>
                <w:color w:val="auto"/>
                <w:sz w:val="22"/>
                <w:highlight w:val="none"/>
              </w:rPr>
            </w:pPr>
          </w:p>
        </w:tc>
        <w:tc>
          <w:tcPr>
            <w:tcW w:w="988" w:type="dxa"/>
            <w:vAlign w:val="center"/>
          </w:tcPr>
          <w:p>
            <w:pPr>
              <w:tabs>
                <w:tab w:val="left" w:pos="2352"/>
              </w:tabs>
              <w:ind w:right="-11"/>
              <w:jc w:val="center"/>
              <w:rPr>
                <w:rFonts w:ascii="宋体" w:cs="Arial"/>
                <w:color w:val="auto"/>
                <w:sz w:val="22"/>
                <w:highlight w:val="none"/>
              </w:rPr>
            </w:pPr>
          </w:p>
        </w:tc>
        <w:tc>
          <w:tcPr>
            <w:tcW w:w="1012" w:type="dxa"/>
            <w:vAlign w:val="center"/>
          </w:tcPr>
          <w:p>
            <w:pPr>
              <w:tabs>
                <w:tab w:val="left" w:pos="2352"/>
              </w:tabs>
              <w:jc w:val="center"/>
              <w:rPr>
                <w:rFonts w:ascii="宋体" w:cs="Arial"/>
                <w:color w:val="auto"/>
                <w:sz w:val="22"/>
                <w:highlight w:val="none"/>
              </w:rPr>
            </w:pPr>
          </w:p>
        </w:tc>
        <w:tc>
          <w:tcPr>
            <w:tcW w:w="1336" w:type="dxa"/>
            <w:vAlign w:val="center"/>
          </w:tcPr>
          <w:p>
            <w:pPr>
              <w:tabs>
                <w:tab w:val="left" w:pos="2352"/>
              </w:tabs>
              <w:ind w:right="-11"/>
              <w:jc w:val="center"/>
              <w:rPr>
                <w:rFonts w:ascii="宋体" w:cs="Arial"/>
                <w:color w:val="auto"/>
                <w:sz w:val="22"/>
                <w:highlight w:val="none"/>
              </w:rPr>
            </w:pPr>
          </w:p>
        </w:tc>
        <w:tc>
          <w:tcPr>
            <w:tcW w:w="1503" w:type="dxa"/>
            <w:vAlign w:val="center"/>
          </w:tcPr>
          <w:p>
            <w:pPr>
              <w:tabs>
                <w:tab w:val="left" w:pos="2352"/>
              </w:tabs>
              <w:ind w:right="-11"/>
              <w:jc w:val="center"/>
              <w:rPr>
                <w:rFonts w:ascii="宋体" w:cs="Arial"/>
                <w:color w:val="auto"/>
                <w:sz w:val="22"/>
                <w:highlight w:val="none"/>
              </w:rPr>
            </w:pPr>
          </w:p>
        </w:tc>
        <w:tc>
          <w:tcPr>
            <w:tcW w:w="1560" w:type="dxa"/>
            <w:vAlign w:val="center"/>
          </w:tcPr>
          <w:p>
            <w:pPr>
              <w:tabs>
                <w:tab w:val="left" w:pos="2352"/>
              </w:tabs>
              <w:ind w:right="-11"/>
              <w:jc w:val="center"/>
              <w:rPr>
                <w:rFonts w:ascii="宋体" w:cs="Arial"/>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pPr>
              <w:tabs>
                <w:tab w:val="left" w:pos="2352"/>
              </w:tabs>
              <w:ind w:right="-11"/>
              <w:jc w:val="center"/>
              <w:rPr>
                <w:rFonts w:ascii="宋体" w:cs="Arial"/>
                <w:color w:val="auto"/>
                <w:sz w:val="22"/>
                <w:highlight w:val="none"/>
              </w:rPr>
            </w:pPr>
            <w:r>
              <w:rPr>
                <w:rFonts w:hint="eastAsia" w:ascii="宋体" w:cs="Arial"/>
                <w:color w:val="auto"/>
                <w:sz w:val="22"/>
                <w:highlight w:val="none"/>
              </w:rPr>
              <w:t>.</w:t>
            </w:r>
          </w:p>
        </w:tc>
        <w:tc>
          <w:tcPr>
            <w:tcW w:w="2668" w:type="dxa"/>
            <w:vAlign w:val="center"/>
          </w:tcPr>
          <w:p>
            <w:pPr>
              <w:tabs>
                <w:tab w:val="left" w:pos="2352"/>
              </w:tabs>
              <w:rPr>
                <w:rFonts w:ascii="宋体" w:cs="Arial"/>
                <w:color w:val="auto"/>
                <w:sz w:val="22"/>
                <w:highlight w:val="none"/>
              </w:rPr>
            </w:pPr>
          </w:p>
        </w:tc>
        <w:tc>
          <w:tcPr>
            <w:tcW w:w="988" w:type="dxa"/>
            <w:vAlign w:val="center"/>
          </w:tcPr>
          <w:p>
            <w:pPr>
              <w:tabs>
                <w:tab w:val="left" w:pos="2352"/>
              </w:tabs>
              <w:ind w:right="-11"/>
              <w:jc w:val="center"/>
              <w:rPr>
                <w:rFonts w:ascii="宋体" w:cs="Arial"/>
                <w:color w:val="auto"/>
                <w:sz w:val="22"/>
                <w:highlight w:val="none"/>
              </w:rPr>
            </w:pPr>
          </w:p>
        </w:tc>
        <w:tc>
          <w:tcPr>
            <w:tcW w:w="1012" w:type="dxa"/>
            <w:vAlign w:val="center"/>
          </w:tcPr>
          <w:p>
            <w:pPr>
              <w:tabs>
                <w:tab w:val="left" w:pos="2352"/>
              </w:tabs>
              <w:jc w:val="center"/>
              <w:rPr>
                <w:rFonts w:ascii="宋体" w:cs="Arial"/>
                <w:color w:val="auto"/>
                <w:sz w:val="22"/>
                <w:highlight w:val="none"/>
              </w:rPr>
            </w:pPr>
          </w:p>
        </w:tc>
        <w:tc>
          <w:tcPr>
            <w:tcW w:w="1336" w:type="dxa"/>
            <w:vAlign w:val="center"/>
          </w:tcPr>
          <w:p>
            <w:pPr>
              <w:tabs>
                <w:tab w:val="left" w:pos="2352"/>
              </w:tabs>
              <w:ind w:right="-11"/>
              <w:jc w:val="center"/>
              <w:rPr>
                <w:rFonts w:ascii="宋体" w:cs="Arial"/>
                <w:color w:val="auto"/>
                <w:sz w:val="22"/>
                <w:highlight w:val="none"/>
              </w:rPr>
            </w:pPr>
          </w:p>
        </w:tc>
        <w:tc>
          <w:tcPr>
            <w:tcW w:w="1503" w:type="dxa"/>
            <w:vAlign w:val="center"/>
          </w:tcPr>
          <w:p>
            <w:pPr>
              <w:tabs>
                <w:tab w:val="left" w:pos="2352"/>
              </w:tabs>
              <w:ind w:right="-11"/>
              <w:jc w:val="center"/>
              <w:rPr>
                <w:rFonts w:ascii="宋体" w:cs="Arial"/>
                <w:color w:val="auto"/>
                <w:sz w:val="22"/>
                <w:highlight w:val="none"/>
              </w:rPr>
            </w:pPr>
          </w:p>
        </w:tc>
        <w:tc>
          <w:tcPr>
            <w:tcW w:w="1560" w:type="dxa"/>
            <w:vAlign w:val="center"/>
          </w:tcPr>
          <w:p>
            <w:pPr>
              <w:tabs>
                <w:tab w:val="left" w:pos="2352"/>
              </w:tabs>
              <w:ind w:right="-11"/>
              <w:jc w:val="center"/>
              <w:rPr>
                <w:rFonts w:ascii="宋体" w:cs="Arial"/>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pPr>
              <w:widowControl/>
              <w:tabs>
                <w:tab w:val="left" w:pos="2352"/>
              </w:tabs>
              <w:jc w:val="center"/>
              <w:textAlignment w:val="center"/>
              <w:rPr>
                <w:rFonts w:ascii="宋体" w:cs="Arial"/>
                <w:color w:val="auto"/>
                <w:sz w:val="22"/>
                <w:highlight w:val="none"/>
              </w:rPr>
            </w:pPr>
            <w:r>
              <w:rPr>
                <w:rFonts w:hint="eastAsia" w:ascii="宋体" w:cs="Arial"/>
                <w:color w:val="auto"/>
                <w:sz w:val="22"/>
                <w:highlight w:val="none"/>
              </w:rPr>
              <w:t>.</w:t>
            </w:r>
          </w:p>
        </w:tc>
        <w:tc>
          <w:tcPr>
            <w:tcW w:w="2668" w:type="dxa"/>
            <w:vAlign w:val="center"/>
          </w:tcPr>
          <w:p>
            <w:pPr>
              <w:widowControl/>
              <w:tabs>
                <w:tab w:val="left" w:pos="2352"/>
              </w:tabs>
              <w:jc w:val="center"/>
              <w:textAlignment w:val="center"/>
              <w:rPr>
                <w:rFonts w:ascii="宋体" w:cs="Arial"/>
                <w:color w:val="auto"/>
                <w:sz w:val="22"/>
                <w:highlight w:val="none"/>
              </w:rPr>
            </w:pPr>
          </w:p>
        </w:tc>
        <w:tc>
          <w:tcPr>
            <w:tcW w:w="988" w:type="dxa"/>
            <w:vAlign w:val="center"/>
          </w:tcPr>
          <w:p>
            <w:pPr>
              <w:widowControl/>
              <w:tabs>
                <w:tab w:val="left" w:pos="2352"/>
              </w:tabs>
              <w:jc w:val="center"/>
              <w:textAlignment w:val="center"/>
              <w:rPr>
                <w:rFonts w:ascii="宋体" w:cs="Arial"/>
                <w:color w:val="auto"/>
                <w:sz w:val="22"/>
                <w:highlight w:val="none"/>
              </w:rPr>
            </w:pPr>
          </w:p>
        </w:tc>
        <w:tc>
          <w:tcPr>
            <w:tcW w:w="1012" w:type="dxa"/>
            <w:vAlign w:val="center"/>
          </w:tcPr>
          <w:p>
            <w:pPr>
              <w:widowControl/>
              <w:tabs>
                <w:tab w:val="left" w:pos="2352"/>
              </w:tabs>
              <w:jc w:val="center"/>
              <w:textAlignment w:val="center"/>
              <w:rPr>
                <w:rFonts w:ascii="宋体" w:cs="Arial"/>
                <w:color w:val="auto"/>
                <w:sz w:val="22"/>
                <w:highlight w:val="none"/>
              </w:rPr>
            </w:pPr>
          </w:p>
        </w:tc>
        <w:tc>
          <w:tcPr>
            <w:tcW w:w="1336" w:type="dxa"/>
            <w:vAlign w:val="center"/>
          </w:tcPr>
          <w:p>
            <w:pPr>
              <w:widowControl/>
              <w:tabs>
                <w:tab w:val="left" w:pos="2352"/>
              </w:tabs>
              <w:jc w:val="center"/>
              <w:textAlignment w:val="center"/>
              <w:rPr>
                <w:rFonts w:ascii="宋体" w:cs="Arial"/>
                <w:color w:val="auto"/>
                <w:sz w:val="22"/>
                <w:highlight w:val="none"/>
              </w:rPr>
            </w:pPr>
          </w:p>
        </w:tc>
        <w:tc>
          <w:tcPr>
            <w:tcW w:w="1503" w:type="dxa"/>
            <w:vAlign w:val="center"/>
          </w:tcPr>
          <w:p>
            <w:pPr>
              <w:tabs>
                <w:tab w:val="left" w:pos="2352"/>
              </w:tabs>
              <w:ind w:right="-11"/>
              <w:jc w:val="center"/>
              <w:rPr>
                <w:rFonts w:ascii="宋体" w:cs="Arial"/>
                <w:color w:val="auto"/>
                <w:sz w:val="22"/>
                <w:highlight w:val="none"/>
              </w:rPr>
            </w:pPr>
          </w:p>
        </w:tc>
        <w:tc>
          <w:tcPr>
            <w:tcW w:w="1560" w:type="dxa"/>
            <w:vAlign w:val="center"/>
          </w:tcPr>
          <w:p>
            <w:pPr>
              <w:tabs>
                <w:tab w:val="left" w:pos="2352"/>
              </w:tabs>
              <w:ind w:right="-11"/>
              <w:jc w:val="center"/>
              <w:rPr>
                <w:rFonts w:ascii="宋体" w:cs="Arial"/>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pPr>
              <w:widowControl/>
              <w:tabs>
                <w:tab w:val="left" w:pos="2352"/>
              </w:tabs>
              <w:jc w:val="center"/>
              <w:textAlignment w:val="center"/>
              <w:rPr>
                <w:rFonts w:ascii="宋体" w:cs="Arial"/>
                <w:color w:val="auto"/>
                <w:sz w:val="22"/>
                <w:highlight w:val="none"/>
              </w:rPr>
            </w:pPr>
            <w:r>
              <w:rPr>
                <w:rFonts w:hint="eastAsia" w:ascii="宋体" w:cs="Arial"/>
                <w:color w:val="auto"/>
                <w:sz w:val="22"/>
                <w:highlight w:val="none"/>
              </w:rPr>
              <w:t>.</w:t>
            </w:r>
          </w:p>
        </w:tc>
        <w:tc>
          <w:tcPr>
            <w:tcW w:w="2668" w:type="dxa"/>
            <w:vAlign w:val="center"/>
          </w:tcPr>
          <w:p>
            <w:pPr>
              <w:widowControl/>
              <w:tabs>
                <w:tab w:val="left" w:pos="2352"/>
              </w:tabs>
              <w:jc w:val="left"/>
              <w:textAlignment w:val="center"/>
              <w:rPr>
                <w:rFonts w:ascii="宋体" w:cs="Arial"/>
                <w:color w:val="auto"/>
                <w:sz w:val="22"/>
                <w:highlight w:val="none"/>
              </w:rPr>
            </w:pPr>
          </w:p>
        </w:tc>
        <w:tc>
          <w:tcPr>
            <w:tcW w:w="988" w:type="dxa"/>
            <w:vAlign w:val="center"/>
          </w:tcPr>
          <w:p>
            <w:pPr>
              <w:widowControl/>
              <w:tabs>
                <w:tab w:val="left" w:pos="2352"/>
              </w:tabs>
              <w:jc w:val="center"/>
              <w:textAlignment w:val="center"/>
              <w:rPr>
                <w:rFonts w:ascii="宋体" w:cs="Arial"/>
                <w:color w:val="auto"/>
                <w:sz w:val="22"/>
                <w:highlight w:val="none"/>
              </w:rPr>
            </w:pPr>
          </w:p>
        </w:tc>
        <w:tc>
          <w:tcPr>
            <w:tcW w:w="1012" w:type="dxa"/>
            <w:vAlign w:val="center"/>
          </w:tcPr>
          <w:p>
            <w:pPr>
              <w:widowControl/>
              <w:tabs>
                <w:tab w:val="left" w:pos="2352"/>
              </w:tabs>
              <w:jc w:val="center"/>
              <w:textAlignment w:val="center"/>
              <w:rPr>
                <w:rFonts w:ascii="宋体" w:cs="Arial"/>
                <w:color w:val="auto"/>
                <w:sz w:val="22"/>
                <w:highlight w:val="none"/>
              </w:rPr>
            </w:pPr>
          </w:p>
        </w:tc>
        <w:tc>
          <w:tcPr>
            <w:tcW w:w="1336" w:type="dxa"/>
            <w:vAlign w:val="center"/>
          </w:tcPr>
          <w:p>
            <w:pPr>
              <w:widowControl/>
              <w:tabs>
                <w:tab w:val="left" w:pos="2352"/>
              </w:tabs>
              <w:jc w:val="center"/>
              <w:textAlignment w:val="center"/>
              <w:rPr>
                <w:rFonts w:ascii="宋体" w:cs="Arial"/>
                <w:color w:val="auto"/>
                <w:sz w:val="22"/>
                <w:highlight w:val="none"/>
              </w:rPr>
            </w:pPr>
          </w:p>
        </w:tc>
        <w:tc>
          <w:tcPr>
            <w:tcW w:w="1503" w:type="dxa"/>
            <w:vAlign w:val="center"/>
          </w:tcPr>
          <w:p>
            <w:pPr>
              <w:tabs>
                <w:tab w:val="left" w:pos="2352"/>
              </w:tabs>
              <w:ind w:right="-11"/>
              <w:jc w:val="center"/>
              <w:rPr>
                <w:rFonts w:ascii="宋体" w:cs="Arial"/>
                <w:color w:val="auto"/>
                <w:sz w:val="22"/>
                <w:highlight w:val="none"/>
              </w:rPr>
            </w:pPr>
          </w:p>
        </w:tc>
        <w:tc>
          <w:tcPr>
            <w:tcW w:w="1560" w:type="dxa"/>
            <w:vAlign w:val="center"/>
          </w:tcPr>
          <w:p>
            <w:pPr>
              <w:tabs>
                <w:tab w:val="left" w:pos="2352"/>
              </w:tabs>
              <w:ind w:right="-11"/>
              <w:jc w:val="center"/>
              <w:rPr>
                <w:rFonts w:ascii="宋体" w:cs="Arial"/>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pPr>
              <w:widowControl/>
              <w:tabs>
                <w:tab w:val="left" w:pos="2352"/>
              </w:tabs>
              <w:jc w:val="center"/>
              <w:textAlignment w:val="center"/>
              <w:rPr>
                <w:rFonts w:ascii="宋体" w:cs="Arial"/>
                <w:color w:val="auto"/>
                <w:sz w:val="22"/>
                <w:highlight w:val="none"/>
              </w:rPr>
            </w:pPr>
            <w:r>
              <w:rPr>
                <w:rFonts w:hint="eastAsia" w:ascii="宋体" w:cs="Arial"/>
                <w:color w:val="auto"/>
                <w:sz w:val="22"/>
                <w:highlight w:val="none"/>
              </w:rPr>
              <w:t>.</w:t>
            </w:r>
          </w:p>
        </w:tc>
        <w:tc>
          <w:tcPr>
            <w:tcW w:w="2668" w:type="dxa"/>
            <w:vAlign w:val="center"/>
          </w:tcPr>
          <w:p>
            <w:pPr>
              <w:widowControl/>
              <w:tabs>
                <w:tab w:val="left" w:pos="2352"/>
              </w:tabs>
              <w:jc w:val="left"/>
              <w:textAlignment w:val="center"/>
              <w:rPr>
                <w:rFonts w:ascii="宋体" w:cs="Arial"/>
                <w:color w:val="auto"/>
                <w:sz w:val="22"/>
                <w:highlight w:val="none"/>
              </w:rPr>
            </w:pPr>
          </w:p>
        </w:tc>
        <w:tc>
          <w:tcPr>
            <w:tcW w:w="988" w:type="dxa"/>
            <w:vAlign w:val="center"/>
          </w:tcPr>
          <w:p>
            <w:pPr>
              <w:widowControl/>
              <w:tabs>
                <w:tab w:val="left" w:pos="2352"/>
              </w:tabs>
              <w:jc w:val="center"/>
              <w:textAlignment w:val="center"/>
              <w:rPr>
                <w:rFonts w:ascii="宋体" w:cs="Arial"/>
                <w:color w:val="auto"/>
                <w:sz w:val="22"/>
                <w:highlight w:val="none"/>
              </w:rPr>
            </w:pPr>
          </w:p>
        </w:tc>
        <w:tc>
          <w:tcPr>
            <w:tcW w:w="1012" w:type="dxa"/>
            <w:vAlign w:val="center"/>
          </w:tcPr>
          <w:p>
            <w:pPr>
              <w:widowControl/>
              <w:tabs>
                <w:tab w:val="left" w:pos="2352"/>
              </w:tabs>
              <w:jc w:val="center"/>
              <w:textAlignment w:val="center"/>
              <w:rPr>
                <w:rFonts w:ascii="宋体" w:cs="Arial"/>
                <w:color w:val="auto"/>
                <w:sz w:val="22"/>
                <w:highlight w:val="none"/>
              </w:rPr>
            </w:pPr>
          </w:p>
        </w:tc>
        <w:tc>
          <w:tcPr>
            <w:tcW w:w="1336" w:type="dxa"/>
            <w:vAlign w:val="center"/>
          </w:tcPr>
          <w:p>
            <w:pPr>
              <w:widowControl/>
              <w:tabs>
                <w:tab w:val="left" w:pos="2352"/>
              </w:tabs>
              <w:jc w:val="center"/>
              <w:textAlignment w:val="center"/>
              <w:rPr>
                <w:rFonts w:ascii="宋体" w:cs="Arial"/>
                <w:color w:val="auto"/>
                <w:sz w:val="22"/>
                <w:highlight w:val="none"/>
              </w:rPr>
            </w:pPr>
          </w:p>
        </w:tc>
        <w:tc>
          <w:tcPr>
            <w:tcW w:w="1503" w:type="dxa"/>
            <w:vAlign w:val="center"/>
          </w:tcPr>
          <w:p>
            <w:pPr>
              <w:tabs>
                <w:tab w:val="left" w:pos="2352"/>
              </w:tabs>
              <w:ind w:right="-11"/>
              <w:jc w:val="center"/>
              <w:rPr>
                <w:rFonts w:ascii="宋体" w:cs="Arial"/>
                <w:color w:val="auto"/>
                <w:sz w:val="22"/>
                <w:highlight w:val="none"/>
              </w:rPr>
            </w:pPr>
          </w:p>
        </w:tc>
        <w:tc>
          <w:tcPr>
            <w:tcW w:w="1560" w:type="dxa"/>
            <w:vAlign w:val="center"/>
          </w:tcPr>
          <w:p>
            <w:pPr>
              <w:tabs>
                <w:tab w:val="left" w:pos="2352"/>
              </w:tabs>
              <w:ind w:right="-11"/>
              <w:jc w:val="center"/>
              <w:rPr>
                <w:rFonts w:ascii="宋体" w:cs="Arial"/>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pPr>
              <w:widowControl/>
              <w:tabs>
                <w:tab w:val="left" w:pos="2352"/>
              </w:tabs>
              <w:jc w:val="center"/>
              <w:textAlignment w:val="center"/>
              <w:rPr>
                <w:rFonts w:ascii="宋体" w:cs="Arial"/>
                <w:color w:val="auto"/>
                <w:sz w:val="22"/>
                <w:highlight w:val="none"/>
              </w:rPr>
            </w:pPr>
          </w:p>
        </w:tc>
        <w:tc>
          <w:tcPr>
            <w:tcW w:w="2668" w:type="dxa"/>
            <w:vAlign w:val="center"/>
          </w:tcPr>
          <w:p>
            <w:pPr>
              <w:widowControl/>
              <w:tabs>
                <w:tab w:val="left" w:pos="2352"/>
              </w:tabs>
              <w:jc w:val="left"/>
              <w:textAlignment w:val="center"/>
              <w:rPr>
                <w:rFonts w:ascii="宋体" w:cs="Arial"/>
                <w:color w:val="auto"/>
                <w:sz w:val="22"/>
                <w:highlight w:val="none"/>
              </w:rPr>
            </w:pPr>
          </w:p>
        </w:tc>
        <w:tc>
          <w:tcPr>
            <w:tcW w:w="988" w:type="dxa"/>
            <w:vAlign w:val="center"/>
          </w:tcPr>
          <w:p>
            <w:pPr>
              <w:widowControl/>
              <w:tabs>
                <w:tab w:val="left" w:pos="2352"/>
              </w:tabs>
              <w:jc w:val="center"/>
              <w:textAlignment w:val="center"/>
              <w:rPr>
                <w:rFonts w:ascii="宋体" w:cs="Arial"/>
                <w:color w:val="auto"/>
                <w:sz w:val="22"/>
                <w:highlight w:val="none"/>
              </w:rPr>
            </w:pPr>
          </w:p>
        </w:tc>
        <w:tc>
          <w:tcPr>
            <w:tcW w:w="1012" w:type="dxa"/>
            <w:vAlign w:val="center"/>
          </w:tcPr>
          <w:p>
            <w:pPr>
              <w:widowControl/>
              <w:tabs>
                <w:tab w:val="left" w:pos="2352"/>
              </w:tabs>
              <w:jc w:val="center"/>
              <w:textAlignment w:val="center"/>
              <w:rPr>
                <w:rFonts w:ascii="宋体" w:cs="Arial"/>
                <w:color w:val="auto"/>
                <w:sz w:val="22"/>
                <w:highlight w:val="none"/>
              </w:rPr>
            </w:pPr>
          </w:p>
        </w:tc>
        <w:tc>
          <w:tcPr>
            <w:tcW w:w="1336" w:type="dxa"/>
            <w:vAlign w:val="center"/>
          </w:tcPr>
          <w:p>
            <w:pPr>
              <w:widowControl/>
              <w:tabs>
                <w:tab w:val="left" w:pos="2352"/>
              </w:tabs>
              <w:jc w:val="center"/>
              <w:textAlignment w:val="center"/>
              <w:rPr>
                <w:rFonts w:ascii="宋体" w:cs="Arial"/>
                <w:color w:val="auto"/>
                <w:sz w:val="22"/>
                <w:highlight w:val="none"/>
              </w:rPr>
            </w:pPr>
          </w:p>
        </w:tc>
        <w:tc>
          <w:tcPr>
            <w:tcW w:w="1503" w:type="dxa"/>
            <w:vAlign w:val="center"/>
          </w:tcPr>
          <w:p>
            <w:pPr>
              <w:widowControl/>
              <w:tabs>
                <w:tab w:val="left" w:pos="2352"/>
              </w:tabs>
              <w:jc w:val="center"/>
              <w:textAlignment w:val="center"/>
              <w:rPr>
                <w:rFonts w:ascii="宋体" w:cs="Arial"/>
                <w:color w:val="auto"/>
                <w:sz w:val="22"/>
                <w:highlight w:val="none"/>
              </w:rPr>
            </w:pPr>
          </w:p>
        </w:tc>
        <w:tc>
          <w:tcPr>
            <w:tcW w:w="1560" w:type="dxa"/>
            <w:vAlign w:val="center"/>
          </w:tcPr>
          <w:p>
            <w:pPr>
              <w:tabs>
                <w:tab w:val="left" w:pos="2352"/>
              </w:tabs>
              <w:ind w:right="-11"/>
              <w:jc w:val="center"/>
              <w:rPr>
                <w:rFonts w:ascii="宋体" w:cs="Arial"/>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pPr>
              <w:widowControl/>
              <w:tabs>
                <w:tab w:val="left" w:pos="2352"/>
              </w:tabs>
              <w:jc w:val="center"/>
              <w:textAlignment w:val="center"/>
              <w:rPr>
                <w:rFonts w:ascii="宋体" w:cs="Arial"/>
                <w:color w:val="auto"/>
                <w:sz w:val="22"/>
                <w:highlight w:val="none"/>
              </w:rPr>
            </w:pPr>
          </w:p>
        </w:tc>
        <w:tc>
          <w:tcPr>
            <w:tcW w:w="2668" w:type="dxa"/>
            <w:vAlign w:val="center"/>
          </w:tcPr>
          <w:p>
            <w:pPr>
              <w:widowControl/>
              <w:tabs>
                <w:tab w:val="left" w:pos="2352"/>
              </w:tabs>
              <w:jc w:val="left"/>
              <w:textAlignment w:val="center"/>
              <w:rPr>
                <w:rFonts w:ascii="宋体" w:cs="Arial"/>
                <w:color w:val="auto"/>
                <w:sz w:val="22"/>
                <w:highlight w:val="none"/>
              </w:rPr>
            </w:pPr>
          </w:p>
        </w:tc>
        <w:tc>
          <w:tcPr>
            <w:tcW w:w="988" w:type="dxa"/>
            <w:vAlign w:val="center"/>
          </w:tcPr>
          <w:p>
            <w:pPr>
              <w:widowControl/>
              <w:tabs>
                <w:tab w:val="left" w:pos="2352"/>
              </w:tabs>
              <w:jc w:val="center"/>
              <w:textAlignment w:val="center"/>
              <w:rPr>
                <w:rFonts w:ascii="宋体" w:cs="Arial"/>
                <w:color w:val="auto"/>
                <w:sz w:val="22"/>
                <w:highlight w:val="none"/>
              </w:rPr>
            </w:pPr>
          </w:p>
        </w:tc>
        <w:tc>
          <w:tcPr>
            <w:tcW w:w="1012" w:type="dxa"/>
            <w:vAlign w:val="center"/>
          </w:tcPr>
          <w:p>
            <w:pPr>
              <w:widowControl/>
              <w:tabs>
                <w:tab w:val="left" w:pos="2352"/>
              </w:tabs>
              <w:jc w:val="center"/>
              <w:textAlignment w:val="center"/>
              <w:rPr>
                <w:rFonts w:ascii="宋体" w:cs="Arial"/>
                <w:color w:val="auto"/>
                <w:sz w:val="22"/>
                <w:highlight w:val="none"/>
              </w:rPr>
            </w:pPr>
          </w:p>
        </w:tc>
        <w:tc>
          <w:tcPr>
            <w:tcW w:w="1336" w:type="dxa"/>
            <w:vAlign w:val="center"/>
          </w:tcPr>
          <w:p>
            <w:pPr>
              <w:widowControl/>
              <w:tabs>
                <w:tab w:val="left" w:pos="2352"/>
              </w:tabs>
              <w:jc w:val="center"/>
              <w:textAlignment w:val="center"/>
              <w:rPr>
                <w:rFonts w:ascii="宋体" w:cs="Arial"/>
                <w:color w:val="auto"/>
                <w:sz w:val="22"/>
                <w:highlight w:val="none"/>
              </w:rPr>
            </w:pPr>
          </w:p>
        </w:tc>
        <w:tc>
          <w:tcPr>
            <w:tcW w:w="1503" w:type="dxa"/>
            <w:vAlign w:val="center"/>
          </w:tcPr>
          <w:p>
            <w:pPr>
              <w:widowControl/>
              <w:tabs>
                <w:tab w:val="left" w:pos="2352"/>
              </w:tabs>
              <w:jc w:val="center"/>
              <w:textAlignment w:val="center"/>
              <w:rPr>
                <w:rFonts w:ascii="宋体" w:cs="Arial"/>
                <w:color w:val="auto"/>
                <w:sz w:val="22"/>
                <w:highlight w:val="none"/>
              </w:rPr>
            </w:pPr>
          </w:p>
        </w:tc>
        <w:tc>
          <w:tcPr>
            <w:tcW w:w="1560" w:type="dxa"/>
            <w:vAlign w:val="center"/>
          </w:tcPr>
          <w:p>
            <w:pPr>
              <w:tabs>
                <w:tab w:val="left" w:pos="2352"/>
              </w:tabs>
              <w:ind w:right="-11"/>
              <w:jc w:val="center"/>
              <w:rPr>
                <w:rFonts w:ascii="宋体" w:cs="Arial"/>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pPr>
              <w:widowControl/>
              <w:tabs>
                <w:tab w:val="left" w:pos="2352"/>
              </w:tabs>
              <w:jc w:val="center"/>
              <w:textAlignment w:val="center"/>
              <w:rPr>
                <w:rFonts w:ascii="宋体" w:cs="Arial"/>
                <w:color w:val="auto"/>
                <w:sz w:val="22"/>
                <w:highlight w:val="none"/>
              </w:rPr>
            </w:pPr>
          </w:p>
        </w:tc>
        <w:tc>
          <w:tcPr>
            <w:tcW w:w="2668" w:type="dxa"/>
            <w:vAlign w:val="center"/>
          </w:tcPr>
          <w:p>
            <w:pPr>
              <w:widowControl/>
              <w:tabs>
                <w:tab w:val="left" w:pos="2352"/>
              </w:tabs>
              <w:jc w:val="left"/>
              <w:textAlignment w:val="center"/>
              <w:rPr>
                <w:rFonts w:ascii="宋体" w:cs="Arial"/>
                <w:color w:val="auto"/>
                <w:sz w:val="22"/>
                <w:highlight w:val="none"/>
              </w:rPr>
            </w:pPr>
          </w:p>
        </w:tc>
        <w:tc>
          <w:tcPr>
            <w:tcW w:w="988" w:type="dxa"/>
            <w:vAlign w:val="center"/>
          </w:tcPr>
          <w:p>
            <w:pPr>
              <w:widowControl/>
              <w:tabs>
                <w:tab w:val="left" w:pos="2352"/>
              </w:tabs>
              <w:jc w:val="center"/>
              <w:textAlignment w:val="center"/>
              <w:rPr>
                <w:rFonts w:ascii="宋体" w:cs="Arial"/>
                <w:color w:val="auto"/>
                <w:sz w:val="22"/>
                <w:highlight w:val="none"/>
              </w:rPr>
            </w:pPr>
          </w:p>
        </w:tc>
        <w:tc>
          <w:tcPr>
            <w:tcW w:w="1012" w:type="dxa"/>
            <w:vAlign w:val="center"/>
          </w:tcPr>
          <w:p>
            <w:pPr>
              <w:widowControl/>
              <w:tabs>
                <w:tab w:val="left" w:pos="2352"/>
              </w:tabs>
              <w:jc w:val="center"/>
              <w:textAlignment w:val="center"/>
              <w:rPr>
                <w:rFonts w:ascii="宋体" w:cs="Arial"/>
                <w:color w:val="auto"/>
                <w:sz w:val="22"/>
                <w:highlight w:val="none"/>
              </w:rPr>
            </w:pPr>
          </w:p>
        </w:tc>
        <w:tc>
          <w:tcPr>
            <w:tcW w:w="1336" w:type="dxa"/>
            <w:vAlign w:val="center"/>
          </w:tcPr>
          <w:p>
            <w:pPr>
              <w:widowControl/>
              <w:tabs>
                <w:tab w:val="left" w:pos="2352"/>
              </w:tabs>
              <w:jc w:val="center"/>
              <w:textAlignment w:val="center"/>
              <w:rPr>
                <w:rFonts w:ascii="宋体" w:cs="Arial"/>
                <w:color w:val="auto"/>
                <w:sz w:val="22"/>
                <w:highlight w:val="none"/>
              </w:rPr>
            </w:pPr>
          </w:p>
        </w:tc>
        <w:tc>
          <w:tcPr>
            <w:tcW w:w="1503" w:type="dxa"/>
            <w:vAlign w:val="center"/>
          </w:tcPr>
          <w:p>
            <w:pPr>
              <w:widowControl/>
              <w:tabs>
                <w:tab w:val="left" w:pos="2352"/>
              </w:tabs>
              <w:jc w:val="center"/>
              <w:textAlignment w:val="center"/>
              <w:rPr>
                <w:rFonts w:ascii="宋体" w:cs="Arial"/>
                <w:color w:val="auto"/>
                <w:sz w:val="22"/>
                <w:highlight w:val="none"/>
              </w:rPr>
            </w:pPr>
          </w:p>
        </w:tc>
        <w:tc>
          <w:tcPr>
            <w:tcW w:w="1560" w:type="dxa"/>
            <w:vAlign w:val="center"/>
          </w:tcPr>
          <w:p>
            <w:pPr>
              <w:tabs>
                <w:tab w:val="left" w:pos="2352"/>
              </w:tabs>
              <w:ind w:right="-11"/>
              <w:jc w:val="center"/>
              <w:rPr>
                <w:rFonts w:ascii="宋体" w:cs="Arial"/>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6783" w:type="dxa"/>
            <w:gridSpan w:val="5"/>
            <w:vAlign w:val="center"/>
          </w:tcPr>
          <w:p>
            <w:pPr>
              <w:widowControl/>
              <w:tabs>
                <w:tab w:val="left" w:pos="2352"/>
              </w:tabs>
              <w:jc w:val="center"/>
              <w:textAlignment w:val="center"/>
              <w:rPr>
                <w:rFonts w:ascii="宋体" w:cs="Arial"/>
                <w:color w:val="auto"/>
                <w:sz w:val="22"/>
                <w:highlight w:val="none"/>
              </w:rPr>
            </w:pPr>
            <w:r>
              <w:rPr>
                <w:rFonts w:hint="eastAsia" w:ascii="宋体" w:cs="Arial"/>
                <w:color w:val="auto"/>
                <w:sz w:val="22"/>
                <w:highlight w:val="none"/>
              </w:rPr>
              <w:t>合计</w:t>
            </w:r>
          </w:p>
        </w:tc>
        <w:tc>
          <w:tcPr>
            <w:tcW w:w="1503" w:type="dxa"/>
            <w:vAlign w:val="center"/>
          </w:tcPr>
          <w:p>
            <w:pPr>
              <w:widowControl/>
              <w:tabs>
                <w:tab w:val="left" w:pos="2352"/>
              </w:tabs>
              <w:jc w:val="center"/>
              <w:textAlignment w:val="center"/>
              <w:rPr>
                <w:rFonts w:ascii="宋体" w:cs="Arial"/>
                <w:color w:val="auto"/>
                <w:sz w:val="22"/>
                <w:highlight w:val="none"/>
              </w:rPr>
            </w:pPr>
          </w:p>
        </w:tc>
        <w:tc>
          <w:tcPr>
            <w:tcW w:w="1560" w:type="dxa"/>
            <w:vAlign w:val="center"/>
          </w:tcPr>
          <w:p>
            <w:pPr>
              <w:tabs>
                <w:tab w:val="left" w:pos="2352"/>
              </w:tabs>
              <w:ind w:right="-11"/>
              <w:jc w:val="center"/>
              <w:rPr>
                <w:rFonts w:ascii="宋体" w:cs="Arial"/>
                <w:color w:val="auto"/>
                <w:sz w:val="22"/>
                <w:highlight w:val="none"/>
              </w:rPr>
            </w:pPr>
          </w:p>
        </w:tc>
      </w:tr>
    </w:tbl>
    <w:p>
      <w:pPr>
        <w:tabs>
          <w:tab w:val="left" w:pos="2352"/>
        </w:tabs>
        <w:rPr>
          <w:rFonts w:ascii="宋体" w:cs="Arial"/>
          <w:bCs/>
          <w:color w:val="auto"/>
          <w:sz w:val="22"/>
          <w:highlight w:val="none"/>
        </w:rPr>
      </w:pPr>
    </w:p>
    <w:p>
      <w:pPr>
        <w:tabs>
          <w:tab w:val="left" w:pos="2352"/>
        </w:tabs>
        <w:rPr>
          <w:rFonts w:ascii="宋体" w:cs="Arial"/>
          <w:color w:val="auto"/>
          <w:sz w:val="22"/>
          <w:highlight w:val="none"/>
        </w:rPr>
      </w:pPr>
      <w:r>
        <w:rPr>
          <w:rFonts w:hint="eastAsia" w:ascii="宋体" w:cs="Arial"/>
          <w:bCs/>
          <w:color w:val="auto"/>
          <w:sz w:val="22"/>
          <w:highlight w:val="none"/>
        </w:rPr>
        <w:t>注</w:t>
      </w:r>
      <w:r>
        <w:rPr>
          <w:rFonts w:ascii="宋体" w:cs="Arial"/>
          <w:bCs/>
          <w:color w:val="auto"/>
          <w:sz w:val="22"/>
          <w:highlight w:val="none"/>
        </w:rPr>
        <w:t>：</w:t>
      </w:r>
      <w:r>
        <w:rPr>
          <w:rFonts w:ascii="宋体" w:cs="Arial"/>
          <w:color w:val="auto"/>
          <w:sz w:val="22"/>
          <w:highlight w:val="none"/>
        </w:rPr>
        <w:t>1</w:t>
      </w:r>
      <w:r>
        <w:rPr>
          <w:rFonts w:hint="eastAsia" w:ascii="宋体" w:cs="Arial"/>
          <w:color w:val="auto"/>
          <w:sz w:val="22"/>
          <w:highlight w:val="none"/>
        </w:rPr>
        <w:t>.</w:t>
      </w:r>
      <w:r>
        <w:rPr>
          <w:rFonts w:ascii="宋体" w:cs="Arial"/>
          <w:color w:val="auto"/>
          <w:sz w:val="22"/>
          <w:highlight w:val="none"/>
        </w:rPr>
        <w:t>不提供详细分项报价表将视为没有实质性响应</w:t>
      </w:r>
      <w:r>
        <w:rPr>
          <w:rFonts w:hint="eastAsia" w:ascii="宋体" w:cs="Arial"/>
          <w:color w:val="auto"/>
          <w:sz w:val="22"/>
          <w:highlight w:val="none"/>
        </w:rPr>
        <w:t>竞争性磋商文件</w:t>
      </w:r>
      <w:r>
        <w:rPr>
          <w:rFonts w:ascii="宋体" w:cs="Arial"/>
          <w:color w:val="auto"/>
          <w:sz w:val="22"/>
          <w:highlight w:val="none"/>
        </w:rPr>
        <w:t>。</w:t>
      </w:r>
    </w:p>
    <w:p>
      <w:pPr>
        <w:tabs>
          <w:tab w:val="left" w:pos="2352"/>
        </w:tabs>
        <w:ind w:firstLine="630"/>
        <w:rPr>
          <w:rFonts w:ascii="宋体" w:cs="Arial"/>
          <w:color w:val="auto"/>
          <w:sz w:val="22"/>
          <w:highlight w:val="none"/>
        </w:rPr>
      </w:pPr>
      <w:r>
        <w:rPr>
          <w:rFonts w:ascii="宋体" w:cs="Arial"/>
          <w:color w:val="auto"/>
          <w:sz w:val="22"/>
          <w:highlight w:val="none"/>
        </w:rPr>
        <w:t>2</w:t>
      </w:r>
      <w:r>
        <w:rPr>
          <w:rFonts w:hint="eastAsia" w:ascii="宋体" w:cs="Arial"/>
          <w:color w:val="auto"/>
          <w:sz w:val="22"/>
          <w:highlight w:val="none"/>
        </w:rPr>
        <w:t>.</w:t>
      </w:r>
      <w:r>
        <w:rPr>
          <w:rFonts w:ascii="宋体" w:cs="Arial"/>
          <w:color w:val="auto"/>
          <w:sz w:val="22"/>
          <w:highlight w:val="none"/>
        </w:rPr>
        <w:t>此表的合</w:t>
      </w:r>
      <w:r>
        <w:rPr>
          <w:rFonts w:hint="eastAsia" w:ascii="宋体" w:cs="Arial"/>
          <w:color w:val="auto"/>
          <w:sz w:val="22"/>
          <w:highlight w:val="none"/>
        </w:rPr>
        <w:t>计总</w:t>
      </w:r>
      <w:r>
        <w:rPr>
          <w:rFonts w:ascii="宋体" w:cs="Arial"/>
          <w:color w:val="auto"/>
          <w:sz w:val="22"/>
          <w:highlight w:val="none"/>
        </w:rPr>
        <w:t>价应与附</w:t>
      </w:r>
      <w:r>
        <w:rPr>
          <w:rFonts w:hint="eastAsia" w:ascii="宋体" w:cs="Arial"/>
          <w:color w:val="auto"/>
          <w:sz w:val="22"/>
          <w:highlight w:val="none"/>
        </w:rPr>
        <w:t>件一“开标（报价）一览表”投标总价相一</w:t>
      </w:r>
      <w:r>
        <w:rPr>
          <w:rFonts w:ascii="宋体" w:cs="Arial"/>
          <w:color w:val="auto"/>
          <w:sz w:val="22"/>
          <w:highlight w:val="none"/>
        </w:rPr>
        <w:t>致</w:t>
      </w:r>
      <w:r>
        <w:rPr>
          <w:rFonts w:ascii="宋体" w:cs="Arial"/>
          <w:b/>
          <w:bCs/>
          <w:color w:val="auto"/>
          <w:sz w:val="22"/>
          <w:highlight w:val="none"/>
        </w:rPr>
        <w:t>。</w:t>
      </w:r>
    </w:p>
    <w:p>
      <w:pPr>
        <w:tabs>
          <w:tab w:val="left" w:pos="2352"/>
        </w:tabs>
        <w:ind w:firstLine="630"/>
        <w:rPr>
          <w:rFonts w:ascii="宋体" w:cs="Arial"/>
          <w:color w:val="auto"/>
          <w:sz w:val="22"/>
          <w:highlight w:val="none"/>
        </w:rPr>
      </w:pPr>
      <w:r>
        <w:rPr>
          <w:rFonts w:ascii="宋体" w:cs="Arial"/>
          <w:color w:val="auto"/>
          <w:sz w:val="22"/>
          <w:highlight w:val="none"/>
        </w:rPr>
        <w:t>3</w:t>
      </w:r>
      <w:r>
        <w:rPr>
          <w:rFonts w:hint="eastAsia" w:ascii="宋体" w:cs="Arial"/>
          <w:color w:val="auto"/>
          <w:sz w:val="22"/>
          <w:highlight w:val="none"/>
        </w:rPr>
        <w:t>.</w:t>
      </w:r>
      <w:r>
        <w:rPr>
          <w:rFonts w:ascii="宋体" w:cs="Arial"/>
          <w:color w:val="auto"/>
          <w:sz w:val="22"/>
          <w:highlight w:val="none"/>
        </w:rPr>
        <w:t>如果免费请在该备注栏</w:t>
      </w:r>
      <w:r>
        <w:rPr>
          <w:rFonts w:hint="eastAsia" w:ascii="宋体" w:cs="Arial"/>
          <w:color w:val="auto"/>
          <w:sz w:val="22"/>
          <w:highlight w:val="none"/>
        </w:rPr>
        <w:t>内注明“免”，如果含在产品价格中则填“含”，如无此项内容则填“无”，不留空白。</w:t>
      </w:r>
    </w:p>
    <w:p>
      <w:pPr>
        <w:tabs>
          <w:tab w:val="left" w:pos="2352"/>
        </w:tabs>
        <w:ind w:firstLine="630"/>
        <w:rPr>
          <w:rFonts w:ascii="宋体" w:cs="Arial"/>
          <w:color w:val="auto"/>
          <w:sz w:val="22"/>
          <w:highlight w:val="none"/>
        </w:rPr>
      </w:pPr>
      <w:r>
        <w:rPr>
          <w:rFonts w:ascii="宋体" w:cs="Arial"/>
          <w:color w:val="auto"/>
          <w:sz w:val="22"/>
          <w:highlight w:val="none"/>
        </w:rPr>
        <w:t>4</w:t>
      </w:r>
      <w:r>
        <w:rPr>
          <w:rFonts w:hint="eastAsia" w:ascii="宋体" w:cs="Arial"/>
          <w:color w:val="auto"/>
          <w:sz w:val="22"/>
          <w:highlight w:val="none"/>
        </w:rPr>
        <w:t>.根据《中华人民共和国政府采购法实施条例 》第四十三条规定，在中标或者成交公告的内容中可能增加本表，请各供应商认真填写，确保报价数据的真实性、完整性和合理性。</w:t>
      </w:r>
    </w:p>
    <w:p>
      <w:pPr>
        <w:tabs>
          <w:tab w:val="left" w:pos="2352"/>
        </w:tabs>
        <w:ind w:firstLine="630"/>
        <w:rPr>
          <w:color w:val="auto"/>
          <w:sz w:val="22"/>
          <w:highlight w:val="none"/>
          <w:u w:val="single"/>
        </w:rPr>
      </w:pPr>
      <w:r>
        <w:rPr>
          <w:rFonts w:hint="eastAsia" w:ascii="宋体" w:cs="Arial"/>
          <w:color w:val="auto"/>
          <w:sz w:val="22"/>
          <w:highlight w:val="none"/>
        </w:rPr>
        <w:t xml:space="preserve">5.表格可以延续。      </w:t>
      </w:r>
      <w:r>
        <w:rPr>
          <w:rFonts w:hint="eastAsia"/>
          <w:color w:val="auto"/>
          <w:sz w:val="22"/>
          <w:highlight w:val="none"/>
        </w:rPr>
        <w:t xml:space="preserve">      </w:t>
      </w:r>
    </w:p>
    <w:p>
      <w:pPr>
        <w:tabs>
          <w:tab w:val="left" w:pos="2352"/>
        </w:tabs>
        <w:spacing w:line="440" w:lineRule="atLeast"/>
        <w:rPr>
          <w:rFonts w:hAnsi="宋体"/>
          <w:b/>
          <w:bCs/>
          <w:color w:val="auto"/>
          <w:sz w:val="22"/>
          <w:highlight w:val="none"/>
        </w:rPr>
      </w:pPr>
      <w:r>
        <w:rPr>
          <w:rFonts w:hint="eastAsia" w:hAnsi="宋体"/>
          <w:color w:val="auto"/>
          <w:sz w:val="22"/>
          <w:highlight w:val="none"/>
        </w:rPr>
        <w:t>供应商全称：（盖章）</w:t>
      </w:r>
    </w:p>
    <w:p>
      <w:pPr>
        <w:tabs>
          <w:tab w:val="left" w:pos="2352"/>
        </w:tabs>
        <w:spacing w:line="440" w:lineRule="atLeast"/>
        <w:rPr>
          <w:rFonts w:hAnsi="宋体"/>
          <w:color w:val="auto"/>
          <w:sz w:val="22"/>
          <w:highlight w:val="none"/>
          <w:lang w:val="zh-CN"/>
        </w:rPr>
      </w:pPr>
      <w:r>
        <w:rPr>
          <w:rFonts w:hint="eastAsia" w:hAnsi="宋体"/>
          <w:color w:val="auto"/>
          <w:sz w:val="22"/>
          <w:highlight w:val="none"/>
        </w:rPr>
        <w:t>法定代表人（签字或盖章）或</w:t>
      </w:r>
      <w:r>
        <w:rPr>
          <w:rFonts w:hint="eastAsia" w:hAnsi="宋体"/>
          <w:color w:val="auto"/>
          <w:sz w:val="22"/>
          <w:highlight w:val="none"/>
          <w:lang w:val="zh-CN"/>
        </w:rPr>
        <w:t>授权代表（签字）：</w:t>
      </w:r>
    </w:p>
    <w:p>
      <w:pPr>
        <w:tabs>
          <w:tab w:val="left" w:pos="2352"/>
        </w:tabs>
        <w:spacing w:line="440" w:lineRule="atLeast"/>
        <w:rPr>
          <w:rFonts w:hAnsi="宋体"/>
          <w:color w:val="auto"/>
          <w:sz w:val="22"/>
          <w:highlight w:val="none"/>
        </w:rPr>
      </w:pPr>
      <w:r>
        <w:rPr>
          <w:rFonts w:hint="eastAsia" w:hAnsi="宋体"/>
          <w:color w:val="auto"/>
          <w:sz w:val="22"/>
          <w:highlight w:val="none"/>
        </w:rPr>
        <w:t>日期：</w:t>
      </w:r>
    </w:p>
    <w:p>
      <w:pPr>
        <w:tabs>
          <w:tab w:val="left" w:pos="1069"/>
          <w:tab w:val="left" w:pos="2352"/>
        </w:tabs>
        <w:snapToGrid w:val="0"/>
        <w:spacing w:line="440" w:lineRule="exact"/>
        <w:rPr>
          <w:rFonts w:ascii="宋体" w:hAnsi="宋体" w:cs="宋体"/>
          <w:b/>
          <w:bCs/>
          <w:color w:val="auto"/>
          <w:sz w:val="22"/>
          <w:highlight w:val="none"/>
        </w:rPr>
      </w:pPr>
    </w:p>
    <w:p>
      <w:pPr>
        <w:tabs>
          <w:tab w:val="left" w:pos="1069"/>
          <w:tab w:val="left" w:pos="2352"/>
        </w:tabs>
        <w:snapToGrid w:val="0"/>
        <w:spacing w:line="440" w:lineRule="exact"/>
        <w:rPr>
          <w:rFonts w:ascii="宋体" w:hAnsi="宋体" w:cs="宋体"/>
          <w:b/>
          <w:bCs/>
          <w:color w:val="auto"/>
          <w:sz w:val="22"/>
          <w:highlight w:val="none"/>
        </w:rPr>
      </w:pPr>
    </w:p>
    <w:p>
      <w:pPr>
        <w:tabs>
          <w:tab w:val="left" w:pos="1069"/>
          <w:tab w:val="left" w:pos="2352"/>
        </w:tabs>
        <w:snapToGrid w:val="0"/>
        <w:spacing w:line="440" w:lineRule="exact"/>
        <w:rPr>
          <w:rFonts w:ascii="宋体" w:hAnsi="宋体" w:cs="宋体"/>
          <w:b/>
          <w:bCs/>
          <w:color w:val="auto"/>
          <w:sz w:val="32"/>
          <w:szCs w:val="32"/>
          <w:highlight w:val="none"/>
        </w:rPr>
      </w:pPr>
      <w:r>
        <w:rPr>
          <w:rFonts w:hint="eastAsia" w:ascii="宋体" w:hAnsi="宋体" w:cs="宋体"/>
          <w:b/>
          <w:bCs/>
          <w:color w:val="auto"/>
          <w:sz w:val="22"/>
          <w:highlight w:val="none"/>
        </w:rPr>
        <w:t>二</w:t>
      </w:r>
      <w:r>
        <w:rPr>
          <w:rFonts w:hint="eastAsia" w:ascii="宋体" w:hAnsi="宋体" w:cs="宋体"/>
          <w:b/>
          <w:bCs/>
          <w:color w:val="auto"/>
          <w:sz w:val="22"/>
          <w:highlight w:val="none"/>
          <w:lang w:val="zh-CN"/>
        </w:rPr>
        <w:t>、</w:t>
      </w:r>
      <w:r>
        <w:rPr>
          <w:rFonts w:hint="eastAsia" w:ascii="宋体" w:hAnsi="宋体" w:cs="宋体"/>
          <w:b/>
          <w:bCs/>
          <w:color w:val="auto"/>
          <w:sz w:val="22"/>
          <w:highlight w:val="none"/>
        </w:rPr>
        <w:t>资格</w:t>
      </w:r>
      <w:r>
        <w:rPr>
          <w:rFonts w:hint="eastAsia" w:ascii="宋体" w:hAnsi="宋体" w:cs="宋体"/>
          <w:b/>
          <w:bCs/>
          <w:color w:val="auto"/>
          <w:sz w:val="22"/>
          <w:highlight w:val="none"/>
          <w:lang w:val="zh-CN"/>
        </w:rPr>
        <w:t>部分投标文件格式</w:t>
      </w:r>
    </w:p>
    <w:p>
      <w:pPr>
        <w:pStyle w:val="9"/>
        <w:tabs>
          <w:tab w:val="left" w:pos="1069"/>
          <w:tab w:val="left" w:pos="2352"/>
        </w:tabs>
        <w:rPr>
          <w:rFonts w:ascii="宋体" w:hAnsi="宋体" w:cs="宋体"/>
          <w:color w:val="auto"/>
          <w:sz w:val="22"/>
          <w:szCs w:val="22"/>
          <w:highlight w:val="none"/>
        </w:rPr>
      </w:pPr>
      <w:r>
        <w:rPr>
          <w:rFonts w:hint="eastAsia" w:ascii="宋体" w:hAnsi="宋体" w:cs="宋体"/>
          <w:b/>
          <w:bCs/>
          <w:color w:val="auto"/>
          <w:sz w:val="22"/>
          <w:highlight w:val="none"/>
        </w:rPr>
        <w:t>资格</w:t>
      </w:r>
      <w:r>
        <w:rPr>
          <w:rFonts w:hint="eastAsia" w:ascii="宋体" w:hAnsi="宋体" w:cs="宋体"/>
          <w:b/>
          <w:bCs/>
          <w:color w:val="auto"/>
          <w:sz w:val="22"/>
          <w:highlight w:val="none"/>
          <w:lang w:val="zh-CN"/>
        </w:rPr>
        <w:t>部分投标文件</w:t>
      </w:r>
      <w:r>
        <w:rPr>
          <w:rFonts w:hint="eastAsia" w:ascii="宋体" w:hAnsi="宋体" w:cs="宋体"/>
          <w:color w:val="auto"/>
          <w:sz w:val="22"/>
          <w:szCs w:val="22"/>
          <w:highlight w:val="none"/>
        </w:rPr>
        <w:t>封面参考：</w:t>
      </w:r>
    </w:p>
    <w:p>
      <w:pPr>
        <w:tabs>
          <w:tab w:val="left" w:pos="1069"/>
          <w:tab w:val="left" w:pos="2352"/>
        </w:tabs>
        <w:spacing w:line="480" w:lineRule="auto"/>
        <w:jc w:val="center"/>
        <w:rPr>
          <w:rFonts w:ascii="宋体" w:hAnsi="宋体" w:cs="宋体"/>
          <w:b/>
          <w:color w:val="auto"/>
          <w:sz w:val="64"/>
          <w:szCs w:val="64"/>
          <w:highlight w:val="none"/>
        </w:rPr>
      </w:pPr>
    </w:p>
    <w:p>
      <w:pPr>
        <w:tabs>
          <w:tab w:val="left" w:pos="1069"/>
          <w:tab w:val="left" w:pos="2352"/>
        </w:tabs>
        <w:spacing w:line="480" w:lineRule="auto"/>
        <w:jc w:val="center"/>
        <w:rPr>
          <w:rFonts w:ascii="宋体" w:hAnsi="宋体" w:cs="宋体"/>
          <w:b/>
          <w:color w:val="auto"/>
          <w:sz w:val="64"/>
          <w:szCs w:val="64"/>
          <w:highlight w:val="none"/>
        </w:rPr>
      </w:pPr>
      <w:r>
        <w:rPr>
          <w:rFonts w:hint="eastAsia" w:ascii="宋体" w:hAnsi="宋体" w:cs="宋体"/>
          <w:b/>
          <w:color w:val="auto"/>
          <w:sz w:val="64"/>
          <w:szCs w:val="64"/>
          <w:highlight w:val="none"/>
        </w:rPr>
        <w:t>泰顺县集体土地所有权确权登记成果更新</w:t>
      </w:r>
    </w:p>
    <w:p>
      <w:pPr>
        <w:tabs>
          <w:tab w:val="left" w:pos="1069"/>
          <w:tab w:val="left" w:pos="2352"/>
        </w:tabs>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84"/>
          <w:szCs w:val="84"/>
          <w:highlight w:val="none"/>
        </w:rPr>
        <w:t>投 标 文 件</w:t>
      </w:r>
    </w:p>
    <w:p>
      <w:pPr>
        <w:tabs>
          <w:tab w:val="left" w:pos="1069"/>
          <w:tab w:val="left" w:pos="2352"/>
        </w:tabs>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60"/>
          <w:szCs w:val="60"/>
          <w:highlight w:val="none"/>
        </w:rPr>
        <w:t>（资 格 部 分）</w:t>
      </w:r>
    </w:p>
    <w:p>
      <w:pPr>
        <w:tabs>
          <w:tab w:val="left" w:pos="1069"/>
          <w:tab w:val="left" w:pos="2352"/>
        </w:tabs>
        <w:snapToGrid w:val="0"/>
        <w:spacing w:line="600" w:lineRule="atLeast"/>
        <w:ind w:firstLine="1052" w:firstLineChars="400"/>
        <w:rPr>
          <w:rFonts w:ascii="宋体" w:hAnsi="宋体" w:cs="宋体"/>
          <w:b/>
          <w:color w:val="auto"/>
          <w:sz w:val="26"/>
          <w:szCs w:val="26"/>
          <w:highlight w:val="none"/>
        </w:rPr>
      </w:pPr>
    </w:p>
    <w:p>
      <w:pPr>
        <w:tabs>
          <w:tab w:val="left" w:pos="1069"/>
          <w:tab w:val="left" w:pos="2352"/>
        </w:tabs>
        <w:snapToGrid w:val="0"/>
        <w:spacing w:line="600" w:lineRule="atLeast"/>
        <w:ind w:firstLine="1052" w:firstLineChars="400"/>
        <w:rPr>
          <w:rFonts w:ascii="宋体" w:hAnsi="宋体" w:cs="宋体"/>
          <w:b/>
          <w:color w:val="auto"/>
          <w:sz w:val="26"/>
          <w:szCs w:val="26"/>
          <w:highlight w:val="none"/>
        </w:rPr>
      </w:pPr>
    </w:p>
    <w:tbl>
      <w:tblPr>
        <w:tblStyle w:val="24"/>
        <w:tblW w:w="0" w:type="auto"/>
        <w:tblInd w:w="844"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7678"/>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项目编号：TSCG202207022</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采购单位：泰顺县自然资源和规划局</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供应商名称：</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供应商地址：</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法定代表人（签字或盖章）或</w:t>
            </w:r>
            <w:r>
              <w:rPr>
                <w:rFonts w:hint="eastAsia" w:ascii="宋体" w:hAnsi="宋体" w:cs="宋体"/>
                <w:b/>
                <w:color w:val="auto"/>
                <w:sz w:val="26"/>
                <w:szCs w:val="26"/>
                <w:highlight w:val="none"/>
                <w:lang w:val="zh-CN"/>
              </w:rPr>
              <w:t>授权代表（签字）：</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日期：  年 月 日</w:t>
            </w:r>
          </w:p>
        </w:tc>
      </w:tr>
    </w:tbl>
    <w:p>
      <w:pPr>
        <w:tabs>
          <w:tab w:val="left" w:pos="1069"/>
          <w:tab w:val="left" w:pos="2352"/>
        </w:tabs>
        <w:snapToGrid w:val="0"/>
        <w:spacing w:line="600" w:lineRule="atLeast"/>
        <w:ind w:firstLine="1052" w:firstLineChars="400"/>
        <w:rPr>
          <w:rFonts w:ascii="宋体" w:hAnsi="宋体" w:cs="宋体"/>
          <w:b/>
          <w:color w:val="auto"/>
          <w:sz w:val="26"/>
          <w:szCs w:val="26"/>
          <w:highlight w:val="none"/>
        </w:rPr>
      </w:pPr>
    </w:p>
    <w:p>
      <w:pPr>
        <w:tabs>
          <w:tab w:val="left" w:pos="1069"/>
          <w:tab w:val="left" w:pos="2352"/>
        </w:tabs>
        <w:autoSpaceDE w:val="0"/>
        <w:autoSpaceDN w:val="0"/>
        <w:adjustRightInd w:val="0"/>
        <w:spacing w:line="460" w:lineRule="atLeast"/>
        <w:rPr>
          <w:rFonts w:ascii="宋体" w:hAnsi="宋体" w:cs="宋体"/>
          <w:b/>
          <w:bCs/>
          <w:color w:val="auto"/>
          <w:sz w:val="30"/>
          <w:highlight w:val="none"/>
          <w:lang w:val="zh-CN"/>
        </w:rPr>
      </w:pPr>
    </w:p>
    <w:p>
      <w:pPr>
        <w:pStyle w:val="7"/>
        <w:tabs>
          <w:tab w:val="left" w:pos="1069"/>
          <w:tab w:val="left" w:pos="2352"/>
        </w:tabs>
        <w:rPr>
          <w:rFonts w:ascii="宋体" w:hAnsi="宋体" w:cs="宋体"/>
          <w:b/>
          <w:bCs/>
          <w:color w:val="auto"/>
          <w:sz w:val="30"/>
          <w:highlight w:val="none"/>
          <w:lang w:val="zh-CN"/>
        </w:rPr>
      </w:pPr>
    </w:p>
    <w:p>
      <w:pPr>
        <w:tabs>
          <w:tab w:val="left" w:pos="1069"/>
          <w:tab w:val="left" w:pos="2352"/>
        </w:tabs>
        <w:rPr>
          <w:color w:val="auto"/>
          <w:highlight w:val="none"/>
          <w:lang w:val="zh-CN"/>
        </w:rPr>
      </w:pPr>
    </w:p>
    <w:p>
      <w:pPr>
        <w:tabs>
          <w:tab w:val="left" w:pos="1069"/>
          <w:tab w:val="left" w:pos="2352"/>
        </w:tabs>
        <w:autoSpaceDE w:val="0"/>
        <w:autoSpaceDN w:val="0"/>
        <w:adjustRightInd w:val="0"/>
        <w:spacing w:line="460" w:lineRule="atLeast"/>
        <w:rPr>
          <w:rFonts w:ascii="宋体" w:hAnsi="宋体" w:cs="宋体"/>
          <w:b/>
          <w:bCs/>
          <w:color w:val="auto"/>
          <w:sz w:val="30"/>
          <w:highlight w:val="none"/>
          <w:lang w:val="zh-CN"/>
        </w:rPr>
      </w:pPr>
    </w:p>
    <w:p>
      <w:pPr>
        <w:tabs>
          <w:tab w:val="left" w:pos="1069"/>
          <w:tab w:val="left" w:pos="2352"/>
        </w:tabs>
        <w:autoSpaceDE w:val="0"/>
        <w:autoSpaceDN w:val="0"/>
        <w:adjustRightInd w:val="0"/>
        <w:spacing w:line="460" w:lineRule="atLeast"/>
        <w:rPr>
          <w:rFonts w:ascii="宋体" w:hAnsi="宋体" w:cs="宋体"/>
          <w:color w:val="auto"/>
          <w:sz w:val="30"/>
          <w:highlight w:val="none"/>
          <w:lang w:val="zh-CN"/>
        </w:rPr>
      </w:pPr>
      <w:r>
        <w:rPr>
          <w:rFonts w:hint="eastAsia" w:ascii="宋体" w:hAnsi="宋体" w:cs="宋体"/>
          <w:b/>
          <w:bCs/>
          <w:color w:val="auto"/>
          <w:sz w:val="30"/>
          <w:highlight w:val="none"/>
          <w:lang w:val="zh-CN"/>
        </w:rPr>
        <w:t>附件</w:t>
      </w:r>
      <w:r>
        <w:rPr>
          <w:rFonts w:hint="eastAsia" w:ascii="宋体" w:hAnsi="宋体" w:cs="宋体"/>
          <w:b/>
          <w:bCs/>
          <w:color w:val="auto"/>
          <w:sz w:val="30"/>
          <w:highlight w:val="none"/>
        </w:rPr>
        <w:t>三</w:t>
      </w:r>
    </w:p>
    <w:p>
      <w:pPr>
        <w:tabs>
          <w:tab w:val="left" w:pos="1069"/>
          <w:tab w:val="left" w:pos="2352"/>
        </w:tabs>
        <w:autoSpaceDE w:val="0"/>
        <w:autoSpaceDN w:val="0"/>
        <w:adjustRightInd w:val="0"/>
        <w:spacing w:line="460" w:lineRule="atLeast"/>
        <w:jc w:val="center"/>
        <w:rPr>
          <w:rFonts w:ascii="宋体" w:hAnsi="宋体" w:cs="宋体"/>
          <w:color w:val="auto"/>
          <w:sz w:val="36"/>
          <w:highlight w:val="none"/>
          <w:lang w:val="zh-CN"/>
        </w:rPr>
      </w:pPr>
    </w:p>
    <w:p>
      <w:pPr>
        <w:tabs>
          <w:tab w:val="left" w:pos="1069"/>
          <w:tab w:val="left" w:pos="2352"/>
        </w:tabs>
        <w:autoSpaceDE w:val="0"/>
        <w:autoSpaceDN w:val="0"/>
        <w:adjustRightInd w:val="0"/>
        <w:spacing w:line="460" w:lineRule="atLeast"/>
        <w:jc w:val="center"/>
        <w:rPr>
          <w:rFonts w:ascii="宋体" w:hAnsi="宋体" w:cs="宋体"/>
          <w:color w:val="auto"/>
          <w:sz w:val="36"/>
          <w:highlight w:val="none"/>
          <w:lang w:val="zh-CN"/>
        </w:rPr>
      </w:pPr>
      <w:r>
        <w:rPr>
          <w:rFonts w:hint="eastAsia" w:ascii="宋体" w:hAnsi="宋体" w:cs="宋体"/>
          <w:b/>
          <w:bCs/>
          <w:color w:val="auto"/>
          <w:sz w:val="30"/>
          <w:highlight w:val="none"/>
          <w:lang w:val="zh-CN"/>
        </w:rPr>
        <w:t>具有履行合同所必需的设备和专业技术能力的承诺函</w:t>
      </w:r>
    </w:p>
    <w:p>
      <w:pPr>
        <w:tabs>
          <w:tab w:val="left" w:pos="1069"/>
          <w:tab w:val="left" w:pos="2352"/>
        </w:tabs>
        <w:spacing w:line="460" w:lineRule="exact"/>
        <w:rPr>
          <w:rFonts w:ascii="宋体" w:hAnsi="宋体" w:cs="宋体"/>
          <w:color w:val="auto"/>
          <w:sz w:val="22"/>
          <w:highlight w:val="none"/>
          <w:u w:val="single"/>
        </w:rPr>
      </w:pPr>
      <w:r>
        <w:rPr>
          <w:rFonts w:hint="eastAsia" w:ascii="宋体" w:hAnsi="宋体" w:cs="宋体"/>
          <w:color w:val="auto"/>
          <w:sz w:val="22"/>
          <w:highlight w:val="none"/>
          <w:u w:val="single"/>
        </w:rPr>
        <w:t>泰顺县自然资源和规划局、杭州华旗招标代理有限公司：</w:t>
      </w:r>
    </w:p>
    <w:p>
      <w:pPr>
        <w:widowControl/>
        <w:tabs>
          <w:tab w:val="left" w:pos="1069"/>
          <w:tab w:val="left" w:pos="2352"/>
        </w:tabs>
        <w:snapToGrid w:val="0"/>
        <w:spacing w:line="460" w:lineRule="exact"/>
        <w:ind w:firstLine="446" w:firstLineChars="200"/>
        <w:jc w:val="left"/>
        <w:rPr>
          <w:rFonts w:ascii="宋体" w:hAnsi="宋体" w:cs="宋体"/>
          <w:color w:val="auto"/>
          <w:sz w:val="22"/>
          <w:highlight w:val="none"/>
        </w:rPr>
      </w:pPr>
    </w:p>
    <w:p>
      <w:pPr>
        <w:widowControl/>
        <w:tabs>
          <w:tab w:val="left" w:pos="1069"/>
          <w:tab w:val="left" w:pos="2352"/>
        </w:tabs>
        <w:snapToGrid w:val="0"/>
        <w:spacing w:line="460" w:lineRule="exact"/>
        <w:ind w:firstLine="446" w:firstLineChars="200"/>
        <w:jc w:val="left"/>
        <w:rPr>
          <w:rFonts w:ascii="宋体" w:hAnsi="宋体" w:cs="宋体"/>
          <w:color w:val="auto"/>
          <w:sz w:val="22"/>
          <w:highlight w:val="none"/>
        </w:rPr>
      </w:pPr>
      <w:r>
        <w:rPr>
          <w:rFonts w:hint="eastAsia" w:ascii="宋体" w:hAnsi="宋体" w:cs="宋体"/>
          <w:color w:val="auto"/>
          <w:sz w:val="22"/>
          <w:highlight w:val="none"/>
        </w:rPr>
        <w:t>我方</w:t>
      </w:r>
      <w:r>
        <w:rPr>
          <w:rFonts w:hint="eastAsia" w:ascii="宋体" w:hAnsi="宋体" w:cs="宋体"/>
          <w:color w:val="auto"/>
          <w:sz w:val="22"/>
          <w:highlight w:val="none"/>
          <w:u w:val="single"/>
        </w:rPr>
        <w:t xml:space="preserve"> （供应商）  </w:t>
      </w:r>
      <w:r>
        <w:rPr>
          <w:rFonts w:hint="eastAsia" w:ascii="宋体" w:hAnsi="宋体" w:cs="宋体"/>
          <w:color w:val="auto"/>
          <w:sz w:val="22"/>
          <w:highlight w:val="none"/>
        </w:rPr>
        <w:t>承诺具有履行合同所必需的设备和专业技术能力。如有虚假，采购人可取消我方任何资格（投标/中标/签订合同），我方对此无任何异议。</w:t>
      </w:r>
    </w:p>
    <w:p>
      <w:pPr>
        <w:widowControl/>
        <w:tabs>
          <w:tab w:val="left" w:pos="1069"/>
          <w:tab w:val="left" w:pos="2352"/>
        </w:tabs>
        <w:snapToGrid w:val="0"/>
        <w:spacing w:line="460" w:lineRule="exact"/>
        <w:ind w:firstLine="446" w:firstLineChars="200"/>
        <w:jc w:val="left"/>
        <w:rPr>
          <w:rFonts w:ascii="宋体" w:hAnsi="宋体" w:cs="宋体"/>
          <w:color w:val="auto"/>
          <w:sz w:val="22"/>
          <w:highlight w:val="none"/>
        </w:rPr>
      </w:pPr>
    </w:p>
    <w:p>
      <w:pPr>
        <w:widowControl/>
        <w:tabs>
          <w:tab w:val="left" w:pos="1069"/>
          <w:tab w:val="left" w:pos="2352"/>
        </w:tabs>
        <w:snapToGrid w:val="0"/>
        <w:spacing w:line="460" w:lineRule="exact"/>
        <w:ind w:firstLine="446" w:firstLineChars="200"/>
        <w:jc w:val="left"/>
        <w:rPr>
          <w:rFonts w:ascii="宋体" w:hAnsi="宋体" w:cs="宋体"/>
          <w:color w:val="auto"/>
          <w:sz w:val="22"/>
          <w:highlight w:val="none"/>
        </w:rPr>
      </w:pPr>
      <w:r>
        <w:rPr>
          <w:rFonts w:hint="eastAsia" w:ascii="宋体" w:hAnsi="宋体" w:cs="宋体"/>
          <w:color w:val="auto"/>
          <w:sz w:val="22"/>
          <w:highlight w:val="none"/>
        </w:rPr>
        <w:t>特此承诺！</w:t>
      </w:r>
    </w:p>
    <w:p>
      <w:pPr>
        <w:widowControl/>
        <w:tabs>
          <w:tab w:val="left" w:pos="1069"/>
          <w:tab w:val="left" w:pos="2352"/>
        </w:tabs>
        <w:snapToGrid w:val="0"/>
        <w:spacing w:line="460" w:lineRule="exact"/>
        <w:ind w:firstLine="446" w:firstLineChars="200"/>
        <w:jc w:val="left"/>
        <w:rPr>
          <w:rFonts w:ascii="宋体" w:hAnsi="宋体" w:cs="宋体"/>
          <w:color w:val="auto"/>
          <w:sz w:val="22"/>
          <w:highlight w:val="none"/>
        </w:rPr>
      </w:pPr>
    </w:p>
    <w:p>
      <w:pPr>
        <w:pStyle w:val="11"/>
        <w:tabs>
          <w:tab w:val="left" w:pos="1069"/>
          <w:tab w:val="left" w:pos="2352"/>
        </w:tabs>
        <w:spacing w:line="440" w:lineRule="atLeast"/>
        <w:rPr>
          <w:rFonts w:hAnsi="宋体" w:cs="宋体"/>
          <w:b/>
          <w:color w:val="auto"/>
          <w:sz w:val="22"/>
          <w:highlight w:val="none"/>
        </w:rPr>
      </w:pPr>
      <w:r>
        <w:rPr>
          <w:rFonts w:hint="eastAsia" w:hAnsi="宋体" w:cs="宋体"/>
          <w:color w:val="auto"/>
          <w:sz w:val="22"/>
          <w:highlight w:val="none"/>
        </w:rPr>
        <w:t>供应商全称：（盖章）</w:t>
      </w:r>
    </w:p>
    <w:p>
      <w:pPr>
        <w:pStyle w:val="11"/>
        <w:tabs>
          <w:tab w:val="left" w:pos="1069"/>
          <w:tab w:val="left" w:pos="2352"/>
        </w:tabs>
        <w:spacing w:line="440" w:lineRule="atLeast"/>
        <w:rPr>
          <w:rFonts w:hAnsi="宋体" w:cs="宋体"/>
          <w:b/>
          <w:color w:val="auto"/>
          <w:sz w:val="22"/>
          <w:highlight w:val="none"/>
          <w:lang w:val="zh-CN"/>
        </w:rPr>
      </w:pPr>
      <w:r>
        <w:rPr>
          <w:rFonts w:hint="eastAsia" w:hAnsi="宋体" w:cs="宋体"/>
          <w:color w:val="auto"/>
          <w:sz w:val="22"/>
          <w:highlight w:val="none"/>
        </w:rPr>
        <w:t>法定代表人（签字或盖章）或</w:t>
      </w:r>
      <w:r>
        <w:rPr>
          <w:rFonts w:hint="eastAsia" w:hAnsi="宋体" w:cs="宋体"/>
          <w:color w:val="auto"/>
          <w:sz w:val="22"/>
          <w:highlight w:val="none"/>
          <w:lang w:val="zh-CN"/>
        </w:rPr>
        <w:t>授权代表（签字）：</w:t>
      </w:r>
    </w:p>
    <w:p>
      <w:pPr>
        <w:pStyle w:val="11"/>
        <w:tabs>
          <w:tab w:val="left" w:pos="1069"/>
          <w:tab w:val="left" w:pos="2352"/>
        </w:tabs>
        <w:spacing w:line="440" w:lineRule="atLeast"/>
        <w:rPr>
          <w:rFonts w:hAnsi="宋体" w:cs="宋体"/>
          <w:b/>
          <w:color w:val="auto"/>
          <w:sz w:val="22"/>
          <w:highlight w:val="none"/>
          <w:lang w:val="zh-CN"/>
        </w:rPr>
      </w:pPr>
      <w:r>
        <w:rPr>
          <w:rFonts w:hint="eastAsia" w:hAnsi="宋体" w:cs="宋体"/>
          <w:color w:val="auto"/>
          <w:sz w:val="22"/>
          <w:highlight w:val="none"/>
        </w:rPr>
        <w:t>日期：</w:t>
      </w:r>
    </w:p>
    <w:p>
      <w:pPr>
        <w:widowControl/>
        <w:tabs>
          <w:tab w:val="left" w:pos="1069"/>
          <w:tab w:val="left" w:pos="2352"/>
        </w:tabs>
        <w:snapToGrid w:val="0"/>
        <w:spacing w:line="460" w:lineRule="exact"/>
        <w:ind w:firstLine="446" w:firstLineChars="200"/>
        <w:jc w:val="left"/>
        <w:rPr>
          <w:rFonts w:ascii="宋体" w:hAnsi="宋体" w:cs="宋体"/>
          <w:color w:val="auto"/>
          <w:sz w:val="22"/>
          <w:highlight w:val="none"/>
        </w:rPr>
      </w:pPr>
    </w:p>
    <w:p>
      <w:pPr>
        <w:tabs>
          <w:tab w:val="left" w:pos="1069"/>
          <w:tab w:val="left" w:pos="2352"/>
        </w:tabs>
        <w:autoSpaceDE w:val="0"/>
        <w:autoSpaceDN w:val="0"/>
        <w:adjustRightInd w:val="0"/>
        <w:spacing w:line="460" w:lineRule="atLeast"/>
        <w:rPr>
          <w:rFonts w:hint="eastAsia" w:ascii="宋体" w:hAnsi="宋体" w:cs="宋体"/>
          <w:color w:val="auto"/>
          <w:sz w:val="36"/>
          <w:highlight w:val="none"/>
        </w:rPr>
      </w:pPr>
      <w:r>
        <w:rPr>
          <w:rFonts w:hint="eastAsia" w:ascii="宋体" w:hAnsi="宋体" w:cs="宋体"/>
          <w:color w:val="auto"/>
          <w:sz w:val="36"/>
          <w:highlight w:val="none"/>
        </w:rPr>
        <w:br w:type="page"/>
      </w:r>
      <w:bookmarkStart w:id="71" w:name="_Toc27119255"/>
      <w:bookmarkStart w:id="72" w:name="_Toc11360"/>
      <w:bookmarkStart w:id="73" w:name="_Toc6606"/>
      <w:bookmarkStart w:id="74" w:name="_Toc14988"/>
      <w:bookmarkStart w:id="75" w:name="_Toc14589"/>
      <w:bookmarkStart w:id="76" w:name="_Toc28957"/>
      <w:bookmarkStart w:id="77" w:name="_Toc33194406"/>
      <w:bookmarkStart w:id="78" w:name="_Toc13669"/>
      <w:bookmarkStart w:id="79" w:name="_Toc18304"/>
      <w:bookmarkStart w:id="80" w:name="_Toc10630"/>
      <w:bookmarkStart w:id="81" w:name="_Toc31544"/>
      <w:bookmarkStart w:id="82" w:name="_Toc31784"/>
    </w:p>
    <w:p>
      <w:pPr>
        <w:tabs>
          <w:tab w:val="left" w:pos="1069"/>
          <w:tab w:val="left" w:pos="2352"/>
        </w:tabs>
        <w:autoSpaceDE w:val="0"/>
        <w:autoSpaceDN w:val="0"/>
        <w:adjustRightInd w:val="0"/>
        <w:spacing w:line="460" w:lineRule="atLeast"/>
        <w:rPr>
          <w:rFonts w:hint="eastAsia" w:ascii="宋体" w:hAnsi="宋体" w:cs="宋体"/>
          <w:color w:val="auto"/>
          <w:sz w:val="36"/>
          <w:highlight w:val="none"/>
        </w:rPr>
      </w:pPr>
    </w:p>
    <w:p>
      <w:pPr>
        <w:tabs>
          <w:tab w:val="left" w:pos="1069"/>
          <w:tab w:val="left" w:pos="2352"/>
        </w:tabs>
        <w:autoSpaceDE w:val="0"/>
        <w:autoSpaceDN w:val="0"/>
        <w:adjustRightInd w:val="0"/>
        <w:spacing w:line="460" w:lineRule="atLeast"/>
        <w:rPr>
          <w:rFonts w:ascii="宋体" w:hAnsi="宋体" w:cs="宋体"/>
          <w:color w:val="auto"/>
          <w:sz w:val="30"/>
          <w:highlight w:val="none"/>
          <w:lang w:val="zh-CN"/>
        </w:rPr>
      </w:pPr>
      <w:r>
        <w:rPr>
          <w:rFonts w:hint="eastAsia" w:ascii="宋体" w:hAnsi="宋体" w:cs="宋体"/>
          <w:b/>
          <w:bCs/>
          <w:color w:val="auto"/>
          <w:sz w:val="30"/>
          <w:highlight w:val="none"/>
          <w:lang w:val="zh-CN"/>
        </w:rPr>
        <w:t>附件</w:t>
      </w:r>
      <w:r>
        <w:rPr>
          <w:rFonts w:hint="eastAsia" w:ascii="宋体" w:hAnsi="宋体" w:cs="宋体"/>
          <w:b/>
          <w:bCs/>
          <w:color w:val="auto"/>
          <w:sz w:val="30"/>
          <w:highlight w:val="none"/>
        </w:rPr>
        <w:t>四</w:t>
      </w:r>
    </w:p>
    <w:p>
      <w:pPr>
        <w:tabs>
          <w:tab w:val="left" w:pos="1069"/>
          <w:tab w:val="left" w:pos="2352"/>
        </w:tabs>
        <w:autoSpaceDE w:val="0"/>
        <w:autoSpaceDN w:val="0"/>
        <w:adjustRightInd w:val="0"/>
        <w:spacing w:line="460" w:lineRule="atLeast"/>
        <w:jc w:val="center"/>
        <w:rPr>
          <w:rFonts w:ascii="宋体" w:hAnsi="宋体" w:cs="宋体"/>
          <w:color w:val="auto"/>
          <w:sz w:val="36"/>
          <w:highlight w:val="none"/>
          <w:lang w:val="zh-CN"/>
        </w:rPr>
      </w:pPr>
    </w:p>
    <w:p>
      <w:pPr>
        <w:tabs>
          <w:tab w:val="left" w:pos="1069"/>
          <w:tab w:val="left" w:pos="2352"/>
        </w:tabs>
        <w:autoSpaceDE w:val="0"/>
        <w:autoSpaceDN w:val="0"/>
        <w:adjustRightInd w:val="0"/>
        <w:spacing w:line="460" w:lineRule="atLeast"/>
        <w:jc w:val="center"/>
        <w:rPr>
          <w:rFonts w:ascii="宋体" w:hAnsi="宋体" w:cs="宋体"/>
          <w:b/>
          <w:bCs/>
          <w:color w:val="auto"/>
          <w:sz w:val="30"/>
          <w:highlight w:val="none"/>
          <w:lang w:val="zh-CN"/>
        </w:rPr>
      </w:pPr>
      <w:r>
        <w:rPr>
          <w:rFonts w:hint="eastAsia" w:ascii="宋体" w:hAnsi="宋体" w:cs="宋体"/>
          <w:b/>
          <w:bCs/>
          <w:color w:val="auto"/>
          <w:sz w:val="30"/>
          <w:highlight w:val="none"/>
          <w:lang w:val="zh-CN"/>
        </w:rPr>
        <w:t>参加政府采购活动前3年内在经营活动中没有重大违法记录的声明函</w:t>
      </w:r>
      <w:bookmarkEnd w:id="71"/>
      <w:bookmarkEnd w:id="72"/>
      <w:bookmarkEnd w:id="73"/>
      <w:bookmarkEnd w:id="74"/>
      <w:bookmarkEnd w:id="75"/>
      <w:bookmarkEnd w:id="76"/>
      <w:bookmarkEnd w:id="77"/>
      <w:bookmarkEnd w:id="78"/>
      <w:bookmarkEnd w:id="79"/>
      <w:bookmarkEnd w:id="80"/>
      <w:bookmarkEnd w:id="81"/>
      <w:bookmarkEnd w:id="82"/>
    </w:p>
    <w:p>
      <w:pPr>
        <w:tabs>
          <w:tab w:val="left" w:pos="1069"/>
          <w:tab w:val="left" w:pos="2352"/>
        </w:tabs>
        <w:spacing w:line="460" w:lineRule="exact"/>
        <w:rPr>
          <w:rFonts w:ascii="宋体" w:hAnsi="宋体" w:cs="宋体"/>
          <w:color w:val="auto"/>
          <w:sz w:val="22"/>
          <w:highlight w:val="none"/>
          <w:u w:val="single"/>
        </w:rPr>
      </w:pPr>
      <w:r>
        <w:rPr>
          <w:rFonts w:hint="eastAsia" w:ascii="宋体" w:hAnsi="宋体" w:cs="宋体"/>
          <w:color w:val="auto"/>
          <w:sz w:val="22"/>
          <w:highlight w:val="none"/>
          <w:u w:val="single"/>
        </w:rPr>
        <w:t>泰顺县自然资源和规划局、杭州华旗招标代理有限公司：</w:t>
      </w:r>
    </w:p>
    <w:p>
      <w:pPr>
        <w:widowControl/>
        <w:tabs>
          <w:tab w:val="left" w:pos="1069"/>
          <w:tab w:val="left" w:pos="2352"/>
        </w:tabs>
        <w:snapToGrid w:val="0"/>
        <w:spacing w:line="460" w:lineRule="exact"/>
        <w:ind w:firstLine="446" w:firstLineChars="200"/>
        <w:jc w:val="left"/>
        <w:rPr>
          <w:rFonts w:ascii="宋体" w:hAnsi="宋体" w:cs="宋体"/>
          <w:color w:val="auto"/>
          <w:sz w:val="22"/>
          <w:highlight w:val="none"/>
        </w:rPr>
      </w:pPr>
      <w:r>
        <w:rPr>
          <w:rFonts w:hint="eastAsia" w:ascii="宋体" w:hAnsi="宋体" w:cs="宋体"/>
          <w:color w:val="auto"/>
          <w:sz w:val="22"/>
          <w:highlight w:val="none"/>
        </w:rPr>
        <w:t>我方</w:t>
      </w:r>
      <w:r>
        <w:rPr>
          <w:rFonts w:hint="eastAsia" w:ascii="宋体" w:hAnsi="宋体" w:cs="宋体"/>
          <w:color w:val="auto"/>
          <w:sz w:val="22"/>
          <w:highlight w:val="none"/>
          <w:u w:val="single"/>
        </w:rPr>
        <w:t xml:space="preserve"> （供应商）  </w:t>
      </w:r>
      <w:r>
        <w:rPr>
          <w:rFonts w:hint="eastAsia" w:ascii="宋体" w:hAnsi="宋体" w:cs="宋体"/>
          <w:color w:val="auto"/>
          <w:sz w:val="22"/>
          <w:highlight w:val="none"/>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widowControl/>
        <w:tabs>
          <w:tab w:val="left" w:pos="1069"/>
          <w:tab w:val="left" w:pos="2352"/>
        </w:tabs>
        <w:snapToGrid w:val="0"/>
        <w:spacing w:line="460" w:lineRule="exact"/>
        <w:ind w:firstLine="446" w:firstLineChars="200"/>
        <w:jc w:val="left"/>
        <w:rPr>
          <w:rFonts w:ascii="宋体" w:hAnsi="宋体" w:cs="宋体"/>
          <w:color w:val="auto"/>
          <w:sz w:val="22"/>
          <w:highlight w:val="none"/>
        </w:rPr>
      </w:pPr>
    </w:p>
    <w:p>
      <w:pPr>
        <w:widowControl/>
        <w:tabs>
          <w:tab w:val="left" w:pos="1069"/>
          <w:tab w:val="left" w:pos="2352"/>
        </w:tabs>
        <w:snapToGrid w:val="0"/>
        <w:spacing w:line="460" w:lineRule="exact"/>
        <w:ind w:firstLine="446" w:firstLineChars="200"/>
        <w:jc w:val="left"/>
        <w:rPr>
          <w:rFonts w:ascii="宋体" w:hAnsi="宋体" w:cs="宋体"/>
          <w:color w:val="auto"/>
          <w:sz w:val="22"/>
          <w:highlight w:val="none"/>
        </w:rPr>
      </w:pPr>
      <w:r>
        <w:rPr>
          <w:rFonts w:hint="eastAsia" w:ascii="宋体" w:hAnsi="宋体" w:cs="宋体"/>
          <w:color w:val="auto"/>
          <w:sz w:val="22"/>
          <w:highlight w:val="none"/>
        </w:rPr>
        <w:t>特此承诺！</w:t>
      </w:r>
    </w:p>
    <w:p>
      <w:pPr>
        <w:widowControl/>
        <w:tabs>
          <w:tab w:val="left" w:pos="1069"/>
          <w:tab w:val="left" w:pos="2352"/>
        </w:tabs>
        <w:snapToGrid w:val="0"/>
        <w:spacing w:line="460" w:lineRule="exact"/>
        <w:ind w:firstLine="446" w:firstLineChars="200"/>
        <w:jc w:val="left"/>
        <w:rPr>
          <w:rFonts w:ascii="宋体" w:hAnsi="宋体" w:cs="宋体"/>
          <w:color w:val="auto"/>
          <w:sz w:val="22"/>
          <w:highlight w:val="none"/>
        </w:rPr>
      </w:pPr>
    </w:p>
    <w:p>
      <w:pPr>
        <w:pStyle w:val="11"/>
        <w:tabs>
          <w:tab w:val="left" w:pos="1069"/>
          <w:tab w:val="left" w:pos="2352"/>
        </w:tabs>
        <w:spacing w:line="440" w:lineRule="atLeast"/>
        <w:rPr>
          <w:rFonts w:hAnsi="宋体" w:cs="宋体"/>
          <w:b/>
          <w:color w:val="auto"/>
          <w:sz w:val="22"/>
          <w:highlight w:val="none"/>
        </w:rPr>
      </w:pPr>
      <w:r>
        <w:rPr>
          <w:rFonts w:hint="eastAsia" w:hAnsi="宋体" w:cs="宋体"/>
          <w:color w:val="auto"/>
          <w:sz w:val="22"/>
          <w:highlight w:val="none"/>
        </w:rPr>
        <w:t>供应商全称：（盖章）</w:t>
      </w:r>
    </w:p>
    <w:p>
      <w:pPr>
        <w:pStyle w:val="11"/>
        <w:tabs>
          <w:tab w:val="left" w:pos="1069"/>
          <w:tab w:val="left" w:pos="2352"/>
        </w:tabs>
        <w:spacing w:line="440" w:lineRule="atLeast"/>
        <w:rPr>
          <w:rFonts w:hAnsi="宋体" w:cs="宋体"/>
          <w:b/>
          <w:color w:val="auto"/>
          <w:sz w:val="22"/>
          <w:highlight w:val="none"/>
          <w:lang w:val="zh-CN"/>
        </w:rPr>
      </w:pPr>
      <w:r>
        <w:rPr>
          <w:rFonts w:hint="eastAsia" w:hAnsi="宋体" w:cs="宋体"/>
          <w:color w:val="auto"/>
          <w:sz w:val="22"/>
          <w:highlight w:val="none"/>
        </w:rPr>
        <w:t>法定代表人（签字或盖章）或</w:t>
      </w:r>
      <w:r>
        <w:rPr>
          <w:rFonts w:hint="eastAsia" w:hAnsi="宋体" w:cs="宋体"/>
          <w:color w:val="auto"/>
          <w:sz w:val="22"/>
          <w:highlight w:val="none"/>
          <w:lang w:val="zh-CN"/>
        </w:rPr>
        <w:t>授权代表（签字）：</w:t>
      </w:r>
    </w:p>
    <w:p>
      <w:pPr>
        <w:pStyle w:val="11"/>
        <w:tabs>
          <w:tab w:val="left" w:pos="1069"/>
          <w:tab w:val="left" w:pos="2352"/>
        </w:tabs>
        <w:spacing w:line="440" w:lineRule="atLeast"/>
        <w:rPr>
          <w:rFonts w:hAnsi="宋体" w:cs="宋体"/>
          <w:b/>
          <w:color w:val="auto"/>
          <w:sz w:val="22"/>
          <w:highlight w:val="none"/>
          <w:lang w:val="zh-CN"/>
        </w:rPr>
      </w:pPr>
      <w:r>
        <w:rPr>
          <w:rFonts w:hint="eastAsia" w:hAnsi="宋体" w:cs="宋体"/>
          <w:color w:val="auto"/>
          <w:sz w:val="22"/>
          <w:highlight w:val="none"/>
        </w:rPr>
        <w:t>日期：</w:t>
      </w:r>
    </w:p>
    <w:p>
      <w:pPr>
        <w:widowControl/>
        <w:tabs>
          <w:tab w:val="left" w:pos="1069"/>
          <w:tab w:val="left" w:pos="2352"/>
        </w:tabs>
        <w:snapToGrid w:val="0"/>
        <w:spacing w:line="460" w:lineRule="exact"/>
        <w:ind w:firstLine="446" w:firstLineChars="200"/>
        <w:jc w:val="left"/>
        <w:rPr>
          <w:rFonts w:ascii="宋体" w:hAnsi="宋体" w:cs="宋体"/>
          <w:color w:val="auto"/>
          <w:sz w:val="22"/>
          <w:highlight w:val="none"/>
        </w:rPr>
      </w:pPr>
      <w:r>
        <w:rPr>
          <w:rFonts w:hint="eastAsia" w:ascii="宋体" w:hAnsi="宋体" w:cs="宋体"/>
          <w:color w:val="auto"/>
          <w:sz w:val="22"/>
          <w:highlight w:val="none"/>
        </w:rPr>
        <w:t xml:space="preserve"> </w:t>
      </w:r>
    </w:p>
    <w:p>
      <w:pPr>
        <w:tabs>
          <w:tab w:val="left" w:pos="1069"/>
          <w:tab w:val="left" w:pos="2352"/>
        </w:tabs>
        <w:autoSpaceDE w:val="0"/>
        <w:autoSpaceDN w:val="0"/>
        <w:adjustRightInd w:val="0"/>
        <w:spacing w:line="460" w:lineRule="atLeast"/>
        <w:rPr>
          <w:rFonts w:ascii="宋体" w:hAnsi="宋体" w:cs="宋体"/>
          <w:color w:val="auto"/>
          <w:sz w:val="36"/>
          <w:highlight w:val="none"/>
        </w:rPr>
      </w:pPr>
    </w:p>
    <w:p>
      <w:pPr>
        <w:tabs>
          <w:tab w:val="left" w:pos="1069"/>
          <w:tab w:val="left" w:pos="2352"/>
        </w:tabs>
        <w:snapToGrid w:val="0"/>
        <w:spacing w:line="500" w:lineRule="atLeast"/>
        <w:rPr>
          <w:rFonts w:ascii="宋体" w:hAnsi="宋体" w:cs="宋体"/>
          <w:color w:val="auto"/>
          <w:sz w:val="30"/>
          <w:szCs w:val="30"/>
          <w:highlight w:val="none"/>
        </w:rPr>
      </w:pPr>
    </w:p>
    <w:p>
      <w:pPr>
        <w:tabs>
          <w:tab w:val="left" w:pos="1069"/>
          <w:tab w:val="left" w:pos="2352"/>
        </w:tabs>
        <w:spacing w:line="360" w:lineRule="exact"/>
        <w:jc w:val="left"/>
        <w:rPr>
          <w:rFonts w:ascii="宋体" w:hAnsi="宋体" w:cs="宋体"/>
          <w:b/>
          <w:bCs/>
          <w:color w:val="auto"/>
          <w:sz w:val="32"/>
          <w:szCs w:val="32"/>
          <w:highlight w:val="none"/>
        </w:rPr>
      </w:pPr>
    </w:p>
    <w:p>
      <w:pPr>
        <w:tabs>
          <w:tab w:val="left" w:pos="1069"/>
          <w:tab w:val="left" w:pos="2352"/>
        </w:tabs>
        <w:spacing w:line="360" w:lineRule="exact"/>
        <w:jc w:val="left"/>
        <w:rPr>
          <w:rFonts w:ascii="宋体" w:hAnsi="宋体" w:cs="宋体"/>
          <w:b/>
          <w:bCs/>
          <w:color w:val="auto"/>
          <w:sz w:val="32"/>
          <w:szCs w:val="32"/>
          <w:highlight w:val="none"/>
        </w:rPr>
      </w:pPr>
    </w:p>
    <w:p>
      <w:pPr>
        <w:tabs>
          <w:tab w:val="left" w:pos="1069"/>
          <w:tab w:val="left" w:pos="2352"/>
        </w:tabs>
        <w:spacing w:line="360" w:lineRule="exact"/>
        <w:jc w:val="left"/>
        <w:rPr>
          <w:rFonts w:ascii="宋体" w:hAnsi="宋体" w:cs="宋体"/>
          <w:b/>
          <w:bCs/>
          <w:color w:val="auto"/>
          <w:sz w:val="32"/>
          <w:szCs w:val="32"/>
          <w:highlight w:val="none"/>
        </w:rPr>
      </w:pPr>
    </w:p>
    <w:p>
      <w:pPr>
        <w:tabs>
          <w:tab w:val="left" w:pos="1069"/>
          <w:tab w:val="left" w:pos="2352"/>
        </w:tabs>
        <w:spacing w:line="360" w:lineRule="exact"/>
        <w:jc w:val="left"/>
        <w:rPr>
          <w:rFonts w:ascii="宋体" w:hAnsi="宋体" w:cs="宋体"/>
          <w:b/>
          <w:bCs/>
          <w:color w:val="auto"/>
          <w:sz w:val="32"/>
          <w:szCs w:val="32"/>
          <w:highlight w:val="none"/>
        </w:rPr>
      </w:pPr>
    </w:p>
    <w:p>
      <w:pPr>
        <w:tabs>
          <w:tab w:val="left" w:pos="1069"/>
          <w:tab w:val="left" w:pos="2352"/>
        </w:tabs>
        <w:spacing w:line="360" w:lineRule="exact"/>
        <w:jc w:val="left"/>
        <w:rPr>
          <w:rFonts w:ascii="宋体" w:hAnsi="宋体" w:cs="宋体"/>
          <w:b/>
          <w:bCs/>
          <w:color w:val="auto"/>
          <w:sz w:val="32"/>
          <w:szCs w:val="32"/>
          <w:highlight w:val="none"/>
        </w:rPr>
      </w:pPr>
    </w:p>
    <w:p>
      <w:pPr>
        <w:tabs>
          <w:tab w:val="left" w:pos="1069"/>
          <w:tab w:val="left" w:pos="2352"/>
        </w:tabs>
        <w:spacing w:line="360" w:lineRule="exact"/>
        <w:jc w:val="left"/>
        <w:rPr>
          <w:rFonts w:ascii="宋体" w:hAnsi="宋体" w:cs="宋体"/>
          <w:b/>
          <w:bCs/>
          <w:color w:val="auto"/>
          <w:sz w:val="32"/>
          <w:szCs w:val="32"/>
          <w:highlight w:val="none"/>
        </w:rPr>
      </w:pPr>
    </w:p>
    <w:p>
      <w:pPr>
        <w:tabs>
          <w:tab w:val="left" w:pos="1069"/>
          <w:tab w:val="left" w:pos="2352"/>
        </w:tabs>
        <w:spacing w:line="360" w:lineRule="exact"/>
        <w:jc w:val="left"/>
        <w:rPr>
          <w:rFonts w:ascii="宋体" w:hAnsi="宋体" w:cs="宋体"/>
          <w:b/>
          <w:bCs/>
          <w:color w:val="auto"/>
          <w:sz w:val="32"/>
          <w:szCs w:val="32"/>
          <w:highlight w:val="none"/>
        </w:rPr>
      </w:pPr>
    </w:p>
    <w:p>
      <w:pPr>
        <w:tabs>
          <w:tab w:val="left" w:pos="1069"/>
          <w:tab w:val="left" w:pos="2352"/>
        </w:tabs>
        <w:spacing w:line="360" w:lineRule="exact"/>
        <w:jc w:val="left"/>
        <w:rPr>
          <w:rFonts w:ascii="宋体" w:hAnsi="宋体" w:cs="宋体"/>
          <w:b/>
          <w:bCs/>
          <w:color w:val="auto"/>
          <w:sz w:val="32"/>
          <w:szCs w:val="32"/>
          <w:highlight w:val="none"/>
        </w:rPr>
      </w:pPr>
    </w:p>
    <w:p>
      <w:pPr>
        <w:tabs>
          <w:tab w:val="left" w:pos="1069"/>
          <w:tab w:val="left" w:pos="2352"/>
        </w:tabs>
        <w:spacing w:line="360" w:lineRule="exact"/>
        <w:jc w:val="left"/>
        <w:rPr>
          <w:rFonts w:ascii="宋体" w:hAnsi="宋体" w:cs="宋体"/>
          <w:b/>
          <w:bCs/>
          <w:color w:val="auto"/>
          <w:sz w:val="32"/>
          <w:szCs w:val="32"/>
          <w:highlight w:val="none"/>
        </w:rPr>
      </w:pPr>
    </w:p>
    <w:p>
      <w:pPr>
        <w:tabs>
          <w:tab w:val="left" w:pos="1069"/>
          <w:tab w:val="left" w:pos="2352"/>
        </w:tabs>
        <w:spacing w:line="360" w:lineRule="exact"/>
        <w:jc w:val="left"/>
        <w:rPr>
          <w:rFonts w:ascii="宋体" w:hAnsi="宋体" w:cs="宋体"/>
          <w:b/>
          <w:bCs/>
          <w:color w:val="auto"/>
          <w:sz w:val="32"/>
          <w:szCs w:val="32"/>
          <w:highlight w:val="none"/>
        </w:rPr>
      </w:pPr>
    </w:p>
    <w:p>
      <w:pPr>
        <w:tabs>
          <w:tab w:val="left" w:pos="1069"/>
          <w:tab w:val="left" w:pos="2352"/>
        </w:tabs>
        <w:spacing w:line="360" w:lineRule="exact"/>
        <w:jc w:val="left"/>
        <w:rPr>
          <w:rFonts w:ascii="宋体" w:hAnsi="宋体" w:cs="宋体"/>
          <w:b/>
          <w:bCs/>
          <w:color w:val="auto"/>
          <w:sz w:val="32"/>
          <w:szCs w:val="32"/>
          <w:highlight w:val="none"/>
        </w:rPr>
      </w:pPr>
    </w:p>
    <w:p>
      <w:pPr>
        <w:tabs>
          <w:tab w:val="left" w:pos="1069"/>
          <w:tab w:val="left" w:pos="2352"/>
        </w:tabs>
        <w:spacing w:line="360" w:lineRule="exact"/>
        <w:jc w:val="left"/>
        <w:rPr>
          <w:rFonts w:ascii="宋体" w:hAnsi="宋体" w:cs="宋体"/>
          <w:b/>
          <w:bCs/>
          <w:color w:val="auto"/>
          <w:sz w:val="30"/>
          <w:highlight w:val="none"/>
        </w:rPr>
      </w:pPr>
      <w:r>
        <w:rPr>
          <w:rFonts w:hint="eastAsia" w:ascii="宋体" w:hAnsi="宋体" w:cs="宋体"/>
          <w:b/>
          <w:bCs/>
          <w:color w:val="auto"/>
          <w:sz w:val="30"/>
          <w:highlight w:val="none"/>
        </w:rPr>
        <w:t>附件五</w:t>
      </w:r>
    </w:p>
    <w:p>
      <w:pPr>
        <w:tabs>
          <w:tab w:val="left" w:pos="1069"/>
          <w:tab w:val="left" w:pos="1080"/>
          <w:tab w:val="left" w:pos="2352"/>
        </w:tabs>
        <w:autoSpaceDE w:val="0"/>
        <w:autoSpaceDN w:val="0"/>
        <w:adjustRightInd w:val="0"/>
        <w:spacing w:line="360" w:lineRule="exact"/>
        <w:jc w:val="center"/>
        <w:rPr>
          <w:rFonts w:ascii="宋体" w:hAnsi="宋体" w:cs="宋体"/>
          <w:b/>
          <w:bCs/>
          <w:color w:val="auto"/>
          <w:sz w:val="36"/>
          <w:highlight w:val="none"/>
          <w:lang w:val="zh-CN"/>
        </w:rPr>
      </w:pPr>
      <w:bookmarkStart w:id="83" w:name="_Toc32552_WPSOffice_Level3"/>
      <w:r>
        <w:rPr>
          <w:rFonts w:hint="eastAsia" w:ascii="宋体" w:hAnsi="宋体" w:cs="宋体"/>
          <w:b/>
          <w:bCs/>
          <w:color w:val="auto"/>
          <w:sz w:val="32"/>
          <w:highlight w:val="none"/>
          <w:lang w:val="zh-CN"/>
        </w:rPr>
        <w:t>法定代表人授权书</w:t>
      </w:r>
      <w:bookmarkEnd w:id="83"/>
    </w:p>
    <w:p>
      <w:pPr>
        <w:tabs>
          <w:tab w:val="left" w:pos="1069"/>
          <w:tab w:val="left" w:pos="2352"/>
        </w:tabs>
        <w:autoSpaceDE w:val="0"/>
        <w:autoSpaceDN w:val="0"/>
        <w:adjustRightInd w:val="0"/>
        <w:spacing w:line="360" w:lineRule="exact"/>
        <w:jc w:val="center"/>
        <w:rPr>
          <w:rFonts w:ascii="宋体" w:hAnsi="宋体" w:cs="宋体"/>
          <w:color w:val="auto"/>
          <w:sz w:val="36"/>
          <w:highlight w:val="none"/>
          <w:lang w:val="zh-CN"/>
        </w:rPr>
      </w:pPr>
    </w:p>
    <w:p>
      <w:pPr>
        <w:tabs>
          <w:tab w:val="left" w:pos="1069"/>
          <w:tab w:val="left" w:pos="2352"/>
        </w:tabs>
        <w:spacing w:line="400" w:lineRule="atLeast"/>
        <w:rPr>
          <w:rFonts w:ascii="宋体" w:hAnsi="宋体" w:cs="宋体"/>
          <w:color w:val="auto"/>
          <w:sz w:val="22"/>
          <w:highlight w:val="none"/>
        </w:rPr>
      </w:pPr>
      <w:r>
        <w:rPr>
          <w:rFonts w:hint="eastAsia" w:ascii="宋体" w:hAnsi="宋体" w:cs="宋体"/>
          <w:color w:val="auto"/>
          <w:sz w:val="22"/>
          <w:highlight w:val="none"/>
          <w:u w:val="single"/>
        </w:rPr>
        <w:t>泰顺县自然资源和规划局</w:t>
      </w:r>
      <w:r>
        <w:rPr>
          <w:rFonts w:hint="eastAsia" w:ascii="宋体" w:hAnsi="宋体" w:cs="宋体"/>
          <w:color w:val="auto"/>
          <w:sz w:val="22"/>
          <w:highlight w:val="none"/>
          <w:lang w:val="zh-CN"/>
        </w:rPr>
        <w:t>：</w:t>
      </w:r>
    </w:p>
    <w:p>
      <w:pPr>
        <w:tabs>
          <w:tab w:val="left" w:pos="1069"/>
          <w:tab w:val="left" w:pos="2352"/>
        </w:tabs>
        <w:snapToGrid w:val="0"/>
        <w:spacing w:line="400" w:lineRule="atLeast"/>
        <w:ind w:firstLine="446" w:firstLineChars="200"/>
        <w:rPr>
          <w:rFonts w:ascii="宋体" w:hAnsi="宋体" w:cs="宋体"/>
          <w:color w:val="auto"/>
          <w:sz w:val="22"/>
          <w:highlight w:val="none"/>
        </w:rPr>
      </w:pPr>
      <w:r>
        <w:rPr>
          <w:rFonts w:hint="eastAsia" w:ascii="宋体" w:hAnsi="宋体" w:cs="宋体"/>
          <w:color w:val="auto"/>
          <w:sz w:val="22"/>
          <w:highlight w:val="none"/>
        </w:rPr>
        <w:t>本授权委托书声明：我</w:t>
      </w:r>
      <w:r>
        <w:rPr>
          <w:rFonts w:hint="eastAsia" w:ascii="宋体" w:hAnsi="宋体" w:cs="宋体"/>
          <w:color w:val="auto"/>
          <w:sz w:val="22"/>
          <w:highlight w:val="none"/>
          <w:u w:val="single"/>
        </w:rPr>
        <w:t>（法定代表人姓名）</w:t>
      </w:r>
      <w:r>
        <w:rPr>
          <w:rFonts w:hint="eastAsia" w:ascii="宋体" w:hAnsi="宋体" w:cs="宋体"/>
          <w:color w:val="auto"/>
          <w:sz w:val="22"/>
          <w:highlight w:val="none"/>
        </w:rPr>
        <w:t>系</w:t>
      </w:r>
      <w:r>
        <w:rPr>
          <w:rFonts w:hint="eastAsia" w:ascii="宋体" w:hAnsi="宋体" w:cs="宋体"/>
          <w:color w:val="auto"/>
          <w:sz w:val="22"/>
          <w:highlight w:val="none"/>
          <w:u w:val="single"/>
        </w:rPr>
        <w:t>（供应商名称）</w:t>
      </w:r>
      <w:r>
        <w:rPr>
          <w:rFonts w:hint="eastAsia" w:ascii="宋体" w:hAnsi="宋体" w:cs="宋体"/>
          <w:color w:val="auto"/>
          <w:sz w:val="22"/>
          <w:highlight w:val="none"/>
        </w:rPr>
        <w:t>的法定代表人，现授权委托</w:t>
      </w:r>
      <w:r>
        <w:rPr>
          <w:rFonts w:hint="eastAsia" w:ascii="宋体" w:hAnsi="宋体" w:cs="宋体"/>
          <w:color w:val="auto"/>
          <w:sz w:val="22"/>
          <w:highlight w:val="none"/>
          <w:u w:val="single"/>
        </w:rPr>
        <w:t>（单位名称）</w:t>
      </w:r>
      <w:r>
        <w:rPr>
          <w:rFonts w:hint="eastAsia" w:ascii="宋体" w:hAnsi="宋体" w:cs="宋体"/>
          <w:color w:val="auto"/>
          <w:sz w:val="22"/>
          <w:highlight w:val="none"/>
        </w:rPr>
        <w:t>的</w:t>
      </w:r>
      <w:r>
        <w:rPr>
          <w:rFonts w:hint="eastAsia" w:ascii="宋体" w:hAnsi="宋体" w:cs="宋体"/>
          <w:color w:val="auto"/>
          <w:sz w:val="22"/>
          <w:highlight w:val="none"/>
          <w:u w:val="single"/>
        </w:rPr>
        <w:t>（授权代表姓名）</w:t>
      </w:r>
      <w:r>
        <w:rPr>
          <w:rFonts w:hint="eastAsia" w:ascii="宋体" w:hAnsi="宋体" w:cs="宋体"/>
          <w:color w:val="auto"/>
          <w:sz w:val="22"/>
          <w:highlight w:val="none"/>
        </w:rPr>
        <w:t>为我公司法定代表人授权代表，参加贵处组织的</w:t>
      </w:r>
      <w:r>
        <w:rPr>
          <w:rFonts w:hint="eastAsia" w:ascii="宋体" w:hAnsi="宋体" w:cs="宋体"/>
          <w:color w:val="auto"/>
          <w:sz w:val="22"/>
          <w:highlight w:val="none"/>
          <w:u w:val="single"/>
        </w:rPr>
        <w:t>泰顺县集体土地所有权确权登记成果更新</w:t>
      </w:r>
      <w:r>
        <w:rPr>
          <w:rFonts w:hint="eastAsia" w:ascii="宋体" w:hAnsi="宋体" w:cs="宋体"/>
          <w:color w:val="auto"/>
          <w:sz w:val="22"/>
          <w:highlight w:val="none"/>
          <w:lang w:val="zh-CN"/>
        </w:rPr>
        <w:t>（</w:t>
      </w:r>
      <w:r>
        <w:rPr>
          <w:rFonts w:hint="eastAsia" w:ascii="宋体" w:hAnsi="宋体" w:cs="宋体"/>
          <w:color w:val="auto"/>
          <w:sz w:val="22"/>
          <w:highlight w:val="none"/>
        </w:rPr>
        <w:t>采购</w:t>
      </w:r>
      <w:r>
        <w:rPr>
          <w:rFonts w:hint="eastAsia" w:ascii="宋体" w:hAnsi="宋体" w:cs="宋体"/>
          <w:color w:val="auto"/>
          <w:sz w:val="22"/>
          <w:highlight w:val="none"/>
          <w:lang w:val="zh-CN"/>
        </w:rPr>
        <w:t>编号：</w:t>
      </w:r>
      <w:r>
        <w:rPr>
          <w:rFonts w:hint="eastAsia" w:ascii="宋体" w:hAnsi="宋体" w:cs="宋体"/>
          <w:color w:val="auto"/>
          <w:sz w:val="22"/>
          <w:highlight w:val="none"/>
          <w:u w:val="single"/>
        </w:rPr>
        <w:t>TSCG202207022）</w:t>
      </w:r>
      <w:r>
        <w:rPr>
          <w:rFonts w:hint="eastAsia" w:ascii="宋体" w:hAnsi="宋体" w:cs="宋体"/>
          <w:color w:val="auto"/>
          <w:sz w:val="22"/>
          <w:highlight w:val="none"/>
        </w:rPr>
        <w:t>项目投标，全权处理本次招投标活动中的一切事宜，我承认授权代表全权代表我所签署的本项目的投标（响应）文件的内容。</w:t>
      </w:r>
    </w:p>
    <w:p>
      <w:pPr>
        <w:tabs>
          <w:tab w:val="left" w:pos="1069"/>
          <w:tab w:val="left" w:pos="2352"/>
        </w:tabs>
        <w:spacing w:line="400" w:lineRule="atLeast"/>
        <w:ind w:firstLine="446" w:firstLineChars="200"/>
        <w:rPr>
          <w:rFonts w:ascii="宋体" w:hAnsi="宋体" w:cs="宋体"/>
          <w:color w:val="auto"/>
          <w:sz w:val="22"/>
          <w:highlight w:val="none"/>
        </w:rPr>
      </w:pPr>
    </w:p>
    <w:p>
      <w:pPr>
        <w:tabs>
          <w:tab w:val="left" w:pos="1069"/>
          <w:tab w:val="left" w:pos="2352"/>
        </w:tabs>
        <w:spacing w:line="400" w:lineRule="atLeast"/>
        <w:ind w:firstLine="446" w:firstLineChars="200"/>
        <w:rPr>
          <w:rFonts w:ascii="宋体" w:hAnsi="宋体" w:cs="宋体"/>
          <w:color w:val="auto"/>
          <w:sz w:val="22"/>
          <w:highlight w:val="none"/>
        </w:rPr>
      </w:pPr>
      <w:r>
        <w:rPr>
          <w:rFonts w:hint="eastAsia" w:ascii="宋体" w:hAnsi="宋体" w:cs="宋体"/>
          <w:color w:val="auto"/>
          <w:sz w:val="22"/>
          <w:highlight w:val="none"/>
        </w:rPr>
        <w:t>授权代表无转授权，特此授权。</w:t>
      </w:r>
    </w:p>
    <w:p>
      <w:pPr>
        <w:tabs>
          <w:tab w:val="left" w:pos="1069"/>
          <w:tab w:val="left" w:pos="2352"/>
        </w:tabs>
        <w:spacing w:line="400" w:lineRule="atLeast"/>
        <w:rPr>
          <w:rFonts w:ascii="宋体" w:hAnsi="宋体" w:cs="宋体"/>
          <w:color w:val="auto"/>
          <w:sz w:val="22"/>
          <w:highlight w:val="none"/>
        </w:rPr>
      </w:pPr>
    </w:p>
    <w:p>
      <w:pPr>
        <w:tabs>
          <w:tab w:val="left" w:pos="1069"/>
          <w:tab w:val="left" w:pos="2352"/>
        </w:tabs>
        <w:spacing w:line="400" w:lineRule="atLeast"/>
        <w:ind w:firstLine="2992" w:firstLineChars="1342"/>
        <w:rPr>
          <w:rFonts w:ascii="宋体" w:hAnsi="宋体" w:cs="宋体"/>
          <w:color w:val="auto"/>
          <w:sz w:val="22"/>
          <w:highlight w:val="none"/>
          <w:u w:val="single"/>
        </w:rPr>
      </w:pPr>
      <w:r>
        <w:rPr>
          <w:rFonts w:hint="eastAsia" w:ascii="宋体" w:hAnsi="宋体" w:cs="宋体"/>
          <w:color w:val="auto"/>
          <w:sz w:val="22"/>
          <w:highlight w:val="none"/>
        </w:rPr>
        <w:t>授权代表：</w:t>
      </w:r>
      <w:r>
        <w:rPr>
          <w:rFonts w:hint="eastAsia" w:ascii="宋体" w:hAnsi="宋体" w:cs="宋体"/>
          <w:color w:val="auto"/>
          <w:sz w:val="22"/>
          <w:highlight w:val="none"/>
          <w:u w:val="single"/>
        </w:rPr>
        <w:t>（签字）</w:t>
      </w:r>
      <w:r>
        <w:rPr>
          <w:rFonts w:hint="eastAsia" w:ascii="宋体" w:hAnsi="宋体" w:cs="宋体"/>
          <w:color w:val="auto"/>
          <w:sz w:val="22"/>
          <w:highlight w:val="none"/>
        </w:rPr>
        <w:t>性别：</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年龄：</w:t>
      </w:r>
      <w:r>
        <w:rPr>
          <w:rFonts w:hint="eastAsia" w:ascii="宋体" w:hAnsi="宋体" w:cs="宋体"/>
          <w:color w:val="auto"/>
          <w:sz w:val="22"/>
          <w:highlight w:val="none"/>
          <w:u w:val="single"/>
        </w:rPr>
        <w:t xml:space="preserve">        </w:t>
      </w:r>
    </w:p>
    <w:p>
      <w:pPr>
        <w:tabs>
          <w:tab w:val="left" w:pos="1069"/>
          <w:tab w:val="left" w:pos="2352"/>
        </w:tabs>
        <w:spacing w:line="400" w:lineRule="atLeast"/>
        <w:ind w:firstLine="2992" w:firstLineChars="1342"/>
        <w:rPr>
          <w:rFonts w:ascii="宋体" w:hAnsi="宋体" w:cs="宋体"/>
          <w:color w:val="auto"/>
          <w:sz w:val="22"/>
          <w:highlight w:val="none"/>
          <w:u w:val="single"/>
        </w:rPr>
      </w:pPr>
    </w:p>
    <w:p>
      <w:pPr>
        <w:tabs>
          <w:tab w:val="left" w:pos="1069"/>
          <w:tab w:val="left" w:pos="2352"/>
        </w:tabs>
        <w:spacing w:line="400" w:lineRule="atLeast"/>
        <w:ind w:firstLine="2992" w:firstLineChars="1342"/>
        <w:rPr>
          <w:rFonts w:ascii="宋体" w:hAnsi="宋体" w:cs="宋体"/>
          <w:color w:val="auto"/>
          <w:sz w:val="22"/>
          <w:highlight w:val="none"/>
          <w:u w:val="single"/>
        </w:rPr>
      </w:pPr>
      <w:r>
        <w:rPr>
          <w:rFonts w:hint="eastAsia" w:ascii="宋体" w:hAnsi="宋体" w:cs="宋体"/>
          <w:color w:val="auto"/>
          <w:sz w:val="22"/>
          <w:highlight w:val="none"/>
        </w:rPr>
        <w:t>详细通讯地址：</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邮政编码：</w:t>
      </w:r>
      <w:r>
        <w:rPr>
          <w:rFonts w:hint="eastAsia" w:ascii="宋体" w:hAnsi="宋体" w:cs="宋体"/>
          <w:color w:val="auto"/>
          <w:sz w:val="22"/>
          <w:highlight w:val="none"/>
          <w:u w:val="single"/>
        </w:rPr>
        <w:t xml:space="preserve">        </w:t>
      </w:r>
    </w:p>
    <w:p>
      <w:pPr>
        <w:tabs>
          <w:tab w:val="left" w:pos="1069"/>
          <w:tab w:val="left" w:pos="2352"/>
        </w:tabs>
        <w:spacing w:line="400" w:lineRule="atLeast"/>
        <w:ind w:firstLine="2992" w:firstLineChars="1342"/>
        <w:rPr>
          <w:rFonts w:ascii="宋体" w:hAnsi="宋体" w:cs="宋体"/>
          <w:color w:val="auto"/>
          <w:sz w:val="22"/>
          <w:highlight w:val="none"/>
          <w:u w:val="single"/>
        </w:rPr>
      </w:pPr>
    </w:p>
    <w:p>
      <w:pPr>
        <w:tabs>
          <w:tab w:val="left" w:pos="1069"/>
          <w:tab w:val="left" w:pos="2352"/>
        </w:tabs>
        <w:spacing w:line="400" w:lineRule="atLeast"/>
        <w:ind w:firstLine="2992" w:firstLineChars="1342"/>
        <w:rPr>
          <w:rFonts w:ascii="宋体" w:hAnsi="宋体" w:cs="宋体"/>
          <w:color w:val="auto"/>
          <w:sz w:val="22"/>
          <w:highlight w:val="none"/>
          <w:u w:val="single"/>
        </w:rPr>
      </w:pPr>
      <w:r>
        <w:rPr>
          <w:rFonts w:hint="eastAsia" w:ascii="宋体" w:hAnsi="宋体" w:cs="宋体"/>
          <w:color w:val="auto"/>
          <w:sz w:val="22"/>
          <w:highlight w:val="none"/>
        </w:rPr>
        <w:t>电话：</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传真：</w:t>
      </w:r>
      <w:r>
        <w:rPr>
          <w:rFonts w:hint="eastAsia" w:ascii="宋体" w:hAnsi="宋体" w:cs="宋体"/>
          <w:color w:val="auto"/>
          <w:sz w:val="22"/>
          <w:highlight w:val="none"/>
          <w:u w:val="single"/>
        </w:rPr>
        <w:t xml:space="preserve">        </w:t>
      </w:r>
    </w:p>
    <w:p>
      <w:pPr>
        <w:tabs>
          <w:tab w:val="left" w:pos="1069"/>
          <w:tab w:val="left" w:pos="2352"/>
        </w:tabs>
        <w:spacing w:line="400" w:lineRule="atLeast"/>
        <w:ind w:left="1" w:firstLine="427" w:firstLineChars="192"/>
        <w:rPr>
          <w:rFonts w:ascii="宋体" w:hAnsi="宋体" w:cs="宋体"/>
          <w:color w:val="auto"/>
          <w:sz w:val="22"/>
          <w:highlight w:val="none"/>
        </w:rPr>
      </w:pPr>
    </w:p>
    <w:p>
      <w:pPr>
        <w:tabs>
          <w:tab w:val="left" w:pos="1069"/>
          <w:tab w:val="left" w:pos="2352"/>
        </w:tabs>
        <w:spacing w:line="400" w:lineRule="atLeast"/>
        <w:ind w:left="1" w:firstLine="2985" w:firstLineChars="1339"/>
        <w:rPr>
          <w:rFonts w:ascii="宋体" w:hAnsi="宋体" w:cs="宋体"/>
          <w:color w:val="auto"/>
          <w:sz w:val="22"/>
          <w:highlight w:val="none"/>
        </w:rPr>
      </w:pPr>
      <w:r>
        <w:rPr>
          <w:rFonts w:hint="eastAsia" w:ascii="宋体" w:hAnsi="宋体" w:cs="宋体"/>
          <w:color w:val="auto"/>
          <w:sz w:val="22"/>
          <w:highlight w:val="none"/>
        </w:rPr>
        <w:t>供应商：</w:t>
      </w:r>
      <w:r>
        <w:rPr>
          <w:rFonts w:hint="eastAsia" w:ascii="宋体" w:hAnsi="宋体" w:cs="宋体"/>
          <w:color w:val="auto"/>
          <w:sz w:val="22"/>
          <w:highlight w:val="none"/>
          <w:u w:val="single"/>
        </w:rPr>
        <w:t xml:space="preserve">（盖章）       </w:t>
      </w:r>
    </w:p>
    <w:p>
      <w:pPr>
        <w:tabs>
          <w:tab w:val="left" w:pos="1069"/>
          <w:tab w:val="left" w:pos="2352"/>
        </w:tabs>
        <w:spacing w:line="400" w:lineRule="atLeast"/>
        <w:ind w:left="1" w:firstLine="427" w:firstLineChars="192"/>
        <w:rPr>
          <w:rFonts w:ascii="宋体" w:hAnsi="宋体" w:cs="宋体"/>
          <w:color w:val="auto"/>
          <w:sz w:val="22"/>
          <w:highlight w:val="none"/>
        </w:rPr>
      </w:pPr>
    </w:p>
    <w:p>
      <w:pPr>
        <w:tabs>
          <w:tab w:val="left" w:pos="1069"/>
          <w:tab w:val="left" w:pos="2352"/>
        </w:tabs>
        <w:spacing w:line="400" w:lineRule="atLeast"/>
        <w:ind w:left="2100" w:right="440"/>
        <w:jc w:val="center"/>
        <w:rPr>
          <w:rFonts w:ascii="宋体" w:hAnsi="宋体" w:cs="宋体"/>
          <w:color w:val="auto"/>
          <w:sz w:val="22"/>
          <w:highlight w:val="none"/>
        </w:rPr>
      </w:pPr>
      <w:r>
        <w:rPr>
          <w:rFonts w:hint="eastAsia" w:ascii="宋体" w:hAnsi="宋体" w:cs="宋体"/>
          <w:color w:val="auto"/>
          <w:sz w:val="22"/>
          <w:highlight w:val="none"/>
        </w:rPr>
        <w:t>法定代表人：</w:t>
      </w:r>
      <w:r>
        <w:rPr>
          <w:rFonts w:hint="eastAsia" w:ascii="宋体" w:hAnsi="宋体" w:cs="宋体"/>
          <w:color w:val="auto"/>
          <w:sz w:val="22"/>
          <w:highlight w:val="none"/>
          <w:u w:val="single"/>
        </w:rPr>
        <w:t>（签字或盖章）</w:t>
      </w:r>
    </w:p>
    <w:p>
      <w:pPr>
        <w:tabs>
          <w:tab w:val="left" w:pos="1069"/>
          <w:tab w:val="left" w:pos="2352"/>
        </w:tabs>
        <w:spacing w:line="400" w:lineRule="atLeast"/>
        <w:ind w:left="2699"/>
        <w:rPr>
          <w:rFonts w:ascii="宋体" w:hAnsi="宋体" w:cs="宋体"/>
          <w:color w:val="auto"/>
          <w:sz w:val="22"/>
          <w:highlight w:val="none"/>
        </w:rPr>
      </w:pPr>
    </w:p>
    <w:p>
      <w:pPr>
        <w:tabs>
          <w:tab w:val="left" w:pos="1069"/>
          <w:tab w:val="left" w:pos="2352"/>
        </w:tabs>
        <w:spacing w:line="400" w:lineRule="atLeast"/>
        <w:ind w:right="440" w:firstLine="3345" w:firstLineChars="1500"/>
        <w:jc w:val="center"/>
        <w:rPr>
          <w:rFonts w:ascii="宋体" w:hAnsi="宋体" w:cs="宋体"/>
          <w:color w:val="auto"/>
          <w:sz w:val="22"/>
          <w:highlight w:val="none"/>
        </w:rPr>
      </w:pPr>
      <w:r>
        <w:rPr>
          <w:rFonts w:hint="eastAsia" w:ascii="宋体" w:hAnsi="宋体" w:cs="宋体"/>
          <w:color w:val="auto"/>
          <w:sz w:val="22"/>
          <w:highlight w:val="none"/>
        </w:rPr>
        <w:t>授权委托日期：</w:t>
      </w:r>
      <w:r>
        <w:rPr>
          <w:rFonts w:hint="eastAsia" w:ascii="宋体" w:hAnsi="宋体" w:cs="宋体"/>
          <w:color w:val="auto"/>
          <w:sz w:val="22"/>
          <w:highlight w:val="none"/>
          <w:u w:val="single"/>
        </w:rPr>
        <w:t xml:space="preserve">        年  月  日</w:t>
      </w:r>
    </w:p>
    <w:p>
      <w:pPr>
        <w:tabs>
          <w:tab w:val="left" w:pos="1069"/>
          <w:tab w:val="left" w:pos="2352"/>
        </w:tabs>
        <w:spacing w:line="360" w:lineRule="exact"/>
        <w:ind w:left="2699"/>
        <w:rPr>
          <w:rFonts w:ascii="宋体" w:hAnsi="宋体" w:cs="宋体"/>
          <w:color w:val="auto"/>
          <w:sz w:val="22"/>
          <w:highlight w:val="none"/>
        </w:r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9214" w:type="dxa"/>
          </w:tcPr>
          <w:p>
            <w:pPr>
              <w:pStyle w:val="11"/>
              <w:tabs>
                <w:tab w:val="left" w:pos="1069"/>
                <w:tab w:val="left" w:pos="2352"/>
              </w:tabs>
              <w:adjustRightInd w:val="0"/>
              <w:snapToGrid w:val="0"/>
              <w:spacing w:line="360" w:lineRule="exact"/>
              <w:jc w:val="center"/>
              <w:rPr>
                <w:rFonts w:hAnsi="宋体" w:cs="宋体"/>
                <w:b/>
                <w:bCs/>
                <w:color w:val="auto"/>
                <w:kern w:val="2"/>
                <w:sz w:val="22"/>
                <w:szCs w:val="22"/>
                <w:highlight w:val="none"/>
              </w:rPr>
            </w:pPr>
          </w:p>
          <w:p>
            <w:pPr>
              <w:pStyle w:val="11"/>
              <w:tabs>
                <w:tab w:val="left" w:pos="1069"/>
                <w:tab w:val="left" w:pos="2352"/>
              </w:tabs>
              <w:adjustRightInd w:val="0"/>
              <w:snapToGrid w:val="0"/>
              <w:spacing w:line="360" w:lineRule="exact"/>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粘贴法人授权代表身份证复印影印件</w:t>
            </w:r>
          </w:p>
          <w:p>
            <w:pPr>
              <w:pStyle w:val="11"/>
              <w:tabs>
                <w:tab w:val="left" w:pos="1069"/>
                <w:tab w:val="left" w:pos="2352"/>
              </w:tabs>
              <w:adjustRightInd w:val="0"/>
              <w:snapToGrid w:val="0"/>
              <w:spacing w:line="360" w:lineRule="exact"/>
              <w:jc w:val="center"/>
              <w:rPr>
                <w:rFonts w:hAnsi="宋体" w:cs="宋体"/>
                <w:b/>
                <w:bCs/>
                <w:color w:val="auto"/>
                <w:kern w:val="2"/>
                <w:sz w:val="22"/>
                <w:szCs w:val="22"/>
                <w:highlight w:val="none"/>
              </w:rPr>
            </w:pPr>
          </w:p>
        </w:tc>
      </w:tr>
    </w:tbl>
    <w:p>
      <w:pPr>
        <w:pStyle w:val="11"/>
        <w:tabs>
          <w:tab w:val="left" w:pos="1069"/>
          <w:tab w:val="left" w:pos="2352"/>
        </w:tabs>
        <w:adjustRightInd w:val="0"/>
        <w:snapToGrid w:val="0"/>
        <w:spacing w:line="360" w:lineRule="exact"/>
        <w:jc w:val="center"/>
        <w:rPr>
          <w:rFonts w:hAnsi="宋体" w:cs="宋体"/>
          <w:color w:val="auto"/>
          <w:sz w:val="22"/>
          <w:highlight w:val="none"/>
          <w:lang w:val="zh-CN"/>
        </w:rPr>
      </w:pPr>
    </w:p>
    <w:p>
      <w:pPr>
        <w:pStyle w:val="11"/>
        <w:tabs>
          <w:tab w:val="left" w:pos="1069"/>
          <w:tab w:val="left" w:pos="2352"/>
        </w:tabs>
        <w:adjustRightInd w:val="0"/>
        <w:snapToGrid w:val="0"/>
        <w:spacing w:line="360" w:lineRule="exact"/>
        <w:jc w:val="center"/>
        <w:rPr>
          <w:rFonts w:hAnsi="宋体" w:cs="宋体"/>
          <w:color w:val="auto"/>
          <w:sz w:val="22"/>
          <w:highlight w:val="none"/>
          <w:lang w:val="zh-CN"/>
        </w:rPr>
      </w:pPr>
    </w:p>
    <w:p>
      <w:pPr>
        <w:pStyle w:val="11"/>
        <w:tabs>
          <w:tab w:val="left" w:pos="1069"/>
          <w:tab w:val="left" w:pos="2352"/>
        </w:tabs>
        <w:adjustRightInd w:val="0"/>
        <w:snapToGrid w:val="0"/>
        <w:spacing w:line="360" w:lineRule="exact"/>
        <w:jc w:val="center"/>
        <w:rPr>
          <w:rFonts w:hAnsi="宋体" w:cs="宋体"/>
          <w:color w:val="auto"/>
          <w:sz w:val="22"/>
          <w:highlight w:val="none"/>
          <w:lang w:val="zh-CN"/>
        </w:r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20" w:hRule="atLeast"/>
        </w:trPr>
        <w:tc>
          <w:tcPr>
            <w:tcW w:w="9356" w:type="dxa"/>
          </w:tcPr>
          <w:p>
            <w:pPr>
              <w:pStyle w:val="11"/>
              <w:tabs>
                <w:tab w:val="left" w:pos="1069"/>
                <w:tab w:val="left" w:pos="2352"/>
              </w:tabs>
              <w:adjustRightInd w:val="0"/>
              <w:snapToGrid w:val="0"/>
              <w:spacing w:line="360" w:lineRule="exact"/>
              <w:jc w:val="center"/>
              <w:rPr>
                <w:rFonts w:hAnsi="宋体" w:cs="宋体"/>
                <w:b/>
                <w:bCs/>
                <w:color w:val="auto"/>
                <w:kern w:val="2"/>
                <w:sz w:val="22"/>
                <w:szCs w:val="22"/>
                <w:highlight w:val="none"/>
              </w:rPr>
            </w:pPr>
          </w:p>
          <w:p>
            <w:pPr>
              <w:pStyle w:val="11"/>
              <w:tabs>
                <w:tab w:val="left" w:pos="1069"/>
                <w:tab w:val="left" w:pos="2352"/>
              </w:tabs>
              <w:adjustRightInd w:val="0"/>
              <w:snapToGrid w:val="0"/>
              <w:spacing w:line="360" w:lineRule="exact"/>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粘贴法人身份证复印影印件</w:t>
            </w:r>
          </w:p>
          <w:p>
            <w:pPr>
              <w:pStyle w:val="11"/>
              <w:tabs>
                <w:tab w:val="left" w:pos="1069"/>
                <w:tab w:val="left" w:pos="2352"/>
              </w:tabs>
              <w:adjustRightInd w:val="0"/>
              <w:snapToGrid w:val="0"/>
              <w:spacing w:line="360" w:lineRule="exact"/>
              <w:jc w:val="center"/>
              <w:rPr>
                <w:rFonts w:hAnsi="宋体" w:cs="宋体"/>
                <w:b/>
                <w:bCs/>
                <w:color w:val="auto"/>
                <w:kern w:val="2"/>
                <w:sz w:val="22"/>
                <w:szCs w:val="22"/>
                <w:highlight w:val="none"/>
              </w:rPr>
            </w:pPr>
          </w:p>
        </w:tc>
      </w:tr>
    </w:tbl>
    <w:p>
      <w:pPr>
        <w:tabs>
          <w:tab w:val="left" w:pos="1069"/>
          <w:tab w:val="left" w:pos="2352"/>
        </w:tabs>
        <w:spacing w:line="360" w:lineRule="exact"/>
        <w:jc w:val="left"/>
        <w:rPr>
          <w:rFonts w:ascii="宋体" w:hAnsi="宋体" w:cs="宋体"/>
          <w:b/>
          <w:bCs/>
          <w:color w:val="auto"/>
          <w:sz w:val="30"/>
          <w:highlight w:val="none"/>
        </w:rPr>
      </w:pPr>
    </w:p>
    <w:p>
      <w:pPr>
        <w:tabs>
          <w:tab w:val="left" w:pos="1069"/>
          <w:tab w:val="left" w:pos="2352"/>
        </w:tabs>
        <w:spacing w:line="360" w:lineRule="exact"/>
        <w:jc w:val="left"/>
        <w:rPr>
          <w:rFonts w:ascii="宋体" w:hAnsi="宋体" w:cs="宋体"/>
          <w:b/>
          <w:bCs/>
          <w:color w:val="auto"/>
          <w:sz w:val="30"/>
          <w:highlight w:val="none"/>
        </w:rPr>
      </w:pPr>
    </w:p>
    <w:p>
      <w:pPr>
        <w:tabs>
          <w:tab w:val="left" w:pos="1069"/>
          <w:tab w:val="left" w:pos="2352"/>
        </w:tabs>
        <w:snapToGrid w:val="0"/>
        <w:spacing w:line="440" w:lineRule="exact"/>
        <w:rPr>
          <w:rFonts w:ascii="宋体" w:hAnsi="宋体" w:cs="宋体"/>
          <w:b/>
          <w:bCs/>
          <w:color w:val="auto"/>
          <w:sz w:val="32"/>
          <w:szCs w:val="32"/>
          <w:highlight w:val="none"/>
        </w:rPr>
      </w:pPr>
      <w:r>
        <w:rPr>
          <w:rFonts w:hint="eastAsia" w:ascii="宋体" w:hAnsi="宋体" w:cs="宋体"/>
          <w:b/>
          <w:bCs/>
          <w:color w:val="auto"/>
          <w:sz w:val="22"/>
          <w:highlight w:val="none"/>
        </w:rPr>
        <w:t>三</w:t>
      </w:r>
      <w:r>
        <w:rPr>
          <w:rFonts w:hint="eastAsia" w:ascii="宋体" w:hAnsi="宋体" w:cs="宋体"/>
          <w:b/>
          <w:bCs/>
          <w:color w:val="auto"/>
          <w:sz w:val="22"/>
          <w:highlight w:val="none"/>
          <w:lang w:val="zh-CN"/>
        </w:rPr>
        <w:t>、</w:t>
      </w:r>
      <w:r>
        <w:rPr>
          <w:rFonts w:hint="eastAsia" w:ascii="宋体" w:hAnsi="宋体" w:cs="宋体"/>
          <w:b/>
          <w:bCs/>
          <w:color w:val="auto"/>
          <w:sz w:val="22"/>
          <w:highlight w:val="none"/>
        </w:rPr>
        <w:t>商务技术</w:t>
      </w:r>
      <w:r>
        <w:rPr>
          <w:rFonts w:hint="eastAsia" w:ascii="宋体" w:hAnsi="宋体" w:cs="宋体"/>
          <w:b/>
          <w:bCs/>
          <w:color w:val="auto"/>
          <w:sz w:val="22"/>
          <w:highlight w:val="none"/>
          <w:lang w:val="zh-CN"/>
        </w:rPr>
        <w:t>部分投标文件格式</w:t>
      </w:r>
    </w:p>
    <w:p>
      <w:pPr>
        <w:pStyle w:val="9"/>
        <w:tabs>
          <w:tab w:val="left" w:pos="1069"/>
          <w:tab w:val="left" w:pos="2352"/>
        </w:tabs>
        <w:rPr>
          <w:rFonts w:ascii="宋体" w:hAnsi="宋体" w:cs="宋体"/>
          <w:color w:val="auto"/>
          <w:sz w:val="22"/>
          <w:szCs w:val="22"/>
          <w:highlight w:val="none"/>
        </w:rPr>
      </w:pPr>
      <w:r>
        <w:rPr>
          <w:rFonts w:hint="eastAsia" w:ascii="宋体" w:hAnsi="宋体" w:cs="宋体"/>
          <w:b/>
          <w:bCs/>
          <w:color w:val="auto"/>
          <w:sz w:val="22"/>
          <w:highlight w:val="none"/>
        </w:rPr>
        <w:t>商务技术</w:t>
      </w:r>
      <w:r>
        <w:rPr>
          <w:rFonts w:hint="eastAsia" w:ascii="宋体" w:hAnsi="宋体" w:cs="宋体"/>
          <w:b/>
          <w:bCs/>
          <w:color w:val="auto"/>
          <w:sz w:val="22"/>
          <w:highlight w:val="none"/>
          <w:lang w:val="zh-CN"/>
        </w:rPr>
        <w:t>部分投标文件</w:t>
      </w:r>
      <w:r>
        <w:rPr>
          <w:rFonts w:hint="eastAsia" w:ascii="宋体" w:hAnsi="宋体" w:cs="宋体"/>
          <w:color w:val="auto"/>
          <w:sz w:val="22"/>
          <w:szCs w:val="22"/>
          <w:highlight w:val="none"/>
        </w:rPr>
        <w:t>封面参考：</w:t>
      </w:r>
    </w:p>
    <w:p>
      <w:pPr>
        <w:tabs>
          <w:tab w:val="left" w:pos="1069"/>
          <w:tab w:val="left" w:pos="2352"/>
        </w:tabs>
        <w:snapToGrid w:val="0"/>
        <w:spacing w:line="440" w:lineRule="exact"/>
        <w:jc w:val="center"/>
        <w:rPr>
          <w:rFonts w:ascii="宋体" w:hAnsi="宋体" w:cs="宋体"/>
          <w:b/>
          <w:color w:val="auto"/>
          <w:sz w:val="32"/>
          <w:szCs w:val="32"/>
          <w:highlight w:val="none"/>
        </w:rPr>
      </w:pPr>
    </w:p>
    <w:p>
      <w:pPr>
        <w:tabs>
          <w:tab w:val="left" w:pos="1069"/>
          <w:tab w:val="left" w:pos="2352"/>
        </w:tabs>
        <w:spacing w:line="480" w:lineRule="auto"/>
        <w:jc w:val="center"/>
        <w:rPr>
          <w:rFonts w:ascii="宋体" w:hAnsi="宋体" w:cs="宋体"/>
          <w:b/>
          <w:color w:val="auto"/>
          <w:sz w:val="64"/>
          <w:szCs w:val="64"/>
          <w:highlight w:val="none"/>
        </w:rPr>
      </w:pPr>
      <w:r>
        <w:rPr>
          <w:rFonts w:hint="eastAsia" w:ascii="宋体" w:hAnsi="宋体" w:cs="宋体"/>
          <w:b/>
          <w:color w:val="auto"/>
          <w:sz w:val="64"/>
          <w:szCs w:val="64"/>
          <w:highlight w:val="none"/>
        </w:rPr>
        <w:t>泰顺县集体土地所有权确权登记成果更新</w:t>
      </w:r>
    </w:p>
    <w:p>
      <w:pPr>
        <w:tabs>
          <w:tab w:val="left" w:pos="1069"/>
          <w:tab w:val="left" w:pos="2352"/>
        </w:tabs>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84"/>
          <w:szCs w:val="84"/>
          <w:highlight w:val="none"/>
        </w:rPr>
        <w:t>投 标 文 件</w:t>
      </w:r>
    </w:p>
    <w:p>
      <w:pPr>
        <w:tabs>
          <w:tab w:val="left" w:pos="1069"/>
          <w:tab w:val="left" w:pos="2352"/>
        </w:tabs>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60"/>
          <w:szCs w:val="60"/>
          <w:highlight w:val="none"/>
        </w:rPr>
        <w:t>（商 务 技 术 部 分）</w:t>
      </w:r>
    </w:p>
    <w:p>
      <w:pPr>
        <w:tabs>
          <w:tab w:val="left" w:pos="1069"/>
          <w:tab w:val="left" w:pos="2352"/>
        </w:tabs>
        <w:snapToGrid w:val="0"/>
        <w:spacing w:line="600" w:lineRule="atLeast"/>
        <w:ind w:firstLine="1052" w:firstLineChars="400"/>
        <w:rPr>
          <w:rFonts w:ascii="宋体" w:hAnsi="宋体" w:cs="宋体"/>
          <w:b/>
          <w:color w:val="auto"/>
          <w:sz w:val="26"/>
          <w:szCs w:val="26"/>
          <w:highlight w:val="none"/>
        </w:rPr>
      </w:pPr>
    </w:p>
    <w:p>
      <w:pPr>
        <w:tabs>
          <w:tab w:val="left" w:pos="1069"/>
          <w:tab w:val="left" w:pos="2352"/>
        </w:tabs>
        <w:snapToGrid w:val="0"/>
        <w:spacing w:line="600" w:lineRule="atLeast"/>
        <w:ind w:firstLine="1052" w:firstLineChars="400"/>
        <w:rPr>
          <w:rFonts w:ascii="宋体" w:hAnsi="宋体" w:cs="宋体"/>
          <w:b/>
          <w:color w:val="auto"/>
          <w:sz w:val="26"/>
          <w:szCs w:val="26"/>
          <w:highlight w:val="none"/>
        </w:rPr>
      </w:pPr>
    </w:p>
    <w:tbl>
      <w:tblPr>
        <w:tblStyle w:val="24"/>
        <w:tblW w:w="0" w:type="auto"/>
        <w:tblInd w:w="844"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7678"/>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项目编号：TSCG202207022</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采购单位：泰顺县自然资源和规划局</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供应商名称：</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供应商地址：</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法定代表人（签字或盖章）或</w:t>
            </w:r>
            <w:r>
              <w:rPr>
                <w:rFonts w:hint="eastAsia" w:ascii="宋体" w:hAnsi="宋体" w:cs="宋体"/>
                <w:b/>
                <w:color w:val="auto"/>
                <w:sz w:val="26"/>
                <w:szCs w:val="26"/>
                <w:highlight w:val="none"/>
                <w:lang w:val="zh-CN"/>
              </w:rPr>
              <w:t>授权代表（签字）：</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日期：  年 月 日</w:t>
            </w:r>
          </w:p>
        </w:tc>
      </w:tr>
    </w:tbl>
    <w:p>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 xml:space="preserve"> </w:t>
      </w:r>
    </w:p>
    <w:p>
      <w:pPr>
        <w:pStyle w:val="10"/>
        <w:tabs>
          <w:tab w:val="left" w:pos="1069"/>
          <w:tab w:val="left" w:pos="2352"/>
        </w:tabs>
        <w:ind w:left="0" w:right="-257"/>
        <w:rPr>
          <w:color w:val="auto"/>
          <w:highlight w:val="none"/>
        </w:rPr>
      </w:pPr>
    </w:p>
    <w:p>
      <w:pPr>
        <w:tabs>
          <w:tab w:val="left" w:pos="1069"/>
          <w:tab w:val="left" w:pos="2352"/>
        </w:tabs>
        <w:spacing w:line="360" w:lineRule="exact"/>
        <w:jc w:val="left"/>
        <w:rPr>
          <w:rFonts w:ascii="宋体" w:hAnsi="宋体" w:cs="宋体"/>
          <w:b/>
          <w:bCs/>
          <w:color w:val="auto"/>
          <w:sz w:val="30"/>
          <w:highlight w:val="none"/>
        </w:rPr>
      </w:pPr>
    </w:p>
    <w:p>
      <w:pPr>
        <w:tabs>
          <w:tab w:val="left" w:pos="1069"/>
          <w:tab w:val="left" w:pos="2352"/>
        </w:tabs>
        <w:spacing w:line="360" w:lineRule="exact"/>
        <w:jc w:val="left"/>
        <w:rPr>
          <w:rFonts w:ascii="宋体" w:hAnsi="宋体" w:cs="宋体"/>
          <w:b/>
          <w:bCs/>
          <w:color w:val="auto"/>
          <w:sz w:val="30"/>
          <w:highlight w:val="none"/>
        </w:rPr>
      </w:pPr>
    </w:p>
    <w:p>
      <w:pPr>
        <w:tabs>
          <w:tab w:val="left" w:pos="1069"/>
          <w:tab w:val="left" w:pos="2352"/>
        </w:tabs>
        <w:spacing w:line="360" w:lineRule="exact"/>
        <w:jc w:val="left"/>
        <w:rPr>
          <w:rFonts w:ascii="宋体" w:hAnsi="宋体" w:cs="宋体"/>
          <w:b/>
          <w:bCs/>
          <w:color w:val="auto"/>
          <w:sz w:val="30"/>
          <w:highlight w:val="none"/>
        </w:rPr>
      </w:pPr>
    </w:p>
    <w:p>
      <w:pPr>
        <w:tabs>
          <w:tab w:val="left" w:pos="1069"/>
          <w:tab w:val="left" w:pos="2352"/>
        </w:tabs>
        <w:spacing w:line="360" w:lineRule="exact"/>
        <w:jc w:val="left"/>
        <w:rPr>
          <w:rFonts w:ascii="宋体" w:hAnsi="宋体" w:cs="宋体"/>
          <w:b/>
          <w:bCs/>
          <w:color w:val="auto"/>
          <w:sz w:val="30"/>
          <w:highlight w:val="none"/>
        </w:rPr>
      </w:pPr>
    </w:p>
    <w:p>
      <w:pPr>
        <w:tabs>
          <w:tab w:val="left" w:pos="1069"/>
          <w:tab w:val="left" w:pos="2352"/>
        </w:tabs>
        <w:spacing w:line="360" w:lineRule="exact"/>
        <w:jc w:val="left"/>
        <w:rPr>
          <w:rFonts w:ascii="宋体" w:hAnsi="宋体" w:cs="宋体"/>
          <w:b/>
          <w:bCs/>
          <w:color w:val="auto"/>
          <w:sz w:val="30"/>
          <w:highlight w:val="none"/>
        </w:rPr>
      </w:pPr>
    </w:p>
    <w:p>
      <w:pPr>
        <w:tabs>
          <w:tab w:val="left" w:pos="1069"/>
          <w:tab w:val="left" w:pos="2352"/>
        </w:tabs>
        <w:spacing w:line="360" w:lineRule="exact"/>
        <w:jc w:val="left"/>
        <w:rPr>
          <w:rFonts w:ascii="宋体" w:hAnsi="宋体" w:cs="宋体"/>
          <w:b/>
          <w:bCs/>
          <w:color w:val="auto"/>
          <w:sz w:val="30"/>
          <w:highlight w:val="none"/>
        </w:rPr>
      </w:pPr>
      <w:r>
        <w:rPr>
          <w:rFonts w:hint="eastAsia" w:ascii="宋体" w:hAnsi="宋体" w:cs="宋体"/>
          <w:b/>
          <w:bCs/>
          <w:color w:val="auto"/>
          <w:sz w:val="30"/>
          <w:highlight w:val="none"/>
        </w:rPr>
        <w:t>附件六</w:t>
      </w:r>
    </w:p>
    <w:p>
      <w:pPr>
        <w:tabs>
          <w:tab w:val="left" w:pos="1069"/>
          <w:tab w:val="left" w:pos="2352"/>
        </w:tabs>
        <w:autoSpaceDE w:val="0"/>
        <w:autoSpaceDN w:val="0"/>
        <w:adjustRightInd w:val="0"/>
        <w:spacing w:line="360" w:lineRule="exact"/>
        <w:jc w:val="center"/>
        <w:rPr>
          <w:rFonts w:ascii="宋体" w:hAnsi="宋体" w:cs="宋体"/>
          <w:b/>
          <w:bCs/>
          <w:color w:val="auto"/>
          <w:sz w:val="36"/>
          <w:highlight w:val="none"/>
          <w:lang w:val="zh-CN"/>
        </w:rPr>
      </w:pPr>
      <w:bookmarkStart w:id="84" w:name="_Toc30988_WPSOffice_Level3"/>
      <w:r>
        <w:rPr>
          <w:rFonts w:hint="eastAsia" w:ascii="宋体" w:hAnsi="宋体" w:cs="宋体"/>
          <w:b/>
          <w:bCs/>
          <w:color w:val="auto"/>
          <w:sz w:val="36"/>
          <w:highlight w:val="none"/>
        </w:rPr>
        <w:t>报价</w:t>
      </w:r>
      <w:r>
        <w:rPr>
          <w:rFonts w:hint="eastAsia" w:ascii="宋体" w:hAnsi="宋体" w:cs="宋体"/>
          <w:b/>
          <w:bCs/>
          <w:color w:val="auto"/>
          <w:sz w:val="36"/>
          <w:highlight w:val="none"/>
          <w:lang w:val="zh-CN"/>
        </w:rPr>
        <w:t>函</w:t>
      </w:r>
      <w:bookmarkEnd w:id="84"/>
    </w:p>
    <w:p>
      <w:pPr>
        <w:tabs>
          <w:tab w:val="left" w:pos="1069"/>
          <w:tab w:val="left" w:pos="2352"/>
        </w:tabs>
        <w:autoSpaceDE w:val="0"/>
        <w:autoSpaceDN w:val="0"/>
        <w:adjustRightInd w:val="0"/>
        <w:spacing w:line="360" w:lineRule="exact"/>
        <w:rPr>
          <w:rFonts w:ascii="宋体" w:hAnsi="宋体" w:cs="宋体"/>
          <w:color w:val="auto"/>
          <w:sz w:val="36"/>
          <w:highlight w:val="none"/>
          <w:lang w:val="zh-CN"/>
        </w:rPr>
      </w:pPr>
    </w:p>
    <w:p>
      <w:pPr>
        <w:pStyle w:val="11"/>
        <w:tabs>
          <w:tab w:val="left" w:pos="1069"/>
          <w:tab w:val="left" w:pos="2352"/>
        </w:tabs>
        <w:rPr>
          <w:rFonts w:hAnsi="宋体" w:cs="宋体"/>
          <w:color w:val="auto"/>
          <w:sz w:val="22"/>
          <w:highlight w:val="none"/>
          <w:u w:val="single"/>
        </w:rPr>
      </w:pPr>
      <w:r>
        <w:rPr>
          <w:rFonts w:hint="eastAsia" w:hAnsi="宋体" w:cs="宋体"/>
          <w:color w:val="auto"/>
          <w:sz w:val="22"/>
          <w:highlight w:val="none"/>
          <w:u w:val="single"/>
        </w:rPr>
        <w:t>泰顺县自然资源和规划局：</w:t>
      </w:r>
    </w:p>
    <w:p>
      <w:pPr>
        <w:tabs>
          <w:tab w:val="left" w:pos="1069"/>
          <w:tab w:val="left" w:pos="2352"/>
        </w:tabs>
        <w:autoSpaceDE w:val="0"/>
        <w:autoSpaceDN w:val="0"/>
        <w:adjustRightInd w:val="0"/>
        <w:spacing w:line="400" w:lineRule="exact"/>
        <w:ind w:firstLine="446" w:firstLineChars="200"/>
        <w:rPr>
          <w:rFonts w:ascii="宋体" w:hAnsi="宋体" w:cs="宋体"/>
          <w:color w:val="auto"/>
          <w:sz w:val="22"/>
          <w:highlight w:val="none"/>
          <w:lang w:val="zh-CN"/>
        </w:rPr>
      </w:pPr>
      <w:r>
        <w:rPr>
          <w:rFonts w:hint="eastAsia" w:ascii="宋体" w:hAnsi="宋体" w:cs="宋体"/>
          <w:color w:val="auto"/>
          <w:sz w:val="22"/>
          <w:highlight w:val="none"/>
          <w:u w:val="single"/>
          <w:lang w:val="zh-CN"/>
        </w:rPr>
        <w:t>（供应商全称）授权（授权代表名称）（职务、职称）</w:t>
      </w:r>
      <w:r>
        <w:rPr>
          <w:rFonts w:hint="eastAsia" w:ascii="宋体" w:hAnsi="宋体" w:cs="宋体"/>
          <w:color w:val="auto"/>
          <w:sz w:val="22"/>
          <w:highlight w:val="none"/>
          <w:lang w:val="zh-CN"/>
        </w:rPr>
        <w:t>为授权代表，参加贵方组织的</w:t>
      </w:r>
      <w:r>
        <w:rPr>
          <w:rFonts w:hint="eastAsia" w:ascii="宋体" w:hAnsi="宋体" w:cs="宋体"/>
          <w:color w:val="auto"/>
          <w:sz w:val="22"/>
          <w:highlight w:val="none"/>
          <w:u w:val="single"/>
        </w:rPr>
        <w:t>泰顺县集体土地所有权确权登记成果更新</w:t>
      </w:r>
      <w:r>
        <w:rPr>
          <w:rFonts w:hint="eastAsia" w:ascii="宋体" w:hAnsi="宋体" w:cs="宋体"/>
          <w:color w:val="auto"/>
          <w:sz w:val="22"/>
          <w:highlight w:val="none"/>
          <w:lang w:val="zh-CN"/>
        </w:rPr>
        <w:t>（</w:t>
      </w:r>
      <w:r>
        <w:rPr>
          <w:rFonts w:hint="eastAsia" w:ascii="宋体" w:hAnsi="宋体" w:cs="宋体"/>
          <w:color w:val="auto"/>
          <w:sz w:val="22"/>
          <w:highlight w:val="none"/>
        </w:rPr>
        <w:t>采购</w:t>
      </w:r>
      <w:r>
        <w:rPr>
          <w:rFonts w:hint="eastAsia" w:ascii="宋体" w:hAnsi="宋体" w:cs="宋体"/>
          <w:color w:val="auto"/>
          <w:sz w:val="22"/>
          <w:highlight w:val="none"/>
          <w:lang w:val="zh-CN"/>
        </w:rPr>
        <w:t>编号：</w:t>
      </w:r>
      <w:r>
        <w:rPr>
          <w:rFonts w:hint="eastAsia" w:ascii="宋体" w:hAnsi="宋体" w:cs="宋体"/>
          <w:color w:val="auto"/>
          <w:sz w:val="22"/>
          <w:highlight w:val="none"/>
          <w:u w:val="single"/>
        </w:rPr>
        <w:t>TSCG202207022）</w:t>
      </w:r>
      <w:r>
        <w:rPr>
          <w:rFonts w:hint="eastAsia" w:ascii="宋体" w:hAnsi="宋体" w:cs="宋体"/>
          <w:color w:val="auto"/>
          <w:sz w:val="22"/>
          <w:highlight w:val="none"/>
          <w:lang w:val="zh-CN"/>
        </w:rPr>
        <w:t>招标的有关活动，并对</w:t>
      </w:r>
      <w:r>
        <w:rPr>
          <w:rFonts w:hint="eastAsia" w:ascii="宋体" w:hAnsi="宋体" w:cs="宋体"/>
          <w:color w:val="auto"/>
          <w:sz w:val="22"/>
          <w:highlight w:val="none"/>
          <w:u w:val="single"/>
        </w:rPr>
        <w:t>泰顺县集体土地所有权确权登记成果更新</w:t>
      </w:r>
      <w:r>
        <w:rPr>
          <w:rFonts w:hint="eastAsia" w:ascii="宋体" w:hAnsi="宋体" w:cs="宋体"/>
          <w:color w:val="auto"/>
          <w:sz w:val="22"/>
          <w:highlight w:val="none"/>
          <w:lang w:val="zh-CN"/>
        </w:rPr>
        <w:t>进行投标。为此：</w:t>
      </w:r>
    </w:p>
    <w:p>
      <w:pPr>
        <w:tabs>
          <w:tab w:val="left" w:pos="1069"/>
          <w:tab w:val="left" w:pos="2352"/>
        </w:tabs>
        <w:autoSpaceDE w:val="0"/>
        <w:autoSpaceDN w:val="0"/>
        <w:adjustRightInd w:val="0"/>
        <w:spacing w:line="400" w:lineRule="exac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1、提供供应商须知规定的全部投标（响应）文件：</w:t>
      </w:r>
    </w:p>
    <w:p>
      <w:pPr>
        <w:tabs>
          <w:tab w:val="left" w:pos="1069"/>
          <w:tab w:val="left" w:pos="2352"/>
        </w:tabs>
        <w:autoSpaceDE w:val="0"/>
        <w:autoSpaceDN w:val="0"/>
        <w:adjustRightInd w:val="0"/>
        <w:spacing w:line="400" w:lineRule="exac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“电子加密投标文件”：在线上传递交。</w:t>
      </w:r>
    </w:p>
    <w:p>
      <w:pPr>
        <w:tabs>
          <w:tab w:val="left" w:pos="1069"/>
          <w:tab w:val="left" w:pos="2352"/>
        </w:tabs>
        <w:autoSpaceDE w:val="0"/>
        <w:autoSpaceDN w:val="0"/>
        <w:adjustRightInd w:val="0"/>
        <w:spacing w:line="400" w:lineRule="exac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2、保证遵守竞争性磋商文件中的有关规定和收费标准。</w:t>
      </w:r>
    </w:p>
    <w:p>
      <w:pPr>
        <w:tabs>
          <w:tab w:val="left" w:pos="1069"/>
          <w:tab w:val="left" w:pos="2352"/>
        </w:tabs>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3、保证忠实地执行采购人、中标（成交）供应商双方所签的合同，并承担合同规定的责任义务。</w:t>
      </w:r>
    </w:p>
    <w:p>
      <w:pPr>
        <w:pStyle w:val="11"/>
        <w:tabs>
          <w:tab w:val="left" w:pos="1069"/>
          <w:tab w:val="left" w:pos="2352"/>
        </w:tabs>
        <w:snapToGrid w:val="0"/>
        <w:spacing w:line="410" w:lineRule="atLeast"/>
        <w:ind w:firstLine="446" w:firstLineChars="200"/>
        <w:rPr>
          <w:rFonts w:hAnsi="宋体" w:cs="宋体"/>
          <w:color w:val="auto"/>
          <w:sz w:val="22"/>
          <w:highlight w:val="none"/>
        </w:rPr>
      </w:pPr>
      <w:r>
        <w:rPr>
          <w:rFonts w:hint="eastAsia" w:hAnsi="宋体" w:cs="宋体"/>
          <w:color w:val="auto"/>
          <w:sz w:val="22"/>
          <w:highlight w:val="none"/>
          <w:lang w:val="zh-CN"/>
        </w:rPr>
        <w:t>4、我方对完工期承诺如下：</w:t>
      </w:r>
      <w:r>
        <w:rPr>
          <w:rFonts w:hint="eastAsia" w:hAnsi="宋体" w:cs="宋体"/>
          <w:color w:val="auto"/>
          <w:sz w:val="22"/>
          <w:highlight w:val="none"/>
        </w:rPr>
        <w:t>按竞争性磋商文件规定期限交货并通过采购人验收，逾期采购人有权拒绝供货。</w:t>
      </w:r>
    </w:p>
    <w:p>
      <w:pPr>
        <w:tabs>
          <w:tab w:val="left" w:pos="1069"/>
          <w:tab w:val="left" w:pos="2352"/>
        </w:tabs>
        <w:autoSpaceDE w:val="0"/>
        <w:autoSpaceDN w:val="0"/>
        <w:adjustRightInd w:val="0"/>
        <w:spacing w:line="440" w:lineRule="atLeast"/>
        <w:ind w:firstLine="450"/>
        <w:rPr>
          <w:rFonts w:ascii="宋体" w:hAnsi="宋体" w:cs="宋体"/>
          <w:color w:val="auto"/>
          <w:sz w:val="22"/>
          <w:highlight w:val="none"/>
          <w:lang w:val="zh-CN"/>
        </w:rPr>
      </w:pPr>
      <w:r>
        <w:rPr>
          <w:rFonts w:hint="eastAsia" w:ascii="宋体" w:hAnsi="宋体" w:cs="宋体"/>
          <w:color w:val="auto"/>
          <w:sz w:val="22"/>
          <w:highlight w:val="none"/>
          <w:lang w:val="zh-CN"/>
        </w:rPr>
        <w:t>5、供应商已详细审查全部竞争性磋商文件，包括竞争性磋商文件补充文件（如果有的话）。我方完全理解并同意放弃对这方面有不明及误解的权力。如果竞争性磋商文件有相互矛盾之处，我方同意按采购人的理解处理。</w:t>
      </w:r>
    </w:p>
    <w:p>
      <w:pPr>
        <w:tabs>
          <w:tab w:val="left" w:pos="1069"/>
          <w:tab w:val="left" w:pos="2352"/>
        </w:tabs>
        <w:spacing w:line="340" w:lineRule="exact"/>
        <w:ind w:firstLine="448" w:firstLineChars="201"/>
        <w:rPr>
          <w:rFonts w:ascii="宋体" w:hAnsi="宋体" w:cs="宋体"/>
          <w:color w:val="auto"/>
          <w:sz w:val="22"/>
          <w:highlight w:val="none"/>
        </w:rPr>
      </w:pPr>
      <w:r>
        <w:rPr>
          <w:rFonts w:hint="eastAsia" w:ascii="宋体" w:hAnsi="宋体" w:cs="宋体"/>
          <w:color w:val="auto"/>
          <w:sz w:val="22"/>
          <w:highlight w:val="none"/>
        </w:rPr>
        <w:t>6、利益冲突：近三年内直至目前，我公司与本项目的采购人、招标代理机构没有任何的隶属关系。</w:t>
      </w:r>
    </w:p>
    <w:p>
      <w:pPr>
        <w:tabs>
          <w:tab w:val="left" w:pos="1069"/>
          <w:tab w:val="left" w:pos="2352"/>
        </w:tabs>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rPr>
        <w:t>7、我公司没有被各级、各地财政监管部门限制参加政府采购活动，且在限制期内。</w:t>
      </w:r>
    </w:p>
    <w:p>
      <w:pPr>
        <w:tabs>
          <w:tab w:val="left" w:pos="1069"/>
          <w:tab w:val="left" w:pos="2352"/>
        </w:tabs>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8、愿意向贵方提供任何与该项投标有关的数据、情况和技术资料，完全理解贵方不一定接受最低价的投标或收到的任何投标。</w:t>
      </w:r>
    </w:p>
    <w:p>
      <w:pPr>
        <w:tabs>
          <w:tab w:val="left" w:pos="1069"/>
          <w:tab w:val="left" w:pos="2352"/>
        </w:tabs>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9、本投标自开标之日起90天内有效。</w:t>
      </w:r>
    </w:p>
    <w:p>
      <w:pPr>
        <w:tabs>
          <w:tab w:val="left" w:pos="1069"/>
          <w:tab w:val="left" w:pos="2352"/>
        </w:tabs>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10、与本投标有关的一切往来通讯请寄：</w:t>
      </w:r>
    </w:p>
    <w:p>
      <w:pPr>
        <w:tabs>
          <w:tab w:val="left" w:pos="1069"/>
          <w:tab w:val="left" w:pos="2352"/>
        </w:tabs>
        <w:autoSpaceDE w:val="0"/>
        <w:autoSpaceDN w:val="0"/>
        <w:adjustRightInd w:val="0"/>
        <w:spacing w:line="440" w:lineRule="atLeast"/>
        <w:ind w:firstLine="448" w:firstLineChars="201"/>
        <w:rPr>
          <w:rFonts w:ascii="宋体" w:hAnsi="宋体" w:cs="宋体"/>
          <w:color w:val="auto"/>
          <w:sz w:val="22"/>
          <w:highlight w:val="none"/>
          <w:u w:val="single"/>
        </w:rPr>
      </w:pPr>
      <w:r>
        <w:rPr>
          <w:rFonts w:hint="eastAsia" w:ascii="宋体" w:hAnsi="宋体" w:cs="宋体"/>
          <w:color w:val="auto"/>
          <w:sz w:val="22"/>
          <w:highlight w:val="none"/>
          <w:lang w:val="zh-CN"/>
        </w:rPr>
        <w:t>地址：</w:t>
      </w:r>
      <w:r>
        <w:rPr>
          <w:rFonts w:hint="eastAsia" w:ascii="宋体" w:hAnsi="宋体" w:cs="宋体"/>
          <w:color w:val="auto"/>
          <w:sz w:val="22"/>
          <w:highlight w:val="none"/>
          <w:u w:val="single"/>
        </w:rPr>
        <w:t xml:space="preserve">                     </w:t>
      </w:r>
      <w:r>
        <w:rPr>
          <w:rFonts w:hint="eastAsia" w:ascii="宋体" w:hAnsi="宋体" w:cs="宋体"/>
          <w:color w:val="auto"/>
          <w:sz w:val="22"/>
          <w:highlight w:val="none"/>
          <w:lang w:val="zh-CN"/>
        </w:rPr>
        <w:t>邮编：</w:t>
      </w:r>
      <w:r>
        <w:rPr>
          <w:rFonts w:hint="eastAsia" w:ascii="宋体" w:hAnsi="宋体" w:cs="宋体"/>
          <w:color w:val="auto"/>
          <w:sz w:val="22"/>
          <w:highlight w:val="none"/>
          <w:u w:val="single"/>
        </w:rPr>
        <w:t xml:space="preserve">                     </w:t>
      </w:r>
    </w:p>
    <w:p>
      <w:pPr>
        <w:tabs>
          <w:tab w:val="left" w:pos="1069"/>
          <w:tab w:val="left" w:pos="2352"/>
        </w:tabs>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电话：</w:t>
      </w:r>
      <w:r>
        <w:rPr>
          <w:rFonts w:hint="eastAsia" w:ascii="宋体" w:hAnsi="宋体" w:cs="宋体"/>
          <w:color w:val="auto"/>
          <w:sz w:val="22"/>
          <w:highlight w:val="none"/>
          <w:u w:val="single"/>
        </w:rPr>
        <w:t xml:space="preserve">                     </w:t>
      </w:r>
      <w:r>
        <w:rPr>
          <w:rFonts w:hint="eastAsia" w:ascii="宋体" w:hAnsi="宋体" w:cs="宋体"/>
          <w:color w:val="auto"/>
          <w:sz w:val="22"/>
          <w:highlight w:val="none"/>
          <w:lang w:val="zh-CN"/>
        </w:rPr>
        <w:t>传真：</w:t>
      </w:r>
      <w:r>
        <w:rPr>
          <w:rFonts w:hint="eastAsia" w:ascii="宋体" w:hAnsi="宋体" w:cs="宋体"/>
          <w:color w:val="auto"/>
          <w:sz w:val="22"/>
          <w:highlight w:val="none"/>
          <w:u w:val="single"/>
        </w:rPr>
        <w:t xml:space="preserve">                     </w:t>
      </w:r>
    </w:p>
    <w:p>
      <w:pPr>
        <w:pStyle w:val="11"/>
        <w:tabs>
          <w:tab w:val="left" w:pos="1069"/>
          <w:tab w:val="left" w:pos="2352"/>
        </w:tabs>
        <w:spacing w:line="440" w:lineRule="atLeast"/>
        <w:rPr>
          <w:rFonts w:hAnsi="宋体" w:cs="宋体"/>
          <w:b/>
          <w:color w:val="auto"/>
          <w:sz w:val="22"/>
          <w:highlight w:val="none"/>
        </w:rPr>
      </w:pPr>
      <w:r>
        <w:rPr>
          <w:rFonts w:hint="eastAsia" w:hAnsi="宋体" w:cs="宋体"/>
          <w:color w:val="auto"/>
          <w:sz w:val="22"/>
          <w:highlight w:val="none"/>
        </w:rPr>
        <w:t>供应商全称：（盖章）</w:t>
      </w:r>
    </w:p>
    <w:p>
      <w:pPr>
        <w:pStyle w:val="11"/>
        <w:tabs>
          <w:tab w:val="left" w:pos="1069"/>
          <w:tab w:val="left" w:pos="2352"/>
        </w:tabs>
        <w:spacing w:line="440" w:lineRule="atLeast"/>
        <w:rPr>
          <w:rFonts w:hAnsi="宋体" w:cs="宋体"/>
          <w:b/>
          <w:color w:val="auto"/>
          <w:sz w:val="22"/>
          <w:highlight w:val="none"/>
          <w:lang w:val="zh-CN"/>
        </w:rPr>
      </w:pPr>
      <w:r>
        <w:rPr>
          <w:rFonts w:hint="eastAsia" w:hAnsi="宋体" w:cs="宋体"/>
          <w:color w:val="auto"/>
          <w:sz w:val="22"/>
          <w:highlight w:val="none"/>
        </w:rPr>
        <w:t>法定代表人（签字或盖章）或</w:t>
      </w:r>
      <w:r>
        <w:rPr>
          <w:rFonts w:hint="eastAsia" w:hAnsi="宋体" w:cs="宋体"/>
          <w:color w:val="auto"/>
          <w:sz w:val="22"/>
          <w:highlight w:val="none"/>
          <w:lang w:val="zh-CN"/>
        </w:rPr>
        <w:t>授权代表（签字）：</w:t>
      </w:r>
    </w:p>
    <w:p>
      <w:pPr>
        <w:pStyle w:val="11"/>
        <w:tabs>
          <w:tab w:val="left" w:pos="1069"/>
          <w:tab w:val="left" w:pos="2352"/>
        </w:tabs>
        <w:spacing w:line="440" w:lineRule="atLeast"/>
        <w:rPr>
          <w:rFonts w:hAnsi="宋体" w:cs="宋体"/>
          <w:b/>
          <w:color w:val="auto"/>
          <w:sz w:val="22"/>
          <w:highlight w:val="none"/>
          <w:lang w:val="zh-CN"/>
        </w:rPr>
      </w:pPr>
      <w:r>
        <w:rPr>
          <w:rFonts w:hint="eastAsia" w:hAnsi="宋体" w:cs="宋体"/>
          <w:color w:val="auto"/>
          <w:sz w:val="22"/>
          <w:highlight w:val="none"/>
        </w:rPr>
        <w:t>日期：</w:t>
      </w:r>
    </w:p>
    <w:p>
      <w:pPr>
        <w:tabs>
          <w:tab w:val="left" w:pos="1069"/>
          <w:tab w:val="left" w:pos="2352"/>
        </w:tabs>
        <w:spacing w:line="360" w:lineRule="exact"/>
        <w:jc w:val="left"/>
        <w:rPr>
          <w:rFonts w:ascii="宋体" w:hAnsi="宋体" w:cs="宋体"/>
          <w:color w:val="auto"/>
          <w:sz w:val="22"/>
          <w:highlight w:val="none"/>
        </w:rPr>
      </w:pPr>
    </w:p>
    <w:p>
      <w:pPr>
        <w:tabs>
          <w:tab w:val="left" w:pos="1069"/>
          <w:tab w:val="left" w:pos="2352"/>
        </w:tabs>
        <w:spacing w:line="360" w:lineRule="exact"/>
        <w:jc w:val="left"/>
        <w:rPr>
          <w:rFonts w:ascii="宋体" w:hAnsi="宋体" w:cs="宋体"/>
          <w:color w:val="auto"/>
          <w:sz w:val="22"/>
          <w:highlight w:val="none"/>
        </w:rPr>
      </w:pPr>
    </w:p>
    <w:p>
      <w:pPr>
        <w:tabs>
          <w:tab w:val="left" w:pos="1069"/>
          <w:tab w:val="left" w:pos="2352"/>
        </w:tabs>
        <w:spacing w:line="360" w:lineRule="exact"/>
        <w:jc w:val="left"/>
        <w:rPr>
          <w:rFonts w:ascii="宋体" w:hAnsi="宋体" w:cs="宋体"/>
          <w:b/>
          <w:bCs/>
          <w:color w:val="auto"/>
          <w:sz w:val="30"/>
          <w:highlight w:val="none"/>
        </w:rPr>
      </w:pPr>
    </w:p>
    <w:p>
      <w:pPr>
        <w:tabs>
          <w:tab w:val="left" w:pos="1069"/>
          <w:tab w:val="left" w:pos="2352"/>
        </w:tabs>
        <w:spacing w:line="360" w:lineRule="exact"/>
        <w:jc w:val="left"/>
        <w:rPr>
          <w:rFonts w:ascii="宋体" w:hAnsi="宋体" w:cs="宋体"/>
          <w:b/>
          <w:bCs/>
          <w:color w:val="auto"/>
          <w:sz w:val="30"/>
          <w:highlight w:val="none"/>
        </w:rPr>
      </w:pPr>
    </w:p>
    <w:p>
      <w:pPr>
        <w:pStyle w:val="7"/>
        <w:tabs>
          <w:tab w:val="left" w:pos="1069"/>
          <w:tab w:val="left" w:pos="2352"/>
        </w:tabs>
        <w:rPr>
          <w:color w:val="auto"/>
          <w:highlight w:val="none"/>
        </w:rPr>
      </w:pPr>
    </w:p>
    <w:p>
      <w:pPr>
        <w:tabs>
          <w:tab w:val="left" w:pos="1069"/>
          <w:tab w:val="left" w:pos="2352"/>
        </w:tabs>
        <w:spacing w:line="360" w:lineRule="exact"/>
        <w:jc w:val="left"/>
        <w:rPr>
          <w:rFonts w:ascii="宋体" w:hAnsi="宋体" w:cs="宋体"/>
          <w:color w:val="auto"/>
          <w:sz w:val="22"/>
          <w:highlight w:val="none"/>
        </w:rPr>
      </w:pPr>
      <w:r>
        <w:rPr>
          <w:rFonts w:hint="eastAsia" w:ascii="宋体" w:hAnsi="宋体" w:cs="宋体"/>
          <w:b/>
          <w:bCs/>
          <w:color w:val="auto"/>
          <w:sz w:val="30"/>
          <w:highlight w:val="none"/>
        </w:rPr>
        <w:t>附件七</w:t>
      </w:r>
    </w:p>
    <w:p>
      <w:pPr>
        <w:tabs>
          <w:tab w:val="left" w:pos="1069"/>
          <w:tab w:val="left" w:pos="2352"/>
        </w:tabs>
        <w:spacing w:line="360" w:lineRule="exact"/>
        <w:jc w:val="center"/>
        <w:rPr>
          <w:rFonts w:ascii="宋体" w:hAnsi="宋体" w:cs="宋体"/>
          <w:b/>
          <w:bCs/>
          <w:color w:val="auto"/>
          <w:sz w:val="30"/>
          <w:highlight w:val="none"/>
          <w:lang w:val="zh-CN"/>
        </w:rPr>
      </w:pPr>
      <w:bookmarkStart w:id="85" w:name="_Toc15399_WPSOffice_Level3"/>
      <w:r>
        <w:rPr>
          <w:rFonts w:hint="eastAsia" w:ascii="宋体" w:hAnsi="宋体" w:cs="宋体"/>
          <w:b/>
          <w:bCs/>
          <w:color w:val="auto"/>
          <w:sz w:val="30"/>
          <w:highlight w:val="none"/>
          <w:lang w:val="zh-CN"/>
        </w:rPr>
        <w:t>供应商参与政府采购活动投标资格声明函</w:t>
      </w:r>
      <w:bookmarkEnd w:id="85"/>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pPr>
              <w:pStyle w:val="11"/>
              <w:tabs>
                <w:tab w:val="left" w:pos="1069"/>
                <w:tab w:val="left" w:pos="2352"/>
              </w:tabs>
              <w:adjustRightInd w:val="0"/>
              <w:snapToGrid w:val="0"/>
              <w:spacing w:line="400" w:lineRule="exact"/>
              <w:rPr>
                <w:rFonts w:hAnsi="宋体" w:cs="宋体"/>
                <w:color w:val="auto"/>
                <w:kern w:val="2"/>
                <w:sz w:val="22"/>
                <w:szCs w:val="22"/>
                <w:highlight w:val="none"/>
              </w:rPr>
            </w:pPr>
            <w:r>
              <w:rPr>
                <w:rFonts w:hint="eastAsia" w:hAnsi="宋体" w:cs="宋体"/>
                <w:color w:val="auto"/>
                <w:kern w:val="2"/>
                <w:sz w:val="22"/>
                <w:szCs w:val="22"/>
                <w:highlight w:val="none"/>
              </w:rPr>
              <w:t>项目名称</w:t>
            </w:r>
          </w:p>
        </w:tc>
        <w:tc>
          <w:tcPr>
            <w:tcW w:w="7992" w:type="dxa"/>
          </w:tcPr>
          <w:p>
            <w:pPr>
              <w:pStyle w:val="11"/>
              <w:tabs>
                <w:tab w:val="left" w:pos="1069"/>
                <w:tab w:val="left" w:pos="2352"/>
              </w:tabs>
              <w:adjustRightInd w:val="0"/>
              <w:snapToGrid w:val="0"/>
              <w:spacing w:line="400" w:lineRule="exact"/>
              <w:jc w:val="center"/>
              <w:rPr>
                <w:rFonts w:hAnsi="宋体" w:cs="宋体"/>
                <w:color w:val="auto"/>
                <w:kern w:val="2"/>
                <w:sz w:val="22"/>
                <w:szCs w:val="22"/>
                <w:highlight w:val="none"/>
              </w:rPr>
            </w:pPr>
            <w:r>
              <w:rPr>
                <w:rFonts w:hint="eastAsia" w:hAnsi="宋体" w:cs="宋体"/>
                <w:color w:val="auto"/>
                <w:kern w:val="2"/>
                <w:sz w:val="22"/>
                <w:szCs w:val="22"/>
                <w:highlight w:val="none"/>
              </w:rPr>
              <w:t>泰顺县集体土地所有权确权登记成果更新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pPr>
              <w:pStyle w:val="11"/>
              <w:tabs>
                <w:tab w:val="left" w:pos="1069"/>
                <w:tab w:val="left" w:pos="2352"/>
              </w:tabs>
              <w:adjustRightInd w:val="0"/>
              <w:snapToGrid w:val="0"/>
              <w:spacing w:line="400" w:lineRule="exact"/>
              <w:rPr>
                <w:rFonts w:hAnsi="宋体" w:cs="宋体"/>
                <w:color w:val="auto"/>
                <w:kern w:val="2"/>
                <w:sz w:val="22"/>
                <w:szCs w:val="22"/>
                <w:highlight w:val="none"/>
              </w:rPr>
            </w:pPr>
            <w:r>
              <w:rPr>
                <w:rFonts w:hint="eastAsia" w:hAnsi="宋体" w:cs="宋体"/>
                <w:color w:val="auto"/>
                <w:kern w:val="2"/>
                <w:sz w:val="22"/>
                <w:szCs w:val="22"/>
                <w:highlight w:val="none"/>
              </w:rPr>
              <w:t>项目采购编号</w:t>
            </w:r>
          </w:p>
        </w:tc>
        <w:tc>
          <w:tcPr>
            <w:tcW w:w="7992" w:type="dxa"/>
          </w:tcPr>
          <w:p>
            <w:pPr>
              <w:pStyle w:val="11"/>
              <w:tabs>
                <w:tab w:val="left" w:pos="1069"/>
                <w:tab w:val="left" w:pos="2352"/>
              </w:tabs>
              <w:adjustRightInd w:val="0"/>
              <w:snapToGrid w:val="0"/>
              <w:spacing w:line="400" w:lineRule="exact"/>
              <w:jc w:val="center"/>
              <w:rPr>
                <w:rFonts w:hAnsi="宋体" w:cs="宋体"/>
                <w:color w:val="auto"/>
                <w:kern w:val="2"/>
                <w:sz w:val="22"/>
                <w:szCs w:val="22"/>
                <w:highlight w:val="none"/>
              </w:rPr>
            </w:pPr>
            <w:r>
              <w:rPr>
                <w:rFonts w:hint="eastAsia" w:hAnsi="宋体" w:cs="宋体"/>
                <w:color w:val="auto"/>
                <w:kern w:val="2"/>
                <w:sz w:val="22"/>
                <w:szCs w:val="22"/>
                <w:highlight w:val="none"/>
              </w:rPr>
              <w:t>TSCG202207022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pPr>
              <w:pStyle w:val="11"/>
              <w:tabs>
                <w:tab w:val="left" w:pos="1069"/>
                <w:tab w:val="left" w:pos="2352"/>
              </w:tabs>
              <w:adjustRightInd w:val="0"/>
              <w:snapToGrid w:val="0"/>
              <w:spacing w:line="400" w:lineRule="exact"/>
              <w:rPr>
                <w:rFonts w:hAnsi="宋体" w:cs="宋体"/>
                <w:color w:val="auto"/>
                <w:kern w:val="2"/>
                <w:sz w:val="22"/>
                <w:szCs w:val="22"/>
                <w:highlight w:val="none"/>
              </w:rPr>
            </w:pPr>
            <w:r>
              <w:rPr>
                <w:rFonts w:hint="eastAsia" w:hAnsi="宋体" w:cs="宋体"/>
                <w:color w:val="auto"/>
                <w:kern w:val="2"/>
                <w:sz w:val="22"/>
                <w:szCs w:val="22"/>
                <w:highlight w:val="none"/>
              </w:rPr>
              <w:t>时间</w:t>
            </w:r>
          </w:p>
        </w:tc>
        <w:tc>
          <w:tcPr>
            <w:tcW w:w="7992" w:type="dxa"/>
          </w:tcPr>
          <w:p>
            <w:pPr>
              <w:pStyle w:val="11"/>
              <w:tabs>
                <w:tab w:val="left" w:pos="1069"/>
                <w:tab w:val="left" w:pos="2352"/>
              </w:tabs>
              <w:adjustRightInd w:val="0"/>
              <w:snapToGrid w:val="0"/>
              <w:spacing w:line="400" w:lineRule="exact"/>
              <w:jc w:val="center"/>
              <w:rPr>
                <w:rFonts w:hAnsi="宋体" w:cs="宋体"/>
                <w:color w:val="auto"/>
                <w:kern w:val="2"/>
                <w:sz w:val="22"/>
                <w:szCs w:val="22"/>
                <w:highlight w:val="none"/>
              </w:rPr>
            </w:pPr>
            <w:r>
              <w:rPr>
                <w:rFonts w:hint="eastAsia" w:hAnsi="宋体" w:cs="宋体"/>
                <w:color w:val="auto"/>
                <w:kern w:val="2"/>
                <w:sz w:val="22"/>
                <w:szCs w:val="22"/>
                <w:highlight w:val="none"/>
              </w:rPr>
              <w:t>本项目投标截止时间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612" w:type="dxa"/>
            <w:gridSpan w:val="2"/>
          </w:tcPr>
          <w:p>
            <w:pPr>
              <w:pStyle w:val="11"/>
              <w:tabs>
                <w:tab w:val="left" w:pos="1069"/>
                <w:tab w:val="left" w:pos="2352"/>
              </w:tabs>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1、根据政府采购法第二十二条规定，我单位满足以下条件，并已经在技术资信部分投标（响应）文件中提供了相应的证明材料：</w:t>
            </w:r>
          </w:p>
          <w:p>
            <w:pPr>
              <w:pStyle w:val="11"/>
              <w:tabs>
                <w:tab w:val="left" w:pos="1069"/>
                <w:tab w:val="left" w:pos="2352"/>
              </w:tabs>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一）具有独立承担民事责任的能力；（二）具有良好的商业信誉和健全的财务会计制度；（三）具有履行合同所必需的设备和专业技术能力；（四）有依法缴纳税收和社会保障资金的良好记录；（五）参加政府采购活动前三年内，在经营活动中没有重大违法记录；（六）法律、行政法规规定的其他条件。</w:t>
            </w:r>
          </w:p>
          <w:p>
            <w:pPr>
              <w:pStyle w:val="11"/>
              <w:tabs>
                <w:tab w:val="left" w:pos="1069"/>
                <w:tab w:val="left" w:pos="2352"/>
              </w:tabs>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不存在上述文件规定依法限制参与政府采购的情况，并提供“信用中国”、“中国政府采购网”查询网页截图（公告发布之日至投标截止时间）。</w:t>
            </w:r>
          </w:p>
          <w:p>
            <w:pPr>
              <w:pStyle w:val="11"/>
              <w:tabs>
                <w:tab w:val="left" w:pos="1069"/>
                <w:tab w:val="left" w:pos="2352"/>
              </w:tabs>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3、我单位没有被各地、各级财政部门限制参加政府采购活动，且在限制期内：</w:t>
            </w:r>
          </w:p>
          <w:p>
            <w:pPr>
              <w:tabs>
                <w:tab w:val="left" w:pos="1069"/>
                <w:tab w:val="left" w:pos="2352"/>
                <w:tab w:val="center" w:pos="4483"/>
              </w:tabs>
              <w:adjustRightInd w:val="0"/>
              <w:spacing w:line="360" w:lineRule="auto"/>
              <w:ind w:firstLine="400"/>
              <w:rPr>
                <w:rFonts w:ascii="宋体" w:hAnsi="宋体" w:cs="宋体"/>
                <w:color w:val="auto"/>
                <w:szCs w:val="21"/>
                <w:highlight w:val="none"/>
                <w:u w:val="single"/>
              </w:rPr>
            </w:pPr>
            <w:r>
              <w:rPr>
                <w:rFonts w:hint="eastAsia" w:ascii="宋体" w:hAnsi="宋体" w:cs="宋体"/>
                <w:color w:val="auto"/>
                <w:szCs w:val="21"/>
                <w:highlight w:val="none"/>
              </w:rPr>
              <w:t>4、我单位参与本项目政府采购活动3年内其它重大违法记录（重大违法记录，是指供应商因违法经营受到刑事处罚或者责令停产停业、吊销许可证或者执照、较大数额罚款等行政处罚）情况声明：</w:t>
            </w:r>
            <w:r>
              <w:rPr>
                <w:rFonts w:hint="eastAsia" w:ascii="宋体" w:hAnsi="宋体" w:cs="宋体"/>
                <w:color w:val="auto"/>
                <w:szCs w:val="21"/>
                <w:highlight w:val="none"/>
                <w:u w:val="single"/>
              </w:rPr>
              <w:t>（若无则说明无）。</w:t>
            </w:r>
          </w:p>
          <w:p>
            <w:pPr>
              <w:tabs>
                <w:tab w:val="left" w:pos="1069"/>
                <w:tab w:val="left" w:pos="2352"/>
                <w:tab w:val="center" w:pos="4483"/>
              </w:tabs>
              <w:adjustRightInd w:val="0"/>
              <w:spacing w:line="360" w:lineRule="auto"/>
              <w:ind w:firstLine="400"/>
              <w:rPr>
                <w:rFonts w:ascii="宋体" w:hAnsi="宋体" w:cs="宋体"/>
                <w:color w:val="auto"/>
                <w:szCs w:val="21"/>
                <w:highlight w:val="none"/>
              </w:rPr>
            </w:pPr>
            <w:r>
              <w:rPr>
                <w:rFonts w:hint="eastAsia" w:ascii="宋体" w:hAnsi="宋体" w:cs="宋体"/>
                <w:color w:val="auto"/>
                <w:szCs w:val="21"/>
                <w:highlight w:val="none"/>
              </w:rPr>
              <w:t>5、我单位符合本项目特定资格条件：</w:t>
            </w:r>
            <w:r>
              <w:rPr>
                <w:rFonts w:hint="eastAsia" w:ascii="宋体" w:hAnsi="宋体" w:cs="宋体"/>
                <w:color w:val="auto"/>
                <w:szCs w:val="21"/>
                <w:highlight w:val="none"/>
                <w:u w:val="single"/>
              </w:rPr>
              <w:t xml:space="preserve">    要求</w:t>
            </w:r>
            <w:r>
              <w:rPr>
                <w:rFonts w:hint="eastAsia" w:ascii="宋体" w:hAnsi="宋体" w:cs="宋体"/>
                <w:color w:val="auto"/>
                <w:szCs w:val="21"/>
                <w:highlight w:val="none"/>
              </w:rPr>
              <w:t>，并在技术资信部分投标（响应）文件中提供了相应的证明材料</w:t>
            </w:r>
            <w:r>
              <w:rPr>
                <w:rFonts w:hint="eastAsia" w:ascii="宋体" w:hAnsi="宋体" w:cs="宋体"/>
                <w:color w:val="auto"/>
                <w:szCs w:val="21"/>
                <w:highlight w:val="none"/>
                <w:u w:val="single"/>
              </w:rPr>
              <w:t>（竞争性磋商文件没有要求特定资格条件的，本条款空格处可以空白）</w:t>
            </w:r>
          </w:p>
          <w:p>
            <w:pPr>
              <w:tabs>
                <w:tab w:val="left" w:pos="1069"/>
                <w:tab w:val="left" w:pos="2352"/>
                <w:tab w:val="center" w:pos="4483"/>
              </w:tabs>
              <w:adjustRightInd w:val="0"/>
              <w:spacing w:line="360" w:lineRule="auto"/>
              <w:ind w:firstLine="426" w:firstLineChars="200"/>
              <w:rPr>
                <w:rFonts w:ascii="宋体" w:hAnsi="宋体" w:cs="宋体"/>
                <w:color w:val="auto"/>
                <w:sz w:val="20"/>
                <w:highlight w:val="none"/>
              </w:rPr>
            </w:pPr>
            <w:r>
              <w:rPr>
                <w:rFonts w:hint="eastAsia" w:ascii="宋体" w:hAnsi="宋体" w:cs="宋体"/>
                <w:color w:val="auto"/>
                <w:szCs w:val="21"/>
                <w:highlight w:val="none"/>
              </w:rPr>
              <w:t>本公司所提交的本声明和陈述均是真实的、准确的。若与真实情况不符，本公司愿意承担由此而产生的一切后果。我方提供了全部能提供的资料和数据，我们同意遵照贵方要求出示有关证明文件。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2" w:type="dxa"/>
            <w:gridSpan w:val="2"/>
            <w:vAlign w:val="center"/>
          </w:tcPr>
          <w:p>
            <w:pPr>
              <w:pStyle w:val="11"/>
              <w:tabs>
                <w:tab w:val="left" w:pos="1069"/>
                <w:tab w:val="left" w:pos="2352"/>
              </w:tabs>
              <w:adjustRightInd w:val="0"/>
              <w:snapToGrid w:val="0"/>
              <w:spacing w:line="400" w:lineRule="exact"/>
              <w:ind w:left="422" w:firstLine="331"/>
              <w:rPr>
                <w:rFonts w:hAnsi="宋体" w:cs="宋体"/>
                <w:color w:val="auto"/>
                <w:kern w:val="2"/>
                <w:sz w:val="22"/>
                <w:szCs w:val="22"/>
                <w:highlight w:val="none"/>
              </w:rPr>
            </w:pPr>
            <w:r>
              <w:rPr>
                <w:rFonts w:hint="eastAsia" w:hAnsi="宋体" w:cs="宋体"/>
                <w:color w:val="auto"/>
                <w:kern w:val="2"/>
                <w:sz w:val="22"/>
                <w:szCs w:val="22"/>
                <w:highlight w:val="none"/>
              </w:rPr>
              <w:t>供应商名称（加盖盖章）：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612" w:type="dxa"/>
            <w:gridSpan w:val="2"/>
            <w:vAlign w:val="center"/>
          </w:tcPr>
          <w:p>
            <w:pPr>
              <w:pStyle w:val="11"/>
              <w:tabs>
                <w:tab w:val="left" w:pos="1069"/>
                <w:tab w:val="left" w:pos="2352"/>
              </w:tabs>
              <w:adjustRightInd w:val="0"/>
              <w:snapToGrid w:val="0"/>
              <w:spacing w:line="400" w:lineRule="exact"/>
              <w:ind w:left="422" w:firstLine="331"/>
              <w:rPr>
                <w:rFonts w:hAnsi="宋体" w:cs="宋体"/>
                <w:color w:val="auto"/>
                <w:kern w:val="2"/>
                <w:sz w:val="22"/>
                <w:szCs w:val="22"/>
                <w:highlight w:val="none"/>
              </w:rPr>
            </w:pPr>
            <w:r>
              <w:rPr>
                <w:rFonts w:hint="eastAsia" w:hAnsi="宋体" w:cs="宋体"/>
                <w:color w:val="auto"/>
                <w:kern w:val="2"/>
                <w:sz w:val="22"/>
                <w:szCs w:val="22"/>
                <w:highlight w:val="none"/>
              </w:rPr>
              <w:t>法定代表人（签字或盖章）或授权代表（签字）：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9612" w:type="dxa"/>
            <w:gridSpan w:val="2"/>
            <w:vAlign w:val="center"/>
          </w:tcPr>
          <w:p>
            <w:pPr>
              <w:pStyle w:val="11"/>
              <w:tabs>
                <w:tab w:val="left" w:pos="1069"/>
                <w:tab w:val="left" w:pos="2352"/>
              </w:tabs>
              <w:adjustRightInd w:val="0"/>
              <w:snapToGrid w:val="0"/>
              <w:spacing w:line="400" w:lineRule="exact"/>
              <w:ind w:left="422" w:firstLine="331"/>
              <w:rPr>
                <w:rFonts w:hAnsi="宋体" w:cs="宋体"/>
                <w:color w:val="auto"/>
                <w:kern w:val="2"/>
                <w:sz w:val="22"/>
                <w:szCs w:val="22"/>
                <w:highlight w:val="none"/>
              </w:rPr>
            </w:pPr>
            <w:r>
              <w:rPr>
                <w:rFonts w:hint="eastAsia" w:hAnsi="宋体" w:cs="宋体"/>
                <w:color w:val="auto"/>
                <w:kern w:val="2"/>
                <w:sz w:val="22"/>
                <w:szCs w:val="22"/>
                <w:highlight w:val="none"/>
              </w:rPr>
              <w:t>签署日期：</w:t>
            </w:r>
          </w:p>
        </w:tc>
      </w:tr>
    </w:tbl>
    <w:p>
      <w:pPr>
        <w:tabs>
          <w:tab w:val="left" w:pos="1069"/>
          <w:tab w:val="left" w:pos="2352"/>
        </w:tabs>
        <w:spacing w:line="360" w:lineRule="exact"/>
        <w:jc w:val="left"/>
        <w:rPr>
          <w:rFonts w:ascii="宋体" w:hAnsi="宋体" w:cs="宋体"/>
          <w:bCs/>
          <w:color w:val="auto"/>
          <w:sz w:val="22"/>
          <w:highlight w:val="none"/>
          <w:u w:val="single"/>
        </w:rPr>
      </w:pPr>
    </w:p>
    <w:p>
      <w:pPr>
        <w:tabs>
          <w:tab w:val="left" w:pos="1069"/>
          <w:tab w:val="left" w:pos="2352"/>
        </w:tabs>
        <w:spacing w:line="360" w:lineRule="exact"/>
        <w:jc w:val="left"/>
        <w:rPr>
          <w:rFonts w:ascii="宋体" w:hAnsi="宋体" w:cs="宋体"/>
          <w:bCs/>
          <w:color w:val="auto"/>
          <w:sz w:val="22"/>
          <w:highlight w:val="none"/>
          <w:u w:val="single"/>
        </w:rPr>
      </w:pPr>
      <w:r>
        <w:rPr>
          <w:rFonts w:hint="eastAsia" w:ascii="宋体" w:hAnsi="宋体" w:cs="宋体"/>
          <w:bCs/>
          <w:color w:val="auto"/>
          <w:sz w:val="22"/>
          <w:highlight w:val="none"/>
          <w:u w:val="single"/>
        </w:rPr>
        <w:t>备注：▲投标供应商必须按要求提供本声明，不提供按无效投标处理。</w:t>
      </w:r>
    </w:p>
    <w:p>
      <w:pPr>
        <w:tabs>
          <w:tab w:val="left" w:pos="1069"/>
          <w:tab w:val="left" w:pos="2352"/>
        </w:tabs>
        <w:spacing w:line="360" w:lineRule="exact"/>
        <w:jc w:val="left"/>
        <w:rPr>
          <w:rFonts w:ascii="宋体" w:hAnsi="宋体" w:cs="宋体"/>
          <w:b/>
          <w:bCs/>
          <w:color w:val="auto"/>
          <w:sz w:val="32"/>
          <w:szCs w:val="32"/>
          <w:highlight w:val="none"/>
        </w:rPr>
      </w:pPr>
    </w:p>
    <w:p>
      <w:pPr>
        <w:tabs>
          <w:tab w:val="left" w:pos="1069"/>
          <w:tab w:val="left" w:pos="2352"/>
        </w:tabs>
        <w:spacing w:line="360" w:lineRule="exact"/>
        <w:jc w:val="left"/>
        <w:rPr>
          <w:rFonts w:ascii="宋体" w:hAnsi="宋体" w:cs="宋体"/>
          <w:b/>
          <w:bCs/>
          <w:color w:val="auto"/>
          <w:sz w:val="32"/>
          <w:szCs w:val="32"/>
          <w:highlight w:val="none"/>
        </w:rPr>
      </w:pPr>
    </w:p>
    <w:p>
      <w:pPr>
        <w:tabs>
          <w:tab w:val="left" w:pos="1069"/>
          <w:tab w:val="left" w:pos="2352"/>
        </w:tabs>
        <w:spacing w:line="360" w:lineRule="exact"/>
        <w:jc w:val="left"/>
        <w:rPr>
          <w:rFonts w:ascii="宋体" w:hAnsi="宋体" w:cs="宋体"/>
          <w:b/>
          <w:bCs/>
          <w:color w:val="auto"/>
          <w:sz w:val="32"/>
          <w:szCs w:val="32"/>
          <w:highlight w:val="none"/>
        </w:rPr>
      </w:pPr>
      <w:r>
        <w:rPr>
          <w:rFonts w:hint="eastAsia" w:ascii="宋体" w:hAnsi="宋体" w:cs="宋体"/>
          <w:b/>
          <w:bCs/>
          <w:color w:val="auto"/>
          <w:sz w:val="32"/>
          <w:szCs w:val="32"/>
          <w:highlight w:val="none"/>
        </w:rPr>
        <w:t>附件八</w:t>
      </w:r>
    </w:p>
    <w:p>
      <w:pPr>
        <w:tabs>
          <w:tab w:val="left" w:pos="1069"/>
          <w:tab w:val="left" w:pos="2352"/>
        </w:tabs>
        <w:jc w:val="center"/>
        <w:rPr>
          <w:rFonts w:ascii="宋体" w:hAnsi="宋体" w:cs="宋体"/>
          <w:color w:val="auto"/>
          <w:sz w:val="24"/>
          <w:highlight w:val="none"/>
        </w:rPr>
      </w:pPr>
      <w:bookmarkStart w:id="86" w:name="_Toc7010_WPSOffice_Level3"/>
      <w:r>
        <w:rPr>
          <w:rFonts w:hint="eastAsia" w:ascii="宋体" w:hAnsi="宋体" w:cs="宋体"/>
          <w:b/>
          <w:bCs/>
          <w:color w:val="auto"/>
          <w:sz w:val="32"/>
          <w:szCs w:val="32"/>
          <w:highlight w:val="none"/>
        </w:rPr>
        <w:t>法定代表人诚信投标承诺书</w:t>
      </w:r>
      <w:bookmarkEnd w:id="86"/>
    </w:p>
    <w:p>
      <w:pPr>
        <w:tabs>
          <w:tab w:val="left" w:pos="1069"/>
          <w:tab w:val="left" w:pos="2352"/>
        </w:tabs>
        <w:spacing w:line="460" w:lineRule="atLeast"/>
        <w:jc w:val="left"/>
        <w:rPr>
          <w:rFonts w:ascii="宋体" w:hAnsi="宋体" w:cs="宋体"/>
          <w:color w:val="auto"/>
          <w:sz w:val="22"/>
          <w:highlight w:val="none"/>
        </w:rPr>
      </w:pPr>
      <w:r>
        <w:rPr>
          <w:rFonts w:hint="eastAsia" w:ascii="宋体" w:hAnsi="宋体" w:cs="宋体"/>
          <w:color w:val="auto"/>
          <w:sz w:val="22"/>
          <w:highlight w:val="none"/>
        </w:rPr>
        <w:t>本人以企业法定代表人的身份郑重承诺：</w:t>
      </w:r>
    </w:p>
    <w:p>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将遵循公开、公平、公正和诚信信用的原则参加</w:t>
      </w:r>
      <w:r>
        <w:rPr>
          <w:rFonts w:hint="eastAsia" w:ascii="宋体" w:hAnsi="宋体" w:cs="宋体"/>
          <w:color w:val="auto"/>
          <w:sz w:val="22"/>
          <w:highlight w:val="none"/>
          <w:u w:val="single"/>
        </w:rPr>
        <w:t>泰顺县集体土地所有权确权登记成果更新（采购编号：TSCG202207022）</w:t>
      </w:r>
      <w:r>
        <w:rPr>
          <w:rFonts w:hint="eastAsia" w:ascii="宋体" w:hAnsi="宋体" w:cs="宋体"/>
          <w:color w:val="auto"/>
          <w:sz w:val="22"/>
          <w:highlight w:val="none"/>
        </w:rPr>
        <w:t>的投标；</w:t>
      </w:r>
    </w:p>
    <w:p>
      <w:pPr>
        <w:tabs>
          <w:tab w:val="left" w:pos="1069"/>
          <w:tab w:val="left" w:pos="2352"/>
        </w:tabs>
        <w:spacing w:line="460" w:lineRule="atLeast"/>
        <w:ind w:firstLine="446" w:firstLineChars="200"/>
        <w:jc w:val="left"/>
        <w:rPr>
          <w:rFonts w:ascii="宋体" w:hAnsi="宋体" w:cs="宋体"/>
          <w:color w:val="auto"/>
          <w:sz w:val="22"/>
          <w:highlight w:val="none"/>
          <w:u w:val="single"/>
        </w:rPr>
      </w:pPr>
      <w:r>
        <w:rPr>
          <w:rFonts w:hint="eastAsia" w:ascii="宋体" w:hAnsi="宋体" w:cs="宋体"/>
          <w:color w:val="auto"/>
          <w:sz w:val="22"/>
          <w:highlight w:val="none"/>
        </w:rPr>
        <w:t>一、杜绝以收取管理费等形式的一切挂靠、违法转包、分包行为；并选派有丰富经验、无不良行为记录的在项目管理人员、技术人员，严格按竞争性磋商文件、投标（响应）文件及合同等要求保证拟派人员的到岗率。</w:t>
      </w:r>
    </w:p>
    <w:p>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二、投标（响应）文件所提供的一切材料都是真实、有效、合法的。</w:t>
      </w:r>
    </w:p>
    <w:p>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三、不与其他投标人相互串通投标报价，不排挤其他投标人的公平竞争，不损害招标人或其他投标人的合法权益。</w:t>
      </w:r>
    </w:p>
    <w:p>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四、不与采购人或招标代理机构串通投标，不损害国家利益，社会公共利益或其他人的合法权益。</w:t>
      </w:r>
    </w:p>
    <w:p>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五、不向采购人或者评审小组成员行贿以牟取中标(成交)。</w:t>
      </w:r>
    </w:p>
    <w:p>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六、不以其他人名义投标或者以其他方式弄虚作假，骗取中标(成交)。</w:t>
      </w:r>
    </w:p>
    <w:p>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七、不在开标后进行虚假恶意投诉。</w:t>
      </w:r>
    </w:p>
    <w:p>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八、我单位没有被政府机关列入失信被执行人名单、重大税收违法案件当事人名单、政府采购严重违法失信行为记录名单及其他不符合《中华人民共和国政府采购法》第二十二条规定条件的情形：</w:t>
      </w:r>
    </w:p>
    <w:p>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九、没有被各地、各级财政部门禁止参加政府采购活动，且在限制期限内：</w:t>
      </w:r>
    </w:p>
    <w:p>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十、参与本项目政府采购活动3年内没有重大违法记录情况。</w:t>
      </w:r>
    </w:p>
    <w:p>
      <w:pPr>
        <w:tabs>
          <w:tab w:val="left" w:pos="1069"/>
          <w:tab w:val="left" w:pos="2352"/>
        </w:tabs>
        <w:spacing w:line="460" w:lineRule="atLeast"/>
        <w:ind w:firstLine="446" w:firstLineChars="200"/>
        <w:rPr>
          <w:rFonts w:ascii="宋体" w:hAnsi="宋体" w:cs="宋体"/>
          <w:color w:val="auto"/>
          <w:sz w:val="22"/>
          <w:highlight w:val="none"/>
        </w:rPr>
      </w:pPr>
      <w:r>
        <w:rPr>
          <w:rFonts w:hint="eastAsia" w:ascii="宋体" w:hAnsi="宋体" w:cs="宋体"/>
          <w:color w:val="auto"/>
          <w:sz w:val="22"/>
          <w:highlight w:val="none"/>
        </w:rPr>
        <w:t>本公司若有违反本承诺内容的行为，愿意承担法律责任，包括不限于：愿意接受相关行政主管部门作出的处罚；给采购人造成损失的，依法承担相应的赔偿责任。</w:t>
      </w:r>
    </w:p>
    <w:p>
      <w:pPr>
        <w:tabs>
          <w:tab w:val="left" w:pos="1069"/>
          <w:tab w:val="left" w:pos="2352"/>
        </w:tabs>
        <w:spacing w:line="460" w:lineRule="atLeast"/>
        <w:ind w:right="1120" w:firstLine="3010" w:firstLineChars="1350"/>
        <w:rPr>
          <w:rFonts w:ascii="宋体" w:hAnsi="宋体" w:cs="宋体"/>
          <w:color w:val="auto"/>
          <w:sz w:val="22"/>
          <w:highlight w:val="none"/>
        </w:rPr>
      </w:pPr>
      <w:r>
        <w:rPr>
          <w:rFonts w:hint="eastAsia" w:ascii="宋体" w:hAnsi="宋体" w:cs="宋体"/>
          <w:b/>
          <w:bCs/>
          <w:color w:val="auto"/>
          <w:sz w:val="22"/>
          <w:highlight w:val="none"/>
        </w:rPr>
        <w:t>法定代表人（签字或签章）</w:t>
      </w:r>
      <w:r>
        <w:rPr>
          <w:rFonts w:hint="eastAsia" w:ascii="宋体" w:hAnsi="宋体" w:cs="宋体"/>
          <w:color w:val="auto"/>
          <w:sz w:val="22"/>
          <w:highlight w:val="none"/>
        </w:rPr>
        <w:t>：</w:t>
      </w:r>
    </w:p>
    <w:p>
      <w:pPr>
        <w:tabs>
          <w:tab w:val="left" w:pos="1069"/>
          <w:tab w:val="left" w:pos="2352"/>
        </w:tabs>
        <w:spacing w:line="460" w:lineRule="atLeast"/>
        <w:ind w:right="1120" w:firstLine="3010" w:firstLineChars="1350"/>
        <w:rPr>
          <w:rFonts w:ascii="宋体" w:hAnsi="宋体" w:cs="宋体"/>
          <w:color w:val="auto"/>
          <w:sz w:val="22"/>
          <w:highlight w:val="none"/>
        </w:rPr>
      </w:pPr>
      <w:r>
        <w:rPr>
          <w:rFonts w:hint="eastAsia" w:ascii="宋体" w:hAnsi="宋体" w:cs="宋体"/>
          <w:color w:val="auto"/>
          <w:sz w:val="22"/>
          <w:highlight w:val="none"/>
        </w:rPr>
        <w:t>投标供应商（盖章）</w:t>
      </w:r>
    </w:p>
    <w:p>
      <w:pPr>
        <w:tabs>
          <w:tab w:val="left" w:pos="1069"/>
          <w:tab w:val="left" w:pos="2352"/>
        </w:tabs>
        <w:spacing w:line="460" w:lineRule="atLeast"/>
        <w:ind w:right="1120" w:firstLine="3122" w:firstLineChars="1400"/>
        <w:rPr>
          <w:rFonts w:ascii="宋体" w:hAnsi="宋体" w:cs="宋体"/>
          <w:color w:val="auto"/>
          <w:szCs w:val="21"/>
          <w:highlight w:val="none"/>
        </w:rPr>
      </w:pPr>
      <w:r>
        <w:rPr>
          <w:rFonts w:hint="eastAsia" w:ascii="宋体" w:hAnsi="宋体" w:cs="宋体"/>
          <w:color w:val="auto"/>
          <w:sz w:val="22"/>
          <w:highlight w:val="none"/>
        </w:rPr>
        <w:t>承诺书签署日期：年月日</w:t>
      </w:r>
    </w:p>
    <w:p>
      <w:pPr>
        <w:tabs>
          <w:tab w:val="left" w:pos="1069"/>
          <w:tab w:val="left" w:pos="2352"/>
        </w:tabs>
        <w:spacing w:line="360" w:lineRule="exact"/>
        <w:jc w:val="left"/>
        <w:rPr>
          <w:rFonts w:ascii="宋体" w:hAnsi="宋体" w:cs="宋体"/>
          <w:color w:val="auto"/>
          <w:sz w:val="30"/>
          <w:highlight w:val="none"/>
        </w:rPr>
      </w:pPr>
      <w:r>
        <w:rPr>
          <w:rFonts w:hint="eastAsia" w:ascii="宋体" w:hAnsi="宋体" w:cs="宋体"/>
          <w:bCs/>
          <w:color w:val="auto"/>
          <w:sz w:val="22"/>
          <w:highlight w:val="none"/>
          <w:u w:val="single"/>
        </w:rPr>
        <w:t>备注：▲投标供应商必须提供本承诺书，不提供按无效投标处理。</w:t>
      </w:r>
    </w:p>
    <w:p>
      <w:pPr>
        <w:pStyle w:val="11"/>
        <w:tabs>
          <w:tab w:val="left" w:pos="1069"/>
          <w:tab w:val="left" w:pos="2352"/>
        </w:tabs>
        <w:spacing w:line="360" w:lineRule="exact"/>
        <w:jc w:val="center"/>
        <w:rPr>
          <w:rFonts w:hAnsi="宋体" w:cs="宋体"/>
          <w:color w:val="auto"/>
          <w:sz w:val="32"/>
          <w:highlight w:val="none"/>
        </w:rPr>
      </w:pPr>
    </w:p>
    <w:p>
      <w:pPr>
        <w:tabs>
          <w:tab w:val="left" w:pos="1069"/>
          <w:tab w:val="left" w:pos="2352"/>
        </w:tabs>
        <w:spacing w:line="360" w:lineRule="exact"/>
        <w:jc w:val="left"/>
        <w:rPr>
          <w:rFonts w:ascii="宋体" w:hAnsi="宋体" w:cs="宋体"/>
          <w:color w:val="auto"/>
          <w:sz w:val="30"/>
          <w:highlight w:val="none"/>
        </w:rPr>
      </w:pPr>
    </w:p>
    <w:p>
      <w:pPr>
        <w:pStyle w:val="11"/>
        <w:tabs>
          <w:tab w:val="left" w:pos="1069"/>
          <w:tab w:val="left" w:pos="2352"/>
        </w:tabs>
        <w:spacing w:line="360" w:lineRule="exact"/>
        <w:jc w:val="left"/>
        <w:rPr>
          <w:rFonts w:hAnsi="宋体" w:cs="宋体"/>
          <w:b/>
          <w:bCs/>
          <w:color w:val="auto"/>
          <w:sz w:val="32"/>
          <w:highlight w:val="none"/>
          <w:lang w:val="zh-CN"/>
        </w:rPr>
      </w:pPr>
    </w:p>
    <w:p>
      <w:pPr>
        <w:tabs>
          <w:tab w:val="left" w:pos="2352"/>
        </w:tabs>
        <w:rPr>
          <w:color w:val="auto"/>
          <w:highlight w:val="none"/>
          <w:lang w:val="zh-CN"/>
        </w:rPr>
      </w:pPr>
    </w:p>
    <w:p>
      <w:pPr>
        <w:pStyle w:val="11"/>
        <w:tabs>
          <w:tab w:val="left" w:pos="1069"/>
          <w:tab w:val="left" w:pos="2352"/>
        </w:tabs>
        <w:spacing w:line="360" w:lineRule="exact"/>
        <w:jc w:val="left"/>
        <w:rPr>
          <w:rFonts w:hAnsi="宋体" w:cs="宋体"/>
          <w:b/>
          <w:bCs/>
          <w:color w:val="auto"/>
          <w:sz w:val="32"/>
          <w:highlight w:val="none"/>
        </w:rPr>
      </w:pPr>
      <w:r>
        <w:rPr>
          <w:rFonts w:hint="eastAsia" w:hAnsi="宋体" w:cs="宋体"/>
          <w:b/>
          <w:bCs/>
          <w:color w:val="auto"/>
          <w:sz w:val="32"/>
          <w:highlight w:val="none"/>
          <w:lang w:val="zh-CN"/>
        </w:rPr>
        <w:t>附件</w:t>
      </w:r>
      <w:r>
        <w:rPr>
          <w:rFonts w:hint="eastAsia" w:hAnsi="宋体" w:cs="宋体"/>
          <w:b/>
          <w:bCs/>
          <w:color w:val="auto"/>
          <w:sz w:val="32"/>
          <w:highlight w:val="none"/>
        </w:rPr>
        <w:t>九</w:t>
      </w:r>
    </w:p>
    <w:p>
      <w:pPr>
        <w:pStyle w:val="11"/>
        <w:tabs>
          <w:tab w:val="left" w:pos="1069"/>
          <w:tab w:val="left" w:pos="2352"/>
        </w:tabs>
        <w:spacing w:line="360" w:lineRule="exact"/>
        <w:jc w:val="center"/>
        <w:rPr>
          <w:rFonts w:hAnsi="宋体" w:cs="宋体"/>
          <w:b/>
          <w:bCs/>
          <w:color w:val="auto"/>
          <w:sz w:val="32"/>
          <w:highlight w:val="none"/>
          <w:lang w:val="zh-CN"/>
        </w:rPr>
      </w:pPr>
      <w:bookmarkStart w:id="87" w:name="_Toc18541_WPSOffice_Level3"/>
      <w:r>
        <w:rPr>
          <w:rFonts w:hint="eastAsia" w:hAnsi="宋体" w:cs="宋体"/>
          <w:b/>
          <w:bCs/>
          <w:color w:val="auto"/>
          <w:sz w:val="32"/>
          <w:highlight w:val="none"/>
          <w:lang w:val="zh-CN"/>
        </w:rPr>
        <w:t>（一）商务偏离表</w:t>
      </w:r>
      <w:bookmarkEnd w:id="87"/>
    </w:p>
    <w:p>
      <w:pPr>
        <w:tabs>
          <w:tab w:val="left" w:pos="1069"/>
          <w:tab w:val="left" w:pos="2352"/>
        </w:tabs>
        <w:autoSpaceDE w:val="0"/>
        <w:autoSpaceDN w:val="0"/>
        <w:adjustRightInd w:val="0"/>
        <w:spacing w:line="360" w:lineRule="exact"/>
        <w:jc w:val="center"/>
        <w:rPr>
          <w:rFonts w:ascii="宋体" w:hAnsi="宋体" w:cs="宋体"/>
          <w:color w:val="auto"/>
          <w:sz w:val="32"/>
          <w:highlight w:val="none"/>
          <w:lang w:val="zh-CN"/>
        </w:rPr>
      </w:pPr>
    </w:p>
    <w:tbl>
      <w:tblPr>
        <w:tblStyle w:val="24"/>
        <w:tblW w:w="0" w:type="auto"/>
        <w:tblInd w:w="108" w:type="dxa"/>
        <w:tblLayout w:type="fixed"/>
        <w:tblCellMar>
          <w:top w:w="0" w:type="dxa"/>
          <w:left w:w="108" w:type="dxa"/>
          <w:bottom w:w="0" w:type="dxa"/>
          <w:right w:w="108" w:type="dxa"/>
        </w:tblCellMar>
      </w:tblPr>
      <w:tblGrid>
        <w:gridCol w:w="1080"/>
        <w:gridCol w:w="1620"/>
        <w:gridCol w:w="2220"/>
        <w:gridCol w:w="2220"/>
        <w:gridCol w:w="2295"/>
      </w:tblGrid>
      <w:tr>
        <w:tblPrEx>
          <w:tblCellMar>
            <w:top w:w="0" w:type="dxa"/>
            <w:left w:w="108" w:type="dxa"/>
            <w:bottom w:w="0" w:type="dxa"/>
            <w:right w:w="108" w:type="dxa"/>
          </w:tblCellMar>
        </w:tblPrEx>
        <w:trPr>
          <w:trHeight w:val="936" w:hRule="atLeast"/>
        </w:trPr>
        <w:tc>
          <w:tcPr>
            <w:tcW w:w="1080" w:type="dxa"/>
            <w:tcBorders>
              <w:top w:val="single" w:color="auto" w:sz="6" w:space="0"/>
              <w:left w:val="single" w:color="auto" w:sz="6" w:space="0"/>
              <w:bottom w:val="single" w:color="auto" w:sz="6" w:space="0"/>
              <w:right w:val="single" w:color="auto" w:sz="6" w:space="0"/>
            </w:tcBorders>
            <w:vAlign w:val="center"/>
          </w:tcPr>
          <w:p>
            <w:pPr>
              <w:tabs>
                <w:tab w:val="left" w:pos="1069"/>
                <w:tab w:val="left" w:pos="2352"/>
              </w:tabs>
              <w:autoSpaceDE w:val="0"/>
              <w:autoSpaceDN w:val="0"/>
              <w:adjustRightInd w:val="0"/>
              <w:spacing w:line="360" w:lineRule="exact"/>
              <w:rPr>
                <w:rFonts w:ascii="宋体" w:hAnsi="宋体" w:cs="宋体"/>
                <w:color w:val="auto"/>
                <w:sz w:val="24"/>
                <w:highlight w:val="none"/>
              </w:rPr>
            </w:pPr>
            <w:r>
              <w:rPr>
                <w:rFonts w:hint="eastAsia" w:ascii="宋体" w:hAnsi="宋体" w:cs="宋体"/>
                <w:color w:val="auto"/>
                <w:sz w:val="24"/>
                <w:highlight w:val="none"/>
              </w:rPr>
              <w:t>序号</w:t>
            </w:r>
          </w:p>
        </w:tc>
        <w:tc>
          <w:tcPr>
            <w:tcW w:w="1620" w:type="dxa"/>
            <w:tcBorders>
              <w:top w:val="single" w:color="auto" w:sz="6" w:space="0"/>
              <w:left w:val="single" w:color="auto" w:sz="6" w:space="0"/>
              <w:bottom w:val="single" w:color="auto" w:sz="6" w:space="0"/>
              <w:right w:val="single" w:color="auto" w:sz="6" w:space="0"/>
            </w:tcBorders>
            <w:vAlign w:val="center"/>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内容</w:t>
            </w:r>
          </w:p>
        </w:tc>
        <w:tc>
          <w:tcPr>
            <w:tcW w:w="2220" w:type="dxa"/>
            <w:tcBorders>
              <w:top w:val="single" w:color="auto" w:sz="6" w:space="0"/>
              <w:left w:val="single" w:color="auto" w:sz="6" w:space="0"/>
              <w:bottom w:val="single" w:color="auto" w:sz="6" w:space="0"/>
              <w:right w:val="single" w:color="auto" w:sz="6" w:space="0"/>
            </w:tcBorders>
            <w:vAlign w:val="center"/>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竞争性磋商文件规范要求</w:t>
            </w:r>
          </w:p>
        </w:tc>
        <w:tc>
          <w:tcPr>
            <w:tcW w:w="2220" w:type="dxa"/>
            <w:tcBorders>
              <w:top w:val="single" w:color="auto" w:sz="6" w:space="0"/>
              <w:left w:val="single" w:color="auto" w:sz="6" w:space="0"/>
              <w:bottom w:val="single" w:color="auto" w:sz="6" w:space="0"/>
              <w:right w:val="single" w:color="auto" w:sz="6" w:space="0"/>
            </w:tcBorders>
            <w:vAlign w:val="center"/>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投标（响应）文件</w:t>
            </w:r>
          </w:p>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对应规范</w:t>
            </w:r>
          </w:p>
        </w:tc>
        <w:tc>
          <w:tcPr>
            <w:tcW w:w="2295" w:type="dxa"/>
            <w:tcBorders>
              <w:top w:val="single" w:color="auto" w:sz="6" w:space="0"/>
              <w:left w:val="single" w:color="auto" w:sz="6" w:space="0"/>
              <w:bottom w:val="single" w:color="auto" w:sz="6" w:space="0"/>
              <w:right w:val="single" w:color="auto" w:sz="6" w:space="0"/>
            </w:tcBorders>
            <w:vAlign w:val="center"/>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备注</w:t>
            </w:r>
          </w:p>
        </w:tc>
      </w:tr>
      <w:tr>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r>
      <w:tr>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r>
      <w:tr>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r>
      <w:tr>
        <w:tblPrEx>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r>
      <w:tr>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r>
      <w:tr>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r>
      <w:tr>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r>
      <w:tr>
        <w:tblPrEx>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r>
      <w:tr>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r>
    </w:tbl>
    <w:p>
      <w:pPr>
        <w:tabs>
          <w:tab w:val="left" w:pos="1069"/>
          <w:tab w:val="left" w:pos="2352"/>
        </w:tabs>
        <w:autoSpaceDE w:val="0"/>
        <w:autoSpaceDN w:val="0"/>
        <w:adjustRightInd w:val="0"/>
        <w:spacing w:line="360" w:lineRule="exact"/>
        <w:rPr>
          <w:rFonts w:ascii="宋体" w:hAnsi="宋体" w:cs="宋体"/>
          <w:color w:val="auto"/>
          <w:sz w:val="24"/>
          <w:highlight w:val="none"/>
          <w:lang w:val="zh-CN"/>
        </w:rPr>
      </w:pPr>
      <w:r>
        <w:rPr>
          <w:rFonts w:hint="eastAsia" w:ascii="宋体" w:hAnsi="宋体" w:cs="宋体"/>
          <w:color w:val="auto"/>
          <w:sz w:val="24"/>
          <w:highlight w:val="none"/>
          <w:lang w:val="zh-CN"/>
        </w:rPr>
        <w:t>供应商盖章：</w:t>
      </w:r>
    </w:p>
    <w:p>
      <w:pPr>
        <w:tabs>
          <w:tab w:val="left" w:pos="1069"/>
          <w:tab w:val="left" w:pos="2352"/>
        </w:tabs>
        <w:autoSpaceDE w:val="0"/>
        <w:autoSpaceDN w:val="0"/>
        <w:adjustRightInd w:val="0"/>
        <w:spacing w:line="360" w:lineRule="exact"/>
        <w:rPr>
          <w:rFonts w:ascii="宋体" w:hAnsi="宋体" w:cs="宋体"/>
          <w:color w:val="auto"/>
          <w:sz w:val="32"/>
          <w:highlight w:val="none"/>
          <w:lang w:val="zh-CN"/>
        </w:rPr>
      </w:pPr>
    </w:p>
    <w:p>
      <w:pPr>
        <w:pStyle w:val="11"/>
        <w:tabs>
          <w:tab w:val="left" w:pos="1069"/>
          <w:tab w:val="left" w:pos="2352"/>
        </w:tabs>
        <w:spacing w:line="360" w:lineRule="exact"/>
        <w:jc w:val="center"/>
        <w:rPr>
          <w:rFonts w:hAnsi="宋体" w:cs="宋体"/>
          <w:b/>
          <w:bCs/>
          <w:color w:val="auto"/>
          <w:sz w:val="32"/>
          <w:highlight w:val="none"/>
          <w:lang w:val="zh-CN"/>
        </w:rPr>
      </w:pPr>
      <w:bookmarkStart w:id="88" w:name="_Toc4031_WPSOffice_Level3"/>
      <w:r>
        <w:rPr>
          <w:rFonts w:hint="eastAsia" w:hAnsi="宋体" w:cs="宋体"/>
          <w:b/>
          <w:bCs/>
          <w:color w:val="auto"/>
          <w:sz w:val="32"/>
          <w:highlight w:val="none"/>
          <w:lang w:val="zh-CN"/>
        </w:rPr>
        <w:t>（二）技术偏离表</w:t>
      </w:r>
      <w:bookmarkEnd w:id="88"/>
    </w:p>
    <w:tbl>
      <w:tblPr>
        <w:tblStyle w:val="24"/>
        <w:tblW w:w="0" w:type="auto"/>
        <w:tblInd w:w="108" w:type="dxa"/>
        <w:tblLayout w:type="fixed"/>
        <w:tblCellMar>
          <w:top w:w="0" w:type="dxa"/>
          <w:left w:w="108" w:type="dxa"/>
          <w:bottom w:w="0" w:type="dxa"/>
          <w:right w:w="108" w:type="dxa"/>
        </w:tblCellMar>
      </w:tblPr>
      <w:tblGrid>
        <w:gridCol w:w="1080"/>
        <w:gridCol w:w="1620"/>
        <w:gridCol w:w="2220"/>
        <w:gridCol w:w="2220"/>
        <w:gridCol w:w="2295"/>
      </w:tblGrid>
      <w:tr>
        <w:tblPrEx>
          <w:tblCellMar>
            <w:top w:w="0" w:type="dxa"/>
            <w:left w:w="108" w:type="dxa"/>
            <w:bottom w:w="0" w:type="dxa"/>
            <w:right w:w="108" w:type="dxa"/>
          </w:tblCellMar>
        </w:tblPrEx>
        <w:trPr>
          <w:trHeight w:val="918" w:hRule="atLeast"/>
        </w:trPr>
        <w:tc>
          <w:tcPr>
            <w:tcW w:w="1080" w:type="dxa"/>
            <w:tcBorders>
              <w:top w:val="single" w:color="auto" w:sz="6" w:space="0"/>
              <w:left w:val="single" w:color="auto" w:sz="6" w:space="0"/>
              <w:bottom w:val="single" w:color="auto" w:sz="6" w:space="0"/>
              <w:right w:val="single" w:color="auto" w:sz="6" w:space="0"/>
            </w:tcBorders>
            <w:vAlign w:val="center"/>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序号</w:t>
            </w:r>
          </w:p>
        </w:tc>
        <w:tc>
          <w:tcPr>
            <w:tcW w:w="1620" w:type="dxa"/>
            <w:tcBorders>
              <w:top w:val="single" w:color="auto" w:sz="6" w:space="0"/>
              <w:left w:val="single" w:color="auto" w:sz="6" w:space="0"/>
              <w:bottom w:val="single" w:color="auto" w:sz="6" w:space="0"/>
              <w:right w:val="single" w:color="auto" w:sz="6" w:space="0"/>
            </w:tcBorders>
            <w:vAlign w:val="center"/>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内容</w:t>
            </w:r>
          </w:p>
        </w:tc>
        <w:tc>
          <w:tcPr>
            <w:tcW w:w="2220" w:type="dxa"/>
            <w:tcBorders>
              <w:top w:val="single" w:color="auto" w:sz="6" w:space="0"/>
              <w:left w:val="single" w:color="auto" w:sz="6" w:space="0"/>
              <w:bottom w:val="single" w:color="auto" w:sz="6" w:space="0"/>
              <w:right w:val="single" w:color="auto" w:sz="6" w:space="0"/>
            </w:tcBorders>
            <w:vAlign w:val="center"/>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竞争性磋商文件规范要求</w:t>
            </w:r>
          </w:p>
        </w:tc>
        <w:tc>
          <w:tcPr>
            <w:tcW w:w="2220" w:type="dxa"/>
            <w:tcBorders>
              <w:top w:val="single" w:color="auto" w:sz="6" w:space="0"/>
              <w:left w:val="single" w:color="auto" w:sz="6" w:space="0"/>
              <w:bottom w:val="single" w:color="auto" w:sz="6" w:space="0"/>
              <w:right w:val="single" w:color="auto" w:sz="6" w:space="0"/>
            </w:tcBorders>
            <w:vAlign w:val="center"/>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投标（响应）文件</w:t>
            </w:r>
          </w:p>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对应规范</w:t>
            </w:r>
          </w:p>
        </w:tc>
        <w:tc>
          <w:tcPr>
            <w:tcW w:w="2295" w:type="dxa"/>
            <w:tcBorders>
              <w:top w:val="single" w:color="auto" w:sz="6" w:space="0"/>
              <w:left w:val="single" w:color="auto" w:sz="6" w:space="0"/>
              <w:bottom w:val="single" w:color="auto" w:sz="6" w:space="0"/>
              <w:right w:val="single" w:color="auto" w:sz="6" w:space="0"/>
            </w:tcBorders>
            <w:vAlign w:val="center"/>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备注</w:t>
            </w: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r>
    </w:tbl>
    <w:p>
      <w:pPr>
        <w:tabs>
          <w:tab w:val="left" w:pos="1069"/>
          <w:tab w:val="left" w:pos="2352"/>
        </w:tabs>
        <w:spacing w:line="360" w:lineRule="exact"/>
        <w:rPr>
          <w:rFonts w:ascii="宋体" w:hAnsi="宋体" w:cs="宋体"/>
          <w:color w:val="auto"/>
          <w:spacing w:val="20"/>
          <w:sz w:val="22"/>
          <w:highlight w:val="none"/>
        </w:rPr>
      </w:pPr>
      <w:r>
        <w:rPr>
          <w:rFonts w:hint="eastAsia" w:ascii="宋体" w:hAnsi="宋体" w:cs="宋体"/>
          <w:color w:val="auto"/>
          <w:sz w:val="22"/>
          <w:highlight w:val="none"/>
          <w:lang w:val="zh-CN"/>
        </w:rPr>
        <w:t>供应商盖章：</w:t>
      </w:r>
    </w:p>
    <w:p>
      <w:pPr>
        <w:tabs>
          <w:tab w:val="left" w:pos="1069"/>
          <w:tab w:val="left" w:pos="2352"/>
        </w:tabs>
        <w:rPr>
          <w:rFonts w:ascii="宋体" w:hAnsi="宋体" w:cs="宋体"/>
          <w:color w:val="auto"/>
          <w:highlight w:val="none"/>
        </w:rPr>
      </w:pPr>
      <w:bookmarkStart w:id="89" w:name="_Toc30988_WPSOffice_Level2"/>
      <w:r>
        <w:rPr>
          <w:rFonts w:hint="eastAsia" w:ascii="宋体" w:hAnsi="宋体" w:cs="宋体"/>
          <w:color w:val="auto"/>
          <w:highlight w:val="none"/>
        </w:rPr>
        <w:t>备注：表格可以延续</w:t>
      </w:r>
      <w:bookmarkEnd w:id="89"/>
    </w:p>
    <w:p>
      <w:pPr>
        <w:pStyle w:val="11"/>
        <w:tabs>
          <w:tab w:val="left" w:pos="1069"/>
          <w:tab w:val="left" w:pos="2352"/>
        </w:tabs>
        <w:spacing w:line="360" w:lineRule="exact"/>
        <w:rPr>
          <w:rFonts w:hAnsi="宋体" w:cs="宋体"/>
          <w:color w:val="auto"/>
          <w:sz w:val="22"/>
          <w:highlight w:val="none"/>
        </w:rPr>
      </w:pPr>
    </w:p>
    <w:p>
      <w:pPr>
        <w:tabs>
          <w:tab w:val="left" w:pos="1069"/>
          <w:tab w:val="left" w:pos="2352"/>
        </w:tabs>
        <w:rPr>
          <w:rFonts w:ascii="宋体" w:hAnsi="宋体" w:cs="宋体"/>
          <w:b/>
          <w:bCs/>
          <w:color w:val="auto"/>
          <w:sz w:val="32"/>
          <w:szCs w:val="32"/>
          <w:highlight w:val="none"/>
        </w:rPr>
      </w:pPr>
    </w:p>
    <w:p>
      <w:pPr>
        <w:tabs>
          <w:tab w:val="left" w:pos="1069"/>
          <w:tab w:val="left" w:pos="2352"/>
        </w:tabs>
        <w:rPr>
          <w:rFonts w:ascii="宋体" w:hAnsi="宋体" w:cs="宋体"/>
          <w:b/>
          <w:bCs/>
          <w:color w:val="auto"/>
          <w:sz w:val="32"/>
          <w:szCs w:val="32"/>
          <w:highlight w:val="none"/>
        </w:rPr>
      </w:pPr>
    </w:p>
    <w:p>
      <w:pPr>
        <w:tabs>
          <w:tab w:val="left" w:pos="1069"/>
          <w:tab w:val="left" w:pos="2352"/>
        </w:tabs>
        <w:rPr>
          <w:rFonts w:ascii="宋体" w:hAnsi="宋体" w:cs="宋体"/>
          <w:b/>
          <w:bCs/>
          <w:color w:val="auto"/>
          <w:sz w:val="32"/>
          <w:szCs w:val="32"/>
          <w:highlight w:val="none"/>
        </w:rPr>
      </w:pPr>
      <w:r>
        <w:rPr>
          <w:rFonts w:hint="eastAsia" w:ascii="宋体" w:hAnsi="宋体" w:cs="宋体"/>
          <w:b/>
          <w:bCs/>
          <w:color w:val="auto"/>
          <w:sz w:val="32"/>
          <w:szCs w:val="32"/>
          <w:highlight w:val="none"/>
        </w:rPr>
        <w:t>附件十</w:t>
      </w:r>
    </w:p>
    <w:p>
      <w:pPr>
        <w:tabs>
          <w:tab w:val="left" w:pos="1069"/>
          <w:tab w:val="left" w:pos="2352"/>
        </w:tabs>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供应商项目服务人员汇总表</w:t>
      </w:r>
    </w:p>
    <w:p>
      <w:pPr>
        <w:tabs>
          <w:tab w:val="left" w:pos="1069"/>
          <w:tab w:val="left" w:pos="2352"/>
        </w:tabs>
        <w:spacing w:line="360" w:lineRule="auto"/>
        <w:rPr>
          <w:rFonts w:ascii="宋体" w:hAnsi="宋体" w:cs="宋体"/>
          <w:color w:val="auto"/>
          <w:sz w:val="22"/>
          <w:highlight w:val="none"/>
        </w:rPr>
      </w:pPr>
      <w:r>
        <w:rPr>
          <w:rFonts w:hint="eastAsia" w:ascii="宋体" w:hAnsi="宋体" w:cs="宋体"/>
          <w:color w:val="auto"/>
          <w:sz w:val="22"/>
          <w:highlight w:val="none"/>
        </w:rPr>
        <w:t>项目名称：</w:t>
      </w:r>
      <w:r>
        <w:rPr>
          <w:rFonts w:hint="eastAsia" w:ascii="宋体" w:hAnsi="宋体" w:cs="宋体"/>
          <w:color w:val="auto"/>
          <w:sz w:val="22"/>
          <w:highlight w:val="none"/>
          <w:u w:val="single"/>
          <w:lang w:val="zh-CN"/>
        </w:rPr>
        <w:t>泰顺县集体土地所有权确权登记成果更新</w:t>
      </w:r>
    </w:p>
    <w:p>
      <w:pPr>
        <w:tabs>
          <w:tab w:val="left" w:pos="1069"/>
          <w:tab w:val="left" w:pos="2352"/>
        </w:tabs>
        <w:spacing w:line="360" w:lineRule="auto"/>
        <w:rPr>
          <w:rFonts w:ascii="宋体" w:hAnsi="宋体" w:cs="宋体"/>
          <w:bCs/>
          <w:color w:val="auto"/>
          <w:sz w:val="22"/>
          <w:highlight w:val="none"/>
        </w:rPr>
      </w:pPr>
      <w:r>
        <w:rPr>
          <w:rFonts w:hint="eastAsia" w:ascii="宋体" w:hAnsi="宋体" w:cs="宋体"/>
          <w:color w:val="auto"/>
          <w:sz w:val="22"/>
          <w:highlight w:val="none"/>
        </w:rPr>
        <w:t>招标编号：</w:t>
      </w:r>
      <w:r>
        <w:rPr>
          <w:rFonts w:hint="eastAsia" w:ascii="宋体" w:hAnsi="宋体" w:cs="宋体"/>
          <w:color w:val="auto"/>
          <w:sz w:val="22"/>
          <w:highlight w:val="none"/>
          <w:u w:val="single"/>
          <w:lang w:val="zh-CN"/>
        </w:rPr>
        <w:t>TSCG202207022</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520"/>
        <w:gridCol w:w="720"/>
        <w:gridCol w:w="720"/>
        <w:gridCol w:w="720"/>
        <w:gridCol w:w="1080"/>
        <w:gridCol w:w="1458"/>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vAlign w:val="center"/>
          </w:tcPr>
          <w:p>
            <w:pPr>
              <w:tabs>
                <w:tab w:val="left" w:pos="1069"/>
                <w:tab w:val="left" w:pos="2352"/>
              </w:tabs>
              <w:jc w:val="center"/>
              <w:rPr>
                <w:rFonts w:ascii="宋体" w:hAnsi="宋体" w:cs="宋体"/>
                <w:bCs/>
                <w:color w:val="auto"/>
                <w:sz w:val="22"/>
                <w:highlight w:val="none"/>
              </w:rPr>
            </w:pPr>
            <w:r>
              <w:rPr>
                <w:rFonts w:hint="eastAsia" w:ascii="宋体" w:hAnsi="宋体" w:cs="宋体"/>
                <w:bCs/>
                <w:color w:val="auto"/>
                <w:sz w:val="22"/>
                <w:highlight w:val="none"/>
              </w:rPr>
              <w:t>姓名</w:t>
            </w:r>
          </w:p>
        </w:tc>
        <w:tc>
          <w:tcPr>
            <w:tcW w:w="2520" w:type="dxa"/>
            <w:vAlign w:val="center"/>
          </w:tcPr>
          <w:p>
            <w:pPr>
              <w:tabs>
                <w:tab w:val="left" w:pos="1069"/>
                <w:tab w:val="left" w:pos="2352"/>
              </w:tabs>
              <w:jc w:val="center"/>
              <w:rPr>
                <w:rFonts w:ascii="宋体" w:hAnsi="宋体" w:cs="宋体"/>
                <w:bCs/>
                <w:color w:val="auto"/>
                <w:sz w:val="22"/>
                <w:highlight w:val="none"/>
              </w:rPr>
            </w:pPr>
            <w:r>
              <w:rPr>
                <w:rFonts w:hint="eastAsia" w:ascii="宋体" w:hAnsi="宋体" w:cs="宋体"/>
                <w:bCs/>
                <w:color w:val="auto"/>
                <w:sz w:val="22"/>
                <w:highlight w:val="none"/>
              </w:rPr>
              <w:t>本项目主要工作</w:t>
            </w:r>
          </w:p>
        </w:tc>
        <w:tc>
          <w:tcPr>
            <w:tcW w:w="720" w:type="dxa"/>
            <w:vAlign w:val="center"/>
          </w:tcPr>
          <w:p>
            <w:pPr>
              <w:tabs>
                <w:tab w:val="left" w:pos="1069"/>
                <w:tab w:val="left" w:pos="2352"/>
              </w:tabs>
              <w:jc w:val="center"/>
              <w:rPr>
                <w:rFonts w:ascii="宋体" w:hAnsi="宋体" w:cs="宋体"/>
                <w:bCs/>
                <w:color w:val="auto"/>
                <w:sz w:val="22"/>
                <w:highlight w:val="none"/>
              </w:rPr>
            </w:pPr>
            <w:r>
              <w:rPr>
                <w:rFonts w:hint="eastAsia" w:ascii="宋体" w:hAnsi="宋体" w:cs="宋体"/>
                <w:bCs/>
                <w:color w:val="auto"/>
                <w:sz w:val="22"/>
                <w:highlight w:val="none"/>
              </w:rPr>
              <w:t>年龄</w:t>
            </w:r>
          </w:p>
        </w:tc>
        <w:tc>
          <w:tcPr>
            <w:tcW w:w="720" w:type="dxa"/>
            <w:vAlign w:val="center"/>
          </w:tcPr>
          <w:p>
            <w:pPr>
              <w:tabs>
                <w:tab w:val="left" w:pos="1069"/>
                <w:tab w:val="left" w:pos="2352"/>
              </w:tabs>
              <w:jc w:val="center"/>
              <w:rPr>
                <w:rFonts w:ascii="宋体" w:hAnsi="宋体" w:cs="宋体"/>
                <w:bCs/>
                <w:color w:val="auto"/>
                <w:sz w:val="22"/>
                <w:highlight w:val="none"/>
              </w:rPr>
            </w:pPr>
            <w:r>
              <w:rPr>
                <w:rFonts w:hint="eastAsia" w:ascii="宋体" w:hAnsi="宋体" w:cs="宋体"/>
                <w:bCs/>
                <w:color w:val="auto"/>
                <w:sz w:val="22"/>
                <w:highlight w:val="none"/>
              </w:rPr>
              <w:t>性别</w:t>
            </w:r>
          </w:p>
        </w:tc>
        <w:tc>
          <w:tcPr>
            <w:tcW w:w="720" w:type="dxa"/>
            <w:vAlign w:val="center"/>
          </w:tcPr>
          <w:p>
            <w:pPr>
              <w:tabs>
                <w:tab w:val="left" w:pos="1069"/>
                <w:tab w:val="left" w:pos="2352"/>
              </w:tabs>
              <w:jc w:val="center"/>
              <w:rPr>
                <w:rFonts w:ascii="宋体" w:hAnsi="宋体" w:cs="宋体"/>
                <w:bCs/>
                <w:color w:val="auto"/>
                <w:sz w:val="22"/>
                <w:highlight w:val="none"/>
              </w:rPr>
            </w:pPr>
            <w:r>
              <w:rPr>
                <w:rFonts w:hint="eastAsia" w:ascii="宋体" w:hAnsi="宋体" w:cs="宋体"/>
                <w:bCs/>
                <w:color w:val="auto"/>
                <w:sz w:val="22"/>
                <w:highlight w:val="none"/>
              </w:rPr>
              <w:t>专业</w:t>
            </w:r>
          </w:p>
        </w:tc>
        <w:tc>
          <w:tcPr>
            <w:tcW w:w="1080" w:type="dxa"/>
            <w:vAlign w:val="center"/>
          </w:tcPr>
          <w:p>
            <w:pPr>
              <w:tabs>
                <w:tab w:val="left" w:pos="1069"/>
                <w:tab w:val="left" w:pos="2352"/>
              </w:tabs>
              <w:jc w:val="center"/>
              <w:rPr>
                <w:rFonts w:ascii="宋体" w:hAnsi="宋体" w:cs="宋体"/>
                <w:bCs/>
                <w:color w:val="auto"/>
                <w:sz w:val="22"/>
                <w:highlight w:val="none"/>
              </w:rPr>
            </w:pPr>
            <w:r>
              <w:rPr>
                <w:rFonts w:hint="eastAsia" w:ascii="宋体" w:hAnsi="宋体" w:cs="宋体"/>
                <w:bCs/>
                <w:color w:val="auto"/>
                <w:sz w:val="22"/>
                <w:highlight w:val="none"/>
              </w:rPr>
              <w:t>专业</w:t>
            </w:r>
          </w:p>
          <w:p>
            <w:pPr>
              <w:tabs>
                <w:tab w:val="left" w:pos="1069"/>
                <w:tab w:val="left" w:pos="2352"/>
              </w:tabs>
              <w:jc w:val="center"/>
              <w:rPr>
                <w:rFonts w:ascii="宋体" w:hAnsi="宋体" w:cs="宋体"/>
                <w:bCs/>
                <w:color w:val="auto"/>
                <w:sz w:val="22"/>
                <w:highlight w:val="none"/>
              </w:rPr>
            </w:pPr>
            <w:r>
              <w:rPr>
                <w:rFonts w:hint="eastAsia" w:ascii="宋体" w:hAnsi="宋体" w:cs="宋体"/>
                <w:bCs/>
                <w:color w:val="auto"/>
                <w:sz w:val="22"/>
                <w:highlight w:val="none"/>
              </w:rPr>
              <w:t>年限</w:t>
            </w:r>
          </w:p>
        </w:tc>
        <w:tc>
          <w:tcPr>
            <w:tcW w:w="1458" w:type="dxa"/>
            <w:vAlign w:val="center"/>
          </w:tcPr>
          <w:p>
            <w:pPr>
              <w:tabs>
                <w:tab w:val="left" w:pos="1069"/>
                <w:tab w:val="left" w:pos="2352"/>
              </w:tabs>
              <w:jc w:val="center"/>
              <w:rPr>
                <w:rFonts w:ascii="宋体" w:hAnsi="宋体" w:cs="宋体"/>
                <w:bCs/>
                <w:color w:val="auto"/>
                <w:sz w:val="22"/>
                <w:highlight w:val="none"/>
              </w:rPr>
            </w:pPr>
            <w:r>
              <w:rPr>
                <w:rFonts w:hint="eastAsia" w:ascii="宋体" w:hAnsi="宋体" w:cs="宋体"/>
                <w:bCs/>
                <w:color w:val="auto"/>
                <w:sz w:val="22"/>
                <w:highlight w:val="none"/>
              </w:rPr>
              <w:t>职务</w:t>
            </w:r>
          </w:p>
          <w:p>
            <w:pPr>
              <w:tabs>
                <w:tab w:val="left" w:pos="1069"/>
                <w:tab w:val="left" w:pos="2352"/>
              </w:tabs>
              <w:jc w:val="center"/>
              <w:rPr>
                <w:rFonts w:ascii="宋体" w:hAnsi="宋体" w:cs="宋体"/>
                <w:bCs/>
                <w:color w:val="auto"/>
                <w:sz w:val="22"/>
                <w:highlight w:val="none"/>
              </w:rPr>
            </w:pPr>
            <w:r>
              <w:rPr>
                <w:rFonts w:hint="eastAsia" w:ascii="宋体" w:hAnsi="宋体" w:cs="宋体"/>
                <w:bCs/>
                <w:color w:val="auto"/>
                <w:sz w:val="22"/>
                <w:highlight w:val="none"/>
              </w:rPr>
              <w:t>和职称/认证</w:t>
            </w:r>
          </w:p>
        </w:tc>
        <w:tc>
          <w:tcPr>
            <w:tcW w:w="1560" w:type="dxa"/>
            <w:vAlign w:val="center"/>
          </w:tcPr>
          <w:p>
            <w:pPr>
              <w:tabs>
                <w:tab w:val="left" w:pos="1069"/>
                <w:tab w:val="left" w:pos="2352"/>
              </w:tabs>
              <w:jc w:val="center"/>
              <w:rPr>
                <w:rFonts w:ascii="宋体" w:hAnsi="宋体" w:cs="宋体"/>
                <w:bCs/>
                <w:color w:val="auto"/>
                <w:sz w:val="22"/>
                <w:highlight w:val="none"/>
              </w:rPr>
            </w:pPr>
            <w:r>
              <w:rPr>
                <w:rFonts w:hint="eastAsia" w:ascii="宋体" w:hAnsi="宋体" w:cs="宋体"/>
                <w:bCs/>
                <w:color w:val="auto"/>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pPr>
              <w:tabs>
                <w:tab w:val="left" w:pos="1069"/>
                <w:tab w:val="left" w:pos="2352"/>
              </w:tabs>
              <w:spacing w:line="360" w:lineRule="auto"/>
              <w:rPr>
                <w:rFonts w:ascii="宋体" w:hAnsi="宋体" w:cs="宋体"/>
                <w:color w:val="auto"/>
                <w:sz w:val="22"/>
                <w:highlight w:val="none"/>
              </w:rPr>
            </w:pPr>
          </w:p>
        </w:tc>
        <w:tc>
          <w:tcPr>
            <w:tcW w:w="25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1080" w:type="dxa"/>
            <w:vAlign w:val="center"/>
          </w:tcPr>
          <w:p>
            <w:pPr>
              <w:tabs>
                <w:tab w:val="left" w:pos="1069"/>
                <w:tab w:val="left" w:pos="2352"/>
              </w:tabs>
              <w:spacing w:line="360" w:lineRule="auto"/>
              <w:rPr>
                <w:rFonts w:ascii="宋体" w:hAnsi="宋体" w:cs="宋体"/>
                <w:color w:val="auto"/>
                <w:sz w:val="22"/>
                <w:highlight w:val="none"/>
              </w:rPr>
            </w:pPr>
          </w:p>
        </w:tc>
        <w:tc>
          <w:tcPr>
            <w:tcW w:w="1458" w:type="dxa"/>
            <w:vAlign w:val="center"/>
          </w:tcPr>
          <w:p>
            <w:pPr>
              <w:tabs>
                <w:tab w:val="left" w:pos="1069"/>
                <w:tab w:val="left" w:pos="2352"/>
              </w:tabs>
              <w:spacing w:line="360" w:lineRule="auto"/>
              <w:ind w:left="5250"/>
              <w:rPr>
                <w:rFonts w:ascii="宋体" w:hAnsi="宋体" w:cs="宋体"/>
                <w:color w:val="auto"/>
                <w:spacing w:val="12"/>
                <w:sz w:val="22"/>
                <w:highlight w:val="none"/>
              </w:rPr>
            </w:pPr>
          </w:p>
        </w:tc>
        <w:tc>
          <w:tcPr>
            <w:tcW w:w="1560" w:type="dxa"/>
            <w:vAlign w:val="center"/>
          </w:tcPr>
          <w:p>
            <w:pPr>
              <w:tabs>
                <w:tab w:val="left" w:pos="1069"/>
                <w:tab w:val="left" w:pos="2352"/>
              </w:tabs>
              <w:spacing w:line="360" w:lineRule="auto"/>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pPr>
              <w:tabs>
                <w:tab w:val="left" w:pos="1069"/>
                <w:tab w:val="left" w:pos="2352"/>
              </w:tabs>
              <w:spacing w:line="360" w:lineRule="auto"/>
              <w:rPr>
                <w:rFonts w:ascii="宋体" w:hAnsi="宋体" w:cs="宋体"/>
                <w:color w:val="auto"/>
                <w:sz w:val="22"/>
                <w:highlight w:val="none"/>
              </w:rPr>
            </w:pPr>
          </w:p>
        </w:tc>
        <w:tc>
          <w:tcPr>
            <w:tcW w:w="25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1080" w:type="dxa"/>
            <w:vAlign w:val="center"/>
          </w:tcPr>
          <w:p>
            <w:pPr>
              <w:tabs>
                <w:tab w:val="left" w:pos="1069"/>
                <w:tab w:val="left" w:pos="2352"/>
              </w:tabs>
              <w:spacing w:line="360" w:lineRule="auto"/>
              <w:rPr>
                <w:rFonts w:ascii="宋体" w:hAnsi="宋体" w:cs="宋体"/>
                <w:color w:val="auto"/>
                <w:sz w:val="22"/>
                <w:highlight w:val="none"/>
              </w:rPr>
            </w:pPr>
          </w:p>
        </w:tc>
        <w:tc>
          <w:tcPr>
            <w:tcW w:w="1458" w:type="dxa"/>
            <w:vAlign w:val="center"/>
          </w:tcPr>
          <w:p>
            <w:pPr>
              <w:tabs>
                <w:tab w:val="left" w:pos="1069"/>
                <w:tab w:val="left" w:pos="2352"/>
              </w:tabs>
              <w:spacing w:line="360" w:lineRule="auto"/>
              <w:rPr>
                <w:rFonts w:ascii="宋体" w:hAnsi="宋体" w:cs="宋体"/>
                <w:color w:val="auto"/>
                <w:sz w:val="22"/>
                <w:highlight w:val="none"/>
              </w:rPr>
            </w:pPr>
          </w:p>
        </w:tc>
        <w:tc>
          <w:tcPr>
            <w:tcW w:w="1560" w:type="dxa"/>
            <w:vAlign w:val="center"/>
          </w:tcPr>
          <w:p>
            <w:pPr>
              <w:tabs>
                <w:tab w:val="left" w:pos="1069"/>
                <w:tab w:val="left" w:pos="2352"/>
              </w:tabs>
              <w:spacing w:line="360" w:lineRule="auto"/>
              <w:ind w:left="5250"/>
              <w:rPr>
                <w:rFonts w:ascii="宋体" w:hAnsi="宋体" w:cs="宋体"/>
                <w:color w:val="auto"/>
                <w:spacing w:val="12"/>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pPr>
              <w:tabs>
                <w:tab w:val="left" w:pos="1069"/>
                <w:tab w:val="left" w:pos="2352"/>
              </w:tabs>
              <w:spacing w:line="360" w:lineRule="auto"/>
              <w:rPr>
                <w:rFonts w:ascii="宋体" w:hAnsi="宋体" w:cs="宋体"/>
                <w:color w:val="auto"/>
                <w:sz w:val="22"/>
                <w:highlight w:val="none"/>
              </w:rPr>
            </w:pPr>
          </w:p>
        </w:tc>
        <w:tc>
          <w:tcPr>
            <w:tcW w:w="25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1080" w:type="dxa"/>
            <w:vAlign w:val="center"/>
          </w:tcPr>
          <w:p>
            <w:pPr>
              <w:tabs>
                <w:tab w:val="left" w:pos="1069"/>
                <w:tab w:val="left" w:pos="2352"/>
              </w:tabs>
              <w:spacing w:line="360" w:lineRule="auto"/>
              <w:rPr>
                <w:rFonts w:ascii="宋体" w:hAnsi="宋体" w:cs="宋体"/>
                <w:color w:val="auto"/>
                <w:sz w:val="22"/>
                <w:highlight w:val="none"/>
              </w:rPr>
            </w:pPr>
          </w:p>
        </w:tc>
        <w:tc>
          <w:tcPr>
            <w:tcW w:w="1458" w:type="dxa"/>
            <w:vAlign w:val="center"/>
          </w:tcPr>
          <w:p>
            <w:pPr>
              <w:tabs>
                <w:tab w:val="left" w:pos="1069"/>
                <w:tab w:val="left" w:pos="2352"/>
              </w:tabs>
              <w:spacing w:line="360" w:lineRule="auto"/>
              <w:rPr>
                <w:rFonts w:ascii="宋体" w:hAnsi="宋体" w:cs="宋体"/>
                <w:color w:val="auto"/>
                <w:sz w:val="22"/>
                <w:highlight w:val="none"/>
              </w:rPr>
            </w:pPr>
          </w:p>
        </w:tc>
        <w:tc>
          <w:tcPr>
            <w:tcW w:w="1560" w:type="dxa"/>
            <w:vAlign w:val="center"/>
          </w:tcPr>
          <w:p>
            <w:pPr>
              <w:tabs>
                <w:tab w:val="left" w:pos="1069"/>
                <w:tab w:val="left" w:pos="2352"/>
              </w:tabs>
              <w:spacing w:line="360" w:lineRule="auto"/>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pPr>
              <w:tabs>
                <w:tab w:val="left" w:pos="1069"/>
                <w:tab w:val="left" w:pos="2352"/>
              </w:tabs>
              <w:spacing w:line="360" w:lineRule="auto"/>
              <w:rPr>
                <w:rFonts w:ascii="宋体" w:hAnsi="宋体" w:cs="宋体"/>
                <w:color w:val="auto"/>
                <w:sz w:val="22"/>
                <w:highlight w:val="none"/>
              </w:rPr>
            </w:pPr>
          </w:p>
        </w:tc>
        <w:tc>
          <w:tcPr>
            <w:tcW w:w="25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1080" w:type="dxa"/>
            <w:vAlign w:val="center"/>
          </w:tcPr>
          <w:p>
            <w:pPr>
              <w:tabs>
                <w:tab w:val="left" w:pos="1069"/>
                <w:tab w:val="left" w:pos="2352"/>
              </w:tabs>
              <w:spacing w:line="360" w:lineRule="auto"/>
              <w:rPr>
                <w:rFonts w:ascii="宋体" w:hAnsi="宋体" w:cs="宋体"/>
                <w:color w:val="auto"/>
                <w:sz w:val="22"/>
                <w:highlight w:val="none"/>
              </w:rPr>
            </w:pPr>
          </w:p>
        </w:tc>
        <w:tc>
          <w:tcPr>
            <w:tcW w:w="1458" w:type="dxa"/>
            <w:vAlign w:val="center"/>
          </w:tcPr>
          <w:p>
            <w:pPr>
              <w:tabs>
                <w:tab w:val="left" w:pos="1069"/>
                <w:tab w:val="left" w:pos="2352"/>
              </w:tabs>
              <w:spacing w:line="360" w:lineRule="auto"/>
              <w:rPr>
                <w:rFonts w:ascii="宋体" w:hAnsi="宋体" w:cs="宋体"/>
                <w:color w:val="auto"/>
                <w:sz w:val="22"/>
                <w:highlight w:val="none"/>
              </w:rPr>
            </w:pPr>
          </w:p>
        </w:tc>
        <w:tc>
          <w:tcPr>
            <w:tcW w:w="1560" w:type="dxa"/>
            <w:vAlign w:val="center"/>
          </w:tcPr>
          <w:p>
            <w:pPr>
              <w:tabs>
                <w:tab w:val="left" w:pos="1069"/>
                <w:tab w:val="left" w:pos="2352"/>
              </w:tabs>
              <w:spacing w:line="360" w:lineRule="auto"/>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pPr>
              <w:tabs>
                <w:tab w:val="left" w:pos="1069"/>
                <w:tab w:val="left" w:pos="2352"/>
              </w:tabs>
              <w:spacing w:line="360" w:lineRule="auto"/>
              <w:rPr>
                <w:rFonts w:ascii="宋体" w:hAnsi="宋体" w:cs="宋体"/>
                <w:color w:val="auto"/>
                <w:sz w:val="22"/>
                <w:highlight w:val="none"/>
              </w:rPr>
            </w:pPr>
          </w:p>
        </w:tc>
        <w:tc>
          <w:tcPr>
            <w:tcW w:w="25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1080" w:type="dxa"/>
            <w:vAlign w:val="center"/>
          </w:tcPr>
          <w:p>
            <w:pPr>
              <w:tabs>
                <w:tab w:val="left" w:pos="1069"/>
                <w:tab w:val="left" w:pos="2352"/>
              </w:tabs>
              <w:spacing w:line="360" w:lineRule="auto"/>
              <w:rPr>
                <w:rFonts w:ascii="宋体" w:hAnsi="宋体" w:cs="宋体"/>
                <w:color w:val="auto"/>
                <w:sz w:val="22"/>
                <w:highlight w:val="none"/>
              </w:rPr>
            </w:pPr>
          </w:p>
        </w:tc>
        <w:tc>
          <w:tcPr>
            <w:tcW w:w="1458" w:type="dxa"/>
            <w:vAlign w:val="center"/>
          </w:tcPr>
          <w:p>
            <w:pPr>
              <w:tabs>
                <w:tab w:val="left" w:pos="1069"/>
                <w:tab w:val="left" w:pos="2352"/>
              </w:tabs>
              <w:spacing w:line="360" w:lineRule="auto"/>
              <w:rPr>
                <w:rFonts w:ascii="宋体" w:hAnsi="宋体" w:cs="宋体"/>
                <w:color w:val="auto"/>
                <w:sz w:val="22"/>
                <w:highlight w:val="none"/>
              </w:rPr>
            </w:pPr>
          </w:p>
        </w:tc>
        <w:tc>
          <w:tcPr>
            <w:tcW w:w="1560" w:type="dxa"/>
            <w:vAlign w:val="center"/>
          </w:tcPr>
          <w:p>
            <w:pPr>
              <w:tabs>
                <w:tab w:val="left" w:pos="1069"/>
                <w:tab w:val="left" w:pos="2352"/>
              </w:tabs>
              <w:spacing w:line="360" w:lineRule="auto"/>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pPr>
              <w:tabs>
                <w:tab w:val="left" w:pos="1069"/>
                <w:tab w:val="left" w:pos="2352"/>
              </w:tabs>
              <w:spacing w:line="360" w:lineRule="auto"/>
              <w:rPr>
                <w:rFonts w:ascii="宋体" w:hAnsi="宋体" w:cs="宋体"/>
                <w:color w:val="auto"/>
                <w:sz w:val="22"/>
                <w:highlight w:val="none"/>
              </w:rPr>
            </w:pPr>
          </w:p>
        </w:tc>
        <w:tc>
          <w:tcPr>
            <w:tcW w:w="25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1080" w:type="dxa"/>
            <w:vAlign w:val="center"/>
          </w:tcPr>
          <w:p>
            <w:pPr>
              <w:tabs>
                <w:tab w:val="left" w:pos="1069"/>
                <w:tab w:val="left" w:pos="2352"/>
              </w:tabs>
              <w:spacing w:line="360" w:lineRule="auto"/>
              <w:rPr>
                <w:rFonts w:ascii="宋体" w:hAnsi="宋体" w:cs="宋体"/>
                <w:color w:val="auto"/>
                <w:sz w:val="22"/>
                <w:highlight w:val="none"/>
              </w:rPr>
            </w:pPr>
          </w:p>
        </w:tc>
        <w:tc>
          <w:tcPr>
            <w:tcW w:w="1458" w:type="dxa"/>
            <w:vAlign w:val="center"/>
          </w:tcPr>
          <w:p>
            <w:pPr>
              <w:tabs>
                <w:tab w:val="left" w:pos="1069"/>
                <w:tab w:val="left" w:pos="2352"/>
              </w:tabs>
              <w:spacing w:line="360" w:lineRule="auto"/>
              <w:rPr>
                <w:rFonts w:ascii="宋体" w:hAnsi="宋体" w:cs="宋体"/>
                <w:color w:val="auto"/>
                <w:sz w:val="22"/>
                <w:highlight w:val="none"/>
              </w:rPr>
            </w:pPr>
          </w:p>
        </w:tc>
        <w:tc>
          <w:tcPr>
            <w:tcW w:w="1560" w:type="dxa"/>
            <w:vAlign w:val="center"/>
          </w:tcPr>
          <w:p>
            <w:pPr>
              <w:tabs>
                <w:tab w:val="left" w:pos="1069"/>
                <w:tab w:val="left" w:pos="2352"/>
              </w:tabs>
              <w:spacing w:line="360" w:lineRule="auto"/>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pPr>
              <w:tabs>
                <w:tab w:val="left" w:pos="1069"/>
                <w:tab w:val="left" w:pos="2352"/>
              </w:tabs>
              <w:spacing w:line="360" w:lineRule="auto"/>
              <w:rPr>
                <w:rFonts w:ascii="宋体" w:hAnsi="宋体" w:cs="宋体"/>
                <w:color w:val="auto"/>
                <w:sz w:val="22"/>
                <w:highlight w:val="none"/>
              </w:rPr>
            </w:pPr>
          </w:p>
        </w:tc>
        <w:tc>
          <w:tcPr>
            <w:tcW w:w="25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1080" w:type="dxa"/>
            <w:vAlign w:val="center"/>
          </w:tcPr>
          <w:p>
            <w:pPr>
              <w:tabs>
                <w:tab w:val="left" w:pos="1069"/>
                <w:tab w:val="left" w:pos="2352"/>
              </w:tabs>
              <w:spacing w:line="360" w:lineRule="auto"/>
              <w:rPr>
                <w:rFonts w:ascii="宋体" w:hAnsi="宋体" w:cs="宋体"/>
                <w:color w:val="auto"/>
                <w:sz w:val="22"/>
                <w:highlight w:val="none"/>
              </w:rPr>
            </w:pPr>
          </w:p>
        </w:tc>
        <w:tc>
          <w:tcPr>
            <w:tcW w:w="1458" w:type="dxa"/>
            <w:vAlign w:val="center"/>
          </w:tcPr>
          <w:p>
            <w:pPr>
              <w:tabs>
                <w:tab w:val="left" w:pos="1069"/>
                <w:tab w:val="left" w:pos="2352"/>
              </w:tabs>
              <w:spacing w:line="360" w:lineRule="auto"/>
              <w:rPr>
                <w:rFonts w:ascii="宋体" w:hAnsi="宋体" w:cs="宋体"/>
                <w:color w:val="auto"/>
                <w:sz w:val="22"/>
                <w:highlight w:val="none"/>
              </w:rPr>
            </w:pPr>
          </w:p>
        </w:tc>
        <w:tc>
          <w:tcPr>
            <w:tcW w:w="1560" w:type="dxa"/>
            <w:vAlign w:val="center"/>
          </w:tcPr>
          <w:p>
            <w:pPr>
              <w:tabs>
                <w:tab w:val="left" w:pos="1069"/>
                <w:tab w:val="left" w:pos="2352"/>
              </w:tabs>
              <w:spacing w:line="360" w:lineRule="auto"/>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pPr>
              <w:tabs>
                <w:tab w:val="left" w:pos="1069"/>
                <w:tab w:val="left" w:pos="2352"/>
              </w:tabs>
              <w:spacing w:line="360" w:lineRule="auto"/>
              <w:rPr>
                <w:rFonts w:ascii="宋体" w:hAnsi="宋体" w:cs="宋体"/>
                <w:color w:val="auto"/>
                <w:sz w:val="22"/>
                <w:highlight w:val="none"/>
              </w:rPr>
            </w:pPr>
          </w:p>
        </w:tc>
        <w:tc>
          <w:tcPr>
            <w:tcW w:w="25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1080" w:type="dxa"/>
            <w:vAlign w:val="center"/>
          </w:tcPr>
          <w:p>
            <w:pPr>
              <w:tabs>
                <w:tab w:val="left" w:pos="1069"/>
                <w:tab w:val="left" w:pos="2352"/>
              </w:tabs>
              <w:spacing w:line="360" w:lineRule="auto"/>
              <w:rPr>
                <w:rFonts w:ascii="宋体" w:hAnsi="宋体" w:cs="宋体"/>
                <w:color w:val="auto"/>
                <w:sz w:val="22"/>
                <w:highlight w:val="none"/>
              </w:rPr>
            </w:pPr>
          </w:p>
        </w:tc>
        <w:tc>
          <w:tcPr>
            <w:tcW w:w="1458" w:type="dxa"/>
            <w:vAlign w:val="center"/>
          </w:tcPr>
          <w:p>
            <w:pPr>
              <w:tabs>
                <w:tab w:val="left" w:pos="1069"/>
                <w:tab w:val="left" w:pos="2352"/>
              </w:tabs>
              <w:spacing w:line="360" w:lineRule="auto"/>
              <w:rPr>
                <w:rFonts w:ascii="宋体" w:hAnsi="宋体" w:cs="宋体"/>
                <w:color w:val="auto"/>
                <w:sz w:val="22"/>
                <w:highlight w:val="none"/>
              </w:rPr>
            </w:pPr>
          </w:p>
        </w:tc>
        <w:tc>
          <w:tcPr>
            <w:tcW w:w="1560" w:type="dxa"/>
            <w:vAlign w:val="center"/>
          </w:tcPr>
          <w:p>
            <w:pPr>
              <w:tabs>
                <w:tab w:val="left" w:pos="1069"/>
                <w:tab w:val="left" w:pos="2352"/>
              </w:tabs>
              <w:spacing w:line="360" w:lineRule="auto"/>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pPr>
              <w:tabs>
                <w:tab w:val="left" w:pos="1069"/>
                <w:tab w:val="left" w:pos="2352"/>
              </w:tabs>
              <w:spacing w:line="360" w:lineRule="auto"/>
              <w:rPr>
                <w:rFonts w:ascii="宋体" w:hAnsi="宋体" w:cs="宋体"/>
                <w:color w:val="auto"/>
                <w:sz w:val="22"/>
                <w:highlight w:val="none"/>
              </w:rPr>
            </w:pPr>
          </w:p>
        </w:tc>
        <w:tc>
          <w:tcPr>
            <w:tcW w:w="25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1080" w:type="dxa"/>
            <w:vAlign w:val="center"/>
          </w:tcPr>
          <w:p>
            <w:pPr>
              <w:tabs>
                <w:tab w:val="left" w:pos="1069"/>
                <w:tab w:val="left" w:pos="2352"/>
              </w:tabs>
              <w:spacing w:line="360" w:lineRule="auto"/>
              <w:rPr>
                <w:rFonts w:ascii="宋体" w:hAnsi="宋体" w:cs="宋体"/>
                <w:color w:val="auto"/>
                <w:sz w:val="22"/>
                <w:highlight w:val="none"/>
              </w:rPr>
            </w:pPr>
          </w:p>
        </w:tc>
        <w:tc>
          <w:tcPr>
            <w:tcW w:w="1458" w:type="dxa"/>
            <w:vAlign w:val="center"/>
          </w:tcPr>
          <w:p>
            <w:pPr>
              <w:tabs>
                <w:tab w:val="left" w:pos="1069"/>
                <w:tab w:val="left" w:pos="2352"/>
              </w:tabs>
              <w:spacing w:line="360" w:lineRule="auto"/>
              <w:rPr>
                <w:rFonts w:ascii="宋体" w:hAnsi="宋体" w:cs="宋体"/>
                <w:color w:val="auto"/>
                <w:sz w:val="22"/>
                <w:highlight w:val="none"/>
              </w:rPr>
            </w:pPr>
          </w:p>
        </w:tc>
        <w:tc>
          <w:tcPr>
            <w:tcW w:w="1560" w:type="dxa"/>
            <w:vAlign w:val="center"/>
          </w:tcPr>
          <w:p>
            <w:pPr>
              <w:tabs>
                <w:tab w:val="left" w:pos="1069"/>
                <w:tab w:val="left" w:pos="2352"/>
              </w:tabs>
              <w:spacing w:line="360" w:lineRule="auto"/>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pPr>
              <w:tabs>
                <w:tab w:val="left" w:pos="1069"/>
                <w:tab w:val="left" w:pos="2352"/>
              </w:tabs>
              <w:spacing w:line="360" w:lineRule="auto"/>
              <w:rPr>
                <w:rFonts w:ascii="宋体" w:hAnsi="宋体" w:cs="宋体"/>
                <w:color w:val="auto"/>
                <w:sz w:val="22"/>
                <w:highlight w:val="none"/>
              </w:rPr>
            </w:pPr>
          </w:p>
        </w:tc>
        <w:tc>
          <w:tcPr>
            <w:tcW w:w="25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1080" w:type="dxa"/>
            <w:vAlign w:val="center"/>
          </w:tcPr>
          <w:p>
            <w:pPr>
              <w:tabs>
                <w:tab w:val="left" w:pos="1069"/>
                <w:tab w:val="left" w:pos="2352"/>
              </w:tabs>
              <w:spacing w:line="360" w:lineRule="auto"/>
              <w:rPr>
                <w:rFonts w:ascii="宋体" w:hAnsi="宋体" w:cs="宋体"/>
                <w:color w:val="auto"/>
                <w:sz w:val="22"/>
                <w:highlight w:val="none"/>
              </w:rPr>
            </w:pPr>
          </w:p>
        </w:tc>
        <w:tc>
          <w:tcPr>
            <w:tcW w:w="1458" w:type="dxa"/>
            <w:vAlign w:val="center"/>
          </w:tcPr>
          <w:p>
            <w:pPr>
              <w:tabs>
                <w:tab w:val="left" w:pos="1069"/>
                <w:tab w:val="left" w:pos="2352"/>
              </w:tabs>
              <w:spacing w:line="360" w:lineRule="auto"/>
              <w:rPr>
                <w:rFonts w:ascii="宋体" w:hAnsi="宋体" w:cs="宋体"/>
                <w:color w:val="auto"/>
                <w:sz w:val="22"/>
                <w:highlight w:val="none"/>
              </w:rPr>
            </w:pPr>
          </w:p>
        </w:tc>
        <w:tc>
          <w:tcPr>
            <w:tcW w:w="1560" w:type="dxa"/>
            <w:vAlign w:val="center"/>
          </w:tcPr>
          <w:p>
            <w:pPr>
              <w:tabs>
                <w:tab w:val="left" w:pos="1069"/>
                <w:tab w:val="left" w:pos="2352"/>
              </w:tabs>
              <w:spacing w:line="360" w:lineRule="auto"/>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pPr>
              <w:tabs>
                <w:tab w:val="left" w:pos="1069"/>
                <w:tab w:val="left" w:pos="2352"/>
              </w:tabs>
              <w:spacing w:line="360" w:lineRule="auto"/>
              <w:rPr>
                <w:rFonts w:ascii="宋体" w:hAnsi="宋体" w:cs="宋体"/>
                <w:color w:val="auto"/>
                <w:sz w:val="22"/>
                <w:highlight w:val="none"/>
              </w:rPr>
            </w:pPr>
          </w:p>
        </w:tc>
        <w:tc>
          <w:tcPr>
            <w:tcW w:w="25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1080" w:type="dxa"/>
            <w:vAlign w:val="center"/>
          </w:tcPr>
          <w:p>
            <w:pPr>
              <w:tabs>
                <w:tab w:val="left" w:pos="1069"/>
                <w:tab w:val="left" w:pos="2352"/>
              </w:tabs>
              <w:spacing w:line="360" w:lineRule="auto"/>
              <w:rPr>
                <w:rFonts w:ascii="宋体" w:hAnsi="宋体" w:cs="宋体"/>
                <w:color w:val="auto"/>
                <w:sz w:val="22"/>
                <w:highlight w:val="none"/>
              </w:rPr>
            </w:pPr>
          </w:p>
        </w:tc>
        <w:tc>
          <w:tcPr>
            <w:tcW w:w="1458" w:type="dxa"/>
            <w:vAlign w:val="center"/>
          </w:tcPr>
          <w:p>
            <w:pPr>
              <w:tabs>
                <w:tab w:val="left" w:pos="1069"/>
                <w:tab w:val="left" w:pos="2352"/>
              </w:tabs>
              <w:spacing w:line="360" w:lineRule="auto"/>
              <w:rPr>
                <w:rFonts w:ascii="宋体" w:hAnsi="宋体" w:cs="宋体"/>
                <w:color w:val="auto"/>
                <w:sz w:val="22"/>
                <w:highlight w:val="none"/>
              </w:rPr>
            </w:pPr>
          </w:p>
        </w:tc>
        <w:tc>
          <w:tcPr>
            <w:tcW w:w="1560" w:type="dxa"/>
            <w:vAlign w:val="center"/>
          </w:tcPr>
          <w:p>
            <w:pPr>
              <w:tabs>
                <w:tab w:val="left" w:pos="1069"/>
                <w:tab w:val="left" w:pos="2352"/>
              </w:tabs>
              <w:spacing w:line="360" w:lineRule="auto"/>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pPr>
              <w:tabs>
                <w:tab w:val="left" w:pos="1069"/>
                <w:tab w:val="left" w:pos="2352"/>
              </w:tabs>
              <w:spacing w:line="360" w:lineRule="auto"/>
              <w:rPr>
                <w:rFonts w:ascii="宋体" w:hAnsi="宋体" w:cs="宋体"/>
                <w:color w:val="auto"/>
                <w:sz w:val="22"/>
                <w:highlight w:val="none"/>
              </w:rPr>
            </w:pPr>
          </w:p>
        </w:tc>
        <w:tc>
          <w:tcPr>
            <w:tcW w:w="25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1080" w:type="dxa"/>
            <w:vAlign w:val="center"/>
          </w:tcPr>
          <w:p>
            <w:pPr>
              <w:tabs>
                <w:tab w:val="left" w:pos="1069"/>
                <w:tab w:val="left" w:pos="2352"/>
              </w:tabs>
              <w:spacing w:line="360" w:lineRule="auto"/>
              <w:rPr>
                <w:rFonts w:ascii="宋体" w:hAnsi="宋体" w:cs="宋体"/>
                <w:color w:val="auto"/>
                <w:sz w:val="22"/>
                <w:highlight w:val="none"/>
              </w:rPr>
            </w:pPr>
          </w:p>
        </w:tc>
        <w:tc>
          <w:tcPr>
            <w:tcW w:w="1458" w:type="dxa"/>
            <w:vAlign w:val="center"/>
          </w:tcPr>
          <w:p>
            <w:pPr>
              <w:tabs>
                <w:tab w:val="left" w:pos="1069"/>
                <w:tab w:val="left" w:pos="2352"/>
              </w:tabs>
              <w:spacing w:line="360" w:lineRule="auto"/>
              <w:rPr>
                <w:rFonts w:ascii="宋体" w:hAnsi="宋体" w:cs="宋体"/>
                <w:color w:val="auto"/>
                <w:sz w:val="22"/>
                <w:highlight w:val="none"/>
              </w:rPr>
            </w:pPr>
          </w:p>
        </w:tc>
        <w:tc>
          <w:tcPr>
            <w:tcW w:w="1560" w:type="dxa"/>
            <w:vAlign w:val="center"/>
          </w:tcPr>
          <w:p>
            <w:pPr>
              <w:tabs>
                <w:tab w:val="left" w:pos="1069"/>
                <w:tab w:val="left" w:pos="2352"/>
              </w:tabs>
              <w:spacing w:line="360" w:lineRule="auto"/>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pPr>
              <w:tabs>
                <w:tab w:val="left" w:pos="1069"/>
                <w:tab w:val="left" w:pos="2352"/>
              </w:tabs>
              <w:spacing w:line="360" w:lineRule="auto"/>
              <w:rPr>
                <w:rFonts w:ascii="宋体" w:hAnsi="宋体" w:cs="宋体"/>
                <w:color w:val="auto"/>
                <w:sz w:val="22"/>
                <w:highlight w:val="none"/>
              </w:rPr>
            </w:pPr>
          </w:p>
        </w:tc>
        <w:tc>
          <w:tcPr>
            <w:tcW w:w="25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1080" w:type="dxa"/>
            <w:vAlign w:val="center"/>
          </w:tcPr>
          <w:p>
            <w:pPr>
              <w:tabs>
                <w:tab w:val="left" w:pos="1069"/>
                <w:tab w:val="left" w:pos="2352"/>
              </w:tabs>
              <w:spacing w:line="360" w:lineRule="auto"/>
              <w:rPr>
                <w:rFonts w:ascii="宋体" w:hAnsi="宋体" w:cs="宋体"/>
                <w:color w:val="auto"/>
                <w:sz w:val="22"/>
                <w:highlight w:val="none"/>
              </w:rPr>
            </w:pPr>
          </w:p>
        </w:tc>
        <w:tc>
          <w:tcPr>
            <w:tcW w:w="1458" w:type="dxa"/>
            <w:vAlign w:val="center"/>
          </w:tcPr>
          <w:p>
            <w:pPr>
              <w:tabs>
                <w:tab w:val="left" w:pos="1069"/>
                <w:tab w:val="left" w:pos="2352"/>
              </w:tabs>
              <w:spacing w:line="360" w:lineRule="auto"/>
              <w:rPr>
                <w:rFonts w:ascii="宋体" w:hAnsi="宋体" w:cs="宋体"/>
                <w:color w:val="auto"/>
                <w:sz w:val="22"/>
                <w:highlight w:val="none"/>
              </w:rPr>
            </w:pPr>
          </w:p>
        </w:tc>
        <w:tc>
          <w:tcPr>
            <w:tcW w:w="1560" w:type="dxa"/>
            <w:vAlign w:val="center"/>
          </w:tcPr>
          <w:p>
            <w:pPr>
              <w:tabs>
                <w:tab w:val="left" w:pos="1069"/>
                <w:tab w:val="left" w:pos="2352"/>
              </w:tabs>
              <w:spacing w:line="360" w:lineRule="auto"/>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pPr>
              <w:tabs>
                <w:tab w:val="left" w:pos="1069"/>
                <w:tab w:val="left" w:pos="2352"/>
              </w:tabs>
              <w:spacing w:line="360" w:lineRule="auto"/>
              <w:rPr>
                <w:rFonts w:ascii="宋体" w:hAnsi="宋体" w:cs="宋体"/>
                <w:color w:val="auto"/>
                <w:sz w:val="22"/>
                <w:highlight w:val="none"/>
              </w:rPr>
            </w:pPr>
          </w:p>
        </w:tc>
        <w:tc>
          <w:tcPr>
            <w:tcW w:w="25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1080" w:type="dxa"/>
            <w:vAlign w:val="center"/>
          </w:tcPr>
          <w:p>
            <w:pPr>
              <w:tabs>
                <w:tab w:val="left" w:pos="1069"/>
                <w:tab w:val="left" w:pos="2352"/>
              </w:tabs>
              <w:spacing w:line="360" w:lineRule="auto"/>
              <w:rPr>
                <w:rFonts w:ascii="宋体" w:hAnsi="宋体" w:cs="宋体"/>
                <w:color w:val="auto"/>
                <w:sz w:val="22"/>
                <w:highlight w:val="none"/>
              </w:rPr>
            </w:pPr>
          </w:p>
        </w:tc>
        <w:tc>
          <w:tcPr>
            <w:tcW w:w="1458" w:type="dxa"/>
            <w:vAlign w:val="center"/>
          </w:tcPr>
          <w:p>
            <w:pPr>
              <w:tabs>
                <w:tab w:val="left" w:pos="1069"/>
                <w:tab w:val="left" w:pos="2352"/>
              </w:tabs>
              <w:spacing w:line="360" w:lineRule="auto"/>
              <w:rPr>
                <w:rFonts w:ascii="宋体" w:hAnsi="宋体" w:cs="宋体"/>
                <w:color w:val="auto"/>
                <w:sz w:val="22"/>
                <w:highlight w:val="none"/>
              </w:rPr>
            </w:pPr>
          </w:p>
        </w:tc>
        <w:tc>
          <w:tcPr>
            <w:tcW w:w="1560" w:type="dxa"/>
            <w:vAlign w:val="center"/>
          </w:tcPr>
          <w:p>
            <w:pPr>
              <w:tabs>
                <w:tab w:val="left" w:pos="1069"/>
                <w:tab w:val="left" w:pos="2352"/>
              </w:tabs>
              <w:spacing w:line="360" w:lineRule="auto"/>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pPr>
              <w:tabs>
                <w:tab w:val="left" w:pos="1069"/>
                <w:tab w:val="left" w:pos="2352"/>
              </w:tabs>
              <w:spacing w:line="360" w:lineRule="auto"/>
              <w:rPr>
                <w:rFonts w:ascii="宋体" w:hAnsi="宋体" w:cs="宋体"/>
                <w:color w:val="auto"/>
                <w:sz w:val="22"/>
                <w:highlight w:val="none"/>
              </w:rPr>
            </w:pPr>
          </w:p>
        </w:tc>
        <w:tc>
          <w:tcPr>
            <w:tcW w:w="25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1080" w:type="dxa"/>
            <w:vAlign w:val="center"/>
          </w:tcPr>
          <w:p>
            <w:pPr>
              <w:tabs>
                <w:tab w:val="left" w:pos="1069"/>
                <w:tab w:val="left" w:pos="2352"/>
              </w:tabs>
              <w:spacing w:line="360" w:lineRule="auto"/>
              <w:rPr>
                <w:rFonts w:ascii="宋体" w:hAnsi="宋体" w:cs="宋体"/>
                <w:color w:val="auto"/>
                <w:sz w:val="22"/>
                <w:highlight w:val="none"/>
              </w:rPr>
            </w:pPr>
          </w:p>
        </w:tc>
        <w:tc>
          <w:tcPr>
            <w:tcW w:w="1458" w:type="dxa"/>
            <w:vAlign w:val="center"/>
          </w:tcPr>
          <w:p>
            <w:pPr>
              <w:tabs>
                <w:tab w:val="left" w:pos="1069"/>
                <w:tab w:val="left" w:pos="2352"/>
              </w:tabs>
              <w:spacing w:line="360" w:lineRule="auto"/>
              <w:rPr>
                <w:rFonts w:ascii="宋体" w:hAnsi="宋体" w:cs="宋体"/>
                <w:color w:val="auto"/>
                <w:sz w:val="22"/>
                <w:highlight w:val="none"/>
              </w:rPr>
            </w:pPr>
          </w:p>
        </w:tc>
        <w:tc>
          <w:tcPr>
            <w:tcW w:w="1560" w:type="dxa"/>
            <w:vAlign w:val="center"/>
          </w:tcPr>
          <w:p>
            <w:pPr>
              <w:tabs>
                <w:tab w:val="left" w:pos="1069"/>
                <w:tab w:val="left" w:pos="2352"/>
              </w:tabs>
              <w:spacing w:line="360" w:lineRule="auto"/>
              <w:rPr>
                <w:rFonts w:ascii="宋体" w:hAnsi="宋体" w:cs="宋体"/>
                <w:color w:val="auto"/>
                <w:sz w:val="22"/>
                <w:highlight w:val="none"/>
              </w:rPr>
            </w:pPr>
          </w:p>
        </w:tc>
      </w:tr>
    </w:tbl>
    <w:p>
      <w:pPr>
        <w:tabs>
          <w:tab w:val="left" w:pos="1069"/>
          <w:tab w:val="left" w:pos="2352"/>
        </w:tabs>
        <w:spacing w:line="360" w:lineRule="exact"/>
        <w:ind w:left="985" w:hanging="981" w:hangingChars="440"/>
        <w:rPr>
          <w:rFonts w:ascii="宋体" w:hAnsi="宋体" w:cs="宋体"/>
          <w:color w:val="auto"/>
          <w:sz w:val="22"/>
          <w:highlight w:val="none"/>
        </w:rPr>
      </w:pPr>
      <w:r>
        <w:rPr>
          <w:rFonts w:hint="eastAsia" w:ascii="宋体" w:hAnsi="宋体" w:cs="宋体"/>
          <w:color w:val="auto"/>
          <w:sz w:val="22"/>
          <w:highlight w:val="none"/>
        </w:rPr>
        <w:t>注：  1. 项目负责人及其他服务人员均应列入；</w:t>
      </w:r>
    </w:p>
    <w:p>
      <w:pPr>
        <w:tabs>
          <w:tab w:val="left" w:pos="1069"/>
          <w:tab w:val="left" w:pos="2352"/>
        </w:tabs>
        <w:spacing w:line="360" w:lineRule="exact"/>
        <w:ind w:left="727" w:leftChars="321" w:hanging="44" w:hangingChars="20"/>
        <w:rPr>
          <w:rFonts w:ascii="宋体" w:hAnsi="宋体" w:cs="宋体"/>
          <w:color w:val="auto"/>
          <w:sz w:val="22"/>
          <w:highlight w:val="none"/>
        </w:rPr>
      </w:pPr>
      <w:r>
        <w:rPr>
          <w:rFonts w:hint="eastAsia" w:ascii="宋体" w:hAnsi="宋体" w:cs="宋体"/>
          <w:color w:val="auto"/>
          <w:sz w:val="22"/>
          <w:highlight w:val="none"/>
        </w:rPr>
        <w:t>2. 列入本表人员如要更换，需经采购人同意，擅自更换或不到位属违约行为；</w:t>
      </w:r>
    </w:p>
    <w:p>
      <w:pPr>
        <w:tabs>
          <w:tab w:val="left" w:pos="1069"/>
          <w:tab w:val="left" w:pos="2352"/>
        </w:tabs>
        <w:spacing w:line="360" w:lineRule="exact"/>
        <w:ind w:left="727" w:leftChars="321" w:hanging="44" w:hangingChars="20"/>
        <w:rPr>
          <w:rFonts w:ascii="宋体" w:hAnsi="宋体" w:cs="宋体"/>
          <w:color w:val="auto"/>
          <w:sz w:val="22"/>
          <w:highlight w:val="none"/>
        </w:rPr>
      </w:pPr>
      <w:r>
        <w:rPr>
          <w:rFonts w:hint="eastAsia" w:ascii="宋体" w:hAnsi="宋体" w:cs="宋体"/>
          <w:color w:val="auto"/>
          <w:sz w:val="22"/>
          <w:highlight w:val="none"/>
        </w:rPr>
        <w:t>3. 职称证书、执业资格证书、职业水平证书等人员证件复印件附后（如有）。</w:t>
      </w:r>
    </w:p>
    <w:p>
      <w:pPr>
        <w:tabs>
          <w:tab w:val="left" w:pos="1069"/>
          <w:tab w:val="left" w:pos="2352"/>
        </w:tabs>
        <w:spacing w:line="360" w:lineRule="exact"/>
        <w:ind w:left="727" w:leftChars="321" w:hanging="44" w:hangingChars="20"/>
        <w:rPr>
          <w:rFonts w:ascii="宋体" w:hAnsi="宋体" w:cs="宋体"/>
          <w:color w:val="auto"/>
          <w:sz w:val="22"/>
          <w:highlight w:val="none"/>
        </w:rPr>
      </w:pPr>
      <w:r>
        <w:rPr>
          <w:rFonts w:hint="eastAsia" w:ascii="宋体" w:hAnsi="宋体" w:cs="宋体"/>
          <w:color w:val="auto"/>
          <w:sz w:val="22"/>
          <w:highlight w:val="none"/>
        </w:rPr>
        <w:t>4.表格可以延续。</w:t>
      </w:r>
    </w:p>
    <w:p>
      <w:pPr>
        <w:pStyle w:val="11"/>
        <w:tabs>
          <w:tab w:val="left" w:pos="1069"/>
          <w:tab w:val="left" w:pos="2352"/>
        </w:tabs>
        <w:spacing w:line="440" w:lineRule="atLeast"/>
        <w:rPr>
          <w:rFonts w:hAnsi="宋体" w:cs="宋体"/>
          <w:color w:val="auto"/>
          <w:sz w:val="22"/>
          <w:szCs w:val="22"/>
          <w:highlight w:val="none"/>
        </w:rPr>
      </w:pPr>
      <w:r>
        <w:rPr>
          <w:rFonts w:hint="eastAsia" w:hAnsi="宋体" w:cs="宋体"/>
          <w:color w:val="auto"/>
          <w:sz w:val="22"/>
          <w:szCs w:val="22"/>
          <w:highlight w:val="none"/>
        </w:rPr>
        <w:t>供应商全称：（盖章）</w:t>
      </w:r>
    </w:p>
    <w:p>
      <w:pPr>
        <w:pStyle w:val="11"/>
        <w:tabs>
          <w:tab w:val="left" w:pos="1069"/>
          <w:tab w:val="left" w:pos="2352"/>
        </w:tabs>
        <w:spacing w:line="440" w:lineRule="atLeast"/>
        <w:rPr>
          <w:rFonts w:hAnsi="宋体" w:cs="宋体"/>
          <w:color w:val="auto"/>
          <w:sz w:val="22"/>
          <w:szCs w:val="22"/>
          <w:highlight w:val="none"/>
          <w:lang w:val="zh-CN"/>
        </w:rPr>
      </w:pPr>
      <w:r>
        <w:rPr>
          <w:rFonts w:hint="eastAsia" w:hAnsi="宋体" w:cs="宋体"/>
          <w:color w:val="auto"/>
          <w:sz w:val="22"/>
          <w:szCs w:val="22"/>
          <w:highlight w:val="none"/>
        </w:rPr>
        <w:t>法定代表人（签字或盖章）或</w:t>
      </w:r>
      <w:r>
        <w:rPr>
          <w:rFonts w:hint="eastAsia" w:hAnsi="宋体" w:cs="宋体"/>
          <w:color w:val="auto"/>
          <w:sz w:val="22"/>
          <w:szCs w:val="22"/>
          <w:highlight w:val="none"/>
          <w:lang w:val="zh-CN"/>
        </w:rPr>
        <w:t>授权代表（签字）：</w:t>
      </w:r>
    </w:p>
    <w:p>
      <w:pPr>
        <w:pStyle w:val="11"/>
        <w:tabs>
          <w:tab w:val="left" w:pos="1069"/>
          <w:tab w:val="left" w:pos="2352"/>
        </w:tabs>
        <w:spacing w:line="360" w:lineRule="exact"/>
        <w:jc w:val="left"/>
        <w:rPr>
          <w:rFonts w:hAnsi="宋体" w:cs="宋体"/>
          <w:color w:val="auto"/>
          <w:sz w:val="22"/>
          <w:szCs w:val="22"/>
          <w:highlight w:val="none"/>
        </w:rPr>
      </w:pPr>
      <w:r>
        <w:rPr>
          <w:rFonts w:hint="eastAsia" w:hAnsi="宋体" w:cs="宋体"/>
          <w:color w:val="auto"/>
          <w:sz w:val="22"/>
          <w:szCs w:val="22"/>
          <w:highlight w:val="none"/>
        </w:rPr>
        <w:t>日期：</w:t>
      </w:r>
    </w:p>
    <w:p>
      <w:pPr>
        <w:tabs>
          <w:tab w:val="left" w:pos="1069"/>
          <w:tab w:val="left" w:pos="2352"/>
        </w:tabs>
        <w:spacing w:line="360" w:lineRule="exact"/>
        <w:jc w:val="left"/>
        <w:rPr>
          <w:rFonts w:ascii="宋体" w:hAnsi="宋体" w:cs="宋体"/>
          <w:color w:val="auto"/>
          <w:sz w:val="30"/>
          <w:highlight w:val="none"/>
        </w:rPr>
      </w:pPr>
    </w:p>
    <w:p>
      <w:pPr>
        <w:tabs>
          <w:tab w:val="left" w:pos="1069"/>
          <w:tab w:val="left" w:pos="2352"/>
        </w:tabs>
        <w:spacing w:line="360" w:lineRule="exact"/>
        <w:jc w:val="left"/>
        <w:rPr>
          <w:rFonts w:ascii="宋体" w:hAnsi="宋体" w:cs="宋体"/>
          <w:b/>
          <w:bCs/>
          <w:color w:val="auto"/>
          <w:sz w:val="30"/>
          <w:highlight w:val="none"/>
        </w:rPr>
      </w:pPr>
    </w:p>
    <w:p>
      <w:pPr>
        <w:tabs>
          <w:tab w:val="left" w:pos="1069"/>
          <w:tab w:val="left" w:pos="2352"/>
        </w:tabs>
        <w:spacing w:line="360" w:lineRule="exact"/>
        <w:jc w:val="left"/>
        <w:rPr>
          <w:rFonts w:ascii="宋体" w:hAnsi="宋体" w:cs="宋体"/>
          <w:b/>
          <w:bCs/>
          <w:color w:val="auto"/>
          <w:szCs w:val="21"/>
          <w:highlight w:val="none"/>
        </w:rPr>
      </w:pPr>
      <w:r>
        <w:rPr>
          <w:rFonts w:hint="eastAsia" w:ascii="宋体" w:hAnsi="宋体" w:cs="宋体"/>
          <w:b/>
          <w:bCs/>
          <w:color w:val="auto"/>
          <w:sz w:val="30"/>
          <w:highlight w:val="none"/>
        </w:rPr>
        <w:t>附件十一</w:t>
      </w:r>
    </w:p>
    <w:p>
      <w:pPr>
        <w:tabs>
          <w:tab w:val="left" w:pos="1069"/>
          <w:tab w:val="left" w:pos="2352"/>
        </w:tabs>
        <w:autoSpaceDE w:val="0"/>
        <w:autoSpaceDN w:val="0"/>
        <w:adjustRightInd w:val="0"/>
        <w:spacing w:line="500" w:lineRule="atLeast"/>
        <w:jc w:val="center"/>
        <w:rPr>
          <w:rFonts w:ascii="宋体" w:hAnsi="宋体" w:cs="宋体"/>
          <w:b/>
          <w:bCs/>
          <w:color w:val="auto"/>
          <w:sz w:val="32"/>
          <w:highlight w:val="none"/>
        </w:rPr>
      </w:pPr>
      <w:bookmarkStart w:id="90" w:name="_Toc28287_WPSOffice_Level3"/>
      <w:r>
        <w:rPr>
          <w:rFonts w:hint="eastAsia" w:ascii="宋体" w:hAnsi="宋体" w:cs="宋体"/>
          <w:b/>
          <w:bCs/>
          <w:color w:val="auto"/>
          <w:sz w:val="32"/>
          <w:highlight w:val="none"/>
        </w:rPr>
        <w:t>供应商项目业绩清单</w:t>
      </w:r>
      <w:bookmarkEnd w:id="90"/>
    </w:p>
    <w:p>
      <w:pPr>
        <w:pStyle w:val="11"/>
        <w:tabs>
          <w:tab w:val="left" w:pos="1069"/>
          <w:tab w:val="left" w:pos="2352"/>
        </w:tabs>
        <w:spacing w:line="360" w:lineRule="exact"/>
        <w:jc w:val="center"/>
        <w:rPr>
          <w:rFonts w:hAnsi="宋体" w:cs="宋体"/>
          <w:color w:val="auto"/>
          <w:sz w:val="22"/>
          <w:highlight w:val="none"/>
        </w:rPr>
      </w:pPr>
    </w:p>
    <w:tbl>
      <w:tblPr>
        <w:tblStyle w:val="24"/>
        <w:tblW w:w="0" w:type="auto"/>
        <w:tblInd w:w="94"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6"/>
        <w:gridCol w:w="1153"/>
        <w:gridCol w:w="1154"/>
        <w:gridCol w:w="1154"/>
        <w:gridCol w:w="1154"/>
        <w:gridCol w:w="1154"/>
        <w:gridCol w:w="1154"/>
        <w:gridCol w:w="1154"/>
        <w:gridCol w:w="77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756" w:type="dxa"/>
            <w:tcBorders>
              <w:top w:val="double" w:color="000000" w:sz="6" w:space="0"/>
            </w:tcBorders>
          </w:tcPr>
          <w:p>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序号</w:t>
            </w:r>
          </w:p>
        </w:tc>
        <w:tc>
          <w:tcPr>
            <w:tcW w:w="1153" w:type="dxa"/>
            <w:tcBorders>
              <w:top w:val="double" w:color="000000" w:sz="6" w:space="0"/>
            </w:tcBorders>
          </w:tcPr>
          <w:p>
            <w:pPr>
              <w:tabs>
                <w:tab w:val="left" w:pos="1069"/>
                <w:tab w:val="left" w:pos="2352"/>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采购</w:t>
            </w:r>
          </w:p>
          <w:p>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olor w:val="auto"/>
                <w:spacing w:val="20"/>
                <w:sz w:val="22"/>
                <w:highlight w:val="none"/>
              </w:rPr>
              <w:t>单位</w:t>
            </w:r>
          </w:p>
        </w:tc>
        <w:tc>
          <w:tcPr>
            <w:tcW w:w="1154" w:type="dxa"/>
            <w:tcBorders>
              <w:top w:val="double" w:color="000000" w:sz="6" w:space="0"/>
            </w:tcBorders>
          </w:tcPr>
          <w:p>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项目</w:t>
            </w:r>
          </w:p>
          <w:p>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名称</w:t>
            </w:r>
          </w:p>
        </w:tc>
        <w:tc>
          <w:tcPr>
            <w:tcW w:w="1154" w:type="dxa"/>
            <w:tcBorders>
              <w:top w:val="double" w:color="000000" w:sz="6" w:space="0"/>
            </w:tcBorders>
          </w:tcPr>
          <w:p>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数量</w:t>
            </w:r>
          </w:p>
        </w:tc>
        <w:tc>
          <w:tcPr>
            <w:tcW w:w="1154" w:type="dxa"/>
            <w:tcBorders>
              <w:top w:val="double" w:color="000000" w:sz="6" w:space="0"/>
            </w:tcBorders>
          </w:tcPr>
          <w:p>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合同</w:t>
            </w:r>
          </w:p>
          <w:p>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金额</w:t>
            </w:r>
          </w:p>
        </w:tc>
        <w:tc>
          <w:tcPr>
            <w:tcW w:w="1154" w:type="dxa"/>
            <w:tcBorders>
              <w:top w:val="double" w:color="000000" w:sz="6" w:space="0"/>
            </w:tcBorders>
          </w:tcPr>
          <w:p>
            <w:pPr>
              <w:tabs>
                <w:tab w:val="left" w:pos="1069"/>
                <w:tab w:val="left" w:pos="2352"/>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签约</w:t>
            </w:r>
          </w:p>
          <w:p>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olor w:val="auto"/>
                <w:spacing w:val="20"/>
                <w:sz w:val="22"/>
                <w:highlight w:val="none"/>
              </w:rPr>
              <w:t>日期</w:t>
            </w:r>
          </w:p>
        </w:tc>
        <w:tc>
          <w:tcPr>
            <w:tcW w:w="1154" w:type="dxa"/>
            <w:tcBorders>
              <w:top w:val="double" w:color="000000" w:sz="6" w:space="0"/>
            </w:tcBorders>
          </w:tcPr>
          <w:p>
            <w:pPr>
              <w:tabs>
                <w:tab w:val="left" w:pos="1069"/>
                <w:tab w:val="left" w:pos="2352"/>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联系人</w:t>
            </w:r>
          </w:p>
        </w:tc>
        <w:tc>
          <w:tcPr>
            <w:tcW w:w="1154" w:type="dxa"/>
            <w:tcBorders>
              <w:top w:val="double" w:color="000000" w:sz="6" w:space="0"/>
            </w:tcBorders>
          </w:tcPr>
          <w:p>
            <w:pPr>
              <w:tabs>
                <w:tab w:val="left" w:pos="1069"/>
                <w:tab w:val="left" w:pos="2352"/>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联系</w:t>
            </w:r>
          </w:p>
          <w:p>
            <w:pPr>
              <w:tabs>
                <w:tab w:val="left" w:pos="1069"/>
                <w:tab w:val="left" w:pos="2352"/>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电话</w:t>
            </w:r>
          </w:p>
        </w:tc>
        <w:tc>
          <w:tcPr>
            <w:tcW w:w="770" w:type="dxa"/>
            <w:tcBorders>
              <w:top w:val="double" w:color="000000" w:sz="6" w:space="0"/>
            </w:tcBorders>
          </w:tcPr>
          <w:p>
            <w:pPr>
              <w:tabs>
                <w:tab w:val="left" w:pos="1069"/>
                <w:tab w:val="left" w:pos="2352"/>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Borders>
              <w:bottom w:val="double" w:color="000000" w:sz="6" w:space="0"/>
            </w:tcBorders>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Borders>
              <w:bottom w:val="double" w:color="000000" w:sz="6" w:space="0"/>
            </w:tcBorders>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Borders>
              <w:bottom w:val="double" w:color="000000" w:sz="6" w:space="0"/>
            </w:tcBorders>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bl>
    <w:p>
      <w:pPr>
        <w:pStyle w:val="11"/>
        <w:tabs>
          <w:tab w:val="left" w:pos="1069"/>
          <w:tab w:val="left" w:pos="2352"/>
        </w:tabs>
        <w:spacing w:line="360" w:lineRule="exact"/>
        <w:rPr>
          <w:rFonts w:hAnsi="宋体" w:cs="宋体"/>
          <w:b/>
          <w:bCs/>
          <w:color w:val="auto"/>
          <w:sz w:val="32"/>
          <w:highlight w:val="none"/>
        </w:rPr>
      </w:pPr>
      <w:r>
        <w:rPr>
          <w:rFonts w:hint="eastAsia" w:hAnsi="宋体" w:cs="宋体"/>
          <w:color w:val="auto"/>
          <w:sz w:val="22"/>
          <w:highlight w:val="none"/>
        </w:rPr>
        <w:t>本表后附相关证明材料，证明材料以第七部分评审细则中的要求为准。</w:t>
      </w:r>
    </w:p>
    <w:p>
      <w:pPr>
        <w:tabs>
          <w:tab w:val="left" w:pos="1069"/>
          <w:tab w:val="left" w:pos="2352"/>
        </w:tabs>
        <w:rPr>
          <w:rFonts w:ascii="宋体" w:hAnsi="宋体" w:cs="宋体"/>
          <w:color w:val="auto"/>
          <w:spacing w:val="20"/>
          <w:sz w:val="22"/>
          <w:highlight w:val="none"/>
        </w:rPr>
      </w:pPr>
    </w:p>
    <w:p>
      <w:pPr>
        <w:tabs>
          <w:tab w:val="left" w:pos="1069"/>
          <w:tab w:val="left" w:pos="2352"/>
        </w:tabs>
        <w:rPr>
          <w:rFonts w:ascii="宋体" w:hAnsi="宋体" w:cs="宋体"/>
          <w:color w:val="auto"/>
          <w:sz w:val="36"/>
          <w:szCs w:val="36"/>
          <w:highlight w:val="none"/>
        </w:rPr>
      </w:pPr>
      <w:r>
        <w:rPr>
          <w:rFonts w:hint="eastAsia" w:ascii="宋体" w:hAnsi="宋体" w:cs="宋体"/>
          <w:color w:val="auto"/>
          <w:spacing w:val="20"/>
          <w:sz w:val="22"/>
          <w:highlight w:val="none"/>
        </w:rPr>
        <w:t>供应商盖章：</w:t>
      </w:r>
    </w:p>
    <w:p>
      <w:pPr>
        <w:pStyle w:val="11"/>
        <w:tabs>
          <w:tab w:val="left" w:pos="1069"/>
          <w:tab w:val="left" w:pos="2352"/>
        </w:tabs>
        <w:spacing w:line="360" w:lineRule="exact"/>
        <w:jc w:val="left"/>
        <w:rPr>
          <w:rFonts w:hAnsi="宋体" w:cs="宋体"/>
          <w:color w:val="auto"/>
          <w:sz w:val="22"/>
          <w:szCs w:val="22"/>
          <w:highlight w:val="none"/>
        </w:rPr>
      </w:pPr>
    </w:p>
    <w:p>
      <w:pPr>
        <w:pStyle w:val="11"/>
        <w:tabs>
          <w:tab w:val="left" w:pos="1069"/>
          <w:tab w:val="left" w:pos="2352"/>
        </w:tabs>
        <w:spacing w:line="360" w:lineRule="exact"/>
        <w:jc w:val="left"/>
        <w:rPr>
          <w:rFonts w:hAnsi="宋体" w:cs="宋体"/>
          <w:color w:val="auto"/>
          <w:sz w:val="22"/>
          <w:szCs w:val="22"/>
          <w:highlight w:val="none"/>
        </w:rPr>
      </w:pPr>
    </w:p>
    <w:p>
      <w:pPr>
        <w:pStyle w:val="11"/>
        <w:tabs>
          <w:tab w:val="left" w:pos="1069"/>
          <w:tab w:val="left" w:pos="2352"/>
        </w:tabs>
        <w:spacing w:line="360" w:lineRule="exact"/>
        <w:jc w:val="left"/>
        <w:rPr>
          <w:rFonts w:hAnsi="宋体" w:cs="宋体"/>
          <w:color w:val="auto"/>
          <w:sz w:val="22"/>
          <w:szCs w:val="22"/>
          <w:highlight w:val="none"/>
        </w:rPr>
      </w:pPr>
    </w:p>
    <w:p>
      <w:pPr>
        <w:pStyle w:val="11"/>
        <w:tabs>
          <w:tab w:val="left" w:pos="1069"/>
          <w:tab w:val="left" w:pos="2352"/>
        </w:tabs>
        <w:spacing w:line="360" w:lineRule="exact"/>
        <w:jc w:val="left"/>
        <w:rPr>
          <w:rFonts w:hAnsi="宋体" w:cs="宋体"/>
          <w:color w:val="auto"/>
          <w:sz w:val="22"/>
          <w:szCs w:val="22"/>
          <w:highlight w:val="none"/>
        </w:rPr>
      </w:pPr>
    </w:p>
    <w:p>
      <w:pPr>
        <w:tabs>
          <w:tab w:val="left" w:pos="1069"/>
          <w:tab w:val="left" w:pos="2352"/>
        </w:tabs>
        <w:spacing w:line="400" w:lineRule="exact"/>
        <w:jc w:val="left"/>
        <w:rPr>
          <w:rFonts w:ascii="宋体" w:hAnsi="宋体" w:cs="宋体"/>
          <w:b/>
          <w:bCs/>
          <w:color w:val="auto"/>
          <w:sz w:val="30"/>
          <w:highlight w:val="none"/>
        </w:rPr>
      </w:pPr>
    </w:p>
    <w:p>
      <w:pPr>
        <w:tabs>
          <w:tab w:val="left" w:pos="1069"/>
          <w:tab w:val="left" w:pos="2352"/>
        </w:tabs>
        <w:spacing w:line="400" w:lineRule="exact"/>
        <w:jc w:val="left"/>
        <w:rPr>
          <w:rFonts w:ascii="宋体" w:hAnsi="宋体" w:cs="宋体"/>
          <w:b/>
          <w:bCs/>
          <w:color w:val="auto"/>
          <w:sz w:val="30"/>
          <w:highlight w:val="none"/>
        </w:rPr>
      </w:pPr>
      <w:r>
        <w:rPr>
          <w:rFonts w:hint="eastAsia" w:ascii="宋体" w:hAnsi="宋体" w:cs="宋体"/>
          <w:b/>
          <w:bCs/>
          <w:color w:val="auto"/>
          <w:sz w:val="30"/>
          <w:highlight w:val="none"/>
        </w:rPr>
        <w:t>附件十二</w:t>
      </w:r>
    </w:p>
    <w:p>
      <w:pPr>
        <w:tabs>
          <w:tab w:val="left" w:pos="1069"/>
          <w:tab w:val="left" w:pos="2352"/>
        </w:tabs>
        <w:spacing w:line="420" w:lineRule="exact"/>
        <w:jc w:val="center"/>
        <w:rPr>
          <w:rFonts w:ascii="宋体" w:hAnsi="宋体" w:cs="宋体"/>
          <w:b/>
          <w:bCs/>
          <w:color w:val="auto"/>
          <w:sz w:val="30"/>
          <w:highlight w:val="none"/>
        </w:rPr>
      </w:pPr>
      <w:bookmarkStart w:id="91" w:name="_Toc31819"/>
      <w:r>
        <w:rPr>
          <w:rFonts w:hint="eastAsia" w:ascii="宋体" w:hAnsi="宋体" w:cs="宋体"/>
          <w:b/>
          <w:bCs/>
          <w:color w:val="auto"/>
          <w:sz w:val="30"/>
          <w:highlight w:val="none"/>
        </w:rPr>
        <w:t>政府采购活动现场确认声明书</w:t>
      </w:r>
      <w:bookmarkEnd w:id="91"/>
    </w:p>
    <w:p>
      <w:pPr>
        <w:pStyle w:val="36"/>
        <w:widowControl w:val="0"/>
        <w:tabs>
          <w:tab w:val="left" w:pos="1069"/>
          <w:tab w:val="left" w:pos="2352"/>
        </w:tabs>
        <w:snapToGrid w:val="0"/>
        <w:spacing w:line="420" w:lineRule="exact"/>
        <w:jc w:val="both"/>
        <w:rPr>
          <w:rFonts w:hAnsi="宋体" w:cs="宋体"/>
          <w:color w:val="auto"/>
          <w:kern w:val="0"/>
          <w:sz w:val="24"/>
          <w:szCs w:val="24"/>
          <w:highlight w:val="none"/>
          <w:u w:val="single"/>
        </w:rPr>
      </w:pPr>
    </w:p>
    <w:p>
      <w:pPr>
        <w:pStyle w:val="36"/>
        <w:widowControl w:val="0"/>
        <w:tabs>
          <w:tab w:val="left" w:pos="1069"/>
          <w:tab w:val="left" w:pos="2352"/>
        </w:tabs>
        <w:snapToGrid w:val="0"/>
        <w:spacing w:line="400" w:lineRule="exact"/>
        <w:jc w:val="both"/>
        <w:rPr>
          <w:rFonts w:hAnsi="宋体" w:cs="宋体"/>
          <w:color w:val="auto"/>
          <w:kern w:val="0"/>
          <w:sz w:val="22"/>
          <w:szCs w:val="22"/>
          <w:highlight w:val="none"/>
        </w:rPr>
      </w:pPr>
      <w:r>
        <w:rPr>
          <w:rFonts w:hint="eastAsia" w:hAnsi="宋体" w:cs="宋体"/>
          <w:color w:val="auto"/>
          <w:kern w:val="0"/>
          <w:sz w:val="22"/>
          <w:szCs w:val="22"/>
          <w:highlight w:val="none"/>
          <w:u w:val="single"/>
        </w:rPr>
        <w:t>杭州华旗招标代理有限公司</w:t>
      </w:r>
      <w:r>
        <w:rPr>
          <w:rFonts w:hint="eastAsia" w:hAnsi="宋体" w:cs="宋体"/>
          <w:color w:val="auto"/>
          <w:kern w:val="0"/>
          <w:sz w:val="22"/>
          <w:szCs w:val="22"/>
          <w:highlight w:val="none"/>
        </w:rPr>
        <w:t>：</w:t>
      </w:r>
    </w:p>
    <w:p>
      <w:pPr>
        <w:pStyle w:val="36"/>
        <w:widowControl w:val="0"/>
        <w:tabs>
          <w:tab w:val="left" w:pos="1069"/>
          <w:tab w:val="left" w:pos="2352"/>
        </w:tabs>
        <w:snapToGrid w:val="0"/>
        <w:spacing w:line="400" w:lineRule="exact"/>
        <w:ind w:firstLine="470" w:firstLineChars="200"/>
        <w:jc w:val="both"/>
        <w:rPr>
          <w:rFonts w:hAnsi="宋体" w:cs="宋体"/>
          <w:color w:val="auto"/>
          <w:spacing w:val="6"/>
          <w:sz w:val="22"/>
          <w:szCs w:val="22"/>
          <w:highlight w:val="none"/>
        </w:rPr>
      </w:pPr>
      <w:r>
        <w:rPr>
          <w:rFonts w:hint="eastAsia" w:hAnsi="宋体" w:cs="宋体"/>
          <w:color w:val="auto"/>
          <w:spacing w:val="6"/>
          <w:sz w:val="22"/>
          <w:szCs w:val="22"/>
          <w:highlight w:val="none"/>
        </w:rPr>
        <w:t>本人经由</w:t>
      </w:r>
      <w:r>
        <w:rPr>
          <w:rFonts w:hint="eastAsia" w:hAnsi="宋体" w:cs="宋体"/>
          <w:color w:val="auto"/>
          <w:spacing w:val="6"/>
          <w:sz w:val="22"/>
          <w:szCs w:val="22"/>
          <w:highlight w:val="none"/>
          <w:u w:val="single"/>
        </w:rPr>
        <w:t xml:space="preserve">   （供应商全称）     </w:t>
      </w:r>
      <w:r>
        <w:rPr>
          <w:rFonts w:hint="eastAsia" w:hAnsi="宋体" w:cs="宋体"/>
          <w:color w:val="auto"/>
          <w:spacing w:val="6"/>
          <w:sz w:val="22"/>
          <w:szCs w:val="22"/>
          <w:highlight w:val="none"/>
        </w:rPr>
        <w:t>负责人</w:t>
      </w:r>
      <w:r>
        <w:rPr>
          <w:rFonts w:hint="eastAsia" w:hAnsi="宋体" w:cs="宋体"/>
          <w:color w:val="auto"/>
          <w:spacing w:val="6"/>
          <w:sz w:val="22"/>
          <w:szCs w:val="22"/>
          <w:highlight w:val="none"/>
          <w:u w:val="single"/>
        </w:rPr>
        <w:t xml:space="preserve">   （法定代表人姓名）</w:t>
      </w:r>
      <w:r>
        <w:rPr>
          <w:rFonts w:hint="eastAsia" w:hAnsi="宋体" w:cs="宋体"/>
          <w:color w:val="auto"/>
          <w:spacing w:val="6"/>
          <w:sz w:val="22"/>
          <w:szCs w:val="22"/>
          <w:highlight w:val="none"/>
        </w:rPr>
        <w:t>合法授权参加</w:t>
      </w:r>
      <w:r>
        <w:rPr>
          <w:rFonts w:hint="eastAsia" w:hAnsi="宋体" w:cs="宋体"/>
          <w:color w:val="auto"/>
          <w:spacing w:val="6"/>
          <w:sz w:val="22"/>
          <w:szCs w:val="22"/>
          <w:highlight w:val="none"/>
          <w:u w:val="single"/>
        </w:rPr>
        <w:t xml:space="preserve">           泰顺县集体土地所有权确权登记成果更新</w:t>
      </w:r>
      <w:r>
        <w:rPr>
          <w:rFonts w:hint="eastAsia" w:hAnsi="宋体" w:cs="宋体"/>
          <w:color w:val="auto"/>
          <w:spacing w:val="6"/>
          <w:sz w:val="22"/>
          <w:szCs w:val="22"/>
          <w:highlight w:val="none"/>
        </w:rPr>
        <w:t>（项目编号：</w:t>
      </w:r>
      <w:r>
        <w:rPr>
          <w:rFonts w:hint="eastAsia" w:hAnsi="宋体" w:cs="宋体"/>
          <w:color w:val="auto"/>
          <w:spacing w:val="6"/>
          <w:sz w:val="22"/>
          <w:szCs w:val="22"/>
          <w:highlight w:val="none"/>
          <w:u w:val="single"/>
        </w:rPr>
        <w:t xml:space="preserve"> TSCG202207022 </w:t>
      </w:r>
      <w:r>
        <w:rPr>
          <w:rFonts w:hint="eastAsia" w:hAnsi="宋体" w:cs="宋体"/>
          <w:color w:val="auto"/>
          <w:spacing w:val="6"/>
          <w:sz w:val="22"/>
          <w:szCs w:val="22"/>
          <w:highlight w:val="none"/>
        </w:rPr>
        <w:t xml:space="preserve">）政府采购活动，经与本单位法人代表（负责人）联系确认，现就有关公平竞争事项郑重声明如下： </w:t>
      </w:r>
    </w:p>
    <w:p>
      <w:pPr>
        <w:pStyle w:val="37"/>
        <w:widowControl/>
        <w:tabs>
          <w:tab w:val="left" w:pos="1069"/>
          <w:tab w:val="left" w:pos="2352"/>
        </w:tabs>
        <w:adjustRightInd w:val="0"/>
        <w:snapToGrid w:val="0"/>
        <w:spacing w:line="400" w:lineRule="exact"/>
        <w:ind w:firstLine="446" w:firstLineChars="200"/>
        <w:textAlignment w:val="baseline"/>
        <w:rPr>
          <w:rFonts w:hint="default" w:ascii="宋体" w:hAnsi="宋体" w:cs="宋体"/>
          <w:color w:val="auto"/>
          <w:kern w:val="0"/>
          <w:sz w:val="22"/>
          <w:szCs w:val="22"/>
          <w:highlight w:val="none"/>
        </w:rPr>
      </w:pPr>
      <w:r>
        <w:rPr>
          <w:rFonts w:ascii="宋体" w:hAnsi="宋体" w:cs="宋体"/>
          <w:color w:val="auto"/>
          <w:kern w:val="0"/>
          <w:sz w:val="22"/>
          <w:szCs w:val="22"/>
          <w:highlight w:val="none"/>
        </w:rPr>
        <w:t>一、本单位与采购人之间 □不存在利害关系 □存在下列利害关系</w:t>
      </w:r>
      <w:r>
        <w:rPr>
          <w:rFonts w:ascii="宋体" w:hAnsi="宋体" w:cs="宋体"/>
          <w:color w:val="auto"/>
          <w:kern w:val="0"/>
          <w:sz w:val="22"/>
          <w:szCs w:val="22"/>
          <w:highlight w:val="none"/>
          <w:u w:val="single"/>
        </w:rPr>
        <w:t xml:space="preserve">           </w:t>
      </w:r>
      <w:r>
        <w:rPr>
          <w:rFonts w:ascii="宋体" w:hAnsi="宋体" w:cs="宋体"/>
          <w:color w:val="auto"/>
          <w:kern w:val="0"/>
          <w:sz w:val="22"/>
          <w:szCs w:val="22"/>
          <w:highlight w:val="none"/>
        </w:rPr>
        <w:t>：</w:t>
      </w:r>
    </w:p>
    <w:p>
      <w:pPr>
        <w:pStyle w:val="37"/>
        <w:widowControl/>
        <w:tabs>
          <w:tab w:val="left" w:pos="1069"/>
          <w:tab w:val="left" w:pos="2352"/>
        </w:tabs>
        <w:adjustRightInd w:val="0"/>
        <w:snapToGrid w:val="0"/>
        <w:spacing w:line="400" w:lineRule="exact"/>
        <w:ind w:firstLine="446" w:firstLineChars="200"/>
        <w:textAlignment w:val="baseline"/>
        <w:rPr>
          <w:rFonts w:hint="default" w:ascii="宋体" w:hAnsi="宋体" w:cs="宋体"/>
          <w:color w:val="auto"/>
          <w:kern w:val="0"/>
          <w:sz w:val="22"/>
          <w:szCs w:val="22"/>
          <w:highlight w:val="none"/>
        </w:rPr>
      </w:pPr>
      <w:r>
        <w:rPr>
          <w:rFonts w:ascii="宋体" w:hAnsi="宋体" w:cs="宋体"/>
          <w:color w:val="auto"/>
          <w:kern w:val="0"/>
          <w:sz w:val="22"/>
          <w:szCs w:val="22"/>
          <w:highlight w:val="none"/>
        </w:rPr>
        <w:t xml:space="preserve">  A.投资关系    B.行政隶属关系    C.业务指导关系</w:t>
      </w:r>
    </w:p>
    <w:p>
      <w:pPr>
        <w:pStyle w:val="37"/>
        <w:widowControl/>
        <w:tabs>
          <w:tab w:val="left" w:pos="1069"/>
          <w:tab w:val="left" w:pos="2352"/>
        </w:tabs>
        <w:adjustRightInd w:val="0"/>
        <w:snapToGrid w:val="0"/>
        <w:spacing w:line="400" w:lineRule="exact"/>
        <w:ind w:firstLine="446" w:firstLineChars="200"/>
        <w:textAlignment w:val="baseline"/>
        <w:rPr>
          <w:rFonts w:hint="default" w:ascii="宋体" w:hAnsi="宋体" w:cs="宋体"/>
          <w:color w:val="auto"/>
          <w:kern w:val="0"/>
          <w:sz w:val="22"/>
          <w:szCs w:val="22"/>
          <w:highlight w:val="none"/>
        </w:rPr>
      </w:pPr>
      <w:r>
        <w:rPr>
          <w:rFonts w:ascii="宋体" w:hAnsi="宋体" w:cs="宋体"/>
          <w:color w:val="auto"/>
          <w:kern w:val="0"/>
          <w:sz w:val="22"/>
          <w:szCs w:val="22"/>
          <w:highlight w:val="none"/>
        </w:rPr>
        <w:t xml:space="preserve">  D.其他可能</w:t>
      </w:r>
      <w:r>
        <w:rPr>
          <w:rFonts w:ascii="宋体" w:hAnsi="宋体" w:cs="宋体"/>
          <w:color w:val="auto"/>
          <w:sz w:val="22"/>
          <w:szCs w:val="22"/>
          <w:highlight w:val="none"/>
        </w:rPr>
        <w:t>影响采购公正的</w:t>
      </w:r>
      <w:r>
        <w:rPr>
          <w:rFonts w:ascii="宋体" w:hAnsi="宋体" w:cs="宋体"/>
          <w:color w:val="auto"/>
          <w:kern w:val="0"/>
          <w:sz w:val="22"/>
          <w:szCs w:val="22"/>
          <w:highlight w:val="none"/>
        </w:rPr>
        <w:t>利害关系</w:t>
      </w:r>
      <w:r>
        <w:rPr>
          <w:rFonts w:ascii="宋体" w:hAnsi="宋体" w:cs="宋体"/>
          <w:color w:val="auto"/>
          <w:kern w:val="0"/>
          <w:sz w:val="22"/>
          <w:szCs w:val="22"/>
          <w:highlight w:val="none"/>
          <w:u w:val="single"/>
        </w:rPr>
        <w:t xml:space="preserve">（如有，请如实说明）                 </w:t>
      </w:r>
      <w:r>
        <w:rPr>
          <w:rFonts w:ascii="宋体" w:hAnsi="宋体" w:cs="宋体"/>
          <w:color w:val="auto"/>
          <w:kern w:val="0"/>
          <w:sz w:val="22"/>
          <w:szCs w:val="22"/>
          <w:highlight w:val="none"/>
        </w:rPr>
        <w:t>。</w:t>
      </w:r>
    </w:p>
    <w:p>
      <w:pPr>
        <w:pStyle w:val="37"/>
        <w:widowControl/>
        <w:tabs>
          <w:tab w:val="left" w:pos="1069"/>
          <w:tab w:val="left" w:pos="2352"/>
        </w:tabs>
        <w:adjustRightInd w:val="0"/>
        <w:snapToGrid w:val="0"/>
        <w:spacing w:line="400" w:lineRule="exact"/>
        <w:ind w:firstLine="470" w:firstLineChars="200"/>
        <w:textAlignment w:val="baseline"/>
        <w:rPr>
          <w:rFonts w:hint="default" w:ascii="宋体" w:hAnsi="宋体" w:cs="宋体"/>
          <w:color w:val="auto"/>
          <w:kern w:val="0"/>
          <w:sz w:val="22"/>
          <w:szCs w:val="22"/>
          <w:highlight w:val="none"/>
        </w:rPr>
      </w:pPr>
      <w:r>
        <w:rPr>
          <w:rFonts w:ascii="宋体" w:hAnsi="宋体" w:cs="宋体"/>
          <w:color w:val="auto"/>
          <w:spacing w:val="6"/>
          <w:sz w:val="22"/>
          <w:szCs w:val="22"/>
          <w:highlight w:val="none"/>
        </w:rPr>
        <w:t>二、</w:t>
      </w:r>
      <w:r>
        <w:rPr>
          <w:rFonts w:ascii="宋体" w:hAnsi="宋体" w:cs="宋体"/>
          <w:color w:val="auto"/>
          <w:kern w:val="0"/>
          <w:sz w:val="22"/>
          <w:szCs w:val="22"/>
          <w:highlight w:val="none"/>
        </w:rPr>
        <w:t>现已清楚知道参加本项目采购活动的其他所有供应商名称，本单位 □与其他所有供应商之间均不存在利害关系 □与</w:t>
      </w:r>
      <w:r>
        <w:rPr>
          <w:rFonts w:ascii="宋体" w:hAnsi="宋体" w:cs="宋体"/>
          <w:color w:val="auto"/>
          <w:kern w:val="0"/>
          <w:sz w:val="22"/>
          <w:szCs w:val="22"/>
          <w:highlight w:val="none"/>
          <w:u w:val="single"/>
        </w:rPr>
        <w:t xml:space="preserve">           （供应商名称）</w:t>
      </w:r>
      <w:r>
        <w:rPr>
          <w:rFonts w:ascii="宋体" w:hAnsi="宋体" w:cs="宋体"/>
          <w:color w:val="auto"/>
          <w:kern w:val="0"/>
          <w:sz w:val="22"/>
          <w:szCs w:val="22"/>
          <w:highlight w:val="none"/>
        </w:rPr>
        <w:t>之间存在下列利害关系</w:t>
      </w:r>
      <w:r>
        <w:rPr>
          <w:rFonts w:ascii="宋体" w:hAnsi="宋体" w:cs="宋体"/>
          <w:color w:val="auto"/>
          <w:kern w:val="0"/>
          <w:sz w:val="22"/>
          <w:szCs w:val="22"/>
          <w:highlight w:val="none"/>
          <w:u w:val="single"/>
        </w:rPr>
        <w:t xml:space="preserve">          </w:t>
      </w:r>
      <w:r>
        <w:rPr>
          <w:rFonts w:ascii="宋体" w:hAnsi="宋体" w:cs="宋体"/>
          <w:color w:val="auto"/>
          <w:kern w:val="0"/>
          <w:sz w:val="22"/>
          <w:szCs w:val="22"/>
          <w:highlight w:val="none"/>
        </w:rPr>
        <w:t>：</w:t>
      </w:r>
    </w:p>
    <w:p>
      <w:pPr>
        <w:pStyle w:val="36"/>
        <w:widowControl w:val="0"/>
        <w:tabs>
          <w:tab w:val="left" w:pos="1069"/>
          <w:tab w:val="left" w:pos="2352"/>
        </w:tabs>
        <w:adjustRightInd w:val="0"/>
        <w:snapToGrid w:val="0"/>
        <w:spacing w:line="400" w:lineRule="exact"/>
        <w:ind w:firstLine="446" w:firstLineChars="200"/>
        <w:jc w:val="both"/>
        <w:textAlignment w:val="baseline"/>
        <w:rPr>
          <w:rFonts w:hAnsi="宋体" w:cs="宋体"/>
          <w:color w:val="auto"/>
          <w:kern w:val="0"/>
          <w:sz w:val="22"/>
          <w:szCs w:val="22"/>
          <w:highlight w:val="none"/>
        </w:rPr>
      </w:pPr>
      <w:r>
        <w:rPr>
          <w:rFonts w:hint="eastAsia" w:hAnsi="宋体" w:cs="宋体"/>
          <w:color w:val="auto"/>
          <w:kern w:val="0"/>
          <w:sz w:val="22"/>
          <w:szCs w:val="22"/>
          <w:highlight w:val="none"/>
        </w:rPr>
        <w:t xml:space="preserve">  A.法定代表人或负责人或实际控制人是同一人</w:t>
      </w:r>
    </w:p>
    <w:p>
      <w:pPr>
        <w:pStyle w:val="36"/>
        <w:widowControl w:val="0"/>
        <w:tabs>
          <w:tab w:val="left" w:pos="1069"/>
          <w:tab w:val="left" w:pos="2352"/>
        </w:tabs>
        <w:adjustRightInd w:val="0"/>
        <w:snapToGrid w:val="0"/>
        <w:spacing w:line="400" w:lineRule="exact"/>
        <w:ind w:firstLine="446" w:firstLineChars="200"/>
        <w:jc w:val="both"/>
        <w:textAlignment w:val="baseline"/>
        <w:rPr>
          <w:rFonts w:hAnsi="宋体" w:cs="宋体"/>
          <w:color w:val="auto"/>
          <w:spacing w:val="6"/>
          <w:sz w:val="22"/>
          <w:szCs w:val="22"/>
          <w:highlight w:val="none"/>
        </w:rPr>
      </w:pPr>
      <w:r>
        <w:rPr>
          <w:rFonts w:hint="eastAsia" w:hAnsi="宋体" w:cs="宋体"/>
          <w:color w:val="auto"/>
          <w:kern w:val="0"/>
          <w:sz w:val="22"/>
          <w:szCs w:val="22"/>
          <w:highlight w:val="none"/>
        </w:rPr>
        <w:t xml:space="preserve">  B.法定代表人或负责人或实际控制人是夫妻关系</w:t>
      </w:r>
    </w:p>
    <w:p>
      <w:pPr>
        <w:pStyle w:val="36"/>
        <w:widowControl w:val="0"/>
        <w:tabs>
          <w:tab w:val="left" w:pos="1069"/>
          <w:tab w:val="left" w:pos="2352"/>
        </w:tabs>
        <w:adjustRightInd w:val="0"/>
        <w:snapToGrid w:val="0"/>
        <w:spacing w:line="400" w:lineRule="exact"/>
        <w:ind w:firstLine="446" w:firstLineChars="200"/>
        <w:jc w:val="both"/>
        <w:textAlignment w:val="baseline"/>
        <w:rPr>
          <w:rFonts w:hAnsi="宋体" w:cs="宋体"/>
          <w:color w:val="auto"/>
          <w:spacing w:val="6"/>
          <w:sz w:val="22"/>
          <w:szCs w:val="22"/>
          <w:highlight w:val="none"/>
        </w:rPr>
      </w:pPr>
      <w:r>
        <w:rPr>
          <w:rFonts w:hint="eastAsia" w:hAnsi="宋体" w:cs="宋体"/>
          <w:color w:val="auto"/>
          <w:kern w:val="0"/>
          <w:sz w:val="22"/>
          <w:szCs w:val="22"/>
          <w:highlight w:val="none"/>
        </w:rPr>
        <w:t xml:space="preserve">  C.法定代表人或负责人或实际控制人是直系血亲关系</w:t>
      </w:r>
    </w:p>
    <w:p>
      <w:pPr>
        <w:pStyle w:val="36"/>
        <w:widowControl w:val="0"/>
        <w:tabs>
          <w:tab w:val="left" w:pos="1069"/>
          <w:tab w:val="left" w:pos="2352"/>
        </w:tabs>
        <w:adjustRightInd w:val="0"/>
        <w:snapToGrid w:val="0"/>
        <w:spacing w:line="400" w:lineRule="exact"/>
        <w:ind w:firstLine="446" w:firstLineChars="200"/>
        <w:jc w:val="both"/>
        <w:textAlignment w:val="baseline"/>
        <w:rPr>
          <w:rFonts w:hAnsi="宋体" w:cs="宋体"/>
          <w:color w:val="auto"/>
          <w:spacing w:val="6"/>
          <w:sz w:val="22"/>
          <w:szCs w:val="22"/>
          <w:highlight w:val="none"/>
        </w:rPr>
      </w:pPr>
      <w:r>
        <w:rPr>
          <w:rFonts w:hint="eastAsia" w:hAnsi="宋体" w:cs="宋体"/>
          <w:color w:val="auto"/>
          <w:kern w:val="0"/>
          <w:sz w:val="22"/>
          <w:szCs w:val="22"/>
          <w:highlight w:val="none"/>
        </w:rPr>
        <w:t xml:space="preserve">  D.法定代表人或负责人或实际控制人存在三代以内旁系血亲关系</w:t>
      </w:r>
    </w:p>
    <w:p>
      <w:pPr>
        <w:pStyle w:val="36"/>
        <w:widowControl w:val="0"/>
        <w:tabs>
          <w:tab w:val="left" w:pos="1069"/>
          <w:tab w:val="left" w:pos="2352"/>
        </w:tabs>
        <w:adjustRightInd w:val="0"/>
        <w:snapToGrid w:val="0"/>
        <w:spacing w:line="400" w:lineRule="exact"/>
        <w:ind w:firstLine="446" w:firstLineChars="200"/>
        <w:jc w:val="both"/>
        <w:textAlignment w:val="baseline"/>
        <w:rPr>
          <w:rFonts w:hAnsi="宋体" w:cs="宋体"/>
          <w:color w:val="auto"/>
          <w:kern w:val="0"/>
          <w:sz w:val="22"/>
          <w:szCs w:val="22"/>
          <w:highlight w:val="none"/>
        </w:rPr>
      </w:pPr>
      <w:r>
        <w:rPr>
          <w:rFonts w:hint="eastAsia" w:hAnsi="宋体" w:cs="宋体"/>
          <w:color w:val="auto"/>
          <w:kern w:val="0"/>
          <w:sz w:val="22"/>
          <w:szCs w:val="22"/>
          <w:highlight w:val="none"/>
        </w:rPr>
        <w:t xml:space="preserve">  E.法定代表人或负责人或实际控制人存在近姻亲关系</w:t>
      </w:r>
    </w:p>
    <w:p>
      <w:pPr>
        <w:pStyle w:val="36"/>
        <w:widowControl w:val="0"/>
        <w:tabs>
          <w:tab w:val="left" w:pos="1069"/>
          <w:tab w:val="left" w:pos="2352"/>
        </w:tabs>
        <w:adjustRightInd w:val="0"/>
        <w:snapToGrid w:val="0"/>
        <w:spacing w:line="400" w:lineRule="exact"/>
        <w:ind w:firstLine="446" w:firstLineChars="200"/>
        <w:jc w:val="both"/>
        <w:textAlignment w:val="baseline"/>
        <w:rPr>
          <w:rFonts w:hAnsi="宋体" w:cs="宋体"/>
          <w:color w:val="auto"/>
          <w:kern w:val="0"/>
          <w:sz w:val="22"/>
          <w:szCs w:val="22"/>
          <w:highlight w:val="none"/>
        </w:rPr>
      </w:pPr>
      <w:r>
        <w:rPr>
          <w:rFonts w:hint="eastAsia" w:hAnsi="宋体" w:cs="宋体"/>
          <w:color w:val="auto"/>
          <w:kern w:val="0"/>
          <w:sz w:val="22"/>
          <w:szCs w:val="22"/>
          <w:highlight w:val="none"/>
        </w:rPr>
        <w:t xml:space="preserve">  F.法定代表人或负责人或实际控制人存在股份控制或实际控制关系</w:t>
      </w:r>
    </w:p>
    <w:p>
      <w:pPr>
        <w:pStyle w:val="36"/>
        <w:widowControl w:val="0"/>
        <w:tabs>
          <w:tab w:val="left" w:pos="1069"/>
          <w:tab w:val="left" w:pos="2352"/>
        </w:tabs>
        <w:adjustRightInd w:val="0"/>
        <w:snapToGrid w:val="0"/>
        <w:spacing w:line="400" w:lineRule="exact"/>
        <w:ind w:firstLine="446" w:firstLineChars="200"/>
        <w:jc w:val="both"/>
        <w:textAlignment w:val="baseline"/>
        <w:rPr>
          <w:rFonts w:hAnsi="宋体" w:cs="宋体"/>
          <w:color w:val="auto"/>
          <w:kern w:val="0"/>
          <w:sz w:val="22"/>
          <w:szCs w:val="22"/>
          <w:highlight w:val="none"/>
        </w:rPr>
      </w:pPr>
      <w:r>
        <w:rPr>
          <w:rFonts w:hint="eastAsia" w:hAnsi="宋体" w:cs="宋体"/>
          <w:color w:val="auto"/>
          <w:kern w:val="0"/>
          <w:sz w:val="22"/>
          <w:szCs w:val="22"/>
          <w:highlight w:val="none"/>
        </w:rPr>
        <w:t xml:space="preserve">  G.存在共同直接或间接投资设立子公司、联营企业和合营企业情况</w:t>
      </w:r>
    </w:p>
    <w:p>
      <w:pPr>
        <w:pStyle w:val="36"/>
        <w:widowControl w:val="0"/>
        <w:tabs>
          <w:tab w:val="left" w:pos="1069"/>
          <w:tab w:val="left" w:pos="2352"/>
        </w:tabs>
        <w:adjustRightInd w:val="0"/>
        <w:snapToGrid w:val="0"/>
        <w:spacing w:line="400" w:lineRule="exact"/>
        <w:ind w:firstLine="446" w:firstLineChars="200"/>
        <w:jc w:val="both"/>
        <w:textAlignment w:val="baseline"/>
        <w:rPr>
          <w:rFonts w:hAnsi="宋体" w:cs="宋体"/>
          <w:color w:val="auto"/>
          <w:sz w:val="22"/>
          <w:szCs w:val="22"/>
          <w:highlight w:val="none"/>
        </w:rPr>
      </w:pPr>
      <w:r>
        <w:rPr>
          <w:rFonts w:hint="eastAsia" w:hAnsi="宋体" w:cs="宋体"/>
          <w:color w:val="auto"/>
          <w:kern w:val="0"/>
          <w:sz w:val="22"/>
          <w:szCs w:val="22"/>
          <w:highlight w:val="none"/>
        </w:rPr>
        <w:t xml:space="preserve">  H.存在分级代理或代销关系、同一生产制造商关系、</w:t>
      </w:r>
      <w:r>
        <w:rPr>
          <w:rFonts w:hint="eastAsia" w:hAnsi="宋体" w:cs="宋体"/>
          <w:color w:val="auto"/>
          <w:sz w:val="22"/>
          <w:szCs w:val="22"/>
          <w:highlight w:val="none"/>
        </w:rPr>
        <w:t>管理关系、重要业务（占主营业务收入50%以上）或重要财务往来关系（如融资）等其他实质性控制关系</w:t>
      </w:r>
    </w:p>
    <w:p>
      <w:pPr>
        <w:pStyle w:val="36"/>
        <w:widowControl w:val="0"/>
        <w:tabs>
          <w:tab w:val="left" w:pos="1069"/>
          <w:tab w:val="left" w:pos="2352"/>
        </w:tabs>
        <w:adjustRightInd w:val="0"/>
        <w:snapToGrid w:val="0"/>
        <w:spacing w:line="400" w:lineRule="exact"/>
        <w:ind w:firstLine="446" w:firstLineChars="200"/>
        <w:jc w:val="both"/>
        <w:textAlignment w:val="baseline"/>
        <w:rPr>
          <w:rFonts w:hAnsi="宋体" w:cs="宋体"/>
          <w:color w:val="auto"/>
          <w:spacing w:val="6"/>
          <w:sz w:val="22"/>
          <w:szCs w:val="22"/>
          <w:highlight w:val="none"/>
        </w:rPr>
      </w:pPr>
      <w:r>
        <w:rPr>
          <w:rFonts w:hint="eastAsia" w:hAnsi="宋体" w:cs="宋体"/>
          <w:color w:val="auto"/>
          <w:sz w:val="22"/>
          <w:szCs w:val="22"/>
          <w:highlight w:val="none"/>
        </w:rPr>
        <w:t xml:space="preserve">  I</w:t>
      </w:r>
      <w:r>
        <w:rPr>
          <w:rFonts w:hint="eastAsia" w:hAnsi="宋体" w:cs="宋体"/>
          <w:color w:val="auto"/>
          <w:kern w:val="0"/>
          <w:sz w:val="22"/>
          <w:szCs w:val="22"/>
          <w:highlight w:val="none"/>
        </w:rPr>
        <w:t>.</w:t>
      </w:r>
      <w:r>
        <w:rPr>
          <w:rFonts w:hint="eastAsia" w:hAnsi="宋体" w:cs="宋体"/>
          <w:color w:val="auto"/>
          <w:sz w:val="22"/>
          <w:szCs w:val="22"/>
          <w:highlight w:val="none"/>
        </w:rPr>
        <w:t>其他利害关系情况</w:t>
      </w:r>
      <w:r>
        <w:rPr>
          <w:rFonts w:hint="eastAsia" w:hAnsi="宋体" w:cs="宋体"/>
          <w:color w:val="auto"/>
          <w:sz w:val="22"/>
          <w:szCs w:val="22"/>
          <w:highlight w:val="none"/>
          <w:u w:val="single"/>
        </w:rPr>
        <w:t xml:space="preserve">                              </w:t>
      </w:r>
      <w:r>
        <w:rPr>
          <w:rFonts w:hint="eastAsia" w:hAnsi="宋体" w:cs="宋体"/>
          <w:color w:val="auto"/>
          <w:kern w:val="0"/>
          <w:sz w:val="22"/>
          <w:szCs w:val="22"/>
          <w:highlight w:val="none"/>
        </w:rPr>
        <w:t>。</w:t>
      </w:r>
    </w:p>
    <w:p>
      <w:pPr>
        <w:pStyle w:val="37"/>
        <w:widowControl/>
        <w:tabs>
          <w:tab w:val="left" w:pos="1069"/>
          <w:tab w:val="left" w:pos="2352"/>
        </w:tabs>
        <w:adjustRightInd w:val="0"/>
        <w:snapToGrid w:val="0"/>
        <w:spacing w:line="400" w:lineRule="exact"/>
        <w:ind w:firstLine="446" w:firstLineChars="200"/>
        <w:textAlignment w:val="baseline"/>
        <w:rPr>
          <w:rFonts w:hint="default" w:ascii="宋体" w:hAnsi="宋体" w:cs="宋体"/>
          <w:color w:val="auto"/>
          <w:kern w:val="0"/>
          <w:sz w:val="22"/>
          <w:szCs w:val="22"/>
          <w:highlight w:val="none"/>
        </w:rPr>
      </w:pPr>
      <w:r>
        <w:rPr>
          <w:rFonts w:ascii="宋体" w:hAnsi="宋体" w:cs="宋体"/>
          <w:color w:val="auto"/>
          <w:sz w:val="22"/>
          <w:szCs w:val="22"/>
          <w:highlight w:val="none"/>
        </w:rPr>
        <w:t>三、现已清楚知道并</w:t>
      </w:r>
      <w:r>
        <w:rPr>
          <w:rFonts w:ascii="宋体" w:hAnsi="宋体" w:cs="宋体"/>
          <w:color w:val="auto"/>
          <w:kern w:val="0"/>
          <w:sz w:val="22"/>
          <w:szCs w:val="22"/>
          <w:highlight w:val="none"/>
        </w:rPr>
        <w:t>严格遵守政府采购法律法规和现场纪律。</w:t>
      </w:r>
    </w:p>
    <w:p>
      <w:pPr>
        <w:pStyle w:val="37"/>
        <w:widowControl/>
        <w:tabs>
          <w:tab w:val="left" w:pos="1069"/>
          <w:tab w:val="left" w:pos="2352"/>
        </w:tabs>
        <w:adjustRightInd w:val="0"/>
        <w:snapToGrid w:val="0"/>
        <w:spacing w:line="400" w:lineRule="exact"/>
        <w:ind w:firstLine="446" w:firstLineChars="200"/>
        <w:textAlignment w:val="baseline"/>
        <w:rPr>
          <w:rFonts w:hint="default" w:ascii="宋体" w:hAnsi="宋体" w:cs="宋体"/>
          <w:color w:val="auto"/>
          <w:kern w:val="0"/>
          <w:sz w:val="22"/>
          <w:szCs w:val="22"/>
          <w:highlight w:val="none"/>
        </w:rPr>
      </w:pPr>
      <w:r>
        <w:rPr>
          <w:rFonts w:ascii="宋体" w:hAnsi="宋体" w:cs="宋体"/>
          <w:color w:val="auto"/>
          <w:kern w:val="0"/>
          <w:sz w:val="22"/>
          <w:szCs w:val="22"/>
          <w:highlight w:val="none"/>
        </w:rPr>
        <w:t>四、我发现</w:t>
      </w:r>
      <w:r>
        <w:rPr>
          <w:rFonts w:ascii="宋体" w:hAnsi="宋体" w:cs="宋体"/>
          <w:color w:val="auto"/>
          <w:kern w:val="0"/>
          <w:sz w:val="22"/>
          <w:szCs w:val="22"/>
          <w:highlight w:val="none"/>
          <w:u w:val="single"/>
        </w:rPr>
        <w:t xml:space="preserve">            </w:t>
      </w:r>
      <w:r>
        <w:rPr>
          <w:rFonts w:ascii="宋体" w:hAnsi="宋体" w:cs="宋体"/>
          <w:color w:val="auto"/>
          <w:kern w:val="0"/>
          <w:sz w:val="22"/>
          <w:szCs w:val="22"/>
          <w:highlight w:val="none"/>
        </w:rPr>
        <w:t>供应商之间存在或可能存在上述第二条第</w:t>
      </w:r>
      <w:r>
        <w:rPr>
          <w:rFonts w:ascii="宋体" w:hAnsi="宋体" w:cs="宋体"/>
          <w:color w:val="auto"/>
          <w:kern w:val="0"/>
          <w:sz w:val="22"/>
          <w:szCs w:val="22"/>
          <w:highlight w:val="none"/>
          <w:u w:val="single"/>
        </w:rPr>
        <w:t xml:space="preserve">      </w:t>
      </w:r>
      <w:r>
        <w:rPr>
          <w:rFonts w:ascii="宋体" w:hAnsi="宋体" w:cs="宋体"/>
          <w:color w:val="auto"/>
          <w:kern w:val="0"/>
          <w:sz w:val="22"/>
          <w:szCs w:val="22"/>
          <w:highlight w:val="none"/>
        </w:rPr>
        <w:t>项利害关系。</w:t>
      </w:r>
    </w:p>
    <w:p>
      <w:pPr>
        <w:pStyle w:val="36"/>
        <w:widowControl w:val="0"/>
        <w:tabs>
          <w:tab w:val="left" w:pos="1069"/>
          <w:tab w:val="left" w:pos="2352"/>
        </w:tabs>
        <w:snapToGrid w:val="0"/>
        <w:spacing w:line="400" w:lineRule="exact"/>
        <w:ind w:firstLine="446" w:firstLineChars="200"/>
        <w:jc w:val="both"/>
        <w:rPr>
          <w:rFonts w:hAnsi="宋体" w:cs="宋体"/>
          <w:color w:val="auto"/>
          <w:sz w:val="22"/>
          <w:szCs w:val="22"/>
          <w:highlight w:val="none"/>
        </w:rPr>
      </w:pPr>
    </w:p>
    <w:p>
      <w:pPr>
        <w:pStyle w:val="36"/>
        <w:widowControl w:val="0"/>
        <w:tabs>
          <w:tab w:val="left" w:pos="1069"/>
          <w:tab w:val="left" w:pos="2352"/>
        </w:tabs>
        <w:snapToGrid w:val="0"/>
        <w:spacing w:line="400" w:lineRule="exact"/>
        <w:ind w:firstLine="446" w:firstLineChars="200"/>
        <w:jc w:val="both"/>
        <w:rPr>
          <w:rFonts w:hAnsi="宋体" w:cs="宋体"/>
          <w:color w:val="auto"/>
          <w:sz w:val="22"/>
          <w:szCs w:val="22"/>
          <w:highlight w:val="none"/>
        </w:rPr>
      </w:pPr>
      <w:r>
        <w:rPr>
          <w:rFonts w:hint="eastAsia" w:hAnsi="宋体" w:cs="宋体"/>
          <w:color w:val="auto"/>
          <w:sz w:val="22"/>
          <w:szCs w:val="22"/>
          <w:highlight w:val="none"/>
        </w:rPr>
        <w:t xml:space="preserve">                                     供应商代表签名：</w:t>
      </w:r>
    </w:p>
    <w:p>
      <w:pPr>
        <w:tabs>
          <w:tab w:val="left" w:pos="1069"/>
          <w:tab w:val="left" w:pos="2352"/>
        </w:tabs>
        <w:spacing w:before="317" w:beforeLines="100" w:after="317" w:afterLines="100" w:line="400" w:lineRule="exact"/>
        <w:ind w:left="4928" w:leftChars="2314" w:firstLine="892" w:firstLineChars="400"/>
        <w:rPr>
          <w:rFonts w:ascii="宋体" w:hAnsi="宋体" w:cs="宋体"/>
          <w:color w:val="auto"/>
          <w:sz w:val="22"/>
          <w:highlight w:val="none"/>
        </w:rPr>
      </w:pPr>
      <w:r>
        <w:rPr>
          <w:rFonts w:hint="eastAsia" w:ascii="宋体" w:hAnsi="宋体" w:cs="宋体"/>
          <w:color w:val="auto"/>
          <w:sz w:val="22"/>
          <w:highlight w:val="none"/>
        </w:rPr>
        <w:t>年  月  日</w:t>
      </w:r>
    </w:p>
    <w:p>
      <w:pPr>
        <w:pStyle w:val="3"/>
        <w:tabs>
          <w:tab w:val="left" w:pos="1069"/>
          <w:tab w:val="left" w:pos="2352"/>
        </w:tabs>
        <w:spacing w:line="400" w:lineRule="exact"/>
        <w:ind w:left="490" w:hanging="490"/>
        <w:rPr>
          <w:rFonts w:ascii="宋体" w:hAnsi="宋体" w:cs="宋体"/>
          <w:b/>
          <w:bCs/>
          <w:color w:val="auto"/>
          <w:szCs w:val="21"/>
          <w:highlight w:val="none"/>
        </w:rPr>
      </w:pPr>
    </w:p>
    <w:p>
      <w:pPr>
        <w:pStyle w:val="11"/>
        <w:tabs>
          <w:tab w:val="left" w:pos="1069"/>
          <w:tab w:val="left" w:pos="2352"/>
        </w:tabs>
        <w:spacing w:line="360" w:lineRule="exact"/>
        <w:jc w:val="left"/>
        <w:rPr>
          <w:rFonts w:hAnsi="宋体" w:cs="宋体"/>
          <w:b/>
          <w:color w:val="auto"/>
          <w:sz w:val="32"/>
          <w:szCs w:val="32"/>
          <w:highlight w:val="none"/>
          <w:lang w:val="zh-CN"/>
        </w:rPr>
      </w:pPr>
      <w:r>
        <w:rPr>
          <w:rFonts w:hint="eastAsia" w:hAnsi="宋体" w:cs="宋体"/>
          <w:color w:val="auto"/>
          <w:sz w:val="22"/>
          <w:szCs w:val="22"/>
          <w:highlight w:val="none"/>
        </w:rPr>
        <w:br w:type="page"/>
      </w:r>
      <w:bookmarkStart w:id="92" w:name="_Toc24860_WPSOffice_Level1"/>
      <w:r>
        <w:rPr>
          <w:rFonts w:hint="eastAsia" w:hAnsi="宋体" w:cs="宋体"/>
          <w:color w:val="auto"/>
          <w:sz w:val="22"/>
          <w:szCs w:val="22"/>
          <w:highlight w:val="none"/>
        </w:rPr>
        <w:t xml:space="preserve">                           </w:t>
      </w:r>
      <w:r>
        <w:rPr>
          <w:rFonts w:hint="eastAsia" w:hAnsi="宋体" w:cs="宋体"/>
          <w:b/>
          <w:color w:val="auto"/>
          <w:sz w:val="32"/>
          <w:szCs w:val="32"/>
          <w:highlight w:val="none"/>
          <w:lang w:val="zh-CN"/>
        </w:rPr>
        <w:t>第</w:t>
      </w:r>
      <w:r>
        <w:rPr>
          <w:rFonts w:hint="eastAsia" w:hAnsi="宋体" w:cs="宋体"/>
          <w:b/>
          <w:color w:val="auto"/>
          <w:sz w:val="32"/>
          <w:szCs w:val="32"/>
          <w:highlight w:val="none"/>
        </w:rPr>
        <w:t>七</w:t>
      </w:r>
      <w:r>
        <w:rPr>
          <w:rFonts w:hint="eastAsia" w:hAnsi="宋体" w:cs="宋体"/>
          <w:b/>
          <w:color w:val="auto"/>
          <w:sz w:val="32"/>
          <w:szCs w:val="32"/>
          <w:highlight w:val="none"/>
          <w:lang w:val="zh-CN"/>
        </w:rPr>
        <w:t>部分</w:t>
      </w:r>
      <w:bookmarkEnd w:id="92"/>
      <w:r>
        <w:rPr>
          <w:rFonts w:hint="eastAsia" w:hAnsi="宋体" w:cs="宋体"/>
          <w:b/>
          <w:color w:val="auto"/>
          <w:sz w:val="32"/>
          <w:szCs w:val="32"/>
          <w:highlight w:val="none"/>
        </w:rPr>
        <w:t>、</w:t>
      </w:r>
      <w:r>
        <w:rPr>
          <w:rFonts w:hint="eastAsia" w:hAnsi="宋体" w:cs="宋体"/>
          <w:b/>
          <w:color w:val="auto"/>
          <w:sz w:val="32"/>
          <w:szCs w:val="32"/>
          <w:highlight w:val="none"/>
          <w:lang w:val="zh-CN"/>
        </w:rPr>
        <w:t>评标办法</w:t>
      </w:r>
    </w:p>
    <w:p>
      <w:pPr>
        <w:tabs>
          <w:tab w:val="left" w:pos="1069"/>
          <w:tab w:val="left" w:pos="2352"/>
        </w:tabs>
        <w:snapToGrid w:val="0"/>
        <w:spacing w:line="380" w:lineRule="exact"/>
        <w:ind w:firstLine="540"/>
        <w:rPr>
          <w:rFonts w:ascii="宋体" w:hAnsi="宋体" w:cs="宋体"/>
          <w:color w:val="auto"/>
          <w:sz w:val="22"/>
          <w:highlight w:val="none"/>
        </w:rPr>
      </w:pPr>
      <w:r>
        <w:rPr>
          <w:rFonts w:hint="eastAsia" w:ascii="宋体" w:hAnsi="宋体" w:cs="宋体"/>
          <w:color w:val="auto"/>
          <w:sz w:val="22"/>
          <w:highlight w:val="none"/>
        </w:rPr>
        <w:t>根据《中华人民共和国政府采购法》等有关政府采购法规，结合本次所要采购项目的实际，按照公平、公正、科学、择优的原则选择中标（成交）单位，特制定本评审办法。</w:t>
      </w:r>
    </w:p>
    <w:p>
      <w:pPr>
        <w:tabs>
          <w:tab w:val="left" w:pos="1069"/>
          <w:tab w:val="left" w:pos="2352"/>
        </w:tabs>
        <w:snapToGrid w:val="0"/>
        <w:spacing w:line="380" w:lineRule="exact"/>
        <w:ind w:firstLine="3846" w:firstLineChars="1725"/>
        <w:rPr>
          <w:rFonts w:ascii="宋体" w:hAnsi="宋体" w:cs="宋体"/>
          <w:b/>
          <w:color w:val="auto"/>
          <w:sz w:val="22"/>
          <w:highlight w:val="none"/>
        </w:rPr>
      </w:pPr>
      <w:bookmarkStart w:id="93" w:name="_Toc32552_WPSOffice_Level2"/>
      <w:r>
        <w:rPr>
          <w:rFonts w:hint="eastAsia" w:ascii="宋体" w:hAnsi="宋体" w:cs="宋体"/>
          <w:b/>
          <w:color w:val="auto"/>
          <w:sz w:val="22"/>
          <w:highlight w:val="none"/>
        </w:rPr>
        <w:t>一、总则</w:t>
      </w:r>
      <w:bookmarkEnd w:id="93"/>
    </w:p>
    <w:p>
      <w:pPr>
        <w:tabs>
          <w:tab w:val="left" w:pos="1069"/>
          <w:tab w:val="left" w:pos="2352"/>
        </w:tabs>
        <w:snapToGrid w:val="0"/>
        <w:spacing w:line="380" w:lineRule="exact"/>
        <w:ind w:firstLine="540"/>
        <w:rPr>
          <w:rFonts w:ascii="宋体" w:hAnsi="宋体" w:cs="宋体"/>
          <w:color w:val="auto"/>
          <w:sz w:val="22"/>
          <w:highlight w:val="none"/>
        </w:rPr>
      </w:pPr>
      <w:r>
        <w:rPr>
          <w:rFonts w:hint="eastAsia" w:ascii="宋体" w:hAnsi="宋体" w:cs="宋体"/>
          <w:color w:val="auto"/>
          <w:sz w:val="22"/>
          <w:highlight w:val="none"/>
        </w:rPr>
        <w:t>评审工作遵循公平、公正、民主、科学的原则和诚实、信誉、效率的服务原则。本着科学、严谨的态度，认真进行评审。择优选定提供服务单位，最大限度的保护当事人权益，严格按照竞争性磋商文件的商务、技术要求，对投标（响应）文件进行综合评定，提出优选方案，编写评审报告。评审小组必须严格遵守保密规定，不得泄漏评审的有关情况，不得索贿受贿，不得接受吃请和礼品，不得参加影响公正评审的有关活动。对未中标（成交）单位，评审小组不作任何解释。供应商不得以任何方式干扰采购工作的进行，一经发现其投标（响应）文件将被拒绝。</w:t>
      </w:r>
    </w:p>
    <w:p>
      <w:pPr>
        <w:tabs>
          <w:tab w:val="left" w:pos="1069"/>
          <w:tab w:val="left" w:pos="2352"/>
        </w:tabs>
        <w:snapToGrid w:val="0"/>
        <w:spacing w:line="380" w:lineRule="exact"/>
        <w:ind w:firstLine="3846" w:firstLineChars="1725"/>
        <w:rPr>
          <w:rFonts w:ascii="宋体" w:hAnsi="宋体" w:cs="宋体"/>
          <w:color w:val="auto"/>
          <w:sz w:val="22"/>
          <w:highlight w:val="none"/>
        </w:rPr>
      </w:pPr>
      <w:bookmarkStart w:id="94" w:name="_Toc15399_WPSOffice_Level2"/>
      <w:r>
        <w:rPr>
          <w:rFonts w:hint="eastAsia" w:ascii="宋体" w:hAnsi="宋体" w:cs="宋体"/>
          <w:b/>
          <w:color w:val="auto"/>
          <w:sz w:val="22"/>
          <w:highlight w:val="none"/>
        </w:rPr>
        <w:t>二、评审组织</w:t>
      </w:r>
      <w:bookmarkEnd w:id="94"/>
    </w:p>
    <w:p>
      <w:pPr>
        <w:tabs>
          <w:tab w:val="left" w:pos="1069"/>
          <w:tab w:val="left" w:pos="2352"/>
        </w:tabs>
        <w:snapToGrid w:val="0"/>
        <w:spacing w:line="380" w:lineRule="exact"/>
        <w:ind w:firstLine="540"/>
        <w:rPr>
          <w:rFonts w:ascii="宋体" w:hAnsi="宋体" w:cs="宋体"/>
          <w:color w:val="auto"/>
          <w:sz w:val="22"/>
          <w:highlight w:val="none"/>
        </w:rPr>
      </w:pPr>
      <w:r>
        <w:rPr>
          <w:rFonts w:hint="eastAsia" w:ascii="宋体" w:hAnsi="宋体" w:cs="宋体"/>
          <w:color w:val="auto"/>
          <w:sz w:val="22"/>
          <w:highlight w:val="none"/>
        </w:rPr>
        <w:t>评审工作由采购人依法组建的评审小组负责，评审小组由采购人代表以及评审专家库中随机抽取的有关技术、经济专家共同组成。评审全过程由采购管理部门全程监督。</w:t>
      </w:r>
    </w:p>
    <w:p>
      <w:pPr>
        <w:tabs>
          <w:tab w:val="left" w:pos="1069"/>
          <w:tab w:val="left" w:pos="2352"/>
        </w:tabs>
        <w:snapToGrid w:val="0"/>
        <w:spacing w:line="380" w:lineRule="exact"/>
        <w:ind w:firstLine="1774" w:firstLineChars="796"/>
        <w:rPr>
          <w:rFonts w:ascii="宋体" w:hAnsi="宋体" w:cs="宋体"/>
          <w:color w:val="auto"/>
          <w:sz w:val="22"/>
          <w:highlight w:val="none"/>
        </w:rPr>
      </w:pPr>
      <w:bookmarkStart w:id="95" w:name="_Toc7010_WPSOffice_Level2"/>
      <w:r>
        <w:rPr>
          <w:rFonts w:hint="eastAsia" w:ascii="宋体" w:hAnsi="宋体" w:cs="宋体"/>
          <w:b/>
          <w:color w:val="auto"/>
          <w:sz w:val="22"/>
          <w:highlight w:val="none"/>
        </w:rPr>
        <w:t>三、投标（响应）文件递交截止、磋商程序、磋商原则和方式</w:t>
      </w:r>
      <w:bookmarkEnd w:id="95"/>
    </w:p>
    <w:p>
      <w:pPr>
        <w:pStyle w:val="11"/>
        <w:tabs>
          <w:tab w:val="left" w:pos="1069"/>
          <w:tab w:val="left" w:pos="2352"/>
        </w:tabs>
        <w:adjustRightInd w:val="0"/>
        <w:snapToGrid w:val="0"/>
        <w:spacing w:line="380" w:lineRule="exact"/>
        <w:ind w:firstLine="446" w:firstLineChars="200"/>
        <w:rPr>
          <w:rFonts w:hAnsi="宋体" w:cs="宋体"/>
          <w:b/>
          <w:color w:val="auto"/>
          <w:sz w:val="22"/>
          <w:highlight w:val="none"/>
        </w:rPr>
      </w:pPr>
      <w:r>
        <w:rPr>
          <w:rFonts w:hint="eastAsia" w:hAnsi="宋体" w:cs="宋体"/>
          <w:color w:val="auto"/>
          <w:sz w:val="22"/>
          <w:highlight w:val="none"/>
        </w:rPr>
        <w:t>1、投标（响应）文件递交截止</w:t>
      </w:r>
    </w:p>
    <w:p>
      <w:pPr>
        <w:pStyle w:val="11"/>
        <w:tabs>
          <w:tab w:val="left" w:pos="1069"/>
          <w:tab w:val="left" w:pos="2352"/>
        </w:tabs>
        <w:adjustRightInd w:val="0"/>
        <w:snapToGrid w:val="0"/>
        <w:spacing w:line="380" w:lineRule="exact"/>
        <w:ind w:firstLine="446" w:firstLineChars="200"/>
        <w:rPr>
          <w:rFonts w:hAnsi="宋体" w:cs="宋体"/>
          <w:b/>
          <w:color w:val="auto"/>
          <w:sz w:val="22"/>
          <w:highlight w:val="none"/>
        </w:rPr>
      </w:pPr>
      <w:r>
        <w:rPr>
          <w:rFonts w:hint="eastAsia" w:hAnsi="宋体" w:cs="宋体"/>
          <w:color w:val="auto"/>
          <w:sz w:val="22"/>
          <w:highlight w:val="none"/>
        </w:rPr>
        <w:t>1采购人按竞争性磋商文件规定的时间、地点收取投标（响应）文件。</w:t>
      </w:r>
    </w:p>
    <w:p>
      <w:pPr>
        <w:pStyle w:val="11"/>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2、本次采购是根据竞争性磋商采购方式进行，各供应商首次报价不公开。</w:t>
      </w:r>
    </w:p>
    <w:p>
      <w:pPr>
        <w:pStyle w:val="11"/>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2.1 如评审小组认为竞争性磋商文件能够详细列明采购标的的技术、服务要求的，评审结束后，评审小组可以直接对供应商进行打分评价。</w:t>
      </w:r>
    </w:p>
    <w:p>
      <w:pPr>
        <w:pStyle w:val="11"/>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2.2如评审小组认为需要修改竞争性磋商文件的，在磋商过程中，评审小组可以根据竞争性磋商文件和磋商情况实质性变动采购需求中的技术、服务要求以及合同草案条款，但不得变动竞争性磋商文件中的其他内容。实质性变动的内容，须经采购人代表确认。</w:t>
      </w:r>
    </w:p>
    <w:p>
      <w:pPr>
        <w:pStyle w:val="11"/>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对竞争性磋商文件作出的实质性变动是竞争性磋商文件的有效组成部分，评审小组应当及时以书面形式同时通知所有参加磋商的供应商。</w:t>
      </w:r>
    </w:p>
    <w:p>
      <w:pPr>
        <w:pStyle w:val="11"/>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供应商应当按照竞争性磋商文件的变动情况和评审小组的要求重新提交投标（响应）文件，并由其法定代表人或授权代表签字或者加盖公章。由授权代表签字的，应当附法定代表人授权书。供应商为自然人的，应当由本人签字并附身份证明。</w:t>
      </w:r>
    </w:p>
    <w:p>
      <w:pPr>
        <w:tabs>
          <w:tab w:val="left" w:pos="1069"/>
          <w:tab w:val="left" w:pos="2352"/>
        </w:tabs>
        <w:adjustRightInd w:val="0"/>
        <w:spacing w:line="380" w:lineRule="exact"/>
        <w:ind w:firstLine="420"/>
        <w:rPr>
          <w:rFonts w:ascii="宋体" w:hAnsi="宋体" w:cs="宋体"/>
          <w:color w:val="auto"/>
          <w:sz w:val="22"/>
          <w:highlight w:val="none"/>
        </w:rPr>
      </w:pPr>
      <w:r>
        <w:rPr>
          <w:rFonts w:hint="eastAsia" w:ascii="宋体" w:hAnsi="宋体" w:cs="宋体"/>
          <w:color w:val="auto"/>
          <w:sz w:val="22"/>
          <w:highlight w:val="none"/>
        </w:rPr>
        <w:t>已提交投标（响应）文件的供应商，在提交最终报价之前，可以根据磋商情况退出磋商。</w:t>
      </w:r>
    </w:p>
    <w:p>
      <w:pPr>
        <w:pStyle w:val="11"/>
        <w:tabs>
          <w:tab w:val="left" w:pos="1069"/>
          <w:tab w:val="left" w:pos="2352"/>
        </w:tabs>
        <w:adjustRightInd w:val="0"/>
        <w:snapToGrid w:val="0"/>
        <w:spacing w:line="380" w:lineRule="exact"/>
        <w:ind w:firstLine="450"/>
        <w:rPr>
          <w:rFonts w:hAnsi="宋体" w:cs="宋体"/>
          <w:color w:val="auto"/>
          <w:sz w:val="22"/>
          <w:highlight w:val="none"/>
        </w:rPr>
      </w:pPr>
      <w:r>
        <w:rPr>
          <w:rFonts w:hint="eastAsia" w:hAnsi="宋体" w:cs="宋体"/>
          <w:color w:val="auto"/>
          <w:sz w:val="22"/>
          <w:highlight w:val="none"/>
        </w:rPr>
        <w:t>2.3 磋商的顺序，按供应商签到的逆顺序进行。开展磋商，评审小组所有成员集中与单一供应商（供应商的法定代表人或法定代表人授权代表须在线参加）分别进行磋商，并要求供应商提交最终报价。在竞争性磋商文件未做任何调整的情况下，参与磋商的供应商如有出现最终报价超过投标（响应）文件中报价的，则该供应商的报价按无效处理。</w:t>
      </w:r>
    </w:p>
    <w:p>
      <w:pPr>
        <w:pStyle w:val="11"/>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3、评审原则和方法</w:t>
      </w:r>
    </w:p>
    <w:p>
      <w:pPr>
        <w:pStyle w:val="11"/>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3.1 评审小组负责审查投标（响应）文件是否符合竞争性磋商文件的要求，并作出评价。评审小组认为必要时，可向供应商进行质疑。评审小组有权决定全部或部分供应商投标（响应）文件无效。</w:t>
      </w:r>
    </w:p>
    <w:p>
      <w:pPr>
        <w:pStyle w:val="11"/>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3.2 评审小组将综合分析合格供应商的各项指标，而不是以单项指标的优劣评选出成交的供应商。</w:t>
      </w:r>
    </w:p>
    <w:p>
      <w:pPr>
        <w:pStyle w:val="11"/>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3.3 经磋商确定最终采购需求和提交最终报价的供应商后，由评审小组采用综合评分法对提交最终报价的供应商的投标（响应）文件和最终报价进行综合评分。如竞争性磋商文件所列采购内容明确不需要修改的或供应商投标（响应）文件清楚明确不需要澄清的，可以不进行磋商环节，直接要求供应商进行最终报价，进行综合评分。</w:t>
      </w:r>
    </w:p>
    <w:p>
      <w:pPr>
        <w:pStyle w:val="11"/>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本次评审采用综合评分法，评审小组根据竞争性磋商文件制定的评审办法对供应商进行评审排序，将综合得分第一的供应商向采购人推荐其为中标（成交）供应商。</w:t>
      </w:r>
    </w:p>
    <w:p>
      <w:pPr>
        <w:pStyle w:val="11"/>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4、投标（响应）文件的澄清</w:t>
      </w:r>
    </w:p>
    <w:p>
      <w:pPr>
        <w:pStyle w:val="11"/>
        <w:tabs>
          <w:tab w:val="left" w:pos="1069"/>
          <w:tab w:val="left" w:pos="2352"/>
        </w:tabs>
        <w:adjustRightInd w:val="0"/>
        <w:snapToGrid w:val="0"/>
        <w:spacing w:line="380" w:lineRule="exact"/>
        <w:ind w:firstLine="223" w:firstLineChars="100"/>
        <w:rPr>
          <w:rFonts w:hAnsi="宋体" w:cs="宋体"/>
          <w:b/>
          <w:color w:val="auto"/>
          <w:sz w:val="22"/>
          <w:highlight w:val="none"/>
        </w:rPr>
      </w:pPr>
      <w:r>
        <w:rPr>
          <w:rFonts w:hint="eastAsia" w:hAnsi="宋体" w:cs="宋体"/>
          <w:color w:val="auto"/>
          <w:sz w:val="22"/>
          <w:highlight w:val="none"/>
        </w:rPr>
        <w:t>为有利于对投标（响应）文件的评议，必要时采购人可要求供应商对投标（响应）文件进行澄清，并作出答复。答复须有供应商授权代表签字并作为投标（响应）文件内容的一部分。</w:t>
      </w:r>
    </w:p>
    <w:p>
      <w:pPr>
        <w:pStyle w:val="11"/>
        <w:tabs>
          <w:tab w:val="left" w:pos="1069"/>
          <w:tab w:val="left" w:pos="2352"/>
        </w:tabs>
        <w:adjustRightInd w:val="0"/>
        <w:snapToGrid w:val="0"/>
        <w:spacing w:line="380" w:lineRule="exact"/>
        <w:ind w:firstLine="446" w:firstLineChars="200"/>
        <w:jc w:val="center"/>
        <w:rPr>
          <w:rFonts w:hAnsi="宋体" w:cs="宋体"/>
          <w:color w:val="auto"/>
          <w:sz w:val="22"/>
          <w:highlight w:val="none"/>
        </w:rPr>
      </w:pPr>
      <w:bookmarkStart w:id="96" w:name="_Toc28287_WPSOffice_Level2"/>
    </w:p>
    <w:p>
      <w:pPr>
        <w:tabs>
          <w:tab w:val="left" w:pos="1069"/>
          <w:tab w:val="left" w:pos="2352"/>
        </w:tabs>
        <w:rPr>
          <w:color w:val="auto"/>
          <w:highlight w:val="none"/>
        </w:rPr>
      </w:pPr>
    </w:p>
    <w:p>
      <w:pPr>
        <w:pStyle w:val="11"/>
        <w:numPr>
          <w:ilvl w:val="0"/>
          <w:numId w:val="10"/>
        </w:numPr>
        <w:tabs>
          <w:tab w:val="left" w:pos="1069"/>
          <w:tab w:val="left" w:pos="2352"/>
        </w:tabs>
        <w:adjustRightInd w:val="0"/>
        <w:snapToGrid w:val="0"/>
        <w:spacing w:line="380" w:lineRule="exact"/>
        <w:ind w:firstLine="446" w:firstLineChars="200"/>
        <w:jc w:val="center"/>
        <w:rPr>
          <w:rFonts w:hAnsi="宋体" w:cs="宋体"/>
          <w:b/>
          <w:bCs/>
          <w:color w:val="auto"/>
          <w:sz w:val="22"/>
          <w:highlight w:val="none"/>
        </w:rPr>
      </w:pPr>
      <w:r>
        <w:rPr>
          <w:rFonts w:hint="eastAsia" w:hAnsi="宋体" w:cs="宋体"/>
          <w:b/>
          <w:bCs/>
          <w:color w:val="auto"/>
          <w:sz w:val="22"/>
          <w:highlight w:val="none"/>
        </w:rPr>
        <w:t>评审细则</w:t>
      </w:r>
      <w:bookmarkEnd w:id="96"/>
      <w:bookmarkStart w:id="97" w:name="_Toc20707_WPSOffice_Level3"/>
    </w:p>
    <w:bookmarkEnd w:id="97"/>
    <w:p>
      <w:pPr>
        <w:pStyle w:val="31"/>
        <w:tabs>
          <w:tab w:val="left" w:pos="2352"/>
        </w:tabs>
        <w:adjustRightInd w:val="0"/>
        <w:snapToGrid w:val="0"/>
        <w:spacing w:line="380" w:lineRule="exact"/>
        <w:ind w:firstLine="446" w:firstLineChars="200"/>
        <w:rPr>
          <w:rFonts w:hAnsi="宋体" w:cs="宋体"/>
          <w:b/>
          <w:color w:val="auto"/>
          <w:sz w:val="22"/>
          <w:highlight w:val="none"/>
        </w:rPr>
      </w:pPr>
      <w:r>
        <w:rPr>
          <w:rFonts w:hint="eastAsia" w:hAnsi="宋体" w:cs="宋体"/>
          <w:color w:val="auto"/>
          <w:sz w:val="22"/>
          <w:highlight w:val="none"/>
        </w:rPr>
        <w:t>（一）报价评分</w:t>
      </w:r>
      <w:r>
        <w:rPr>
          <w:rFonts w:hint="eastAsia" w:ascii="Calibri" w:hAnsi="Calibri"/>
          <w:b/>
          <w:bCs/>
          <w:color w:val="auto"/>
          <w:sz w:val="22"/>
          <w:szCs w:val="22"/>
          <w:highlight w:val="none"/>
        </w:rPr>
        <w:t>（满分20分）</w:t>
      </w:r>
    </w:p>
    <w:p>
      <w:pPr>
        <w:pStyle w:val="11"/>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1、以满足竞争性磋商文件要求且最终报价最低的有效供应商的价格为磋商基准价，其价格分为满分。其他供应商的价格分统一按照下列公式计算：</w:t>
      </w:r>
    </w:p>
    <w:p>
      <w:pPr>
        <w:pStyle w:val="11"/>
        <w:tabs>
          <w:tab w:val="left" w:pos="1069"/>
          <w:tab w:val="left" w:pos="2352"/>
        </w:tabs>
        <w:adjustRightInd w:val="0"/>
        <w:snapToGrid w:val="0"/>
        <w:spacing w:line="380" w:lineRule="exact"/>
        <w:ind w:left="443" w:leftChars="208" w:firstLine="28" w:firstLineChars="13"/>
        <w:rPr>
          <w:rFonts w:hAnsi="宋体" w:cs="宋体"/>
          <w:b/>
          <w:bCs/>
          <w:color w:val="auto"/>
          <w:sz w:val="22"/>
          <w:highlight w:val="none"/>
        </w:rPr>
      </w:pPr>
      <w:r>
        <w:rPr>
          <w:rFonts w:hint="eastAsia" w:hAnsi="宋体" w:cs="宋体"/>
          <w:b/>
          <w:bCs/>
          <w:color w:val="auto"/>
          <w:sz w:val="22"/>
          <w:highlight w:val="none"/>
        </w:rPr>
        <w:t>磋商报价得分=（磋商基准价/最终报价）×20%×100</w:t>
      </w:r>
    </w:p>
    <w:p>
      <w:pPr>
        <w:pStyle w:val="11"/>
        <w:tabs>
          <w:tab w:val="left" w:pos="1069"/>
          <w:tab w:val="left" w:pos="2352"/>
        </w:tabs>
        <w:adjustRightInd w:val="0"/>
        <w:snapToGrid w:val="0"/>
        <w:spacing w:line="380" w:lineRule="exact"/>
        <w:ind w:firstLine="450"/>
        <w:rPr>
          <w:rFonts w:hAnsi="宋体" w:cs="宋体"/>
          <w:color w:val="auto"/>
          <w:sz w:val="22"/>
          <w:highlight w:val="none"/>
        </w:rPr>
      </w:pPr>
      <w:r>
        <w:rPr>
          <w:rFonts w:hint="eastAsia" w:hAnsi="宋体" w:cs="宋体"/>
          <w:color w:val="auto"/>
          <w:sz w:val="22"/>
          <w:highlight w:val="none"/>
        </w:rPr>
        <w:t>2、本项目根据《政府采购促进中小企业发展管理办法》（财库﹝2020﹞46 号）；财政部、司法部《关于政府采购支持监狱企业发展有关问题的通知》（财库〔2014〕68号）；（6）《浙江省财政厅关于进一步发挥政府采购政策 功能全力推动经济稳进提质的通知》（浙财采监〔2022〕3号）；《关于进一步加大政府采购 支持中小企业力度 助力扎实稳住经济 的通知》（浙财采监〔2022〕8号）的规定：对小微企业（含监狱企业、残疾人福利性单位）投标产品给予20%的评标价格扣除。（说明：标价格折扣计算以元人民币为单位，保留两位小数，第三位四舍五入进位。）</w:t>
      </w:r>
    </w:p>
    <w:p>
      <w:pPr>
        <w:pStyle w:val="11"/>
        <w:tabs>
          <w:tab w:val="left" w:pos="1069"/>
          <w:tab w:val="left" w:pos="2352"/>
        </w:tabs>
        <w:adjustRightInd w:val="0"/>
        <w:snapToGrid w:val="0"/>
        <w:spacing w:line="420" w:lineRule="exact"/>
        <w:ind w:left="335"/>
        <w:rPr>
          <w:rFonts w:hAnsi="宋体" w:cs="宋体"/>
          <w:bCs/>
          <w:color w:val="auto"/>
          <w:sz w:val="22"/>
          <w:highlight w:val="none"/>
        </w:rPr>
      </w:pPr>
      <w:r>
        <w:rPr>
          <w:rFonts w:hint="eastAsia" w:hAnsi="宋体" w:cs="宋体"/>
          <w:color w:val="auto"/>
          <w:sz w:val="22"/>
          <w:highlight w:val="none"/>
        </w:rPr>
        <w:t>（二）技术商务资信评分</w:t>
      </w:r>
      <w:r>
        <w:rPr>
          <w:rFonts w:hint="eastAsia" w:hAnsi="宋体" w:cs="宋体"/>
          <w:bCs/>
          <w:color w:val="auto"/>
          <w:sz w:val="22"/>
          <w:highlight w:val="none"/>
        </w:rPr>
        <w:t>（</w:t>
      </w:r>
      <w:r>
        <w:rPr>
          <w:rFonts w:hint="eastAsia" w:hAnsi="宋体" w:cs="宋体"/>
          <w:b/>
          <w:color w:val="auto"/>
          <w:sz w:val="22"/>
          <w:highlight w:val="none"/>
        </w:rPr>
        <w:t>满分80分</w:t>
      </w:r>
      <w:r>
        <w:rPr>
          <w:rFonts w:hint="eastAsia" w:hAnsi="宋体" w:cs="宋体"/>
          <w:bCs/>
          <w:color w:val="auto"/>
          <w:sz w:val="22"/>
          <w:highlight w:val="none"/>
        </w:rPr>
        <w:t>）</w:t>
      </w:r>
    </w:p>
    <w:tbl>
      <w:tblPr>
        <w:tblStyle w:val="24"/>
        <w:tblW w:w="5114" w:type="pct"/>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
        <w:gridCol w:w="1082"/>
        <w:gridCol w:w="6857"/>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4" w:hRule="atLeast"/>
        </w:trPr>
        <w:tc>
          <w:tcPr>
            <w:tcW w:w="480" w:type="pct"/>
            <w:shd w:val="clear" w:color="auto" w:fill="auto"/>
            <w:vAlign w:val="center"/>
          </w:tcPr>
          <w:p>
            <w:pPr>
              <w:widowControl/>
              <w:jc w:val="center"/>
              <w:textAlignment w:val="center"/>
              <w:rPr>
                <w:rFonts w:hint="default" w:ascii="宋体" w:hAnsi="宋体" w:eastAsia="宋体" w:cs="宋体"/>
                <w:b/>
                <w:bCs/>
                <w:color w:val="auto"/>
                <w:kern w:val="0"/>
                <w:sz w:val="22"/>
                <w:highlight w:val="none"/>
                <w:lang w:val="en-US" w:eastAsia="zh-CN" w:bidi="ar"/>
              </w:rPr>
            </w:pPr>
            <w:r>
              <w:rPr>
                <w:rFonts w:hint="eastAsia" w:ascii="宋体" w:hAnsi="宋体" w:cs="宋体"/>
                <w:b/>
                <w:bCs/>
                <w:color w:val="auto"/>
                <w:kern w:val="0"/>
                <w:sz w:val="22"/>
                <w:highlight w:val="none"/>
                <w:lang w:val="en-US" w:eastAsia="zh-CN" w:bidi="ar"/>
              </w:rPr>
              <w:t>序号</w:t>
            </w:r>
          </w:p>
        </w:tc>
        <w:tc>
          <w:tcPr>
            <w:tcW w:w="549" w:type="pct"/>
            <w:shd w:val="clear" w:color="auto" w:fill="auto"/>
            <w:vAlign w:val="center"/>
          </w:tcPr>
          <w:p>
            <w:pPr>
              <w:widowControl/>
              <w:jc w:val="center"/>
              <w:textAlignment w:val="center"/>
              <w:rPr>
                <w:rFonts w:ascii="宋体" w:hAnsi="宋体" w:cs="宋体"/>
                <w:b/>
                <w:bCs/>
                <w:color w:val="auto"/>
                <w:kern w:val="0"/>
                <w:sz w:val="22"/>
                <w:highlight w:val="none"/>
                <w:lang w:bidi="ar"/>
              </w:rPr>
            </w:pPr>
            <w:r>
              <w:rPr>
                <w:rFonts w:hint="eastAsia" w:ascii="宋体" w:hAnsi="宋体" w:cs="宋体"/>
                <w:b/>
                <w:bCs/>
                <w:color w:val="auto"/>
                <w:kern w:val="0"/>
                <w:sz w:val="22"/>
                <w:highlight w:val="none"/>
                <w:lang w:bidi="ar"/>
              </w:rPr>
              <w:t>评分</w:t>
            </w:r>
          </w:p>
          <w:p>
            <w:pPr>
              <w:widowControl/>
              <w:jc w:val="center"/>
              <w:textAlignment w:val="center"/>
              <w:rPr>
                <w:rFonts w:ascii="宋体" w:hAnsi="宋体" w:cs="宋体"/>
                <w:b/>
                <w:bCs/>
                <w:color w:val="auto"/>
                <w:sz w:val="22"/>
                <w:highlight w:val="none"/>
              </w:rPr>
            </w:pPr>
            <w:r>
              <w:rPr>
                <w:rFonts w:hint="eastAsia" w:ascii="宋体" w:hAnsi="宋体" w:cs="宋体"/>
                <w:b/>
                <w:bCs/>
                <w:color w:val="auto"/>
                <w:kern w:val="0"/>
                <w:sz w:val="22"/>
                <w:highlight w:val="none"/>
                <w:lang w:bidi="ar"/>
              </w:rPr>
              <w:t>子项</w:t>
            </w:r>
          </w:p>
        </w:tc>
        <w:tc>
          <w:tcPr>
            <w:tcW w:w="3480" w:type="pct"/>
            <w:shd w:val="clear" w:color="auto" w:fill="auto"/>
            <w:vAlign w:val="center"/>
          </w:tcPr>
          <w:p>
            <w:pPr>
              <w:widowControl/>
              <w:jc w:val="center"/>
              <w:textAlignment w:val="center"/>
              <w:rPr>
                <w:rFonts w:ascii="宋体" w:hAnsi="宋体" w:cs="宋体"/>
                <w:b/>
                <w:bCs/>
                <w:color w:val="auto"/>
                <w:sz w:val="22"/>
                <w:highlight w:val="none"/>
              </w:rPr>
            </w:pPr>
            <w:r>
              <w:rPr>
                <w:rFonts w:hint="eastAsia" w:ascii="宋体" w:hAnsi="宋体" w:cs="宋体"/>
                <w:b/>
                <w:bCs/>
                <w:color w:val="auto"/>
                <w:kern w:val="0"/>
                <w:sz w:val="22"/>
                <w:highlight w:val="none"/>
                <w:lang w:bidi="ar"/>
              </w:rPr>
              <w:t>评分细则</w:t>
            </w:r>
          </w:p>
        </w:tc>
        <w:tc>
          <w:tcPr>
            <w:tcW w:w="489" w:type="pct"/>
            <w:shd w:val="clear" w:color="auto" w:fill="auto"/>
            <w:vAlign w:val="center"/>
          </w:tcPr>
          <w:p>
            <w:pPr>
              <w:widowControl/>
              <w:jc w:val="center"/>
              <w:textAlignment w:val="center"/>
              <w:rPr>
                <w:rFonts w:ascii="宋体" w:hAnsi="宋体" w:cs="宋体"/>
                <w:b/>
                <w:bCs/>
                <w:color w:val="auto"/>
                <w:sz w:val="22"/>
                <w:highlight w:val="none"/>
              </w:rPr>
            </w:pPr>
            <w:r>
              <w:rPr>
                <w:rFonts w:hint="eastAsia" w:ascii="宋体" w:hAnsi="宋体" w:cs="宋体"/>
                <w:b/>
                <w:bCs/>
                <w:color w:val="auto"/>
                <w:kern w:val="0"/>
                <w:sz w:val="22"/>
                <w:highlight w:val="none"/>
                <w:lang w:bidi="ar"/>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480" w:type="pct"/>
            <w:vMerge w:val="restart"/>
            <w:shd w:val="clear" w:color="auto" w:fill="auto"/>
            <w:vAlign w:val="center"/>
          </w:tcPr>
          <w:p>
            <w:pPr>
              <w:widowControl/>
              <w:jc w:val="center"/>
              <w:textAlignment w:val="center"/>
              <w:rPr>
                <w:rFonts w:hint="eastAsia" w:ascii="宋体" w:hAnsi="宋体" w:eastAsia="宋体" w:cs="宋体"/>
                <w:color w:val="auto"/>
                <w:kern w:val="0"/>
                <w:sz w:val="22"/>
                <w:highlight w:val="none"/>
                <w:lang w:val="en-US" w:eastAsia="zh-CN" w:bidi="ar"/>
              </w:rPr>
            </w:pPr>
            <w:r>
              <w:rPr>
                <w:rFonts w:hint="eastAsia" w:ascii="宋体" w:hAnsi="宋体" w:cs="宋体"/>
                <w:color w:val="auto"/>
                <w:kern w:val="0"/>
                <w:sz w:val="22"/>
                <w:highlight w:val="none"/>
                <w:lang w:val="en-US" w:eastAsia="zh-CN" w:bidi="ar"/>
              </w:rPr>
              <w:t>1</w:t>
            </w:r>
          </w:p>
        </w:tc>
        <w:tc>
          <w:tcPr>
            <w:tcW w:w="549" w:type="pct"/>
            <w:vMerge w:val="restart"/>
            <w:shd w:val="clear" w:color="auto" w:fill="auto"/>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资信实力</w:t>
            </w:r>
          </w:p>
        </w:tc>
        <w:tc>
          <w:tcPr>
            <w:tcW w:w="3480" w:type="pct"/>
            <w:shd w:val="clear" w:color="auto" w:fill="auto"/>
            <w:vAlign w:val="center"/>
          </w:tcPr>
          <w:p>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投标人具有不动产测绘甲级、地理信息系统工程甲级、测绘地图编制乙级资质证书，每个得1分，最高得3分。（提供证明材料复印件加盖公章，不提供不得分）</w:t>
            </w:r>
          </w:p>
        </w:tc>
        <w:tc>
          <w:tcPr>
            <w:tcW w:w="489" w:type="pct"/>
            <w:shd w:val="clear" w:color="auto" w:fill="auto"/>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480" w:type="pct"/>
            <w:vMerge w:val="continue"/>
            <w:shd w:val="clear" w:color="auto" w:fill="auto"/>
            <w:vAlign w:val="center"/>
          </w:tcPr>
          <w:p>
            <w:pPr>
              <w:jc w:val="center"/>
              <w:rPr>
                <w:rFonts w:ascii="宋体" w:hAnsi="宋体" w:cs="宋体"/>
                <w:color w:val="auto"/>
                <w:sz w:val="22"/>
                <w:highlight w:val="none"/>
              </w:rPr>
            </w:pPr>
          </w:p>
        </w:tc>
        <w:tc>
          <w:tcPr>
            <w:tcW w:w="549" w:type="pct"/>
            <w:vMerge w:val="continue"/>
            <w:shd w:val="clear" w:color="auto" w:fill="auto"/>
            <w:vAlign w:val="center"/>
          </w:tcPr>
          <w:p>
            <w:pPr>
              <w:jc w:val="center"/>
              <w:rPr>
                <w:rFonts w:ascii="宋体" w:hAnsi="宋体" w:cs="宋体"/>
                <w:color w:val="auto"/>
                <w:sz w:val="22"/>
                <w:highlight w:val="none"/>
              </w:rPr>
            </w:pPr>
          </w:p>
        </w:tc>
        <w:tc>
          <w:tcPr>
            <w:tcW w:w="3480" w:type="pct"/>
            <w:shd w:val="clear" w:color="auto" w:fill="auto"/>
            <w:vAlign w:val="center"/>
          </w:tcPr>
          <w:p>
            <w:pPr>
              <w:widowControl/>
              <w:jc w:val="left"/>
              <w:textAlignment w:val="top"/>
              <w:rPr>
                <w:rFonts w:ascii="宋体" w:hAnsi="宋体" w:cs="宋体"/>
                <w:color w:val="auto"/>
                <w:sz w:val="22"/>
                <w:highlight w:val="none"/>
              </w:rPr>
            </w:pPr>
            <w:r>
              <w:rPr>
                <w:rFonts w:hint="eastAsia" w:ascii="宋体" w:hAnsi="宋体" w:cs="宋体"/>
                <w:color w:val="auto"/>
                <w:kern w:val="0"/>
                <w:sz w:val="22"/>
                <w:highlight w:val="none"/>
                <w:lang w:bidi="ar"/>
              </w:rPr>
              <w:t>投标人具有“坐标转换系统”、“不动产登记数据建库系统软件”、“集体土地所有权管理系统”、“档案整理及数字化加工分析软件”著作权（或授权证明）的，每个得 1 分，最高得 4 分；没有的不得分。（需提供有效期内相关证书复印件加盖公章）</w:t>
            </w:r>
          </w:p>
        </w:tc>
        <w:tc>
          <w:tcPr>
            <w:tcW w:w="489" w:type="pct"/>
            <w:shd w:val="clear" w:color="auto" w:fill="auto"/>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480" w:type="pct"/>
            <w:shd w:val="clear" w:color="auto" w:fill="auto"/>
            <w:vAlign w:val="center"/>
          </w:tcPr>
          <w:p>
            <w:pPr>
              <w:widowControl/>
              <w:jc w:val="center"/>
              <w:textAlignment w:val="center"/>
              <w:rPr>
                <w:rFonts w:hint="eastAsia" w:ascii="宋体" w:hAnsi="宋体" w:eastAsia="宋体" w:cs="宋体"/>
                <w:color w:val="auto"/>
                <w:kern w:val="0"/>
                <w:sz w:val="22"/>
                <w:highlight w:val="none"/>
                <w:lang w:val="en-US" w:eastAsia="zh-CN" w:bidi="ar"/>
              </w:rPr>
            </w:pPr>
            <w:r>
              <w:rPr>
                <w:rFonts w:hint="eastAsia" w:ascii="宋体" w:hAnsi="宋体" w:cs="宋体"/>
                <w:color w:val="auto"/>
                <w:kern w:val="0"/>
                <w:sz w:val="22"/>
                <w:highlight w:val="none"/>
                <w:lang w:val="en-US" w:eastAsia="zh-CN" w:bidi="ar"/>
              </w:rPr>
              <w:t>2</w:t>
            </w:r>
          </w:p>
        </w:tc>
        <w:tc>
          <w:tcPr>
            <w:tcW w:w="549" w:type="pct"/>
            <w:shd w:val="clear" w:color="auto" w:fill="auto"/>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管理体系认证</w:t>
            </w:r>
          </w:p>
        </w:tc>
        <w:tc>
          <w:tcPr>
            <w:tcW w:w="3480" w:type="pct"/>
            <w:shd w:val="clear" w:color="auto" w:fill="auto"/>
            <w:vAlign w:val="center"/>
          </w:tcPr>
          <w:p>
            <w:pPr>
              <w:widowControl/>
              <w:jc w:val="left"/>
              <w:textAlignment w:val="top"/>
              <w:rPr>
                <w:rFonts w:ascii="宋体" w:hAnsi="宋体" w:cs="宋体"/>
                <w:color w:val="auto"/>
                <w:sz w:val="22"/>
                <w:highlight w:val="none"/>
              </w:rPr>
            </w:pPr>
            <w:r>
              <w:rPr>
                <w:rFonts w:hint="eastAsia" w:ascii="宋体" w:hAnsi="宋体" w:cs="宋体"/>
                <w:color w:val="auto"/>
                <w:kern w:val="0"/>
                <w:sz w:val="22"/>
                <w:highlight w:val="none"/>
                <w:lang w:bidi="ar"/>
              </w:rPr>
              <w:t>投标人提供有效的质量管理体系（认证范围均应包含地理信息系统工程、界线与不动产测绘、计算机软件开发及服务）、环境管理体系、职业健康安全管理体系、信息技术服务管理体系认证(认证范围均应包含自然资源、测绘地理信息的数据处理）、信息安全管理体系认证(认证范围均应包含自然资源、测绘地理信息的数据处理），每个得1分，最高得5分。（提供证明材料原件扫描件，未提供不得分。）</w:t>
            </w:r>
          </w:p>
        </w:tc>
        <w:tc>
          <w:tcPr>
            <w:tcW w:w="489" w:type="pct"/>
            <w:shd w:val="clear" w:color="auto" w:fill="auto"/>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480" w:type="pct"/>
            <w:vMerge w:val="restart"/>
            <w:shd w:val="clear" w:color="auto" w:fill="auto"/>
            <w:vAlign w:val="center"/>
          </w:tcPr>
          <w:p>
            <w:pPr>
              <w:widowControl/>
              <w:jc w:val="center"/>
              <w:textAlignment w:val="center"/>
              <w:rPr>
                <w:rFonts w:hint="default" w:ascii="宋体" w:hAnsi="宋体" w:eastAsia="宋体" w:cs="宋体"/>
                <w:color w:val="auto"/>
                <w:kern w:val="0"/>
                <w:sz w:val="22"/>
                <w:highlight w:val="none"/>
                <w:lang w:val="en-US" w:eastAsia="zh-CN" w:bidi="ar"/>
              </w:rPr>
            </w:pPr>
            <w:r>
              <w:rPr>
                <w:rFonts w:hint="eastAsia" w:ascii="宋体" w:hAnsi="宋体" w:cs="宋体"/>
                <w:color w:val="auto"/>
                <w:kern w:val="0"/>
                <w:sz w:val="22"/>
                <w:highlight w:val="none"/>
                <w:lang w:val="en-US" w:eastAsia="zh-CN" w:bidi="ar"/>
              </w:rPr>
              <w:t>3</w:t>
            </w:r>
          </w:p>
        </w:tc>
        <w:tc>
          <w:tcPr>
            <w:tcW w:w="549" w:type="pct"/>
            <w:vMerge w:val="restart"/>
            <w:shd w:val="clear" w:color="auto" w:fill="auto"/>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技术方案</w:t>
            </w:r>
          </w:p>
        </w:tc>
        <w:tc>
          <w:tcPr>
            <w:tcW w:w="3480" w:type="pct"/>
            <w:shd w:val="clear" w:color="auto" w:fill="auto"/>
            <w:vAlign w:val="center"/>
          </w:tcPr>
          <w:p>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lang w:val="en-US" w:eastAsia="zh-CN" w:bidi="ar"/>
              </w:rPr>
              <w:t>1.</w:t>
            </w:r>
            <w:r>
              <w:rPr>
                <w:rFonts w:hint="eastAsia" w:ascii="宋体" w:hAnsi="宋体" w:cs="宋体"/>
                <w:color w:val="auto"/>
                <w:kern w:val="0"/>
                <w:sz w:val="22"/>
                <w:highlight w:val="none"/>
                <w:lang w:bidi="ar"/>
              </w:rPr>
              <w:t>根据投标人对此类项目政策及需求的理解是否透彻、资料收集是否完善进行打分，对本项目政策及需求的理解透彻、资料收集</w:t>
            </w:r>
            <w:r>
              <w:rPr>
                <w:rFonts w:hint="eastAsia" w:ascii="宋体" w:hAnsi="宋体" w:cs="宋体"/>
                <w:color w:val="auto"/>
                <w:kern w:val="0"/>
                <w:sz w:val="22"/>
                <w:highlight w:val="none"/>
                <w:lang w:val="en-US" w:eastAsia="zh-CN" w:bidi="ar"/>
              </w:rPr>
              <w:t>全面</w:t>
            </w:r>
            <w:r>
              <w:rPr>
                <w:rFonts w:hint="eastAsia" w:ascii="宋体" w:hAnsi="宋体" w:cs="宋体"/>
                <w:color w:val="auto"/>
                <w:kern w:val="0"/>
                <w:sz w:val="22"/>
                <w:highlight w:val="none"/>
                <w:lang w:bidi="ar"/>
              </w:rPr>
              <w:t>的得3分，方案基本完善、可行的得2分，方案较差、可行性低的得1分，未提供的不得分。</w:t>
            </w:r>
          </w:p>
        </w:tc>
        <w:tc>
          <w:tcPr>
            <w:tcW w:w="489" w:type="pct"/>
            <w:shd w:val="clear" w:color="auto" w:fill="auto"/>
            <w:vAlign w:val="center"/>
          </w:tcPr>
          <w:p>
            <w:pPr>
              <w:widowControl/>
              <w:jc w:val="center"/>
              <w:textAlignment w:val="center"/>
              <w:rPr>
                <w:rFonts w:ascii="宋体" w:hAnsi="宋体" w:cs="宋体"/>
                <w:color w:val="auto"/>
                <w:sz w:val="22"/>
                <w:highlight w:val="none"/>
              </w:rPr>
            </w:pPr>
            <w:r>
              <w:rPr>
                <w:rFonts w:hint="eastAsia" w:ascii="宋体" w:hAnsi="宋体" w:cs="宋体"/>
                <w:color w:val="auto"/>
                <w:sz w:val="22"/>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80" w:type="pct"/>
            <w:vMerge w:val="continue"/>
            <w:shd w:val="clear" w:color="auto" w:fill="auto"/>
            <w:vAlign w:val="center"/>
          </w:tcPr>
          <w:p>
            <w:pPr>
              <w:jc w:val="center"/>
              <w:rPr>
                <w:rFonts w:ascii="宋体" w:hAnsi="宋体" w:cs="宋体"/>
                <w:color w:val="auto"/>
                <w:sz w:val="22"/>
                <w:highlight w:val="none"/>
              </w:rPr>
            </w:pPr>
          </w:p>
        </w:tc>
        <w:tc>
          <w:tcPr>
            <w:tcW w:w="549" w:type="pct"/>
            <w:vMerge w:val="continue"/>
            <w:shd w:val="clear" w:color="auto" w:fill="auto"/>
            <w:vAlign w:val="center"/>
          </w:tcPr>
          <w:p>
            <w:pPr>
              <w:jc w:val="center"/>
              <w:rPr>
                <w:rFonts w:ascii="宋体" w:hAnsi="宋体" w:cs="宋体"/>
                <w:color w:val="auto"/>
                <w:sz w:val="22"/>
                <w:highlight w:val="none"/>
              </w:rPr>
            </w:pPr>
          </w:p>
        </w:tc>
        <w:tc>
          <w:tcPr>
            <w:tcW w:w="3480" w:type="pct"/>
            <w:shd w:val="clear" w:color="auto" w:fill="auto"/>
            <w:vAlign w:val="center"/>
          </w:tcPr>
          <w:p>
            <w:pPr>
              <w:widowControl/>
              <w:jc w:val="left"/>
              <w:textAlignment w:val="center"/>
              <w:rPr>
                <w:rFonts w:ascii="宋体" w:hAnsi="宋体" w:cs="宋体"/>
                <w:color w:val="auto"/>
                <w:kern w:val="0"/>
                <w:sz w:val="22"/>
                <w:highlight w:val="none"/>
                <w:lang w:bidi="ar"/>
              </w:rPr>
            </w:pPr>
            <w:r>
              <w:rPr>
                <w:rFonts w:hint="eastAsia" w:ascii="宋体" w:hAnsi="宋体" w:cs="宋体"/>
                <w:color w:val="auto"/>
                <w:kern w:val="0"/>
                <w:sz w:val="22"/>
                <w:highlight w:val="none"/>
                <w:lang w:val="en-US" w:eastAsia="zh-CN" w:bidi="ar"/>
              </w:rPr>
              <w:t>2</w:t>
            </w:r>
            <w:r>
              <w:rPr>
                <w:rFonts w:hint="eastAsia" w:ascii="宋体" w:hAnsi="宋体" w:cs="宋体"/>
                <w:color w:val="auto"/>
                <w:kern w:val="0"/>
                <w:sz w:val="22"/>
                <w:highlight w:val="none"/>
                <w:lang w:bidi="ar"/>
              </w:rPr>
              <w:t>.根据投标人提供的集体土地所有权确权权属核查方案编制的合理性、完整性进行打分，集体土地所有权确权权属核查方案编制合理、完整且贴合项目需求的得5分，方案基本完善、可行的得3.5分，方案较差、可行性低的得1.5分，未提供的不得分。</w:t>
            </w:r>
          </w:p>
          <w:p>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根据投标人集体土地所有权确权登记成果数据处理和整理入库，集中更新方案编制的科学性、合理性、完整性进行打分，对上述内容有详细描述、编制合理、完整且贴合项目需求的得5分，方案基本完善、可行的得3.5分，方案较差、可行性低的得1.5分，未提供的不得分。</w:t>
            </w:r>
          </w:p>
        </w:tc>
        <w:tc>
          <w:tcPr>
            <w:tcW w:w="489" w:type="pct"/>
            <w:shd w:val="clear" w:color="auto" w:fill="auto"/>
            <w:vAlign w:val="center"/>
          </w:tcPr>
          <w:p>
            <w:pPr>
              <w:widowControl/>
              <w:jc w:val="center"/>
              <w:textAlignment w:val="center"/>
              <w:rPr>
                <w:rFonts w:ascii="宋体" w:hAnsi="宋体" w:cs="宋体"/>
                <w:color w:val="auto"/>
                <w:sz w:val="22"/>
                <w:highlight w:val="none"/>
              </w:rPr>
            </w:pPr>
            <w:r>
              <w:rPr>
                <w:rFonts w:hint="eastAsia" w:ascii="宋体" w:hAnsi="宋体" w:cs="宋体"/>
                <w:color w:val="auto"/>
                <w:sz w:val="22"/>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80" w:type="pct"/>
            <w:vMerge w:val="continue"/>
            <w:shd w:val="clear" w:color="auto" w:fill="auto"/>
            <w:vAlign w:val="center"/>
          </w:tcPr>
          <w:p>
            <w:pPr>
              <w:jc w:val="center"/>
              <w:rPr>
                <w:rFonts w:ascii="宋体" w:hAnsi="宋体" w:cs="宋体"/>
                <w:color w:val="auto"/>
                <w:sz w:val="22"/>
                <w:highlight w:val="none"/>
              </w:rPr>
            </w:pPr>
          </w:p>
        </w:tc>
        <w:tc>
          <w:tcPr>
            <w:tcW w:w="549" w:type="pct"/>
            <w:vMerge w:val="continue"/>
            <w:shd w:val="clear" w:color="auto" w:fill="auto"/>
            <w:vAlign w:val="center"/>
          </w:tcPr>
          <w:p>
            <w:pPr>
              <w:jc w:val="center"/>
              <w:rPr>
                <w:rFonts w:ascii="宋体" w:hAnsi="宋体" w:cs="宋体"/>
                <w:color w:val="auto"/>
                <w:sz w:val="22"/>
                <w:highlight w:val="none"/>
              </w:rPr>
            </w:pPr>
          </w:p>
        </w:tc>
        <w:tc>
          <w:tcPr>
            <w:tcW w:w="3480" w:type="pct"/>
            <w:shd w:val="clear" w:color="auto" w:fill="auto"/>
            <w:vAlign w:val="center"/>
          </w:tcPr>
          <w:p>
            <w:pPr>
              <w:widowControl/>
              <w:jc w:val="left"/>
              <w:textAlignment w:val="center"/>
              <w:rPr>
                <w:rFonts w:ascii="宋体" w:hAnsi="宋体" w:cs="宋体"/>
                <w:color w:val="auto"/>
                <w:kern w:val="0"/>
                <w:sz w:val="22"/>
                <w:highlight w:val="none"/>
                <w:lang w:bidi="ar"/>
              </w:rPr>
            </w:pPr>
            <w:r>
              <w:rPr>
                <w:rFonts w:hint="eastAsia" w:ascii="宋体" w:hAnsi="宋体" w:cs="宋体"/>
                <w:color w:val="auto"/>
                <w:kern w:val="0"/>
                <w:sz w:val="22"/>
                <w:highlight w:val="none"/>
                <w:lang w:val="en-US" w:eastAsia="zh-CN" w:bidi="ar"/>
              </w:rPr>
              <w:t>3</w:t>
            </w:r>
            <w:r>
              <w:rPr>
                <w:rFonts w:hint="eastAsia" w:ascii="宋体" w:hAnsi="宋体" w:cs="宋体"/>
                <w:color w:val="auto"/>
                <w:kern w:val="0"/>
                <w:sz w:val="22"/>
                <w:highlight w:val="none"/>
                <w:lang w:bidi="ar"/>
              </w:rPr>
              <w:t>.根据投标人对本项目重点工作及应对举措是否合理有效、是否符合实际进行打分，对本项目重点工作及应对举措合理有效、符合实际且贴合项目需求的得5分，方案基本完善、可行的得3.5分，方案较差、可行性低的得1.5分，未提供的不得分。</w:t>
            </w:r>
          </w:p>
        </w:tc>
        <w:tc>
          <w:tcPr>
            <w:tcW w:w="489" w:type="pct"/>
            <w:shd w:val="clear" w:color="auto" w:fill="auto"/>
            <w:vAlign w:val="center"/>
          </w:tcPr>
          <w:p>
            <w:pPr>
              <w:widowControl/>
              <w:jc w:val="center"/>
              <w:textAlignment w:val="center"/>
              <w:rPr>
                <w:rFonts w:ascii="宋体" w:hAnsi="宋体" w:cs="宋体"/>
                <w:color w:val="auto"/>
                <w:sz w:val="22"/>
                <w:highlight w:val="none"/>
              </w:rPr>
            </w:pPr>
            <w:r>
              <w:rPr>
                <w:rFonts w:hint="eastAsia" w:ascii="宋体" w:hAnsi="宋体" w:cs="宋体"/>
                <w:color w:val="auto"/>
                <w:sz w:val="22"/>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480" w:type="pct"/>
            <w:vMerge w:val="continue"/>
            <w:shd w:val="clear" w:color="auto" w:fill="auto"/>
            <w:vAlign w:val="center"/>
          </w:tcPr>
          <w:p>
            <w:pPr>
              <w:jc w:val="center"/>
              <w:rPr>
                <w:rFonts w:ascii="宋体" w:hAnsi="宋体" w:cs="宋体"/>
                <w:color w:val="auto"/>
                <w:sz w:val="22"/>
                <w:highlight w:val="none"/>
              </w:rPr>
            </w:pPr>
          </w:p>
        </w:tc>
        <w:tc>
          <w:tcPr>
            <w:tcW w:w="549" w:type="pct"/>
            <w:vMerge w:val="continue"/>
            <w:shd w:val="clear" w:color="auto" w:fill="auto"/>
            <w:vAlign w:val="center"/>
          </w:tcPr>
          <w:p>
            <w:pPr>
              <w:jc w:val="center"/>
              <w:rPr>
                <w:rFonts w:ascii="宋体" w:hAnsi="宋体" w:cs="宋体"/>
                <w:color w:val="auto"/>
                <w:sz w:val="22"/>
                <w:highlight w:val="none"/>
              </w:rPr>
            </w:pPr>
          </w:p>
        </w:tc>
        <w:tc>
          <w:tcPr>
            <w:tcW w:w="3480" w:type="pct"/>
            <w:shd w:val="clear" w:color="auto" w:fill="auto"/>
            <w:vAlign w:val="center"/>
          </w:tcPr>
          <w:p>
            <w:pPr>
              <w:widowControl/>
              <w:jc w:val="left"/>
              <w:textAlignment w:val="center"/>
              <w:rPr>
                <w:rFonts w:ascii="宋体" w:hAnsi="宋体" w:cs="宋体"/>
                <w:color w:val="auto"/>
                <w:kern w:val="0"/>
                <w:sz w:val="22"/>
                <w:highlight w:val="none"/>
                <w:lang w:bidi="ar"/>
              </w:rPr>
            </w:pPr>
            <w:r>
              <w:rPr>
                <w:rFonts w:hint="eastAsia" w:ascii="宋体" w:hAnsi="宋体" w:cs="宋体"/>
                <w:color w:val="auto"/>
                <w:kern w:val="0"/>
                <w:sz w:val="22"/>
                <w:highlight w:val="none"/>
                <w:lang w:val="en-US" w:eastAsia="zh-CN" w:bidi="ar"/>
              </w:rPr>
              <w:t>4</w:t>
            </w:r>
            <w:r>
              <w:rPr>
                <w:rFonts w:hint="eastAsia" w:ascii="宋体" w:hAnsi="宋体" w:cs="宋体"/>
                <w:color w:val="auto"/>
                <w:kern w:val="0"/>
                <w:sz w:val="22"/>
                <w:highlight w:val="none"/>
                <w:lang w:bidi="ar"/>
              </w:rPr>
              <w:t>.根据登记成果资料归档、成果统一汇交方案编制的合理性、完整性进行打分，登记成果资料归档、成果统一汇交方案编制合理、完整且贴合项目需求的得5分，方案基本完善、可行的得3.5分，方案较差、可行性低的得1.5分，未提供的不得分。</w:t>
            </w:r>
          </w:p>
        </w:tc>
        <w:tc>
          <w:tcPr>
            <w:tcW w:w="489" w:type="pct"/>
            <w:shd w:val="clear" w:color="auto" w:fill="auto"/>
            <w:vAlign w:val="center"/>
          </w:tcPr>
          <w:p>
            <w:pPr>
              <w:widowControl/>
              <w:jc w:val="center"/>
              <w:textAlignment w:val="center"/>
              <w:rPr>
                <w:rFonts w:ascii="宋体" w:hAnsi="宋体" w:cs="宋体"/>
                <w:color w:val="auto"/>
                <w:sz w:val="22"/>
                <w:highlight w:val="none"/>
              </w:rPr>
            </w:pPr>
            <w:r>
              <w:rPr>
                <w:rFonts w:hint="eastAsia" w:ascii="宋体" w:hAnsi="宋体" w:cs="宋体"/>
                <w:color w:val="auto"/>
                <w:sz w:val="22"/>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7" w:hRule="atLeast"/>
        </w:trPr>
        <w:tc>
          <w:tcPr>
            <w:tcW w:w="480" w:type="pct"/>
            <w:shd w:val="clear" w:color="auto" w:fill="auto"/>
            <w:vAlign w:val="center"/>
          </w:tcPr>
          <w:p>
            <w:pPr>
              <w:widowControl/>
              <w:jc w:val="center"/>
              <w:textAlignment w:val="center"/>
              <w:rPr>
                <w:rFonts w:hint="eastAsia" w:ascii="宋体" w:hAnsi="宋体" w:eastAsia="宋体" w:cs="宋体"/>
                <w:color w:val="auto"/>
                <w:kern w:val="0"/>
                <w:sz w:val="22"/>
                <w:highlight w:val="none"/>
                <w:lang w:val="en-US" w:eastAsia="zh-CN" w:bidi="ar"/>
              </w:rPr>
            </w:pPr>
            <w:r>
              <w:rPr>
                <w:rFonts w:hint="eastAsia" w:ascii="宋体" w:hAnsi="宋体" w:cs="宋体"/>
                <w:color w:val="auto"/>
                <w:kern w:val="0"/>
                <w:sz w:val="22"/>
                <w:highlight w:val="none"/>
                <w:lang w:val="en-US" w:eastAsia="zh-CN" w:bidi="ar"/>
              </w:rPr>
              <w:t>4</w:t>
            </w:r>
          </w:p>
        </w:tc>
        <w:tc>
          <w:tcPr>
            <w:tcW w:w="549" w:type="pct"/>
            <w:shd w:val="clear" w:color="auto" w:fill="auto"/>
            <w:vAlign w:val="center"/>
          </w:tcPr>
          <w:p>
            <w:pPr>
              <w:widowControl/>
              <w:jc w:val="left"/>
              <w:textAlignment w:val="center"/>
              <w:rPr>
                <w:rFonts w:ascii="宋体" w:hAnsi="宋体" w:cs="宋体"/>
                <w:color w:val="auto"/>
                <w:kern w:val="0"/>
                <w:sz w:val="22"/>
                <w:highlight w:val="none"/>
                <w:lang w:bidi="ar"/>
              </w:rPr>
            </w:pPr>
            <w:r>
              <w:rPr>
                <w:rFonts w:hint="eastAsia" w:ascii="宋体" w:hAnsi="宋体" w:cs="宋体"/>
                <w:color w:val="auto"/>
                <w:kern w:val="0"/>
                <w:sz w:val="22"/>
                <w:highlight w:val="none"/>
                <w:lang w:bidi="ar"/>
              </w:rPr>
              <w:t>保密措施</w:t>
            </w:r>
          </w:p>
        </w:tc>
        <w:tc>
          <w:tcPr>
            <w:tcW w:w="3480" w:type="pct"/>
            <w:shd w:val="clear" w:color="auto" w:fill="auto"/>
            <w:vAlign w:val="center"/>
          </w:tcPr>
          <w:p>
            <w:pPr>
              <w:widowControl/>
              <w:jc w:val="left"/>
              <w:textAlignment w:val="center"/>
              <w:rPr>
                <w:rFonts w:ascii="宋体" w:hAnsi="宋体" w:cs="宋体"/>
                <w:color w:val="auto"/>
                <w:kern w:val="0"/>
                <w:sz w:val="22"/>
                <w:highlight w:val="none"/>
                <w:lang w:bidi="ar"/>
              </w:rPr>
            </w:pPr>
            <w:r>
              <w:rPr>
                <w:rFonts w:hint="eastAsia" w:ascii="宋体" w:hAnsi="宋体" w:cs="宋体"/>
                <w:color w:val="auto"/>
                <w:kern w:val="0"/>
                <w:sz w:val="22"/>
                <w:highlight w:val="none"/>
                <w:lang w:bidi="ar"/>
              </w:rPr>
              <w:t>针对本项目的保密措施综合评分，保密措施合理、有针对性、贴合项目需求的得5分，保密措施基本完善、可行的得3.5分，保密措施较差、可行性低的得1.5分，未提供的不得分。</w:t>
            </w:r>
          </w:p>
        </w:tc>
        <w:tc>
          <w:tcPr>
            <w:tcW w:w="489" w:type="pct"/>
            <w:shd w:val="clear" w:color="auto" w:fill="auto"/>
            <w:vAlign w:val="center"/>
          </w:tcPr>
          <w:p>
            <w:pPr>
              <w:widowControl/>
              <w:jc w:val="center"/>
              <w:textAlignment w:val="center"/>
              <w:rPr>
                <w:rFonts w:ascii="宋体" w:hAnsi="宋体" w:cs="宋体"/>
                <w:color w:val="auto"/>
                <w:sz w:val="22"/>
                <w:highlight w:val="none"/>
              </w:rPr>
            </w:pPr>
            <w:r>
              <w:rPr>
                <w:rFonts w:hint="eastAsia" w:ascii="宋体" w:hAnsi="宋体" w:cs="宋体"/>
                <w:color w:val="auto"/>
                <w:sz w:val="22"/>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0" w:type="pct"/>
            <w:vMerge w:val="restart"/>
            <w:shd w:val="clear" w:color="auto" w:fill="auto"/>
            <w:vAlign w:val="center"/>
          </w:tcPr>
          <w:p>
            <w:pPr>
              <w:widowControl/>
              <w:jc w:val="center"/>
              <w:textAlignment w:val="center"/>
              <w:rPr>
                <w:rFonts w:hint="eastAsia" w:ascii="宋体" w:hAnsi="宋体" w:eastAsia="宋体" w:cs="宋体"/>
                <w:color w:val="auto"/>
                <w:kern w:val="0"/>
                <w:sz w:val="22"/>
                <w:highlight w:val="none"/>
                <w:lang w:val="en-US" w:eastAsia="zh-CN" w:bidi="ar"/>
              </w:rPr>
            </w:pPr>
            <w:r>
              <w:rPr>
                <w:rFonts w:hint="eastAsia" w:ascii="宋体" w:hAnsi="宋体" w:cs="宋体"/>
                <w:color w:val="auto"/>
                <w:kern w:val="0"/>
                <w:sz w:val="22"/>
                <w:highlight w:val="none"/>
                <w:lang w:val="en-US" w:eastAsia="zh-CN" w:bidi="ar"/>
              </w:rPr>
              <w:t>5</w:t>
            </w:r>
          </w:p>
        </w:tc>
        <w:tc>
          <w:tcPr>
            <w:tcW w:w="549" w:type="pct"/>
            <w:vMerge w:val="restart"/>
            <w:shd w:val="clear" w:color="auto" w:fill="auto"/>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组织实施方案</w:t>
            </w:r>
          </w:p>
        </w:tc>
        <w:tc>
          <w:tcPr>
            <w:tcW w:w="3480" w:type="pct"/>
            <w:shd w:val="clear" w:color="auto" w:fill="auto"/>
            <w:vAlign w:val="center"/>
          </w:tcPr>
          <w:p>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根据本项目施工方案：工期保证措施、安全生产措施、成果与档案资料保密管理制度、文明作业等措施合理性和可行性进行打分，对上述内容有详细描述、编制合理、完整且贴合项目需求的得5分，方案基本完善、可行的得3.5分，方案较差、可行性低的得1.5分，未提供的不得分。</w:t>
            </w:r>
          </w:p>
        </w:tc>
        <w:tc>
          <w:tcPr>
            <w:tcW w:w="489" w:type="pct"/>
            <w:shd w:val="clear" w:color="auto" w:fill="auto"/>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480" w:type="pct"/>
            <w:vMerge w:val="continue"/>
            <w:shd w:val="clear" w:color="auto" w:fill="auto"/>
            <w:vAlign w:val="center"/>
          </w:tcPr>
          <w:p>
            <w:pPr>
              <w:jc w:val="center"/>
              <w:rPr>
                <w:rFonts w:ascii="宋体" w:hAnsi="宋体" w:cs="宋体"/>
                <w:color w:val="auto"/>
                <w:sz w:val="22"/>
                <w:highlight w:val="none"/>
              </w:rPr>
            </w:pPr>
          </w:p>
        </w:tc>
        <w:tc>
          <w:tcPr>
            <w:tcW w:w="549" w:type="pct"/>
            <w:vMerge w:val="continue"/>
            <w:shd w:val="clear" w:color="auto" w:fill="auto"/>
            <w:vAlign w:val="center"/>
          </w:tcPr>
          <w:p>
            <w:pPr>
              <w:jc w:val="center"/>
              <w:rPr>
                <w:rFonts w:ascii="宋体" w:hAnsi="宋体" w:cs="宋体"/>
                <w:color w:val="auto"/>
                <w:sz w:val="22"/>
                <w:highlight w:val="none"/>
              </w:rPr>
            </w:pPr>
          </w:p>
        </w:tc>
        <w:tc>
          <w:tcPr>
            <w:tcW w:w="3480" w:type="pct"/>
            <w:shd w:val="clear" w:color="auto" w:fill="auto"/>
            <w:vAlign w:val="center"/>
          </w:tcPr>
          <w:p>
            <w:pPr>
              <w:widowControl/>
              <w:jc w:val="left"/>
              <w:textAlignment w:val="center"/>
              <w:rPr>
                <w:rFonts w:ascii="宋体" w:hAnsi="宋体" w:cs="宋体"/>
                <w:color w:val="auto"/>
                <w:kern w:val="0"/>
                <w:sz w:val="22"/>
                <w:highlight w:val="none"/>
                <w:lang w:bidi="ar"/>
              </w:rPr>
            </w:pPr>
            <w:r>
              <w:rPr>
                <w:rFonts w:hint="eastAsia" w:ascii="宋体" w:hAnsi="宋体" w:cs="宋体"/>
                <w:color w:val="auto"/>
                <w:kern w:val="0"/>
                <w:sz w:val="22"/>
                <w:highlight w:val="none"/>
                <w:lang w:bidi="ar"/>
              </w:rPr>
              <w:t>根据投标文件整个项目的技术协调与管理、质量管理、进度管理方案及具体措施，能满足业主方进行打分，对上述内容有详细描述、编制合理、完整且贴合项目需求的得5分，方案基本完善、可行的得3.5分，方案较差、可行性低的得1.5分，未提供的不得分。</w:t>
            </w:r>
          </w:p>
        </w:tc>
        <w:tc>
          <w:tcPr>
            <w:tcW w:w="489" w:type="pct"/>
            <w:shd w:val="clear" w:color="auto" w:fill="auto"/>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480" w:type="pct"/>
            <w:shd w:val="clear" w:color="auto" w:fill="auto"/>
            <w:vAlign w:val="center"/>
          </w:tcPr>
          <w:p>
            <w:pPr>
              <w:widowControl/>
              <w:jc w:val="center"/>
              <w:textAlignment w:val="center"/>
              <w:rPr>
                <w:rFonts w:hint="eastAsia" w:ascii="宋体" w:hAnsi="宋体" w:eastAsia="宋体" w:cs="宋体"/>
                <w:color w:val="auto"/>
                <w:kern w:val="0"/>
                <w:sz w:val="22"/>
                <w:highlight w:val="none"/>
                <w:lang w:val="en-US" w:eastAsia="zh-CN" w:bidi="ar"/>
              </w:rPr>
            </w:pPr>
            <w:r>
              <w:rPr>
                <w:rFonts w:hint="eastAsia" w:ascii="宋体" w:hAnsi="宋体" w:cs="宋体"/>
                <w:color w:val="auto"/>
                <w:kern w:val="0"/>
                <w:sz w:val="22"/>
                <w:highlight w:val="none"/>
                <w:lang w:val="en-US" w:eastAsia="zh-CN" w:bidi="ar"/>
              </w:rPr>
              <w:t>6</w:t>
            </w:r>
          </w:p>
        </w:tc>
        <w:tc>
          <w:tcPr>
            <w:tcW w:w="549" w:type="pct"/>
            <w:shd w:val="clear" w:color="auto" w:fill="auto"/>
            <w:vAlign w:val="center"/>
          </w:tcPr>
          <w:p>
            <w:pPr>
              <w:widowControl/>
              <w:jc w:val="center"/>
              <w:textAlignment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工期进度安排</w:t>
            </w:r>
          </w:p>
        </w:tc>
        <w:tc>
          <w:tcPr>
            <w:tcW w:w="3480" w:type="pct"/>
            <w:shd w:val="clear" w:color="auto" w:fill="auto"/>
            <w:vAlign w:val="center"/>
          </w:tcPr>
          <w:p>
            <w:pPr>
              <w:widowControl/>
              <w:jc w:val="left"/>
              <w:textAlignment w:val="center"/>
              <w:rPr>
                <w:rFonts w:hint="default" w:ascii="宋体" w:hAnsi="宋体" w:cs="宋体"/>
                <w:color w:val="auto"/>
                <w:kern w:val="0"/>
                <w:sz w:val="22"/>
                <w:highlight w:val="none"/>
                <w:lang w:val="en-US" w:eastAsia="zh-CN" w:bidi="ar"/>
              </w:rPr>
            </w:pPr>
            <w:r>
              <w:rPr>
                <w:rFonts w:hint="eastAsia" w:ascii="宋体" w:hAnsi="宋体" w:cs="宋体"/>
                <w:color w:val="auto"/>
                <w:kern w:val="0"/>
                <w:sz w:val="22"/>
                <w:highlight w:val="none"/>
                <w:lang w:val="en-US" w:eastAsia="zh-CN" w:bidi="ar"/>
              </w:rPr>
              <w:t>承诺工期提前的得3分</w:t>
            </w:r>
            <w:r>
              <w:rPr>
                <w:rStyle w:val="40"/>
                <w:rFonts w:hint="eastAsia"/>
                <w:color w:val="auto"/>
                <w:sz w:val="22"/>
                <w:szCs w:val="22"/>
                <w:highlight w:val="none"/>
                <w:lang w:val="en-US" w:eastAsia="zh-CN" w:bidi="ar"/>
              </w:rPr>
              <w:t>，未承诺不得分</w:t>
            </w:r>
            <w:r>
              <w:rPr>
                <w:rFonts w:hint="eastAsia" w:ascii="宋体" w:hAnsi="宋体" w:cs="宋体"/>
                <w:color w:val="auto"/>
                <w:kern w:val="0"/>
                <w:sz w:val="22"/>
                <w:highlight w:val="none"/>
                <w:lang w:val="en-US" w:eastAsia="zh-CN" w:bidi="ar"/>
              </w:rPr>
              <w:t>。</w:t>
            </w:r>
          </w:p>
        </w:tc>
        <w:tc>
          <w:tcPr>
            <w:tcW w:w="489" w:type="pct"/>
            <w:shd w:val="clear" w:color="auto" w:fill="auto"/>
            <w:vAlign w:val="center"/>
          </w:tcPr>
          <w:p>
            <w:pPr>
              <w:widowControl/>
              <w:jc w:val="center"/>
              <w:textAlignment w:val="center"/>
              <w:rPr>
                <w:rFonts w:ascii="宋体" w:hAnsi="宋体" w:cs="宋体"/>
                <w:color w:val="auto"/>
                <w:sz w:val="22"/>
                <w:highlight w:val="none"/>
              </w:rPr>
            </w:pPr>
            <w:r>
              <w:rPr>
                <w:rFonts w:hint="eastAsia" w:ascii="宋体" w:hAnsi="宋体" w:cs="宋体"/>
                <w:color w:val="auto"/>
                <w:sz w:val="22"/>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480" w:type="pct"/>
            <w:shd w:val="clear" w:color="auto" w:fill="auto"/>
            <w:vAlign w:val="center"/>
          </w:tcPr>
          <w:p>
            <w:pPr>
              <w:widowControl/>
              <w:jc w:val="center"/>
              <w:textAlignment w:val="center"/>
              <w:rPr>
                <w:rFonts w:hint="eastAsia" w:ascii="宋体" w:hAnsi="宋体" w:eastAsia="宋体" w:cs="宋体"/>
                <w:color w:val="auto"/>
                <w:kern w:val="0"/>
                <w:sz w:val="22"/>
                <w:highlight w:val="none"/>
                <w:lang w:val="en-US" w:eastAsia="zh-CN" w:bidi="ar"/>
              </w:rPr>
            </w:pPr>
            <w:r>
              <w:rPr>
                <w:rFonts w:hint="eastAsia" w:ascii="宋体" w:hAnsi="宋体" w:cs="宋体"/>
                <w:color w:val="auto"/>
                <w:kern w:val="0"/>
                <w:sz w:val="22"/>
                <w:highlight w:val="none"/>
                <w:lang w:val="en-US" w:eastAsia="zh-CN" w:bidi="ar"/>
              </w:rPr>
              <w:t>7</w:t>
            </w:r>
          </w:p>
        </w:tc>
        <w:tc>
          <w:tcPr>
            <w:tcW w:w="549" w:type="pct"/>
            <w:shd w:val="clear" w:color="auto" w:fill="auto"/>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类似业绩</w:t>
            </w:r>
          </w:p>
        </w:tc>
        <w:tc>
          <w:tcPr>
            <w:tcW w:w="3480" w:type="pct"/>
            <w:shd w:val="clear" w:color="auto" w:fill="auto"/>
            <w:vAlign w:val="center"/>
          </w:tcPr>
          <w:p>
            <w:pPr>
              <w:widowControl/>
              <w:jc w:val="left"/>
              <w:textAlignment w:val="center"/>
              <w:rPr>
                <w:rFonts w:ascii="宋体" w:hAnsi="宋体" w:cs="宋体"/>
                <w:color w:val="auto"/>
                <w:sz w:val="22"/>
                <w:highlight w:val="none"/>
              </w:rPr>
            </w:pPr>
            <w:r>
              <w:rPr>
                <w:rStyle w:val="39"/>
                <w:rFonts w:hint="default"/>
                <w:color w:val="auto"/>
                <w:sz w:val="22"/>
                <w:szCs w:val="22"/>
                <w:highlight w:val="none"/>
                <w:lang w:bidi="ar"/>
              </w:rPr>
              <w:t>投标人承担过土地确权、不动产登记发证类项目的，每个得1分，最高得2分；（注：须提供中标通知书及合同的扫描件。）（注：须提供中标通知书及合同的扫描件。）</w:t>
            </w:r>
          </w:p>
        </w:tc>
        <w:tc>
          <w:tcPr>
            <w:tcW w:w="489" w:type="pct"/>
            <w:shd w:val="clear" w:color="auto" w:fill="auto"/>
            <w:vAlign w:val="center"/>
          </w:tcPr>
          <w:p>
            <w:pPr>
              <w:widowControl/>
              <w:jc w:val="center"/>
              <w:textAlignment w:val="center"/>
              <w:rPr>
                <w:rFonts w:ascii="宋体" w:hAnsi="宋体" w:cs="宋体"/>
                <w:color w:val="auto"/>
                <w:sz w:val="22"/>
                <w:highlight w:val="none"/>
              </w:rPr>
            </w:pPr>
            <w:r>
              <w:rPr>
                <w:rFonts w:hint="eastAsia" w:ascii="宋体" w:hAnsi="宋体" w:cs="宋体"/>
                <w:color w:val="auto"/>
                <w:sz w:val="22"/>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480" w:type="pct"/>
            <w:shd w:val="clear" w:color="auto" w:fill="auto"/>
            <w:vAlign w:val="center"/>
          </w:tcPr>
          <w:p>
            <w:pPr>
              <w:widowControl/>
              <w:jc w:val="center"/>
              <w:textAlignment w:val="center"/>
              <w:rPr>
                <w:rFonts w:hint="eastAsia" w:ascii="宋体" w:hAnsi="宋体" w:eastAsia="宋体" w:cs="宋体"/>
                <w:color w:val="auto"/>
                <w:kern w:val="0"/>
                <w:sz w:val="22"/>
                <w:highlight w:val="none"/>
                <w:lang w:val="en-US" w:eastAsia="zh-CN" w:bidi="ar"/>
              </w:rPr>
            </w:pPr>
            <w:r>
              <w:rPr>
                <w:rFonts w:hint="eastAsia" w:ascii="宋体" w:hAnsi="宋体" w:cs="宋体"/>
                <w:color w:val="auto"/>
                <w:kern w:val="0"/>
                <w:sz w:val="22"/>
                <w:highlight w:val="none"/>
                <w:lang w:val="en-US" w:eastAsia="zh-CN" w:bidi="ar"/>
              </w:rPr>
              <w:t>8</w:t>
            </w:r>
          </w:p>
        </w:tc>
        <w:tc>
          <w:tcPr>
            <w:tcW w:w="549" w:type="pct"/>
            <w:vMerge w:val="restart"/>
            <w:shd w:val="clear" w:color="auto" w:fill="auto"/>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人员投入情况</w:t>
            </w:r>
          </w:p>
        </w:tc>
        <w:tc>
          <w:tcPr>
            <w:tcW w:w="3480" w:type="pct"/>
            <w:shd w:val="clear" w:color="auto" w:fill="auto"/>
            <w:vAlign w:val="center"/>
          </w:tcPr>
          <w:p>
            <w:pPr>
              <w:widowControl/>
              <w:jc w:val="left"/>
              <w:textAlignment w:val="top"/>
              <w:rPr>
                <w:rFonts w:ascii="宋体" w:hAnsi="宋体" w:cs="宋体"/>
                <w:color w:val="auto"/>
                <w:sz w:val="22"/>
                <w:highlight w:val="none"/>
              </w:rPr>
            </w:pPr>
            <w:r>
              <w:rPr>
                <w:rFonts w:hint="eastAsia" w:ascii="宋体" w:hAnsi="宋体" w:cs="宋体"/>
                <w:color w:val="auto"/>
                <w:kern w:val="0"/>
                <w:sz w:val="22"/>
                <w:highlight w:val="none"/>
                <w:lang w:bidi="ar"/>
              </w:rPr>
              <w:t xml:space="preserve">1. </w:t>
            </w:r>
            <w:r>
              <w:rPr>
                <w:rStyle w:val="40"/>
                <w:rFonts w:hint="default"/>
                <w:color w:val="auto"/>
                <w:sz w:val="22"/>
                <w:szCs w:val="22"/>
                <w:highlight w:val="none"/>
                <w:lang w:bidi="ar"/>
              </w:rPr>
              <w:t>项目负责人：具有测绘高级工程师职称、高级信息系统项目管理师,每个证书得</w:t>
            </w:r>
            <w:r>
              <w:rPr>
                <w:rStyle w:val="40"/>
                <w:rFonts w:hint="eastAsia"/>
                <w:color w:val="auto"/>
                <w:sz w:val="22"/>
                <w:szCs w:val="22"/>
                <w:highlight w:val="none"/>
                <w:lang w:val="en-US" w:eastAsia="zh-CN" w:bidi="ar"/>
              </w:rPr>
              <w:t>1.5</w:t>
            </w:r>
            <w:r>
              <w:rPr>
                <w:rStyle w:val="40"/>
                <w:rFonts w:hint="default"/>
                <w:color w:val="auto"/>
                <w:sz w:val="22"/>
                <w:szCs w:val="22"/>
                <w:highlight w:val="none"/>
                <w:lang w:bidi="ar"/>
              </w:rPr>
              <w:t>分，本项最高得3分。</w:t>
            </w:r>
          </w:p>
        </w:tc>
        <w:tc>
          <w:tcPr>
            <w:tcW w:w="489" w:type="pct"/>
            <w:shd w:val="clear" w:color="auto" w:fill="auto"/>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2" w:hRule="atLeast"/>
        </w:trPr>
        <w:tc>
          <w:tcPr>
            <w:tcW w:w="480" w:type="pct"/>
            <w:vMerge w:val="restart"/>
            <w:shd w:val="clear" w:color="auto" w:fill="auto"/>
            <w:vAlign w:val="center"/>
          </w:tcPr>
          <w:p>
            <w:pPr>
              <w:jc w:val="center"/>
              <w:rPr>
                <w:rFonts w:ascii="宋体" w:hAnsi="宋体" w:cs="宋体"/>
                <w:color w:val="auto"/>
                <w:sz w:val="22"/>
                <w:highlight w:val="none"/>
              </w:rPr>
            </w:pPr>
          </w:p>
        </w:tc>
        <w:tc>
          <w:tcPr>
            <w:tcW w:w="549" w:type="pct"/>
            <w:vMerge w:val="continue"/>
            <w:shd w:val="clear" w:color="auto" w:fill="auto"/>
            <w:vAlign w:val="center"/>
          </w:tcPr>
          <w:p>
            <w:pPr>
              <w:jc w:val="center"/>
              <w:rPr>
                <w:rFonts w:ascii="宋体" w:hAnsi="宋体" w:cs="宋体"/>
                <w:color w:val="auto"/>
                <w:sz w:val="22"/>
                <w:highlight w:val="none"/>
              </w:rPr>
            </w:pPr>
          </w:p>
        </w:tc>
        <w:tc>
          <w:tcPr>
            <w:tcW w:w="3480" w:type="pct"/>
            <w:shd w:val="clear" w:color="auto" w:fill="auto"/>
            <w:vAlign w:val="center"/>
          </w:tcPr>
          <w:p>
            <w:pPr>
              <w:widowControl/>
              <w:jc w:val="left"/>
              <w:textAlignment w:val="top"/>
              <w:rPr>
                <w:rStyle w:val="40"/>
                <w:rFonts w:hint="default"/>
                <w:color w:val="auto"/>
                <w:sz w:val="22"/>
                <w:szCs w:val="22"/>
                <w:highlight w:val="none"/>
                <w:lang w:bidi="ar"/>
              </w:rPr>
            </w:pPr>
            <w:r>
              <w:rPr>
                <w:rFonts w:hint="eastAsia" w:ascii="宋体" w:hAnsi="宋体" w:cs="宋体"/>
                <w:color w:val="auto"/>
                <w:kern w:val="0"/>
                <w:sz w:val="22"/>
                <w:highlight w:val="none"/>
                <w:lang w:bidi="ar"/>
              </w:rPr>
              <w:t>2.</w:t>
            </w:r>
            <w:r>
              <w:rPr>
                <w:rStyle w:val="40"/>
                <w:rFonts w:hint="default"/>
                <w:color w:val="auto"/>
                <w:sz w:val="22"/>
                <w:szCs w:val="22"/>
                <w:highlight w:val="none"/>
                <w:lang w:bidi="ar"/>
              </w:rPr>
              <w:t>项目组成员：</w:t>
            </w:r>
          </w:p>
          <w:p>
            <w:pPr>
              <w:widowControl/>
              <w:jc w:val="left"/>
              <w:textAlignment w:val="top"/>
              <w:rPr>
                <w:rFonts w:ascii="宋体" w:hAnsi="宋体" w:cs="宋体"/>
                <w:color w:val="auto"/>
                <w:kern w:val="0"/>
                <w:sz w:val="22"/>
                <w:highlight w:val="none"/>
                <w:lang w:bidi="ar"/>
              </w:rPr>
            </w:pPr>
            <w:r>
              <w:rPr>
                <w:rStyle w:val="40"/>
                <w:rFonts w:hint="default"/>
                <w:color w:val="auto"/>
                <w:sz w:val="22"/>
                <w:szCs w:val="22"/>
                <w:highlight w:val="none"/>
                <w:lang w:bidi="ar"/>
              </w:rPr>
              <w:t>（1）具有测绘高级及以上工程师和注册测绘师证书的得2分，具有中级测绘工程师及注册测绘师证书得1分，其他情况不得分，本项最高得2分；</w:t>
            </w:r>
          </w:p>
          <w:p>
            <w:pPr>
              <w:widowControl/>
              <w:jc w:val="left"/>
              <w:textAlignment w:val="top"/>
              <w:rPr>
                <w:rFonts w:ascii="宋体" w:hAnsi="宋体" w:cs="宋体"/>
                <w:color w:val="auto"/>
                <w:kern w:val="0"/>
                <w:sz w:val="22"/>
                <w:highlight w:val="none"/>
                <w:lang w:bidi="ar"/>
              </w:rPr>
            </w:pPr>
            <w:r>
              <w:rPr>
                <w:rStyle w:val="40"/>
                <w:rFonts w:hint="default"/>
                <w:color w:val="auto"/>
                <w:sz w:val="22"/>
                <w:szCs w:val="22"/>
                <w:highlight w:val="none"/>
                <w:lang w:bidi="ar"/>
              </w:rPr>
              <w:t>（2）具有测绘高级及以上工程师和测绘成果质量检查人员培训证书的得2分，具有中级测绘工程师及测绘成果质量检查人员培训证书的得1分，其他情况不得分，本项最高得2分；</w:t>
            </w:r>
          </w:p>
          <w:p>
            <w:pPr>
              <w:widowControl/>
              <w:jc w:val="left"/>
              <w:textAlignment w:val="top"/>
              <w:rPr>
                <w:rStyle w:val="40"/>
                <w:rFonts w:hint="default"/>
                <w:color w:val="auto"/>
                <w:sz w:val="22"/>
                <w:szCs w:val="22"/>
                <w:highlight w:val="none"/>
                <w:lang w:bidi="ar"/>
              </w:rPr>
            </w:pPr>
            <w:r>
              <w:rPr>
                <w:rStyle w:val="40"/>
                <w:rFonts w:hint="default"/>
                <w:color w:val="auto"/>
                <w:sz w:val="22"/>
                <w:szCs w:val="22"/>
                <w:highlight w:val="none"/>
                <w:lang w:bidi="ar"/>
              </w:rPr>
              <w:t>（3）具有测绘成果保密类相关证书（涉密测绘成果管理人员证书、测绘单位核心涉密人员证书、测绘地理信息保密知识培训合格证书）的每人得1分，最高得3分，同个人员不重复的粉。</w:t>
            </w:r>
          </w:p>
          <w:p>
            <w:pPr>
              <w:widowControl/>
              <w:jc w:val="left"/>
              <w:textAlignment w:val="top"/>
              <w:rPr>
                <w:rStyle w:val="40"/>
                <w:rFonts w:hint="default"/>
                <w:color w:val="auto"/>
                <w:sz w:val="22"/>
                <w:szCs w:val="22"/>
                <w:highlight w:val="none"/>
                <w:lang w:bidi="ar"/>
              </w:rPr>
            </w:pPr>
            <w:r>
              <w:rPr>
                <w:rStyle w:val="40"/>
                <w:rFonts w:hint="default"/>
                <w:color w:val="auto"/>
                <w:sz w:val="22"/>
                <w:szCs w:val="22"/>
                <w:highlight w:val="none"/>
                <w:lang w:bidi="ar"/>
              </w:rPr>
              <w:t>（4）具有安全生产知识和管理能力考核合格证每人得1分，最高得2分。</w:t>
            </w:r>
          </w:p>
        </w:tc>
        <w:tc>
          <w:tcPr>
            <w:tcW w:w="489" w:type="pct"/>
            <w:shd w:val="clear" w:color="auto" w:fill="auto"/>
            <w:vAlign w:val="center"/>
          </w:tcPr>
          <w:p>
            <w:pPr>
              <w:widowControl/>
              <w:jc w:val="center"/>
              <w:textAlignment w:val="center"/>
              <w:rPr>
                <w:rFonts w:ascii="宋体" w:hAnsi="宋体" w:cs="宋体"/>
                <w:color w:val="auto"/>
                <w:sz w:val="22"/>
                <w:highlight w:val="none"/>
              </w:rPr>
            </w:pPr>
            <w:r>
              <w:rPr>
                <w:rFonts w:hint="eastAsia" w:ascii="宋体" w:hAnsi="宋体" w:cs="宋体"/>
                <w:color w:val="auto"/>
                <w:sz w:val="22"/>
                <w:highlight w:val="none"/>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480" w:type="pct"/>
            <w:vMerge w:val="continue"/>
            <w:shd w:val="clear" w:color="auto" w:fill="auto"/>
            <w:vAlign w:val="center"/>
          </w:tcPr>
          <w:p>
            <w:pPr>
              <w:jc w:val="center"/>
              <w:rPr>
                <w:rFonts w:ascii="宋体" w:hAnsi="宋体" w:cs="宋体"/>
                <w:color w:val="auto"/>
                <w:sz w:val="22"/>
                <w:highlight w:val="none"/>
              </w:rPr>
            </w:pPr>
          </w:p>
        </w:tc>
        <w:tc>
          <w:tcPr>
            <w:tcW w:w="549" w:type="pct"/>
            <w:vMerge w:val="continue"/>
            <w:shd w:val="clear" w:color="auto" w:fill="auto"/>
            <w:vAlign w:val="center"/>
          </w:tcPr>
          <w:p>
            <w:pPr>
              <w:jc w:val="center"/>
              <w:rPr>
                <w:rFonts w:ascii="宋体" w:hAnsi="宋体" w:cs="宋体"/>
                <w:color w:val="auto"/>
                <w:sz w:val="22"/>
                <w:highlight w:val="none"/>
              </w:rPr>
            </w:pPr>
          </w:p>
        </w:tc>
        <w:tc>
          <w:tcPr>
            <w:tcW w:w="3480" w:type="pct"/>
            <w:shd w:val="clear" w:color="auto" w:fill="auto"/>
            <w:vAlign w:val="center"/>
          </w:tcPr>
          <w:p>
            <w:pPr>
              <w:widowControl/>
              <w:jc w:val="left"/>
              <w:textAlignment w:val="top"/>
              <w:rPr>
                <w:rStyle w:val="40"/>
                <w:rFonts w:hint="default"/>
                <w:color w:val="auto"/>
                <w:sz w:val="22"/>
                <w:szCs w:val="22"/>
                <w:highlight w:val="none"/>
                <w:lang w:bidi="ar"/>
              </w:rPr>
            </w:pPr>
            <w:r>
              <w:rPr>
                <w:rStyle w:val="40"/>
                <w:rFonts w:hint="default"/>
                <w:color w:val="auto"/>
                <w:sz w:val="22"/>
                <w:szCs w:val="22"/>
                <w:highlight w:val="none"/>
                <w:lang w:bidi="ar"/>
              </w:rPr>
              <w:t>注：投标文件中需提供以上人员的职称证书、岗位证书等相关证明材料</w:t>
            </w:r>
            <w:r>
              <w:rPr>
                <w:rStyle w:val="40"/>
                <w:rFonts w:hint="default"/>
                <w:color w:val="auto"/>
                <w:sz w:val="22"/>
                <w:szCs w:val="22"/>
                <w:highlight w:val="none"/>
                <w:lang w:val="zh-CN" w:bidi="ar"/>
              </w:rPr>
              <w:t>原件扫描件</w:t>
            </w:r>
            <w:r>
              <w:rPr>
                <w:rStyle w:val="40"/>
                <w:rFonts w:hint="default"/>
                <w:color w:val="auto"/>
                <w:sz w:val="22"/>
                <w:szCs w:val="22"/>
                <w:highlight w:val="none"/>
                <w:lang w:bidi="ar"/>
              </w:rPr>
              <w:t>和缴纳社保缴费证明扫</w:t>
            </w:r>
            <w:r>
              <w:rPr>
                <w:rStyle w:val="40"/>
                <w:rFonts w:hint="default"/>
                <w:color w:val="auto"/>
                <w:sz w:val="22"/>
                <w:szCs w:val="22"/>
                <w:highlight w:val="none"/>
                <w:lang w:val="zh-CN" w:bidi="ar"/>
              </w:rPr>
              <w:t>描件</w:t>
            </w:r>
            <w:r>
              <w:rPr>
                <w:rStyle w:val="40"/>
                <w:rFonts w:hint="default"/>
                <w:color w:val="auto"/>
                <w:sz w:val="22"/>
                <w:szCs w:val="22"/>
                <w:highlight w:val="none"/>
                <w:lang w:bidi="ar"/>
              </w:rPr>
              <w:t>，不提供不得分。</w:t>
            </w:r>
          </w:p>
        </w:tc>
        <w:tc>
          <w:tcPr>
            <w:tcW w:w="489" w:type="pct"/>
            <w:shd w:val="clear" w:color="auto" w:fill="auto"/>
            <w:vAlign w:val="center"/>
          </w:tcPr>
          <w:p>
            <w:pPr>
              <w:widowControl/>
              <w:jc w:val="center"/>
              <w:textAlignment w:val="center"/>
              <w:rPr>
                <w:rFonts w:ascii="宋体" w:hAnsi="宋体" w:cs="宋体"/>
                <w:color w:val="auto"/>
                <w:kern w:val="0"/>
                <w:sz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480" w:type="pct"/>
            <w:shd w:val="clear" w:color="auto" w:fill="auto"/>
            <w:vAlign w:val="center"/>
          </w:tcPr>
          <w:p>
            <w:pPr>
              <w:widowControl/>
              <w:jc w:val="center"/>
              <w:textAlignment w:val="center"/>
              <w:rPr>
                <w:rFonts w:hint="eastAsia" w:ascii="宋体" w:hAnsi="宋体" w:eastAsia="宋体" w:cs="宋体"/>
                <w:color w:val="auto"/>
                <w:kern w:val="0"/>
                <w:sz w:val="22"/>
                <w:highlight w:val="none"/>
                <w:lang w:val="en-US" w:eastAsia="zh-CN" w:bidi="ar"/>
              </w:rPr>
            </w:pPr>
            <w:r>
              <w:rPr>
                <w:rFonts w:hint="eastAsia" w:ascii="宋体" w:hAnsi="宋体" w:cs="宋体"/>
                <w:color w:val="auto"/>
                <w:kern w:val="0"/>
                <w:sz w:val="22"/>
                <w:highlight w:val="none"/>
                <w:lang w:val="en-US" w:eastAsia="zh-CN" w:bidi="ar"/>
              </w:rPr>
              <w:t>9</w:t>
            </w:r>
          </w:p>
        </w:tc>
        <w:tc>
          <w:tcPr>
            <w:tcW w:w="549" w:type="pct"/>
            <w:shd w:val="clear" w:color="auto" w:fill="auto"/>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设备投入情况</w:t>
            </w:r>
          </w:p>
        </w:tc>
        <w:tc>
          <w:tcPr>
            <w:tcW w:w="3480" w:type="pct"/>
            <w:shd w:val="clear" w:color="auto" w:fill="auto"/>
            <w:vAlign w:val="center"/>
          </w:tcPr>
          <w:p>
            <w:pPr>
              <w:widowControl/>
              <w:jc w:val="left"/>
              <w:textAlignment w:val="top"/>
              <w:rPr>
                <w:rStyle w:val="40"/>
                <w:rFonts w:hint="default"/>
                <w:color w:val="auto"/>
                <w:sz w:val="22"/>
                <w:szCs w:val="22"/>
                <w:highlight w:val="none"/>
                <w:lang w:bidi="ar"/>
              </w:rPr>
            </w:pPr>
            <w:r>
              <w:rPr>
                <w:rStyle w:val="40"/>
                <w:rFonts w:hint="default"/>
                <w:color w:val="auto"/>
                <w:sz w:val="22"/>
                <w:szCs w:val="22"/>
                <w:highlight w:val="none"/>
                <w:lang w:bidi="ar"/>
              </w:rPr>
              <w:t>根据投标人拟投入与本项目相关的专业设备（软硬件）情况综合评分</w:t>
            </w:r>
          </w:p>
          <w:p>
            <w:pPr>
              <w:widowControl/>
              <w:jc w:val="left"/>
              <w:textAlignment w:val="top"/>
              <w:rPr>
                <w:rStyle w:val="40"/>
                <w:rFonts w:hint="default"/>
                <w:color w:val="auto"/>
                <w:sz w:val="22"/>
                <w:szCs w:val="22"/>
                <w:highlight w:val="none"/>
                <w:lang w:bidi="ar"/>
              </w:rPr>
            </w:pPr>
            <w:r>
              <w:rPr>
                <w:rStyle w:val="40"/>
                <w:rFonts w:hint="default"/>
                <w:color w:val="auto"/>
                <w:sz w:val="22"/>
                <w:szCs w:val="22"/>
                <w:highlight w:val="none"/>
                <w:lang w:bidi="ar"/>
              </w:rPr>
              <w:t>1.</w:t>
            </w:r>
            <w:r>
              <w:rPr>
                <w:rStyle w:val="40"/>
                <w:rFonts w:hint="default"/>
                <w:color w:val="auto"/>
                <w:sz w:val="22"/>
                <w:szCs w:val="22"/>
                <w:highlight w:val="none"/>
                <w:lang w:val="zh-CN" w:bidi="ar"/>
              </w:rPr>
              <w:t>投标人具有</w:t>
            </w:r>
            <w:r>
              <w:rPr>
                <w:rStyle w:val="40"/>
                <w:rFonts w:hint="default"/>
                <w:color w:val="auto"/>
                <w:sz w:val="22"/>
                <w:szCs w:val="22"/>
                <w:highlight w:val="none"/>
                <w:lang w:bidi="ar"/>
              </w:rPr>
              <w:t>无人机设备3台及以上的得1分；</w:t>
            </w:r>
            <w:r>
              <w:rPr>
                <w:rStyle w:val="40"/>
                <w:rFonts w:hint="default"/>
                <w:color w:val="auto"/>
                <w:sz w:val="22"/>
                <w:szCs w:val="22"/>
                <w:highlight w:val="none"/>
                <w:lang w:val="zh-CN" w:bidi="ar"/>
              </w:rPr>
              <w:t>具有GPS</w:t>
            </w:r>
            <w:r>
              <w:rPr>
                <w:rStyle w:val="40"/>
                <w:rFonts w:hint="default"/>
                <w:color w:val="auto"/>
                <w:sz w:val="22"/>
                <w:szCs w:val="22"/>
                <w:highlight w:val="none"/>
                <w:lang w:bidi="ar"/>
              </w:rPr>
              <w:t>/RTK</w:t>
            </w:r>
            <w:r>
              <w:rPr>
                <w:rStyle w:val="40"/>
                <w:rFonts w:hint="default"/>
                <w:color w:val="auto"/>
                <w:sz w:val="22"/>
                <w:szCs w:val="22"/>
                <w:highlight w:val="none"/>
                <w:lang w:val="zh-CN" w:bidi="ar"/>
              </w:rPr>
              <w:t>接收机</w:t>
            </w:r>
            <w:r>
              <w:rPr>
                <w:rStyle w:val="40"/>
                <w:rFonts w:hint="default"/>
                <w:color w:val="auto"/>
                <w:sz w:val="22"/>
                <w:szCs w:val="22"/>
                <w:highlight w:val="none"/>
                <w:lang w:bidi="ar"/>
              </w:rPr>
              <w:t>2</w:t>
            </w:r>
            <w:r>
              <w:rPr>
                <w:rStyle w:val="40"/>
                <w:rFonts w:hint="default"/>
                <w:color w:val="auto"/>
                <w:sz w:val="22"/>
                <w:szCs w:val="22"/>
                <w:highlight w:val="none"/>
                <w:lang w:val="zh-CN" w:bidi="ar"/>
              </w:rPr>
              <w:t>台及以上的得</w:t>
            </w:r>
            <w:r>
              <w:rPr>
                <w:rStyle w:val="40"/>
                <w:rFonts w:hint="default"/>
                <w:color w:val="auto"/>
                <w:sz w:val="22"/>
                <w:szCs w:val="22"/>
                <w:highlight w:val="none"/>
                <w:lang w:bidi="ar"/>
              </w:rPr>
              <w:t>1</w:t>
            </w:r>
            <w:r>
              <w:rPr>
                <w:rStyle w:val="40"/>
                <w:rFonts w:hint="default"/>
                <w:color w:val="auto"/>
                <w:sz w:val="22"/>
                <w:szCs w:val="22"/>
                <w:highlight w:val="none"/>
                <w:lang w:val="zh-CN" w:bidi="ar"/>
              </w:rPr>
              <w:t>分；具有全站仪</w:t>
            </w:r>
            <w:r>
              <w:rPr>
                <w:rStyle w:val="40"/>
                <w:rFonts w:hint="default"/>
                <w:color w:val="auto"/>
                <w:sz w:val="22"/>
                <w:szCs w:val="22"/>
                <w:highlight w:val="none"/>
                <w:lang w:bidi="ar"/>
              </w:rPr>
              <w:t>2台及以上的得1分。</w:t>
            </w:r>
          </w:p>
          <w:p>
            <w:pPr>
              <w:widowControl/>
              <w:jc w:val="left"/>
              <w:textAlignment w:val="top"/>
              <w:rPr>
                <w:rStyle w:val="40"/>
                <w:rFonts w:hint="default"/>
                <w:color w:val="auto"/>
                <w:sz w:val="22"/>
                <w:szCs w:val="22"/>
                <w:highlight w:val="none"/>
                <w:lang w:bidi="ar"/>
              </w:rPr>
            </w:pPr>
            <w:r>
              <w:rPr>
                <w:rStyle w:val="40"/>
                <w:rFonts w:hint="default"/>
                <w:color w:val="auto"/>
                <w:sz w:val="22"/>
                <w:szCs w:val="22"/>
                <w:highlight w:val="none"/>
                <w:lang w:bidi="ar"/>
              </w:rPr>
              <w:t>2.</w:t>
            </w:r>
            <w:r>
              <w:rPr>
                <w:rStyle w:val="40"/>
                <w:rFonts w:hint="default"/>
                <w:color w:val="auto"/>
                <w:sz w:val="22"/>
                <w:szCs w:val="22"/>
                <w:highlight w:val="none"/>
                <w:lang w:val="zh-CN" w:bidi="ar"/>
              </w:rPr>
              <w:t>投标人</w:t>
            </w:r>
            <w:r>
              <w:rPr>
                <w:rStyle w:val="40"/>
                <w:rFonts w:hint="default"/>
                <w:color w:val="auto"/>
                <w:sz w:val="22"/>
                <w:szCs w:val="22"/>
                <w:highlight w:val="none"/>
                <w:lang w:bidi="ar"/>
              </w:rPr>
              <w:t>配备无人机航摄系统</w:t>
            </w:r>
            <w:r>
              <w:rPr>
                <w:rStyle w:val="40"/>
                <w:rFonts w:hint="default"/>
                <w:color w:val="auto"/>
                <w:sz w:val="22"/>
                <w:szCs w:val="22"/>
                <w:highlight w:val="none"/>
                <w:lang w:val="zh-CN" w:bidi="ar"/>
              </w:rPr>
              <w:t>得</w:t>
            </w:r>
            <w:r>
              <w:rPr>
                <w:rStyle w:val="40"/>
                <w:rFonts w:hint="default"/>
                <w:color w:val="auto"/>
                <w:sz w:val="22"/>
                <w:szCs w:val="22"/>
                <w:highlight w:val="none"/>
                <w:lang w:bidi="ar"/>
              </w:rPr>
              <w:t>1</w:t>
            </w:r>
            <w:r>
              <w:rPr>
                <w:rStyle w:val="40"/>
                <w:rFonts w:hint="default"/>
                <w:color w:val="auto"/>
                <w:sz w:val="22"/>
                <w:szCs w:val="22"/>
                <w:highlight w:val="none"/>
                <w:lang w:val="zh-CN" w:bidi="ar"/>
              </w:rPr>
              <w:t>分；</w:t>
            </w:r>
            <w:r>
              <w:rPr>
                <w:rStyle w:val="40"/>
                <w:rFonts w:hint="default"/>
                <w:color w:val="auto"/>
                <w:sz w:val="22"/>
                <w:szCs w:val="22"/>
                <w:highlight w:val="none"/>
                <w:lang w:bidi="ar"/>
              </w:rPr>
              <w:t xml:space="preserve">配置移动测量系统的得 1分。 </w:t>
            </w:r>
          </w:p>
          <w:p>
            <w:pPr>
              <w:widowControl/>
              <w:jc w:val="left"/>
              <w:textAlignment w:val="top"/>
              <w:rPr>
                <w:rStyle w:val="40"/>
                <w:rFonts w:hint="eastAsia" w:eastAsia="宋体"/>
                <w:color w:val="auto"/>
                <w:sz w:val="22"/>
                <w:szCs w:val="22"/>
                <w:highlight w:val="none"/>
                <w:lang w:eastAsia="zh-CN" w:bidi="ar"/>
              </w:rPr>
            </w:pPr>
            <w:r>
              <w:rPr>
                <w:rStyle w:val="40"/>
                <w:rFonts w:hint="default"/>
                <w:color w:val="auto"/>
                <w:sz w:val="22"/>
                <w:szCs w:val="22"/>
                <w:highlight w:val="none"/>
                <w:lang w:bidi="ar"/>
              </w:rPr>
              <w:t>注：</w:t>
            </w:r>
            <w:r>
              <w:rPr>
                <w:rStyle w:val="40"/>
                <w:rFonts w:hint="eastAsia"/>
                <w:strike w:val="0"/>
                <w:dstrike w:val="0"/>
                <w:color w:val="auto"/>
                <w:sz w:val="22"/>
                <w:szCs w:val="22"/>
                <w:highlight w:val="none"/>
                <w:lang w:val="en-US" w:eastAsia="zh-CN" w:bidi="ar"/>
              </w:rPr>
              <w:t>设备自有的</w:t>
            </w:r>
            <w:r>
              <w:rPr>
                <w:rStyle w:val="40"/>
                <w:rFonts w:hint="default"/>
                <w:color w:val="auto"/>
                <w:sz w:val="22"/>
                <w:szCs w:val="22"/>
                <w:highlight w:val="none"/>
                <w:lang w:bidi="ar"/>
              </w:rPr>
              <w:t>须提供关设备购置发票</w:t>
            </w:r>
            <w:r>
              <w:rPr>
                <w:rStyle w:val="40"/>
                <w:rFonts w:hint="eastAsia"/>
                <w:color w:val="auto"/>
                <w:sz w:val="22"/>
                <w:szCs w:val="22"/>
                <w:highlight w:val="none"/>
                <w:lang w:eastAsia="zh-CN" w:bidi="ar"/>
              </w:rPr>
              <w:t>（</w:t>
            </w:r>
            <w:r>
              <w:rPr>
                <w:rStyle w:val="40"/>
                <w:rFonts w:hint="default"/>
                <w:color w:val="auto"/>
                <w:sz w:val="22"/>
                <w:szCs w:val="22"/>
                <w:highlight w:val="none"/>
                <w:lang w:bidi="ar"/>
              </w:rPr>
              <w:t>或其他证明材料</w:t>
            </w:r>
            <w:r>
              <w:rPr>
                <w:rStyle w:val="40"/>
                <w:rFonts w:hint="eastAsia"/>
                <w:color w:val="auto"/>
                <w:sz w:val="22"/>
                <w:szCs w:val="22"/>
                <w:highlight w:val="none"/>
                <w:lang w:eastAsia="zh-CN" w:bidi="ar"/>
              </w:rPr>
              <w:t>），</w:t>
            </w:r>
            <w:r>
              <w:rPr>
                <w:rStyle w:val="40"/>
                <w:rFonts w:hint="eastAsia"/>
                <w:color w:val="auto"/>
                <w:sz w:val="22"/>
                <w:szCs w:val="22"/>
                <w:highlight w:val="none"/>
                <w:lang w:val="en-US" w:eastAsia="zh-CN" w:bidi="ar"/>
              </w:rPr>
              <w:t>设备租赁的须提供租赁合同和设备</w:t>
            </w:r>
            <w:r>
              <w:rPr>
                <w:rStyle w:val="40"/>
                <w:rFonts w:hint="default"/>
                <w:color w:val="auto"/>
                <w:sz w:val="22"/>
                <w:szCs w:val="22"/>
                <w:highlight w:val="none"/>
                <w:lang w:bidi="ar"/>
              </w:rPr>
              <w:t>购置发票</w:t>
            </w:r>
            <w:r>
              <w:rPr>
                <w:rStyle w:val="40"/>
                <w:rFonts w:hint="eastAsia"/>
                <w:color w:val="auto"/>
                <w:sz w:val="22"/>
                <w:szCs w:val="22"/>
                <w:highlight w:val="none"/>
                <w:lang w:eastAsia="zh-CN" w:bidi="ar"/>
              </w:rPr>
              <w:t>（</w:t>
            </w:r>
            <w:r>
              <w:rPr>
                <w:rStyle w:val="40"/>
                <w:rFonts w:hint="default"/>
                <w:color w:val="auto"/>
                <w:sz w:val="22"/>
                <w:szCs w:val="22"/>
                <w:highlight w:val="none"/>
                <w:lang w:bidi="ar"/>
              </w:rPr>
              <w:t>或其他证明材料</w:t>
            </w:r>
            <w:r>
              <w:rPr>
                <w:rStyle w:val="40"/>
                <w:rFonts w:hint="eastAsia"/>
                <w:color w:val="auto"/>
                <w:sz w:val="22"/>
                <w:szCs w:val="22"/>
                <w:highlight w:val="none"/>
                <w:lang w:eastAsia="zh-CN" w:bidi="ar"/>
              </w:rPr>
              <w:t>）。</w:t>
            </w:r>
          </w:p>
        </w:tc>
        <w:tc>
          <w:tcPr>
            <w:tcW w:w="489" w:type="pct"/>
            <w:shd w:val="clear" w:color="auto" w:fill="auto"/>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480" w:type="pct"/>
            <w:shd w:val="clear" w:color="auto" w:fill="auto"/>
            <w:vAlign w:val="center"/>
          </w:tcPr>
          <w:p>
            <w:pPr>
              <w:widowControl/>
              <w:jc w:val="center"/>
              <w:textAlignment w:val="center"/>
              <w:rPr>
                <w:rFonts w:hint="default" w:ascii="宋体" w:hAnsi="宋体" w:eastAsia="宋体" w:cs="宋体"/>
                <w:color w:val="auto"/>
                <w:kern w:val="0"/>
                <w:sz w:val="22"/>
                <w:highlight w:val="none"/>
                <w:lang w:val="en-US" w:eastAsia="zh-CN" w:bidi="ar"/>
              </w:rPr>
            </w:pPr>
            <w:r>
              <w:rPr>
                <w:rFonts w:hint="eastAsia" w:ascii="宋体" w:hAnsi="宋体" w:cs="宋体"/>
                <w:color w:val="auto"/>
                <w:kern w:val="0"/>
                <w:sz w:val="22"/>
                <w:highlight w:val="none"/>
                <w:lang w:val="en-US" w:eastAsia="zh-CN" w:bidi="ar"/>
              </w:rPr>
              <w:t>10</w:t>
            </w:r>
          </w:p>
        </w:tc>
        <w:tc>
          <w:tcPr>
            <w:tcW w:w="549" w:type="pct"/>
            <w:shd w:val="clear" w:color="auto" w:fill="auto"/>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售后服务方案及保障能力</w:t>
            </w:r>
          </w:p>
        </w:tc>
        <w:tc>
          <w:tcPr>
            <w:tcW w:w="3480" w:type="pct"/>
            <w:shd w:val="clear" w:color="auto" w:fill="auto"/>
            <w:vAlign w:val="center"/>
          </w:tcPr>
          <w:p>
            <w:pPr>
              <w:widowControl/>
              <w:jc w:val="left"/>
              <w:textAlignment w:val="top"/>
              <w:rPr>
                <w:rStyle w:val="40"/>
                <w:rFonts w:hint="default"/>
                <w:color w:val="auto"/>
                <w:sz w:val="22"/>
                <w:szCs w:val="22"/>
                <w:highlight w:val="none"/>
                <w:lang w:bidi="ar"/>
              </w:rPr>
            </w:pPr>
            <w:r>
              <w:rPr>
                <w:rStyle w:val="40"/>
                <w:rFonts w:hint="default"/>
                <w:color w:val="auto"/>
                <w:sz w:val="22"/>
                <w:szCs w:val="22"/>
                <w:highlight w:val="none"/>
                <w:lang w:bidi="ar"/>
              </w:rPr>
              <w:t>1.根据投标人提供的售后服务方案（包含但不限于：售后服务内容，售后服务承诺、维护能力、技术服务方式与内容、应急保障方式）等进行评分，</w:t>
            </w:r>
            <w:r>
              <w:rPr>
                <w:rFonts w:hint="eastAsia" w:ascii="宋体" w:hAnsi="宋体" w:cs="宋体"/>
                <w:color w:val="auto"/>
                <w:kern w:val="0"/>
                <w:sz w:val="22"/>
                <w:highlight w:val="none"/>
                <w:lang w:bidi="ar"/>
              </w:rPr>
              <w:t>对上述内容有详细描述、编制合理、完整且贴合项目需求的得3分，方案基本完善、可行的得2分，方案较差、可行性低的得1分，未提供的不得分。</w:t>
            </w:r>
          </w:p>
          <w:p>
            <w:pPr>
              <w:widowControl/>
              <w:jc w:val="left"/>
              <w:textAlignment w:val="top"/>
              <w:rPr>
                <w:rStyle w:val="40"/>
                <w:rFonts w:hint="default"/>
                <w:color w:val="auto"/>
                <w:sz w:val="22"/>
                <w:szCs w:val="22"/>
                <w:highlight w:val="none"/>
                <w:lang w:bidi="ar"/>
              </w:rPr>
            </w:pPr>
            <w:r>
              <w:rPr>
                <w:rStyle w:val="40"/>
                <w:rFonts w:hint="default"/>
                <w:color w:val="auto"/>
                <w:sz w:val="22"/>
                <w:szCs w:val="22"/>
                <w:highlight w:val="none"/>
                <w:lang w:bidi="ar"/>
              </w:rPr>
              <w:t>2.根据投标人提供的培训服务及承诺打分，培训服务方案描述全面、有实质性承诺的得3分，</w:t>
            </w:r>
            <w:r>
              <w:rPr>
                <w:rFonts w:hint="eastAsia" w:ascii="宋体" w:hAnsi="宋体" w:cs="宋体"/>
                <w:color w:val="auto"/>
                <w:kern w:val="0"/>
                <w:sz w:val="22"/>
                <w:highlight w:val="none"/>
                <w:lang w:bidi="ar"/>
              </w:rPr>
              <w:t>基本完善、可行的得2分，方案较差、可行性低的得1分，未提供的不得分。</w:t>
            </w:r>
          </w:p>
          <w:p>
            <w:pPr>
              <w:widowControl/>
              <w:jc w:val="left"/>
              <w:textAlignment w:val="top"/>
              <w:rPr>
                <w:rStyle w:val="40"/>
                <w:rFonts w:hint="default"/>
                <w:color w:val="auto"/>
                <w:sz w:val="22"/>
                <w:szCs w:val="22"/>
                <w:highlight w:val="none"/>
                <w:lang w:bidi="ar"/>
              </w:rPr>
            </w:pPr>
            <w:r>
              <w:rPr>
                <w:rStyle w:val="40"/>
                <w:rFonts w:hint="default"/>
                <w:color w:val="auto"/>
                <w:sz w:val="22"/>
                <w:szCs w:val="22"/>
                <w:highlight w:val="none"/>
                <w:lang w:bidi="ar"/>
              </w:rPr>
              <w:t>3.</w:t>
            </w:r>
            <w:r>
              <w:rPr>
                <w:rStyle w:val="40"/>
                <w:rFonts w:hint="eastAsia"/>
                <w:color w:val="auto"/>
                <w:sz w:val="22"/>
                <w:szCs w:val="22"/>
                <w:highlight w:val="none"/>
                <w:lang w:val="en-US" w:eastAsia="zh-CN" w:bidi="ar"/>
              </w:rPr>
              <w:t>承诺在30分钟内响应的得2分，未承诺不得分</w:t>
            </w:r>
            <w:r>
              <w:rPr>
                <w:rStyle w:val="40"/>
                <w:rFonts w:hint="default"/>
                <w:color w:val="auto"/>
                <w:sz w:val="22"/>
                <w:szCs w:val="22"/>
                <w:highlight w:val="none"/>
                <w:lang w:bidi="ar"/>
              </w:rPr>
              <w:t>。</w:t>
            </w:r>
          </w:p>
        </w:tc>
        <w:tc>
          <w:tcPr>
            <w:tcW w:w="489" w:type="pct"/>
            <w:shd w:val="clear" w:color="auto" w:fill="auto"/>
            <w:vAlign w:val="center"/>
          </w:tcPr>
          <w:p>
            <w:pPr>
              <w:widowControl/>
              <w:jc w:val="center"/>
              <w:textAlignment w:val="center"/>
              <w:rPr>
                <w:rFonts w:ascii="宋体" w:hAnsi="宋体" w:cs="宋体"/>
                <w:color w:val="auto"/>
                <w:sz w:val="22"/>
                <w:highlight w:val="none"/>
              </w:rPr>
            </w:pPr>
            <w:r>
              <w:rPr>
                <w:rFonts w:hint="eastAsia" w:ascii="宋体" w:hAnsi="宋体" w:cs="宋体"/>
                <w:color w:val="auto"/>
                <w:sz w:val="22"/>
                <w:highlight w:val="none"/>
              </w:rPr>
              <w:t>8</w:t>
            </w:r>
          </w:p>
        </w:tc>
      </w:tr>
    </w:tbl>
    <w:p>
      <w:pPr>
        <w:tabs>
          <w:tab w:val="left" w:pos="2352"/>
        </w:tabs>
        <w:rPr>
          <w:rFonts w:hAnsi="宋体" w:cs="宋体"/>
          <w:bCs/>
          <w:color w:val="auto"/>
          <w:sz w:val="22"/>
          <w:highlight w:val="none"/>
        </w:rPr>
      </w:pPr>
    </w:p>
    <w:p>
      <w:pPr>
        <w:pStyle w:val="11"/>
        <w:tabs>
          <w:tab w:val="left" w:pos="1069"/>
          <w:tab w:val="left" w:pos="2352"/>
        </w:tabs>
        <w:adjustRightInd w:val="0"/>
        <w:snapToGrid w:val="0"/>
        <w:spacing w:line="420" w:lineRule="exact"/>
        <w:jc w:val="center"/>
        <w:rPr>
          <w:rFonts w:hAnsi="宋体" w:cs="宋体"/>
          <w:b/>
          <w:bCs/>
          <w:color w:val="auto"/>
          <w:sz w:val="22"/>
          <w:szCs w:val="22"/>
          <w:highlight w:val="none"/>
        </w:rPr>
      </w:pPr>
      <w:bookmarkStart w:id="98" w:name="_Toc18541_WPSOffice_Level2"/>
      <w:r>
        <w:rPr>
          <w:rFonts w:hint="eastAsia" w:hAnsi="宋体" w:cs="宋体"/>
          <w:b/>
          <w:bCs/>
          <w:color w:val="auto"/>
          <w:sz w:val="22"/>
          <w:szCs w:val="22"/>
          <w:highlight w:val="none"/>
        </w:rPr>
        <w:t>五、说明</w:t>
      </w:r>
      <w:bookmarkEnd w:id="98"/>
    </w:p>
    <w:p>
      <w:pPr>
        <w:pStyle w:val="11"/>
        <w:tabs>
          <w:tab w:val="left" w:pos="1069"/>
          <w:tab w:val="left" w:pos="2352"/>
        </w:tabs>
        <w:adjustRightInd w:val="0"/>
        <w:snapToGrid w:val="0"/>
        <w:spacing w:line="440" w:lineRule="atLeast"/>
        <w:rPr>
          <w:rFonts w:hAnsi="宋体" w:cs="宋体"/>
          <w:color w:val="auto"/>
          <w:sz w:val="22"/>
          <w:highlight w:val="none"/>
        </w:rPr>
      </w:pPr>
      <w:r>
        <w:rPr>
          <w:rFonts w:hint="eastAsia" w:hAnsi="宋体" w:cs="宋体"/>
          <w:color w:val="auto"/>
          <w:sz w:val="22"/>
          <w:highlight w:val="none"/>
        </w:rPr>
        <w:t>1、每个供应商最终得分=技术商务资信分值（所有评审小组成员打分的算术平均值）＋报价分值。</w:t>
      </w:r>
    </w:p>
    <w:p>
      <w:pPr>
        <w:pStyle w:val="11"/>
        <w:tabs>
          <w:tab w:val="left" w:pos="1069"/>
          <w:tab w:val="left" w:pos="2352"/>
        </w:tabs>
        <w:adjustRightInd w:val="0"/>
        <w:snapToGrid w:val="0"/>
        <w:spacing w:line="440" w:lineRule="atLeast"/>
        <w:rPr>
          <w:rFonts w:hAnsi="宋体" w:cs="宋体"/>
          <w:color w:val="auto"/>
          <w:sz w:val="22"/>
          <w:highlight w:val="none"/>
        </w:rPr>
      </w:pPr>
      <w:r>
        <w:rPr>
          <w:rFonts w:hint="eastAsia" w:hAnsi="宋体" w:cs="宋体"/>
          <w:color w:val="auto"/>
          <w:sz w:val="22"/>
          <w:highlight w:val="none"/>
        </w:rPr>
        <w:t>2、评审小组推荐综合得分第一名的供应商为中标（成交）供应商，如果得分相同的，按投标报价由低到高顺序排列，得分且报价均相同的，按技术标得分由高到低排列。</w:t>
      </w:r>
    </w:p>
    <w:p>
      <w:pPr>
        <w:pStyle w:val="11"/>
        <w:tabs>
          <w:tab w:val="left" w:pos="1069"/>
          <w:tab w:val="left" w:pos="2352"/>
        </w:tabs>
        <w:adjustRightInd w:val="0"/>
        <w:snapToGrid w:val="0"/>
        <w:spacing w:line="440" w:lineRule="atLeast"/>
        <w:rPr>
          <w:rFonts w:hAnsi="宋体" w:cs="宋体"/>
          <w:color w:val="auto"/>
          <w:sz w:val="22"/>
          <w:highlight w:val="none"/>
        </w:rPr>
      </w:pPr>
      <w:r>
        <w:rPr>
          <w:rFonts w:hint="eastAsia" w:hAnsi="宋体" w:cs="宋体"/>
          <w:color w:val="auto"/>
          <w:sz w:val="22"/>
          <w:highlight w:val="none"/>
        </w:rPr>
        <w:t>3、所有分值计算保留小数点后二位，小数点后三位四舍五入。</w:t>
      </w:r>
    </w:p>
    <w:p>
      <w:pPr>
        <w:pStyle w:val="11"/>
        <w:tabs>
          <w:tab w:val="left" w:pos="1069"/>
          <w:tab w:val="left" w:pos="2352"/>
        </w:tabs>
        <w:adjustRightInd w:val="0"/>
        <w:snapToGrid w:val="0"/>
        <w:spacing w:line="440" w:lineRule="atLeast"/>
        <w:rPr>
          <w:rFonts w:hAnsi="宋体" w:cs="宋体"/>
          <w:color w:val="auto"/>
          <w:sz w:val="22"/>
          <w:highlight w:val="none"/>
        </w:rPr>
      </w:pPr>
      <w:r>
        <w:rPr>
          <w:rFonts w:hint="eastAsia" w:hAnsi="宋体" w:cs="宋体"/>
          <w:color w:val="auto"/>
          <w:sz w:val="22"/>
          <w:highlight w:val="none"/>
        </w:rPr>
        <w:t>参见本竞争性磋商文件第三部分：“供应商须知”中的相关内容，未尽事宜按有关法律规定处理。</w:t>
      </w:r>
    </w:p>
    <w:p>
      <w:pPr>
        <w:tabs>
          <w:tab w:val="left" w:pos="2352"/>
        </w:tabs>
        <w:rPr>
          <w:color w:val="auto"/>
          <w:highlight w:val="none"/>
        </w:rPr>
      </w:pPr>
    </w:p>
    <w:sectPr>
      <w:headerReference r:id="rId9" w:type="first"/>
      <w:footerReference r:id="rId11" w:type="first"/>
      <w:headerReference r:id="rId8" w:type="default"/>
      <w:footerReference r:id="rId10" w:type="default"/>
      <w:pgSz w:w="11906" w:h="16838"/>
      <w:pgMar w:top="1440" w:right="1247" w:bottom="1440" w:left="1247" w:header="851" w:footer="992" w:gutter="0"/>
      <w:cols w:space="720" w:num="1"/>
      <w:titlePg/>
      <w:docGrid w:type="linesAndChars" w:linePitch="317" w:charSpace="8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entury Gothic">
    <w:panose1 w:val="020B0502020202020204"/>
    <w:charset w:val="00"/>
    <w:family w:val="swiss"/>
    <w:pitch w:val="default"/>
    <w:sig w:usb0="00000287" w:usb1="00000000" w:usb2="00000000" w:usb3="00000000" w:csb0="2000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Helvetica">
    <w:altName w:val="Arial"/>
    <w:panose1 w:val="020B0604020202020204"/>
    <w:charset w:val="00"/>
    <w:family w:val="swiss"/>
    <w:pitch w:val="default"/>
    <w:sig w:usb0="00000000" w:usb1="00000000" w:usb2="00000000" w:usb3="00000000" w:csb0="00000001" w:csb1="00000000"/>
  </w:font>
  <w:font w:name="Arial (W1)">
    <w:altName w:val="Arial"/>
    <w:panose1 w:val="00000000000000000000"/>
    <w:charset w:val="00"/>
    <w:family w:val="auto"/>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0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11</w:t>
                          </w:r>
                          <w:r>
                            <w:fldChar w:fldCharType="end"/>
                          </w:r>
                        </w:p>
                      </w:txbxContent>
                    </wps:txbx>
                    <wps:bodyPr wrap="none" lIns="0" tIns="0" rIns="0" bIns="0">
                      <a:spAutoFit/>
                    </wps:bodyPr>
                  </wps:wsp>
                </a:graphicData>
              </a:graphic>
            </wp:anchor>
          </w:drawing>
        </mc:Choice>
        <mc:Fallback>
          <w:pict>
            <v:shape id="文本框 206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Ljtz2LFAQAAkAMAAA4AAAAAAAAAAQAgAAAAHgEAAGRycy9lMm9Eb2MueG1s&#10;UEsFBgAAAAAGAAYAWQEAAFUFA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0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49</w:t>
                          </w:r>
                          <w:r>
                            <w:fldChar w:fldCharType="end"/>
                          </w:r>
                        </w:p>
                      </w:txbxContent>
                    </wps:txbx>
                    <wps:bodyPr wrap="none" lIns="0" tIns="0" rIns="0" bIns="0">
                      <a:spAutoFit/>
                    </wps:bodyPr>
                  </wps:wsp>
                </a:graphicData>
              </a:graphic>
            </wp:anchor>
          </w:drawing>
        </mc:Choice>
        <mc:Fallback>
          <w:pict>
            <v:shape id="文本框 206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PcXkGwwEAAJADAAAOAAAAAAAAAAEAIAAAAB4BAABkcnMvZTJvRG9jLnhtbFBL&#10;BQYAAAAABgAGAFkBAABTBQ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4620"/>
        <w:tab w:val="clear" w:pos="4153"/>
      </w:tabs>
      <w:jc w:val="center"/>
      <w:rPr>
        <w:rFonts w:ascii="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0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12</w:t>
                          </w:r>
                          <w:r>
                            <w:fldChar w:fldCharType="end"/>
                          </w:r>
                        </w:p>
                      </w:txbxContent>
                    </wps:txbx>
                    <wps:bodyPr wrap="none" lIns="0" tIns="0" rIns="0" bIns="0">
                      <a:spAutoFit/>
                    </wps:bodyPr>
                  </wps:wsp>
                </a:graphicData>
              </a:graphic>
            </wp:anchor>
          </w:drawing>
        </mc:Choice>
        <mc:Fallback>
          <w:pict>
            <v:shape id="文本框 206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PnICPrFAQAAkAMAAA4AAAAAAAAAAQAgAAAAHgEAAGRycy9lMm9Eb2MueG1s&#10;UEsFBgAAAAAGAAYAWQEAAFUFA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none" w:color="auto" w:sz="0" w:space="0"/>
        <w:left w:val="none" w:color="auto" w:sz="0" w:space="0"/>
        <w:bottom w:val="none" w:color="auto" w:sz="0" w:space="0"/>
        <w:right w:val="none" w:color="auto" w:sz="0" w:space="0"/>
      </w:pBdr>
      <w:rPr>
        <w:u w:val="single"/>
      </w:rPr>
    </w:pPr>
    <w:r>
      <w:rPr>
        <w:u w:val="single"/>
      </w:rPr>
      <w:drawing>
        <wp:inline distT="0" distB="0" distL="114300" distR="114300">
          <wp:extent cx="325755" cy="273050"/>
          <wp:effectExtent l="0" t="0" r="7620" b="3175"/>
          <wp:docPr id="6" name="图片 1" descr="公司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公司标志"/>
                  <pic:cNvPicPr>
                    <a:picLocks noChangeAspect="1"/>
                  </pic:cNvPicPr>
                </pic:nvPicPr>
                <pic:blipFill>
                  <a:blip r:embed="rId1"/>
                  <a:stretch>
                    <a:fillRect/>
                  </a:stretch>
                </pic:blipFill>
                <pic:spPr>
                  <a:xfrm>
                    <a:off x="0" y="0"/>
                    <a:ext cx="325755" cy="273050"/>
                  </a:xfrm>
                  <a:prstGeom prst="rect">
                    <a:avLst/>
                  </a:prstGeom>
                  <a:noFill/>
                  <a:ln>
                    <a:noFill/>
                  </a:ln>
                </pic:spPr>
              </pic:pic>
            </a:graphicData>
          </a:graphic>
        </wp:inline>
      </w:drawing>
    </w:r>
    <w:r>
      <w:rPr>
        <w:rFonts w:hint="eastAsia"/>
        <w:b/>
        <w:sz w:val="21"/>
        <w:szCs w:val="21"/>
        <w:u w:val="single"/>
      </w:rPr>
      <w:t>杭州华旗招标代理有限公司</w:t>
    </w:r>
    <w:r>
      <w:rPr>
        <w:rFonts w:hint="eastAsia"/>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u w:val="single"/>
      </w:rPr>
      <w:drawing>
        <wp:inline distT="0" distB="0" distL="114300" distR="114300">
          <wp:extent cx="325755" cy="273050"/>
          <wp:effectExtent l="0" t="0" r="7620" b="3175"/>
          <wp:docPr id="5" name="图片 1" descr="公司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公司标志"/>
                  <pic:cNvPicPr>
                    <a:picLocks noChangeAspect="1"/>
                  </pic:cNvPicPr>
                </pic:nvPicPr>
                <pic:blipFill>
                  <a:blip r:embed="rId1"/>
                  <a:stretch>
                    <a:fillRect/>
                  </a:stretch>
                </pic:blipFill>
                <pic:spPr>
                  <a:xfrm>
                    <a:off x="0" y="0"/>
                    <a:ext cx="325755" cy="273050"/>
                  </a:xfrm>
                  <a:prstGeom prst="rect">
                    <a:avLst/>
                  </a:prstGeom>
                  <a:noFill/>
                  <a:ln>
                    <a:noFill/>
                  </a:ln>
                </pic:spPr>
              </pic:pic>
            </a:graphicData>
          </a:graphic>
        </wp:inline>
      </w:drawing>
    </w:r>
    <w:r>
      <w:rPr>
        <w:rFonts w:hint="eastAsia"/>
        <w:b/>
        <w:sz w:val="21"/>
        <w:szCs w:val="21"/>
        <w:u w:val="single"/>
      </w:rPr>
      <w:t>杭州华旗招标代理有限公司</w:t>
    </w:r>
    <w:r>
      <w:rPr>
        <w:rFonts w:hint="eastAsia"/>
        <w:u w:val="single"/>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u w:val="single"/>
      </w:rPr>
    </w:pPr>
    <w:r>
      <w:rPr>
        <w:u w:val="single"/>
      </w:rPr>
      <w:drawing>
        <wp:inline distT="0" distB="0" distL="114300" distR="114300">
          <wp:extent cx="325755" cy="273050"/>
          <wp:effectExtent l="0" t="0" r="7620" b="3175"/>
          <wp:docPr id="7" name="图片 1" descr="公司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公司标志"/>
                  <pic:cNvPicPr>
                    <a:picLocks noChangeAspect="1"/>
                  </pic:cNvPicPr>
                </pic:nvPicPr>
                <pic:blipFill>
                  <a:blip r:embed="rId1"/>
                  <a:stretch>
                    <a:fillRect/>
                  </a:stretch>
                </pic:blipFill>
                <pic:spPr>
                  <a:xfrm>
                    <a:off x="0" y="0"/>
                    <a:ext cx="325755" cy="273050"/>
                  </a:xfrm>
                  <a:prstGeom prst="rect">
                    <a:avLst/>
                  </a:prstGeom>
                  <a:noFill/>
                  <a:ln>
                    <a:noFill/>
                  </a:ln>
                </pic:spPr>
              </pic:pic>
            </a:graphicData>
          </a:graphic>
        </wp:inline>
      </w:drawing>
    </w:r>
    <w:r>
      <w:rPr>
        <w:rFonts w:hint="eastAsia"/>
        <w:b/>
        <w:sz w:val="21"/>
        <w:szCs w:val="21"/>
        <w:u w:val="single"/>
      </w:rPr>
      <w:t>杭州华旗招标代理有限公司</w:t>
    </w:r>
    <w:r>
      <w:rPr>
        <w:rFonts w:hint="eastAsia"/>
        <w:u w:val="single"/>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none" w:color="auto" w:sz="0" w:space="0"/>
        <w:left w:val="none" w:color="auto" w:sz="0" w:space="0"/>
        <w:bottom w:val="none" w:color="auto" w:sz="0" w:space="0"/>
        <w:right w:val="none" w:color="auto" w:sz="0" w:space="0"/>
      </w:pBdr>
      <w:rPr>
        <w:rFonts w:ascii="宋体"/>
        <w:u w:val="single"/>
      </w:rPr>
    </w:pPr>
    <w:r>
      <w:rPr>
        <w:u w:val="single"/>
      </w:rPr>
      <w:drawing>
        <wp:inline distT="0" distB="0" distL="114300" distR="114300">
          <wp:extent cx="345440" cy="288925"/>
          <wp:effectExtent l="0" t="0" r="6985" b="6350"/>
          <wp:docPr id="8" name="图片 1" descr="公司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公司标志"/>
                  <pic:cNvPicPr>
                    <a:picLocks noChangeAspect="1"/>
                  </pic:cNvPicPr>
                </pic:nvPicPr>
                <pic:blipFill>
                  <a:blip r:embed="rId1"/>
                  <a:stretch>
                    <a:fillRect/>
                  </a:stretch>
                </pic:blipFill>
                <pic:spPr>
                  <a:xfrm>
                    <a:off x="0" y="0"/>
                    <a:ext cx="345440" cy="288925"/>
                  </a:xfrm>
                  <a:prstGeom prst="rect">
                    <a:avLst/>
                  </a:prstGeom>
                  <a:noFill/>
                  <a:ln>
                    <a:noFill/>
                  </a:ln>
                </pic:spPr>
              </pic:pic>
            </a:graphicData>
          </a:graphic>
        </wp:inline>
      </w:drawing>
    </w:r>
    <w:r>
      <w:rPr>
        <w:rFonts w:hint="eastAsia"/>
        <w:b/>
        <w:sz w:val="21"/>
        <w:szCs w:val="21"/>
        <w:u w:val="single"/>
      </w:rPr>
      <w:t>杭州华旗招标代理有限公司</w:t>
    </w:r>
    <w:r>
      <w:rPr>
        <w:rFonts w:hint="eastAsia"/>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30DA20"/>
    <w:multiLevelType w:val="singleLevel"/>
    <w:tmpl w:val="9730DA20"/>
    <w:lvl w:ilvl="0" w:tentative="0">
      <w:start w:val="8"/>
      <w:numFmt w:val="chineseCounting"/>
      <w:suff w:val="nothing"/>
      <w:lvlText w:val="%1、"/>
      <w:lvlJc w:val="left"/>
      <w:rPr>
        <w:rFonts w:hint="eastAsia"/>
      </w:rPr>
    </w:lvl>
  </w:abstractNum>
  <w:abstractNum w:abstractNumId="1">
    <w:nsid w:val="9DE588F1"/>
    <w:multiLevelType w:val="singleLevel"/>
    <w:tmpl w:val="9DE588F1"/>
    <w:lvl w:ilvl="0" w:tentative="0">
      <w:start w:val="2"/>
      <w:numFmt w:val="chineseCounting"/>
      <w:suff w:val="nothing"/>
      <w:lvlText w:val="%1、"/>
      <w:lvlJc w:val="left"/>
      <w:rPr>
        <w:rFonts w:hint="eastAsia"/>
      </w:rPr>
    </w:lvl>
  </w:abstractNum>
  <w:abstractNum w:abstractNumId="2">
    <w:nsid w:val="DDC374CF"/>
    <w:multiLevelType w:val="singleLevel"/>
    <w:tmpl w:val="DDC374CF"/>
    <w:lvl w:ilvl="0" w:tentative="0">
      <w:start w:val="1"/>
      <w:numFmt w:val="decimal"/>
      <w:lvlText w:val="%1."/>
      <w:lvlJc w:val="left"/>
      <w:pPr>
        <w:ind w:left="425" w:hanging="425"/>
      </w:pPr>
      <w:rPr>
        <w:rFonts w:hint="default"/>
      </w:rPr>
    </w:lvl>
  </w:abstractNum>
  <w:abstractNum w:abstractNumId="3">
    <w:nsid w:val="FBB0A722"/>
    <w:multiLevelType w:val="singleLevel"/>
    <w:tmpl w:val="FBB0A722"/>
    <w:lvl w:ilvl="0" w:tentative="0">
      <w:start w:val="4"/>
      <w:numFmt w:val="chineseCounting"/>
      <w:suff w:val="nothing"/>
      <w:lvlText w:val="%1、"/>
      <w:lvlJc w:val="left"/>
      <w:rPr>
        <w:rFonts w:hint="eastAsia"/>
      </w:rPr>
    </w:lvl>
  </w:abstractNum>
  <w:abstractNum w:abstractNumId="4">
    <w:nsid w:val="00000002"/>
    <w:multiLevelType w:val="singleLevel"/>
    <w:tmpl w:val="00000002"/>
    <w:lvl w:ilvl="0" w:tentative="0">
      <w:start w:val="1"/>
      <w:numFmt w:val="decimal"/>
      <w:suff w:val="space"/>
      <w:lvlText w:val="%1."/>
      <w:lvlJc w:val="left"/>
    </w:lvl>
  </w:abstractNum>
  <w:abstractNum w:abstractNumId="5">
    <w:nsid w:val="00000016"/>
    <w:multiLevelType w:val="multilevel"/>
    <w:tmpl w:val="00000016"/>
    <w:lvl w:ilvl="0" w:tentative="0">
      <w:start w:val="1"/>
      <w:numFmt w:val="decimal"/>
      <w:lvlText w:val="%1."/>
      <w:lvlJc w:val="left"/>
      <w:pPr>
        <w:tabs>
          <w:tab w:val="left" w:pos="720"/>
        </w:tabs>
        <w:ind w:left="720" w:hanging="720"/>
      </w:pPr>
      <w:rPr>
        <w:rFonts w:hint="default" w:cs="Times New Roman"/>
      </w:rPr>
    </w:lvl>
    <w:lvl w:ilvl="1" w:tentative="0">
      <w:start w:val="1"/>
      <w:numFmt w:val="decimal"/>
      <w:lvlText w:val="%2."/>
      <w:lvlJc w:val="left"/>
      <w:pPr>
        <w:tabs>
          <w:tab w:val="left" w:pos="720"/>
        </w:tabs>
        <w:ind w:left="720" w:hanging="720"/>
      </w:pPr>
      <w:rPr>
        <w:rFonts w:hint="default" w:ascii="Arial (W1)" w:hAnsi="Arial (W1)" w:cs="Times New Roman"/>
        <w:b/>
        <w:i w:val="0"/>
        <w:sz w:val="28"/>
      </w:rPr>
    </w:lvl>
    <w:lvl w:ilvl="2" w:tentative="0">
      <w:start w:val="1"/>
      <w:numFmt w:val="decimal"/>
      <w:lvlText w:val="%1.%3."/>
      <w:lvlJc w:val="left"/>
      <w:pPr>
        <w:tabs>
          <w:tab w:val="left" w:pos="720"/>
        </w:tabs>
        <w:ind w:left="720" w:hanging="720"/>
      </w:pPr>
      <w:rPr>
        <w:rFonts w:hint="default" w:cs="Times New Roman"/>
      </w:rPr>
    </w:lvl>
    <w:lvl w:ilvl="3" w:tentative="0">
      <w:start w:val="1"/>
      <w:numFmt w:val="decimal"/>
      <w:lvlText w:val="%1.%3.%4."/>
      <w:lvlJc w:val="left"/>
      <w:pPr>
        <w:tabs>
          <w:tab w:val="left" w:pos="1728"/>
        </w:tabs>
        <w:ind w:left="1728" w:hanging="648"/>
      </w:pPr>
      <w:rPr>
        <w:rFonts w:hint="default" w:cs="Times New Roman"/>
      </w:rPr>
    </w:lvl>
    <w:lvl w:ilvl="4" w:tentative="0">
      <w:start w:val="1"/>
      <w:numFmt w:val="decimal"/>
      <w:lvlText w:val="%1.%2.%3.%4.%5."/>
      <w:lvlJc w:val="left"/>
      <w:pPr>
        <w:tabs>
          <w:tab w:val="left" w:pos="2520"/>
        </w:tabs>
        <w:ind w:left="2232" w:hanging="792"/>
      </w:pPr>
      <w:rPr>
        <w:rFonts w:hint="default" w:cs="Times New Roman"/>
      </w:rPr>
    </w:lvl>
    <w:lvl w:ilvl="5" w:tentative="0">
      <w:start w:val="1"/>
      <w:numFmt w:val="decimal"/>
      <w:lvlText w:val="%1.%2.%3.%4.%5.%6."/>
      <w:lvlJc w:val="left"/>
      <w:pPr>
        <w:tabs>
          <w:tab w:val="left" w:pos="324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4320"/>
        </w:tabs>
        <w:ind w:left="3744" w:hanging="1224"/>
      </w:pPr>
      <w:rPr>
        <w:rFonts w:hint="default" w:cs="Times New Roman"/>
      </w:rPr>
    </w:lvl>
    <w:lvl w:ilvl="8" w:tentative="0">
      <w:start w:val="1"/>
      <w:numFmt w:val="decimal"/>
      <w:lvlText w:val="%1.%2.%3.%4.%5.%6.%7.%8.%9."/>
      <w:lvlJc w:val="left"/>
      <w:pPr>
        <w:tabs>
          <w:tab w:val="left" w:pos="5040"/>
        </w:tabs>
        <w:ind w:left="4320" w:hanging="1440"/>
      </w:pPr>
      <w:rPr>
        <w:rFonts w:hint="default" w:cs="Times New Roman"/>
      </w:rPr>
    </w:lvl>
  </w:abstractNum>
  <w:abstractNum w:abstractNumId="6">
    <w:nsid w:val="3EF4D7FB"/>
    <w:multiLevelType w:val="singleLevel"/>
    <w:tmpl w:val="3EF4D7FB"/>
    <w:lvl w:ilvl="0" w:tentative="0">
      <w:start w:val="3"/>
      <w:numFmt w:val="decimal"/>
      <w:suff w:val="nothing"/>
      <w:lvlText w:val="%1、"/>
      <w:lvlJc w:val="left"/>
      <w:rPr>
        <w:rFonts w:cs="Times New Roman"/>
      </w:rPr>
    </w:lvl>
  </w:abstractNum>
  <w:abstractNum w:abstractNumId="7">
    <w:nsid w:val="599289D4"/>
    <w:multiLevelType w:val="singleLevel"/>
    <w:tmpl w:val="599289D4"/>
    <w:lvl w:ilvl="0" w:tentative="0">
      <w:start w:val="1"/>
      <w:numFmt w:val="decimal"/>
      <w:lvlText w:val="%1."/>
      <w:lvlJc w:val="left"/>
      <w:pPr>
        <w:ind w:left="425" w:hanging="425"/>
      </w:pPr>
      <w:rPr>
        <w:rFonts w:hint="default"/>
      </w:rPr>
    </w:lvl>
  </w:abstractNum>
  <w:abstractNum w:abstractNumId="8">
    <w:nsid w:val="599289EC"/>
    <w:multiLevelType w:val="singleLevel"/>
    <w:tmpl w:val="599289EC"/>
    <w:lvl w:ilvl="0" w:tentative="0">
      <w:start w:val="1"/>
      <w:numFmt w:val="decimal"/>
      <w:lvlText w:val="%1."/>
      <w:lvlJc w:val="left"/>
      <w:pPr>
        <w:ind w:left="425" w:hanging="425"/>
      </w:pPr>
      <w:rPr>
        <w:rFonts w:hint="default" w:cs="Times New Roman"/>
      </w:rPr>
    </w:lvl>
  </w:abstractNum>
  <w:abstractNum w:abstractNumId="9">
    <w:nsid w:val="69A5B887"/>
    <w:multiLevelType w:val="singleLevel"/>
    <w:tmpl w:val="69A5B887"/>
    <w:lvl w:ilvl="0" w:tentative="0">
      <w:start w:val="1"/>
      <w:numFmt w:val="decimal"/>
      <w:suff w:val="nothing"/>
      <w:lvlText w:val="%1、"/>
      <w:lvlJc w:val="left"/>
    </w:lvl>
  </w:abstractNum>
  <w:num w:numId="1">
    <w:abstractNumId w:val="5"/>
  </w:num>
  <w:num w:numId="2">
    <w:abstractNumId w:val="9"/>
  </w:num>
  <w:num w:numId="3">
    <w:abstractNumId w:val="6"/>
  </w:num>
  <w:num w:numId="4">
    <w:abstractNumId w:val="1"/>
  </w:num>
  <w:num w:numId="5">
    <w:abstractNumId w:val="7"/>
  </w:num>
  <w:num w:numId="6">
    <w:abstractNumId w:val="8"/>
  </w:num>
  <w:num w:numId="7">
    <w:abstractNumId w:val="2"/>
  </w:num>
  <w:num w:numId="8">
    <w:abstractNumId w:val="4"/>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forms" w:formatting="1" w:enforcement="1" w:cryptProviderType="rsaFull" w:cryptAlgorithmClass="hash" w:cryptAlgorithmType="typeAny" w:cryptAlgorithmSid="4" w:cryptSpinCount="0" w:hash="0SuWDKElpRnZEVfZ7lLii3SFKaE=" w:salt="5uXsACmXbnaP0990GGaz5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lNjk0ZGYzYzk1OTZiYzA2NTYwZTg1ODY0OGMwOGEifQ=="/>
  </w:docVars>
  <w:rsids>
    <w:rsidRoot w:val="004F60FC"/>
    <w:rsid w:val="000C043C"/>
    <w:rsid w:val="00297DC5"/>
    <w:rsid w:val="0045081A"/>
    <w:rsid w:val="00497A01"/>
    <w:rsid w:val="004F60FC"/>
    <w:rsid w:val="00607FC1"/>
    <w:rsid w:val="006609EF"/>
    <w:rsid w:val="00A54CAA"/>
    <w:rsid w:val="00BF2E34"/>
    <w:rsid w:val="00C5319B"/>
    <w:rsid w:val="00E2309A"/>
    <w:rsid w:val="03147BC1"/>
    <w:rsid w:val="04E46D57"/>
    <w:rsid w:val="051C746F"/>
    <w:rsid w:val="0612468B"/>
    <w:rsid w:val="07DB2D71"/>
    <w:rsid w:val="097C674F"/>
    <w:rsid w:val="09BC2D71"/>
    <w:rsid w:val="09C5110F"/>
    <w:rsid w:val="0AC6281A"/>
    <w:rsid w:val="0B8C09BB"/>
    <w:rsid w:val="0C1267C6"/>
    <w:rsid w:val="0D500D26"/>
    <w:rsid w:val="0E234421"/>
    <w:rsid w:val="0E336A63"/>
    <w:rsid w:val="0EF4695B"/>
    <w:rsid w:val="0FBE7A18"/>
    <w:rsid w:val="111A3546"/>
    <w:rsid w:val="11567578"/>
    <w:rsid w:val="1286080A"/>
    <w:rsid w:val="12DB3C9D"/>
    <w:rsid w:val="136A29F0"/>
    <w:rsid w:val="142360B8"/>
    <w:rsid w:val="156C2EC6"/>
    <w:rsid w:val="15851759"/>
    <w:rsid w:val="165E3157"/>
    <w:rsid w:val="177978A3"/>
    <w:rsid w:val="17B472A4"/>
    <w:rsid w:val="17C10B62"/>
    <w:rsid w:val="17F124E3"/>
    <w:rsid w:val="194F1722"/>
    <w:rsid w:val="1B3306B6"/>
    <w:rsid w:val="1B8847D2"/>
    <w:rsid w:val="1C33621A"/>
    <w:rsid w:val="1C36331D"/>
    <w:rsid w:val="1D707EA3"/>
    <w:rsid w:val="1EF57228"/>
    <w:rsid w:val="203B617F"/>
    <w:rsid w:val="206967F2"/>
    <w:rsid w:val="20FB29C9"/>
    <w:rsid w:val="227B5C0F"/>
    <w:rsid w:val="22C36646"/>
    <w:rsid w:val="244D0E6E"/>
    <w:rsid w:val="251E5786"/>
    <w:rsid w:val="261A5207"/>
    <w:rsid w:val="26492DAF"/>
    <w:rsid w:val="27D35027"/>
    <w:rsid w:val="28137B19"/>
    <w:rsid w:val="2A2D2A30"/>
    <w:rsid w:val="2D03015C"/>
    <w:rsid w:val="2F051B36"/>
    <w:rsid w:val="30913CD1"/>
    <w:rsid w:val="311E58BA"/>
    <w:rsid w:val="313E73BD"/>
    <w:rsid w:val="349027AE"/>
    <w:rsid w:val="34CF157B"/>
    <w:rsid w:val="353E6CD0"/>
    <w:rsid w:val="371D7C1F"/>
    <w:rsid w:val="379F6F0D"/>
    <w:rsid w:val="37D14649"/>
    <w:rsid w:val="38CD349A"/>
    <w:rsid w:val="39111E53"/>
    <w:rsid w:val="39382F3B"/>
    <w:rsid w:val="397B7E11"/>
    <w:rsid w:val="39B747A8"/>
    <w:rsid w:val="39DB63D0"/>
    <w:rsid w:val="3A3633B4"/>
    <w:rsid w:val="3A4B7A64"/>
    <w:rsid w:val="3AE34E80"/>
    <w:rsid w:val="3B0C350F"/>
    <w:rsid w:val="3BC24658"/>
    <w:rsid w:val="3D813F9B"/>
    <w:rsid w:val="3E2D7CCF"/>
    <w:rsid w:val="3FA22F1E"/>
    <w:rsid w:val="412A7199"/>
    <w:rsid w:val="41765DD5"/>
    <w:rsid w:val="44F01788"/>
    <w:rsid w:val="456606D9"/>
    <w:rsid w:val="45F5336E"/>
    <w:rsid w:val="46014823"/>
    <w:rsid w:val="46152F39"/>
    <w:rsid w:val="47BC2F72"/>
    <w:rsid w:val="488A4131"/>
    <w:rsid w:val="493A685C"/>
    <w:rsid w:val="499C16AC"/>
    <w:rsid w:val="49D373CD"/>
    <w:rsid w:val="49F106F9"/>
    <w:rsid w:val="4C967B61"/>
    <w:rsid w:val="4D065F7A"/>
    <w:rsid w:val="4EBB56AA"/>
    <w:rsid w:val="4ED03E2A"/>
    <w:rsid w:val="4F4C553B"/>
    <w:rsid w:val="4F5675D7"/>
    <w:rsid w:val="4FEA67E9"/>
    <w:rsid w:val="50777615"/>
    <w:rsid w:val="527305F3"/>
    <w:rsid w:val="53E867BD"/>
    <w:rsid w:val="541E5346"/>
    <w:rsid w:val="54E87AB4"/>
    <w:rsid w:val="567970CB"/>
    <w:rsid w:val="57415546"/>
    <w:rsid w:val="5747701F"/>
    <w:rsid w:val="58B2640F"/>
    <w:rsid w:val="59CF47E5"/>
    <w:rsid w:val="5A186745"/>
    <w:rsid w:val="5A774440"/>
    <w:rsid w:val="5B3351F8"/>
    <w:rsid w:val="5C0A1FAF"/>
    <w:rsid w:val="5C415E64"/>
    <w:rsid w:val="5CF87471"/>
    <w:rsid w:val="5D04165A"/>
    <w:rsid w:val="5EDB55D1"/>
    <w:rsid w:val="6092669C"/>
    <w:rsid w:val="61044DE8"/>
    <w:rsid w:val="61056E3D"/>
    <w:rsid w:val="61AF49EB"/>
    <w:rsid w:val="629E17B2"/>
    <w:rsid w:val="632E1990"/>
    <w:rsid w:val="643402DA"/>
    <w:rsid w:val="64F0086B"/>
    <w:rsid w:val="6646256E"/>
    <w:rsid w:val="68C10F6E"/>
    <w:rsid w:val="68DF2431"/>
    <w:rsid w:val="69F91590"/>
    <w:rsid w:val="6A271F9E"/>
    <w:rsid w:val="6A8103F8"/>
    <w:rsid w:val="6BAC3D4E"/>
    <w:rsid w:val="6D82064E"/>
    <w:rsid w:val="70FB2DB2"/>
    <w:rsid w:val="752547F0"/>
    <w:rsid w:val="75B25E4D"/>
    <w:rsid w:val="78B100F5"/>
    <w:rsid w:val="79E37743"/>
    <w:rsid w:val="79F74C03"/>
    <w:rsid w:val="7ACA1666"/>
    <w:rsid w:val="7AD80D2C"/>
    <w:rsid w:val="7BD26F5F"/>
    <w:rsid w:val="7C914409"/>
    <w:rsid w:val="7CBF66A9"/>
    <w:rsid w:val="7E0635C9"/>
    <w:rsid w:val="7E5526A6"/>
    <w:rsid w:val="7F6A60A9"/>
    <w:rsid w:val="7FFD4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9"/>
    <w:pPr>
      <w:spacing w:before="156" w:beforeLines="50" w:after="156" w:afterLines="50" w:line="360" w:lineRule="auto"/>
      <w:outlineLvl w:val="0"/>
    </w:pPr>
    <w:rPr>
      <w:rFonts w:ascii="仿宋_GB2312" w:eastAsia="仿宋_GB2312"/>
      <w:b/>
      <w:bCs/>
      <w:sz w:val="32"/>
      <w:szCs w:val="32"/>
    </w:rPr>
  </w:style>
  <w:style w:type="paragraph" w:styleId="5">
    <w:name w:val="heading 2"/>
    <w:basedOn w:val="6"/>
    <w:next w:val="1"/>
    <w:qFormat/>
    <w:uiPriority w:val="0"/>
    <w:pPr>
      <w:widowControl/>
      <w:spacing w:before="100" w:beforeAutospacing="1" w:after="100" w:afterAutospacing="1"/>
      <w:jc w:val="left"/>
      <w:outlineLvl w:val="1"/>
    </w:pPr>
    <w:rPr>
      <w:rFonts w:eastAsia="等线"/>
      <w:kern w:val="0"/>
      <w:sz w:val="36"/>
      <w:szCs w:val="36"/>
    </w:rPr>
  </w:style>
  <w:style w:type="paragraph" w:styleId="6">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leftChars="200" w:firstLine="420"/>
    </w:pPr>
    <w:rPr>
      <w:rFonts w:cs="宋体"/>
      <w:sz w:val="21"/>
      <w:szCs w:val="21"/>
    </w:rPr>
  </w:style>
  <w:style w:type="paragraph" w:styleId="3">
    <w:name w:val="Body Text Indent"/>
    <w:basedOn w:val="1"/>
    <w:next w:val="1"/>
    <w:qFormat/>
    <w:uiPriority w:val="0"/>
    <w:pPr>
      <w:ind w:left="480" w:hanging="480" w:hangingChars="200"/>
    </w:pPr>
    <w:rPr>
      <w:sz w:val="24"/>
    </w:rPr>
  </w:style>
  <w:style w:type="paragraph" w:styleId="7">
    <w:name w:val="Normal Indent"/>
    <w:basedOn w:val="1"/>
    <w:next w:val="1"/>
    <w:qFormat/>
    <w:uiPriority w:val="99"/>
    <w:pPr>
      <w:ind w:firstLine="420"/>
    </w:pPr>
    <w:rPr>
      <w:szCs w:val="20"/>
    </w:rPr>
  </w:style>
  <w:style w:type="paragraph" w:styleId="8">
    <w:name w:val="annotation text"/>
    <w:basedOn w:val="1"/>
    <w:link w:val="42"/>
    <w:qFormat/>
    <w:uiPriority w:val="0"/>
    <w:pPr>
      <w:jc w:val="left"/>
    </w:pPr>
  </w:style>
  <w:style w:type="paragraph" w:styleId="9">
    <w:name w:val="Body Text"/>
    <w:basedOn w:val="1"/>
    <w:next w:val="1"/>
    <w:qFormat/>
    <w:uiPriority w:val="99"/>
    <w:rPr>
      <w:kern w:val="0"/>
      <w:sz w:val="20"/>
      <w:szCs w:val="20"/>
    </w:rPr>
  </w:style>
  <w:style w:type="paragraph" w:styleId="10">
    <w:name w:val="Block Text"/>
    <w:basedOn w:val="1"/>
    <w:qFormat/>
    <w:uiPriority w:val="0"/>
    <w:pPr>
      <w:adjustRightInd w:val="0"/>
      <w:spacing w:line="300" w:lineRule="auto"/>
      <w:ind w:left="958" w:right="-120" w:rightChars="-120"/>
      <w:jc w:val="left"/>
    </w:pPr>
    <w:rPr>
      <w:rFonts w:ascii="宋体" w:hAnsi="宋体"/>
      <w:sz w:val="28"/>
    </w:rPr>
  </w:style>
  <w:style w:type="paragraph" w:styleId="11">
    <w:name w:val="Plain Text"/>
    <w:basedOn w:val="1"/>
    <w:next w:val="12"/>
    <w:qFormat/>
    <w:uiPriority w:val="0"/>
    <w:rPr>
      <w:rFonts w:ascii="宋体" w:hAnsi="Courier New"/>
      <w:kern w:val="0"/>
      <w:szCs w:val="21"/>
    </w:rPr>
  </w:style>
  <w:style w:type="paragraph" w:styleId="12">
    <w:name w:val="toc 2"/>
    <w:basedOn w:val="1"/>
    <w:next w:val="1"/>
    <w:qFormat/>
    <w:uiPriority w:val="0"/>
    <w:pPr>
      <w:ind w:left="420" w:leftChars="200"/>
    </w:pPr>
    <w:rPr>
      <w:szCs w:val="24"/>
    </w:rPr>
  </w:style>
  <w:style w:type="paragraph" w:styleId="13">
    <w:name w:val="Balloon Text"/>
    <w:basedOn w:val="1"/>
    <w:link w:val="41"/>
    <w:qFormat/>
    <w:uiPriority w:val="0"/>
    <w:rPr>
      <w:sz w:val="18"/>
      <w:szCs w:val="18"/>
    </w:rPr>
  </w:style>
  <w:style w:type="paragraph" w:styleId="14">
    <w:name w:val="footer"/>
    <w:basedOn w:val="1"/>
    <w:qFormat/>
    <w:uiPriority w:val="99"/>
    <w:pPr>
      <w:tabs>
        <w:tab w:val="center" w:pos="4153"/>
        <w:tab w:val="right" w:pos="8306"/>
      </w:tabs>
      <w:snapToGrid w:val="0"/>
      <w:jc w:val="left"/>
    </w:pPr>
    <w:rPr>
      <w:kern w:val="0"/>
      <w:sz w:val="18"/>
      <w:szCs w:val="18"/>
    </w:rPr>
  </w:style>
  <w:style w:type="paragraph" w:styleId="15">
    <w:name w:val="envelope return"/>
    <w:basedOn w:val="1"/>
    <w:qFormat/>
    <w:uiPriority w:val="99"/>
    <w:pPr>
      <w:snapToGrid w:val="0"/>
    </w:pPr>
    <w:rPr>
      <w:rFonts w:ascii="Arial" w:hAnsi="Arial"/>
    </w:rPr>
  </w:style>
  <w:style w:type="paragraph" w:styleId="16">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szCs w:val="18"/>
    </w:rPr>
  </w:style>
  <w:style w:type="paragraph" w:styleId="17">
    <w:name w:val="toc 1"/>
    <w:basedOn w:val="1"/>
    <w:next w:val="1"/>
    <w:semiHidden/>
    <w:unhideWhenUsed/>
    <w:qFormat/>
    <w:uiPriority w:val="39"/>
  </w:style>
  <w:style w:type="paragraph" w:styleId="18">
    <w:name w:val="Subtitle"/>
    <w:basedOn w:val="1"/>
    <w:next w:val="1"/>
    <w:qFormat/>
    <w:uiPriority w:val="11"/>
    <w:pPr>
      <w:widowControl/>
      <w:adjustRightInd w:val="0"/>
      <w:snapToGrid w:val="0"/>
      <w:spacing w:before="240" w:after="60" w:line="312" w:lineRule="auto"/>
      <w:jc w:val="center"/>
      <w:outlineLvl w:val="1"/>
    </w:pPr>
    <w:rPr>
      <w:rFonts w:ascii="Cambria" w:hAnsi="Cambria"/>
      <w:bCs/>
      <w:kern w:val="28"/>
      <w:sz w:val="32"/>
      <w:szCs w:val="32"/>
    </w:rPr>
  </w:style>
  <w:style w:type="paragraph" w:styleId="19">
    <w:name w:val="toc 6"/>
    <w:basedOn w:val="1"/>
    <w:next w:val="1"/>
    <w:qFormat/>
    <w:uiPriority w:val="0"/>
    <w:pPr>
      <w:ind w:left="1050"/>
      <w:jc w:val="left"/>
    </w:pPr>
    <w:rPr>
      <w:rFonts w:ascii="Century Gothic" w:hAnsi="Century Gothic"/>
      <w:sz w:val="18"/>
      <w:szCs w:val="18"/>
    </w:rPr>
  </w:style>
  <w:style w:type="paragraph" w:styleId="20">
    <w:name w:val="table of figures"/>
    <w:basedOn w:val="1"/>
    <w:next w:val="1"/>
    <w:unhideWhenUsed/>
    <w:qFormat/>
    <w:uiPriority w:val="99"/>
    <w:pPr>
      <w:ind w:left="200" w:leftChars="200" w:hanging="200" w:hangingChars="200"/>
    </w:pPr>
  </w:style>
  <w:style w:type="paragraph" w:styleId="21">
    <w:name w:val="Title"/>
    <w:basedOn w:val="1"/>
    <w:next w:val="1"/>
    <w:qFormat/>
    <w:uiPriority w:val="0"/>
    <w:pPr>
      <w:spacing w:before="240" w:after="60"/>
      <w:jc w:val="center"/>
      <w:outlineLvl w:val="0"/>
    </w:pPr>
    <w:rPr>
      <w:rFonts w:ascii="Arial" w:hAnsi="Arial"/>
      <w:sz w:val="32"/>
      <w:szCs w:val="32"/>
    </w:rPr>
  </w:style>
  <w:style w:type="paragraph" w:styleId="22">
    <w:name w:val="annotation subject"/>
    <w:basedOn w:val="8"/>
    <w:next w:val="8"/>
    <w:link w:val="43"/>
    <w:qFormat/>
    <w:uiPriority w:val="0"/>
    <w:rPr>
      <w:b/>
      <w:bCs/>
    </w:rPr>
  </w:style>
  <w:style w:type="paragraph" w:styleId="23">
    <w:name w:val="Body Text First Indent"/>
    <w:basedOn w:val="9"/>
    <w:next w:val="19"/>
    <w:qFormat/>
    <w:uiPriority w:val="0"/>
    <w:pPr>
      <w:spacing w:line="312" w:lineRule="auto"/>
      <w:ind w:firstLine="420"/>
    </w:pPr>
    <w:rPr>
      <w:szCs w:val="24"/>
    </w:rPr>
  </w:style>
  <w:style w:type="table" w:styleId="25">
    <w:name w:val="Table Grid"/>
    <w:basedOn w:val="2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22"/>
    <w:rPr>
      <w:b/>
      <w:bCs/>
    </w:rPr>
  </w:style>
  <w:style w:type="character" w:styleId="28">
    <w:name w:val="annotation reference"/>
    <w:basedOn w:val="26"/>
    <w:qFormat/>
    <w:uiPriority w:val="0"/>
    <w:rPr>
      <w:sz w:val="21"/>
      <w:szCs w:val="21"/>
    </w:rPr>
  </w:style>
  <w:style w:type="paragraph" w:customStyle="1" w:styleId="29">
    <w:name w:val="表格文字"/>
    <w:basedOn w:val="11"/>
    <w:next w:val="9"/>
    <w:qFormat/>
    <w:uiPriority w:val="99"/>
    <w:pPr>
      <w:adjustRightInd w:val="0"/>
      <w:spacing w:line="420" w:lineRule="atLeast"/>
      <w:jc w:val="left"/>
      <w:textAlignment w:val="baseline"/>
    </w:pPr>
    <w:rPr>
      <w:rFonts w:ascii="Times New Roman" w:hAnsi="Times New Roman"/>
      <w:szCs w:val="24"/>
    </w:rPr>
  </w:style>
  <w:style w:type="paragraph" w:customStyle="1" w:styleId="30">
    <w:name w:val="Normal Indent1"/>
    <w:basedOn w:val="1"/>
    <w:qFormat/>
    <w:uiPriority w:val="0"/>
    <w:pPr>
      <w:ind w:firstLine="420" w:firstLineChars="200"/>
    </w:pPr>
  </w:style>
  <w:style w:type="paragraph" w:customStyle="1" w:styleId="31">
    <w:name w:val="Plain Text1"/>
    <w:basedOn w:val="1"/>
    <w:qFormat/>
    <w:uiPriority w:val="0"/>
    <w:rPr>
      <w:rFonts w:ascii="宋体" w:hAnsi="Courier New"/>
      <w:szCs w:val="20"/>
    </w:rPr>
  </w:style>
  <w:style w:type="paragraph" w:customStyle="1" w:styleId="3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3">
    <w:name w:val="正文2"/>
    <w:basedOn w:val="1"/>
    <w:next w:val="17"/>
    <w:qFormat/>
    <w:uiPriority w:val="0"/>
    <w:pPr>
      <w:spacing w:before="156" w:line="360" w:lineRule="auto"/>
      <w:ind w:firstLine="510" w:firstLineChars="200"/>
    </w:pPr>
    <w:rPr>
      <w:sz w:val="24"/>
      <w:szCs w:val="20"/>
    </w:rPr>
  </w:style>
  <w:style w:type="paragraph" w:customStyle="1" w:styleId="34">
    <w:name w:val="列出段落1"/>
    <w:basedOn w:val="1"/>
    <w:qFormat/>
    <w:uiPriority w:val="34"/>
    <w:pPr>
      <w:ind w:firstLine="420" w:firstLineChars="200"/>
    </w:pPr>
  </w:style>
  <w:style w:type="paragraph" w:customStyle="1" w:styleId="35">
    <w:name w:val="l正文"/>
    <w:basedOn w:val="1"/>
    <w:qFormat/>
    <w:uiPriority w:val="0"/>
    <w:pPr>
      <w:spacing w:line="300" w:lineRule="auto"/>
      <w:ind w:firstLine="200" w:firstLineChars="200"/>
      <w:jc w:val="left"/>
    </w:pPr>
    <w:rPr>
      <w:rFonts w:ascii="楷体_GB2312" w:hAnsi="Times" w:eastAsia="楷体_GB2312" w:cs="等线"/>
      <w:sz w:val="24"/>
    </w:rPr>
  </w:style>
  <w:style w:type="paragraph" w:customStyle="1" w:styleId="36">
    <w:name w:val="纯文本1"/>
    <w:basedOn w:val="37"/>
    <w:qFormat/>
    <w:uiPriority w:val="0"/>
    <w:pPr>
      <w:widowControl/>
      <w:jc w:val="left"/>
    </w:pPr>
    <w:rPr>
      <w:rFonts w:hint="default" w:ascii="宋体" w:hAnsi="Courier New"/>
    </w:rPr>
  </w:style>
  <w:style w:type="paragraph" w:customStyle="1" w:styleId="37">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8">
    <w:name w:val="章正文"/>
    <w:basedOn w:val="1"/>
    <w:qFormat/>
    <w:locked/>
    <w:uiPriority w:val="99"/>
    <w:pPr>
      <w:spacing w:beforeLines="50" w:after="120" w:line="300" w:lineRule="auto"/>
      <w:ind w:firstLine="480"/>
    </w:pPr>
    <w:rPr>
      <w:rFonts w:ascii="Helvetica" w:hAnsi="Helvetica"/>
      <w:kern w:val="0"/>
    </w:rPr>
  </w:style>
  <w:style w:type="character" w:customStyle="1" w:styleId="39">
    <w:name w:val="font21"/>
    <w:basedOn w:val="26"/>
    <w:qFormat/>
    <w:uiPriority w:val="0"/>
    <w:rPr>
      <w:rFonts w:hint="eastAsia" w:ascii="宋体" w:hAnsi="宋体" w:eastAsia="宋体" w:cs="宋体"/>
      <w:color w:val="000000"/>
      <w:sz w:val="21"/>
      <w:szCs w:val="21"/>
      <w:u w:val="none"/>
    </w:rPr>
  </w:style>
  <w:style w:type="character" w:customStyle="1" w:styleId="40">
    <w:name w:val="font31"/>
    <w:basedOn w:val="26"/>
    <w:qFormat/>
    <w:uiPriority w:val="0"/>
    <w:rPr>
      <w:rFonts w:hint="eastAsia" w:ascii="宋体" w:hAnsi="宋体" w:eastAsia="宋体" w:cs="宋体"/>
      <w:color w:val="000000"/>
      <w:sz w:val="24"/>
      <w:szCs w:val="24"/>
      <w:u w:val="none"/>
    </w:rPr>
  </w:style>
  <w:style w:type="character" w:customStyle="1" w:styleId="41">
    <w:name w:val="批注框文本 Char"/>
    <w:basedOn w:val="26"/>
    <w:link w:val="13"/>
    <w:qFormat/>
    <w:uiPriority w:val="0"/>
    <w:rPr>
      <w:rFonts w:ascii="Times New Roman" w:hAnsi="Times New Roman" w:eastAsia="宋体" w:cs="Times New Roman"/>
      <w:kern w:val="2"/>
      <w:sz w:val="18"/>
      <w:szCs w:val="18"/>
    </w:rPr>
  </w:style>
  <w:style w:type="character" w:customStyle="1" w:styleId="42">
    <w:name w:val="批注文字 Char"/>
    <w:basedOn w:val="26"/>
    <w:link w:val="8"/>
    <w:qFormat/>
    <w:uiPriority w:val="0"/>
    <w:rPr>
      <w:rFonts w:ascii="Times New Roman" w:hAnsi="Times New Roman" w:eastAsia="宋体" w:cs="Times New Roman"/>
      <w:kern w:val="2"/>
      <w:sz w:val="21"/>
      <w:szCs w:val="22"/>
    </w:rPr>
  </w:style>
  <w:style w:type="character" w:customStyle="1" w:styleId="43">
    <w:name w:val="批注主题 Char"/>
    <w:basedOn w:val="42"/>
    <w:link w:val="22"/>
    <w:qFormat/>
    <w:uiPriority w:val="0"/>
    <w:rPr>
      <w:rFonts w:ascii="Times New Roman" w:hAnsi="Times New Roman" w:eastAsia="宋体" w:cs="Times New Roman"/>
      <w:b/>
      <w:bCs/>
      <w:kern w:val="2"/>
      <w:sz w:val="21"/>
      <w:szCs w:val="22"/>
    </w:rPr>
  </w:style>
  <w:style w:type="paragraph" w:styleId="4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emf"/><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32434</Words>
  <Characters>34198</Characters>
  <Lines>266</Lines>
  <Paragraphs>74</Paragraphs>
  <TotalTime>11</TotalTime>
  <ScaleCrop>false</ScaleCrop>
  <LinksUpToDate>false</LinksUpToDate>
  <CharactersWithSpaces>35069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2022-06-09T03:54:00Z</dcterms:created>
  <dc:creator>huawei</dc:creator>
  <cp:lastModifiedBy>huawei</cp:lastModifiedBy>
  <dcterms:modified xsi:type="dcterms:W3CDTF">2022-07-22T07:46:12Z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90C99467B4154AB9B994D09DDA955F5A</vt:lpwstr>
  </property>
</Properties>
</file>