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9"/>
          <w:tab w:val="left" w:pos="2352"/>
        </w:tabs>
        <w:jc w:val="center"/>
        <w:rPr>
          <w:rFonts w:ascii="宋体" w:hAnsi="宋体" w:cs="宋体"/>
          <w:b/>
          <w:bCs/>
          <w:color w:val="auto"/>
          <w:spacing w:val="100"/>
          <w:sz w:val="72"/>
          <w:szCs w:val="72"/>
          <w:highlight w:val="none"/>
        </w:rPr>
      </w:pPr>
      <w:bookmarkStart w:id="92" w:name="_GoBack"/>
      <w:bookmarkEnd w:id="92"/>
    </w:p>
    <w:p>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pPr>
        <w:tabs>
          <w:tab w:val="left" w:pos="1069"/>
          <w:tab w:val="left" w:pos="2352"/>
        </w:tabs>
        <w:jc w:val="center"/>
        <w:rPr>
          <w:rFonts w:ascii="宋体" w:hAnsi="宋体" w:cs="宋体"/>
          <w:b/>
          <w:bCs/>
          <w:color w:val="auto"/>
          <w:kern w:val="0"/>
          <w:szCs w:val="24"/>
          <w:highlight w:val="none"/>
        </w:rPr>
      </w:pPr>
    </w:p>
    <w:p>
      <w:pPr>
        <w:pStyle w:val="25"/>
        <w:tabs>
          <w:tab w:val="left" w:pos="1069"/>
          <w:tab w:val="left" w:pos="2352"/>
        </w:tabs>
        <w:rPr>
          <w:rFonts w:ascii="宋体" w:hAnsi="宋体" w:cs="宋体"/>
          <w:color w:val="auto"/>
          <w:highlight w:val="none"/>
        </w:rPr>
      </w:pPr>
    </w:p>
    <w:p>
      <w:pPr>
        <w:tabs>
          <w:tab w:val="left" w:pos="1069"/>
          <w:tab w:val="left" w:pos="2352"/>
        </w:tabs>
        <w:jc w:val="center"/>
        <w:rPr>
          <w:rFonts w:ascii="宋体" w:hAnsi="宋体" w:cs="宋体"/>
          <w:b/>
          <w:bCs/>
          <w:color w:val="auto"/>
          <w:kern w:val="0"/>
          <w:szCs w:val="24"/>
          <w:highlight w:val="none"/>
        </w:rPr>
      </w:pPr>
    </w:p>
    <w:p>
      <w:pPr>
        <w:tabs>
          <w:tab w:val="left" w:pos="1069"/>
          <w:tab w:val="left" w:pos="2352"/>
        </w:tabs>
        <w:jc w:val="center"/>
        <w:rPr>
          <w:rFonts w:ascii="宋体" w:hAnsi="宋体" w:cs="宋体"/>
          <w:b/>
          <w:bCs/>
          <w:color w:val="auto"/>
          <w:kern w:val="0"/>
          <w:szCs w:val="24"/>
          <w:highlight w:val="none"/>
        </w:rPr>
      </w:pPr>
    </w:p>
    <w:p>
      <w:pPr>
        <w:pStyle w:val="7"/>
        <w:tabs>
          <w:tab w:val="left" w:pos="1069"/>
          <w:tab w:val="left" w:pos="2352"/>
        </w:tabs>
        <w:rPr>
          <w:rFonts w:ascii="宋体" w:hAnsi="宋体" w:cs="宋体"/>
          <w:b/>
          <w:color w:val="auto"/>
          <w:szCs w:val="24"/>
          <w:highlight w:val="none"/>
        </w:rPr>
      </w:pPr>
    </w:p>
    <w:p>
      <w:pPr>
        <w:pStyle w:val="7"/>
        <w:tabs>
          <w:tab w:val="left" w:pos="1069"/>
          <w:tab w:val="left" w:pos="2352"/>
        </w:tabs>
        <w:rPr>
          <w:rFonts w:ascii="宋体" w:hAnsi="宋体" w:cs="宋体"/>
          <w:b/>
          <w:color w:val="auto"/>
          <w:szCs w:val="24"/>
          <w:highlight w:val="none"/>
        </w:rPr>
      </w:pPr>
    </w:p>
    <w:p>
      <w:pPr>
        <w:pStyle w:val="7"/>
        <w:tabs>
          <w:tab w:val="left" w:pos="1069"/>
          <w:tab w:val="left" w:pos="2352"/>
        </w:tabs>
        <w:rPr>
          <w:rFonts w:ascii="宋体" w:hAnsi="宋体" w:cs="宋体"/>
          <w:b/>
          <w:color w:val="auto"/>
          <w:szCs w:val="24"/>
          <w:highlight w:val="none"/>
        </w:rPr>
      </w:pPr>
    </w:p>
    <w:p>
      <w:pPr>
        <w:pStyle w:val="7"/>
        <w:tabs>
          <w:tab w:val="left" w:pos="1069"/>
          <w:tab w:val="left" w:pos="2352"/>
        </w:tabs>
        <w:rPr>
          <w:rFonts w:ascii="宋体" w:hAnsi="宋体" w:cs="宋体"/>
          <w:b/>
          <w:color w:val="auto"/>
          <w:szCs w:val="24"/>
          <w:highlight w:val="none"/>
        </w:rPr>
      </w:pPr>
    </w:p>
    <w:p>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pPr>
        <w:tabs>
          <w:tab w:val="left" w:pos="1069"/>
          <w:tab w:val="left" w:pos="2352"/>
        </w:tabs>
        <w:jc w:val="center"/>
        <w:rPr>
          <w:rFonts w:ascii="宋体" w:hAnsi="宋体" w:cs="宋体"/>
          <w:b/>
          <w:color w:val="auto"/>
          <w:sz w:val="36"/>
          <w:szCs w:val="36"/>
          <w:highlight w:val="none"/>
        </w:rPr>
      </w:pPr>
    </w:p>
    <w:p>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pPr>
        <w:pStyle w:val="17"/>
        <w:tabs>
          <w:tab w:val="left" w:pos="2352"/>
        </w:tabs>
        <w:ind w:left="856" w:hanging="428"/>
        <w:rPr>
          <w:color w:val="auto"/>
          <w:highlight w:val="none"/>
        </w:rPr>
      </w:pPr>
    </w:p>
    <w:tbl>
      <w:tblPr>
        <w:tblStyle w:val="20"/>
        <w:tblpPr w:leftFromText="180" w:rightFromText="180" w:vertAnchor="text" w:tblpXSpec="right" w:tblpY="1"/>
        <w:tblOverlap w:val="never"/>
        <w:tblW w:w="9164"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TSCG202207018</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泰顺县农村城镇生活污水水质检测</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pPr>
              <w:tabs>
                <w:tab w:val="left" w:pos="106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泰顺县综合行政执法局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二○二二年七月</w:t>
      </w:r>
    </w:p>
    <w:p>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第一部分、投标邀请函（投标须知前附表）.....................2</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第二部分、采购内容及要求...................................6</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第三部分、供应商须知......................................10</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第四部分、政府采购政策功能相关说明........................19</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第五部分、合同格式........................................24</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第六部分、投标（响应）文件格式...........................29第七部分、评标办法........................................44</w:t>
      </w:r>
    </w:p>
    <w:p>
      <w:pPr>
        <w:pStyle w:val="15"/>
        <w:tabs>
          <w:tab w:val="left" w:pos="2352"/>
        </w:tabs>
        <w:rPr>
          <w:color w:val="auto"/>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pStyle w:val="15"/>
        <w:tabs>
          <w:tab w:val="left" w:pos="2352"/>
        </w:tabs>
        <w:rPr>
          <w:color w:val="auto"/>
          <w:highlight w:val="none"/>
        </w:rPr>
      </w:pPr>
    </w:p>
    <w:p>
      <w:pPr>
        <w:pStyle w:val="15"/>
        <w:tabs>
          <w:tab w:val="left" w:pos="2352"/>
        </w:tabs>
        <w:rPr>
          <w:color w:val="auto"/>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0"/>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泰顺县农村城镇生活污水水质检测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TSCG202207018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u w:val="single"/>
              </w:rPr>
              <w:t>4</w:t>
            </w:r>
            <w:r>
              <w:rPr>
                <w:rFonts w:hint="eastAsia" w:ascii="宋体" w:hAnsi="宋体" w:cs="宋体"/>
                <w:bCs/>
                <w:color w:val="auto"/>
                <w:sz w:val="22"/>
                <w:highlight w:val="none"/>
                <w:u w:val="single"/>
                <w:lang w:val="en-US" w:eastAsia="zh-CN"/>
              </w:rPr>
              <w:t>3</w:t>
            </w:r>
            <w:r>
              <w:rPr>
                <w:rFonts w:hint="eastAsia" w:ascii="宋体" w:hAnsi="宋体" w:cs="宋体"/>
                <w:bCs/>
                <w:color w:val="auto"/>
                <w:sz w:val="22"/>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名称：泰顺县综合行政执法局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地址：温州市泰顺县罗阳镇廊桥大道76号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传真：/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项目联系人（询问）：雷小凤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项目联系方式（询问）：0577-67616098</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质疑联系人：夏碎彬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质疑联系方式：0577-67616098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名称：杭州华旗招标代理有限公司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地址：温州市泰顺县罗阳镇湖滨花苑B8幢401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传真：/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项目联系人（询问）：翁爱霜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项目联系方式（询问）：17858065131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质疑联系人：张东升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质疑联系方式：15888799321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（三）落实政府采购政策需满足的资格要求：本项目专门面向中小企业采购。</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（四）本项目不允许联合体投标。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23"/>
                <w:rFonts w:hint="eastAsia" w:ascii="宋体" w:hAnsi="宋体" w:cs="宋体"/>
                <w:b w:val="0"/>
                <w:color w:val="auto"/>
                <w:sz w:val="22"/>
                <w:highlight w:val="none"/>
              </w:rPr>
              <w:t>通过“政府采购云平台”上传递交的“电子加密投标文件”无法按时解密的，其投标无效。</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（2）投标有效期内撤销投标文件的</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widowControl/>
              <w:tabs>
                <w:tab w:val="left" w:pos="1069"/>
                <w:tab w:val="left" w:pos="2352"/>
              </w:tabs>
              <w:ind w:left="440" w:hanging="440" w:hangingChars="200"/>
              <w:jc w:val="left"/>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52"/>
            </w:r>
            <w:r>
              <w:rPr>
                <w:rFonts w:hint="eastAsia" w:ascii="宋体" w:hAnsi="宋体" w:cs="宋体"/>
                <w:color w:val="auto"/>
                <w:sz w:val="22"/>
                <w:highlight w:val="none"/>
              </w:rPr>
              <w:t>不需要</w:t>
            </w:r>
          </w:p>
          <w:p>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eastAsia="zh-CN"/>
              </w:rPr>
              <w:t>2022年7月</w:t>
            </w:r>
            <w:r>
              <w:rPr>
                <w:rFonts w:hint="eastAsia" w:ascii="宋体" w:hAnsi="宋体" w:cs="宋体"/>
                <w:color w:val="auto"/>
                <w:sz w:val="22"/>
                <w:highlight w:val="none"/>
                <w:lang w:val="en-US" w:eastAsia="zh-CN"/>
              </w:rPr>
              <w:t>26</w:t>
            </w:r>
            <w:r>
              <w:rPr>
                <w:rFonts w:hint="eastAsia" w:ascii="宋体" w:hAnsi="宋体" w:cs="宋体"/>
                <w:color w:val="auto"/>
                <w:sz w:val="22"/>
                <w:highlight w:val="none"/>
                <w:lang w:eastAsia="zh-CN"/>
              </w:rPr>
              <w:t>日14点30分</w:t>
            </w:r>
            <w:r>
              <w:rPr>
                <w:rFonts w:hint="eastAsia" w:ascii="宋体" w:hAnsi="宋体" w:cs="宋体"/>
                <w:color w:val="auto"/>
                <w:sz w:val="22"/>
                <w:highlight w:val="none"/>
              </w:rPr>
              <w:t>(北京时间)</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2022年7月26日14点30分</w:t>
            </w:r>
            <w:r>
              <w:rPr>
                <w:rFonts w:hint="eastAsia" w:ascii="宋体" w:hAnsi="宋体" w:cs="宋体"/>
                <w:color w:val="auto"/>
                <w:sz w:val="22"/>
                <w:highlight w:val="none"/>
              </w:rPr>
              <w:t xml:space="preserve"> (北京时间)</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杭州华旗招标代理有限公司评标室（温州市泰顺县罗阳镇湖滨花苑B8幢401）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（一）开标准备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（二）电子招投标开标及评审程序</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5.在系统上公开资格和商务技术评审结果；</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6.在系统上录入最终报价情况；</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8.在系统上公布评审结果。</w:t>
            </w:r>
          </w:p>
          <w:p>
            <w:pPr>
              <w:tabs>
                <w:tab w:val="left" w:pos="1069"/>
                <w:tab w:val="left" w:pos="2352"/>
              </w:tabs>
              <w:rPr>
                <w:rFonts w:ascii="宋体" w:hAnsi="宋体" w:cs="宋体"/>
                <w:color w:val="auto"/>
                <w:sz w:val="22"/>
                <w:highlight w:val="none"/>
              </w:rPr>
            </w:pPr>
            <w:r>
              <w:rPr>
                <w:rFonts w:hint="eastAsia" w:ascii="宋体" w:hAnsi="宋体" w:cs="宋体"/>
                <w:b/>
                <w:bCs/>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b/>
                <w:bCs/>
                <w:color w:val="auto"/>
                <w:sz w:val="22"/>
                <w:highlight w:val="none"/>
              </w:rPr>
            </w:pPr>
            <w:r>
              <w:rPr>
                <w:rFonts w:hint="eastAsia" w:ascii="宋体" w:hAnsi="宋体" w:cs="宋体"/>
                <w:b/>
                <w:bCs/>
                <w:color w:val="auto"/>
                <w:sz w:val="22"/>
                <w:highlight w:val="none"/>
              </w:rPr>
              <w:t>政府采购</w:t>
            </w:r>
          </w:p>
          <w:p>
            <w:pPr>
              <w:tabs>
                <w:tab w:val="left" w:pos="1069"/>
                <w:tab w:val="left" w:pos="2352"/>
              </w:tabs>
              <w:adjustRightInd w:val="0"/>
              <w:jc w:val="center"/>
              <w:rPr>
                <w:rFonts w:ascii="宋体" w:hAnsi="宋体" w:cs="宋体"/>
                <w:b/>
                <w:bCs/>
                <w:color w:val="auto"/>
                <w:sz w:val="22"/>
                <w:highlight w:val="none"/>
              </w:rPr>
            </w:pPr>
            <w:r>
              <w:rPr>
                <w:rFonts w:hint="eastAsia" w:ascii="宋体" w:hAnsi="宋体" w:cs="宋体"/>
                <w:b/>
                <w:bCs/>
                <w:color w:val="auto"/>
                <w:sz w:val="22"/>
                <w:highlight w:val="none"/>
              </w:rPr>
              <w:t>扶持政策</w:t>
            </w:r>
          </w:p>
        </w:tc>
        <w:tc>
          <w:tcPr>
            <w:tcW w:w="7619" w:type="dxa"/>
            <w:vAlign w:val="center"/>
          </w:tcPr>
          <w:p>
            <w:pPr>
              <w:tabs>
                <w:tab w:val="left" w:pos="1069"/>
                <w:tab w:val="left" w:pos="2352"/>
              </w:tabs>
              <w:rPr>
                <w:rFonts w:ascii="宋体" w:hAnsi="宋体" w:cs="宋体"/>
                <w:b/>
                <w:bCs/>
                <w:color w:val="auto"/>
                <w:sz w:val="22"/>
                <w:highlight w:val="none"/>
              </w:rPr>
            </w:pPr>
            <w:r>
              <w:rPr>
                <w:rFonts w:hint="eastAsia" w:ascii="宋体" w:hAnsi="宋体" w:cs="宋体"/>
                <w:b/>
                <w:bCs/>
                <w:color w:val="auto"/>
                <w:sz w:val="22"/>
                <w:highlight w:val="none"/>
              </w:rPr>
              <w:t>1、本项目专门面向中小企业采购，不再执行价格评审优惠的扶持政策。</w:t>
            </w:r>
          </w:p>
          <w:p>
            <w:pPr>
              <w:tabs>
                <w:tab w:val="left" w:pos="1069"/>
                <w:tab w:val="left" w:pos="2352"/>
              </w:tabs>
              <w:rPr>
                <w:rFonts w:ascii="宋体" w:hAnsi="宋体" w:cs="宋体"/>
                <w:b/>
                <w:bCs/>
                <w:color w:val="auto"/>
                <w:sz w:val="22"/>
                <w:highlight w:val="none"/>
              </w:rPr>
            </w:pPr>
            <w:r>
              <w:rPr>
                <w:rFonts w:hint="eastAsia" w:ascii="宋体" w:hAnsi="宋体" w:cs="宋体"/>
                <w:b/>
                <w:bCs/>
                <w:color w:val="auto"/>
                <w:sz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pPr>
              <w:numPr>
                <w:ilvl w:val="0"/>
                <w:numId w:val="2"/>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pPr>
              <w:numPr>
                <w:ilvl w:val="0"/>
                <w:numId w:val="3"/>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合同签订后，采购人依法加强对合同履约进行管理，并在中标供应商供货、项目验收等重要关节，如实填写《合同验收报告》（表附合同条款中），并及时向同级财政部门报告验收过程中遇到的问题。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1、投标供应商自行承担投标过程中产生的费用。无论何种因素导致采购项目延期开标、废标（流标）、投标供应商未中标（成交）、项目终止采购的，采购人与代理机构均不承担供应商投标费用。</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响应）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bl>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pPr>
        <w:spacing w:line="400" w:lineRule="exact"/>
        <w:rPr>
          <w:rFonts w:ascii="宋体" w:hAnsi="宋体" w:cs="宋体"/>
          <w:b/>
          <w:bCs/>
          <w:color w:val="auto"/>
          <w:sz w:val="22"/>
          <w:highlight w:val="none"/>
        </w:rPr>
      </w:pPr>
      <w:bookmarkStart w:id="3" w:name="_Toc474761105"/>
      <w:bookmarkStart w:id="4" w:name="_Toc5493_WPSOffice_Level1"/>
      <w:r>
        <w:rPr>
          <w:rFonts w:hint="eastAsia" w:ascii="宋体" w:hAnsi="宋体" w:cs="宋体"/>
          <w:b/>
          <w:bCs/>
          <w:color w:val="auto"/>
          <w:sz w:val="22"/>
          <w:highlight w:val="none"/>
        </w:rPr>
        <w:t>一、服务内容及要求</w:t>
      </w:r>
    </w:p>
    <w:p>
      <w:pPr>
        <w:snapToGrid w:val="0"/>
        <w:spacing w:line="400" w:lineRule="exact"/>
        <w:rPr>
          <w:rFonts w:ascii="宋体" w:hAnsi="宋体" w:cs="宋体"/>
          <w:color w:val="auto"/>
          <w:sz w:val="22"/>
          <w:highlight w:val="none"/>
        </w:rPr>
      </w:pPr>
      <w:r>
        <w:rPr>
          <w:rFonts w:hint="eastAsia" w:ascii="宋体" w:hAnsi="宋体" w:cs="宋体"/>
          <w:b/>
          <w:color w:val="auto"/>
          <w:sz w:val="22"/>
          <w:highlight w:val="none"/>
        </w:rPr>
        <w:t>（一）检测清单</w:t>
      </w:r>
    </w:p>
    <w:tbl>
      <w:tblPr>
        <w:tblStyle w:val="20"/>
        <w:tblW w:w="8826" w:type="dxa"/>
        <w:tblInd w:w="93" w:type="dxa"/>
        <w:tblLayout w:type="fixed"/>
        <w:tblCellMar>
          <w:top w:w="0" w:type="dxa"/>
          <w:left w:w="108" w:type="dxa"/>
          <w:bottom w:w="0" w:type="dxa"/>
          <w:right w:w="108" w:type="dxa"/>
        </w:tblCellMar>
      </w:tblPr>
      <w:tblGrid>
        <w:gridCol w:w="732"/>
        <w:gridCol w:w="1102"/>
        <w:gridCol w:w="2998"/>
        <w:gridCol w:w="2760"/>
        <w:gridCol w:w="1234"/>
      </w:tblGrid>
      <w:tr>
        <w:tblPrEx>
          <w:tblCellMar>
            <w:top w:w="0" w:type="dxa"/>
            <w:left w:w="108" w:type="dxa"/>
            <w:bottom w:w="0" w:type="dxa"/>
            <w:right w:w="108" w:type="dxa"/>
          </w:tblCellMar>
        </w:tblPrEx>
        <w:trPr>
          <w:trHeight w:val="559"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检测项目</w:t>
            </w:r>
          </w:p>
        </w:tc>
        <w:tc>
          <w:tcPr>
            <w:tcW w:w="29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检测内容</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数量及要求</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单价限价（元</w:t>
            </w:r>
            <w:r>
              <w:rPr>
                <w:rFonts w:hint="eastAsia" w:ascii="宋体" w:hAnsi="宋体" w:cs="宋体"/>
                <w:color w:val="auto"/>
                <w:kern w:val="0"/>
                <w:sz w:val="22"/>
                <w:highlight w:val="none"/>
                <w:lang w:bidi="ar"/>
              </w:rPr>
              <w:t>）</w:t>
            </w:r>
          </w:p>
        </w:tc>
      </w:tr>
      <w:tr>
        <w:tblPrEx>
          <w:tblCellMar>
            <w:top w:w="0" w:type="dxa"/>
            <w:left w:w="108" w:type="dxa"/>
            <w:bottom w:w="0" w:type="dxa"/>
            <w:right w:w="108" w:type="dxa"/>
          </w:tblCellMar>
        </w:tblPrEx>
        <w:trPr>
          <w:trHeight w:val="2197" w:hRule="atLeast"/>
        </w:trPr>
        <w:tc>
          <w:tcPr>
            <w:tcW w:w="73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10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排水户抽查检测</w:t>
            </w:r>
          </w:p>
        </w:tc>
        <w:tc>
          <w:tcPr>
            <w:tcW w:w="299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根据不同行业进行检测（检测项目包括但不仅限于PH值、化学需氧量、氨氮、五日生化需氧量、悬浮物、总磷、总氮、动植物油类（农家乐、餐饮类、水源保护地等需加测此项）、粪大肠菌群（医疗机构、水源保护地等需加测此项）、总余氯（加氯消毒需加测此项）等</w:t>
            </w:r>
          </w:p>
        </w:tc>
        <w:tc>
          <w:tcPr>
            <w:tcW w:w="2760" w:type="dxa"/>
            <w:tcBorders>
              <w:top w:val="single" w:color="000000" w:sz="4" w:space="0"/>
              <w:left w:val="single" w:color="000000" w:sz="4" w:space="0"/>
              <w:bottom w:val="single" w:color="auto" w:sz="4" w:space="0"/>
              <w:right w:val="single" w:color="000000" w:sz="4" w:space="0"/>
            </w:tcBorders>
            <w:vAlign w:val="center"/>
          </w:tcPr>
          <w:p>
            <w:pPr>
              <w:pStyle w:val="25"/>
              <w:spacing w:line="400" w:lineRule="exact"/>
              <w:rPr>
                <w:rFonts w:ascii="宋体" w:hAnsi="宋体" w:cs="宋体"/>
                <w:color w:val="auto"/>
                <w:sz w:val="22"/>
                <w:szCs w:val="22"/>
                <w:highlight w:val="none"/>
              </w:rPr>
            </w:pPr>
            <w:r>
              <w:rPr>
                <w:rFonts w:hint="eastAsia" w:ascii="宋体" w:hAnsi="宋体" w:cs="宋体"/>
                <w:color w:val="auto"/>
                <w:kern w:val="2"/>
                <w:sz w:val="22"/>
                <w:szCs w:val="22"/>
                <w:highlight w:val="none"/>
              </w:rPr>
              <w:t>暂定30个，数量会根据采购人需求有所变动，检测频率一般一年一次，按照采购人实际需求检测并出具成果报告。无固定排水户</w:t>
            </w:r>
          </w:p>
        </w:tc>
        <w:tc>
          <w:tcPr>
            <w:tcW w:w="1234" w:type="dxa"/>
            <w:tcBorders>
              <w:top w:val="single" w:color="000000" w:sz="4" w:space="0"/>
              <w:left w:val="single" w:color="000000" w:sz="4" w:space="0"/>
              <w:bottom w:val="single" w:color="auto" w:sz="4" w:space="0"/>
              <w:right w:val="single" w:color="000000" w:sz="4" w:space="0"/>
            </w:tcBorders>
            <w:vAlign w:val="center"/>
          </w:tcPr>
          <w:p>
            <w:pPr>
              <w:pStyle w:val="25"/>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400元/户</w:t>
            </w:r>
          </w:p>
        </w:tc>
      </w:tr>
      <w:tr>
        <w:tblPrEx>
          <w:tblCellMar>
            <w:top w:w="0" w:type="dxa"/>
            <w:left w:w="108" w:type="dxa"/>
            <w:bottom w:w="0" w:type="dxa"/>
            <w:right w:w="108" w:type="dxa"/>
          </w:tblCellMar>
        </w:tblPrEx>
        <w:trPr>
          <w:trHeight w:val="212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城镇污水检测</w:t>
            </w:r>
          </w:p>
        </w:tc>
        <w:tc>
          <w:tcPr>
            <w:tcW w:w="29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针对县城污水处理厂的进水和出水样品进行污染物排放检测。每月检测项目包含但不仅限于pH值、化学需氧量、氨氮、五日生化需氧量、悬浮物、总磷、总氮、粪大肠菌群、动植物油类（农家乐、餐饮类、水源保护地等需加测此项）；一年每个污水处理厂出水需要进行一次全分析检测。</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spacing w:val="-1"/>
                <w:kern w:val="0"/>
                <w:sz w:val="22"/>
                <w:highlight w:val="none"/>
              </w:rPr>
              <w:t>共9个乡镇</w:t>
            </w:r>
            <w:r>
              <w:rPr>
                <w:rFonts w:hint="eastAsia" w:ascii="宋体" w:hAnsi="宋体" w:cs="宋体"/>
                <w:color w:val="auto"/>
                <w:spacing w:val="-1"/>
                <w:kern w:val="0"/>
                <w:sz w:val="22"/>
                <w:highlight w:val="none"/>
              </w:rPr>
              <w:br w:type="textWrapping"/>
            </w:r>
            <w:r>
              <w:rPr>
                <w:rFonts w:hint="eastAsia" w:ascii="宋体" w:hAnsi="宋体" w:cs="宋体"/>
                <w:color w:val="auto"/>
                <w:kern w:val="0"/>
                <w:sz w:val="22"/>
                <w:highlight w:val="none"/>
                <w:lang w:bidi="ar"/>
              </w:rPr>
              <w:t>注：污水厂每家每月一次进出水水样，出水一年一次全分析。</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pacing w:val="-1"/>
                <w:kern w:val="0"/>
                <w:sz w:val="22"/>
                <w:highlight w:val="none"/>
              </w:rPr>
            </w:pPr>
            <w:r>
              <w:rPr>
                <w:rFonts w:hint="eastAsia" w:ascii="宋体" w:hAnsi="宋体" w:cs="宋体"/>
                <w:color w:val="auto"/>
                <w:spacing w:val="-1"/>
                <w:kern w:val="0"/>
                <w:sz w:val="22"/>
                <w:highlight w:val="none"/>
              </w:rPr>
              <w:t>月度450元；</w:t>
            </w:r>
            <w:r>
              <w:rPr>
                <w:rFonts w:hint="eastAsia" w:ascii="宋体" w:hAnsi="宋体" w:cs="宋体"/>
                <w:color w:val="auto"/>
                <w:spacing w:val="-1"/>
                <w:kern w:val="0"/>
                <w:sz w:val="22"/>
                <w:highlight w:val="none"/>
              </w:rPr>
              <w:br w:type="textWrapping"/>
            </w:r>
            <w:r>
              <w:rPr>
                <w:rFonts w:hint="eastAsia" w:ascii="宋体" w:hAnsi="宋体" w:cs="宋体"/>
                <w:color w:val="auto"/>
                <w:spacing w:val="-1"/>
                <w:kern w:val="0"/>
                <w:sz w:val="22"/>
                <w:highlight w:val="none"/>
              </w:rPr>
              <w:t>年度全分析1900元</w:t>
            </w:r>
          </w:p>
        </w:tc>
      </w:tr>
      <w:tr>
        <w:tblPrEx>
          <w:tblCellMar>
            <w:top w:w="0" w:type="dxa"/>
            <w:left w:w="108" w:type="dxa"/>
            <w:bottom w:w="0" w:type="dxa"/>
            <w:right w:w="108" w:type="dxa"/>
          </w:tblCellMar>
        </w:tblPrEx>
        <w:trPr>
          <w:trHeight w:val="1013"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农村污水检测</w:t>
            </w:r>
          </w:p>
        </w:tc>
        <w:tc>
          <w:tcPr>
            <w:tcW w:w="29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包括但不限于PH值、化学需氧量、氨氮、悬浮物、总磷、粪大肠菌群、动植物油类等）。</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共388个点位（因新建、改造等原因数量有所浮动）</w:t>
            </w:r>
          </w:p>
          <w:p>
            <w:pPr>
              <w:pStyle w:val="37"/>
              <w:spacing w:before="0" w:after="0" w:line="400" w:lineRule="exact"/>
              <w:ind w:firstLine="440" w:firstLineChars="200"/>
              <w:jc w:val="left"/>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注：按每季度、每半年度、每年度时间节点检测水样。</w:t>
            </w:r>
            <w:r>
              <w:rPr>
                <w:rFonts w:hint="eastAsia" w:ascii="宋体" w:hAnsi="宋体" w:eastAsia="宋体" w:cs="宋体"/>
                <w:color w:val="auto"/>
                <w:spacing w:val="-1"/>
                <w:highlight w:val="none"/>
                <w:lang w:eastAsia="zh-CN"/>
              </w:rPr>
              <w:t>其中设计日处理量为30吨以上（含30吨）</w:t>
            </w:r>
            <w:r>
              <w:rPr>
                <w:rFonts w:hint="eastAsia" w:ascii="宋体" w:hAnsi="宋体" w:eastAsia="宋体" w:cs="宋体"/>
                <w:color w:val="auto"/>
                <w:spacing w:val="-1"/>
                <w:highlight w:val="none"/>
                <w:u w:val="single"/>
                <w:lang w:eastAsia="zh-CN"/>
              </w:rPr>
              <w:t xml:space="preserve">179 </w:t>
            </w:r>
            <w:r>
              <w:rPr>
                <w:rFonts w:hint="eastAsia" w:ascii="宋体" w:hAnsi="宋体" w:eastAsia="宋体" w:cs="宋体"/>
                <w:color w:val="auto"/>
                <w:spacing w:val="-1"/>
                <w:highlight w:val="none"/>
                <w:lang w:eastAsia="zh-CN"/>
              </w:rPr>
              <w:t>个，10-30吨（含10吨，不含30吨）</w:t>
            </w:r>
            <w:r>
              <w:rPr>
                <w:rFonts w:hint="eastAsia" w:ascii="宋体" w:hAnsi="宋体" w:eastAsia="宋体" w:cs="宋体"/>
                <w:color w:val="auto"/>
                <w:spacing w:val="-1"/>
                <w:highlight w:val="none"/>
                <w:u w:val="single"/>
                <w:lang w:eastAsia="zh-CN"/>
              </w:rPr>
              <w:t xml:space="preserve"> 178   </w:t>
            </w:r>
            <w:r>
              <w:rPr>
                <w:rFonts w:hint="eastAsia" w:ascii="宋体" w:hAnsi="宋体" w:eastAsia="宋体" w:cs="宋体"/>
                <w:color w:val="auto"/>
                <w:spacing w:val="-1"/>
                <w:highlight w:val="none"/>
                <w:lang w:eastAsia="zh-CN"/>
              </w:rPr>
              <w:t>个，10吨以下（不含10吨）</w:t>
            </w:r>
            <w:r>
              <w:rPr>
                <w:rFonts w:hint="eastAsia" w:ascii="宋体" w:hAnsi="宋体" w:eastAsia="宋体" w:cs="宋体"/>
                <w:color w:val="auto"/>
                <w:spacing w:val="-1"/>
                <w:highlight w:val="none"/>
                <w:u w:val="single"/>
                <w:lang w:eastAsia="zh-CN"/>
              </w:rPr>
              <w:t xml:space="preserve"> 29   </w:t>
            </w:r>
            <w:r>
              <w:rPr>
                <w:rFonts w:hint="eastAsia" w:ascii="宋体" w:hAnsi="宋体" w:eastAsia="宋体" w:cs="宋体"/>
                <w:color w:val="auto"/>
                <w:spacing w:val="-1"/>
                <w:highlight w:val="none"/>
                <w:lang w:eastAsia="zh-CN"/>
              </w:rPr>
              <w:t>个，每个终端均需进行进水、出水水质监测，其中30吨以上（含30吨）每季度监测一次，10-30吨（含10吨，不含30吨）每半年监测一次，10吨以下（不含10吨）每年监测一次。届时以终端实际数量为准。</w:t>
            </w:r>
          </w:p>
        </w:tc>
        <w:tc>
          <w:tcPr>
            <w:tcW w:w="1234" w:type="dxa"/>
            <w:tcBorders>
              <w:top w:val="single" w:color="auto" w:sz="4" w:space="0"/>
              <w:left w:val="single" w:color="auto" w:sz="4" w:space="0"/>
              <w:bottom w:val="single" w:color="auto" w:sz="4" w:space="0"/>
              <w:right w:val="single" w:color="auto" w:sz="4" w:space="0"/>
            </w:tcBorders>
            <w:vAlign w:val="center"/>
          </w:tcPr>
          <w:p>
            <w:pPr>
              <w:pStyle w:val="37"/>
              <w:spacing w:before="0" w:after="0" w:line="400" w:lineRule="exact"/>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350元/点位</w:t>
            </w:r>
          </w:p>
        </w:tc>
      </w:tr>
    </w:tbl>
    <w:p>
      <w:pPr>
        <w:pStyle w:val="9"/>
        <w:adjustRightInd w:val="0"/>
        <w:snapToGrid w:val="0"/>
        <w:spacing w:line="400" w:lineRule="exact"/>
        <w:ind w:firstLine="440" w:firstLineChars="200"/>
        <w:rPr>
          <w:rFonts w:hAnsi="宋体" w:cs="宋体"/>
          <w:b/>
          <w:color w:val="auto"/>
          <w:sz w:val="22"/>
          <w:szCs w:val="22"/>
          <w:highlight w:val="none"/>
        </w:rPr>
      </w:pPr>
      <w:r>
        <w:rPr>
          <w:rFonts w:hint="eastAsia" w:hAnsi="宋体" w:cs="宋体"/>
          <w:bCs/>
          <w:color w:val="auto"/>
          <w:sz w:val="22"/>
          <w:szCs w:val="22"/>
          <w:highlight w:val="none"/>
        </w:rPr>
        <w:t>备注：供应商根据各检测项目的水样单价分别进行报价，投标报价包含人工费、材料费、设备使用费、企业管理费以及合理的利润、税金等一切相关费用。后期根据每季度实际检测项目的水样数量*该项水样中标单价进行结算。采购人可根据实际情况对各检测项目的检测水样数量进行调整，但实际支付总金额不得超过中标供应商投标总报价，否则按相关政策处理。</w:t>
      </w:r>
    </w:p>
    <w:p>
      <w:pPr>
        <w:spacing w:line="400" w:lineRule="exact"/>
        <w:rPr>
          <w:rFonts w:ascii="宋体" w:hAnsi="宋体" w:cs="宋体"/>
          <w:b/>
          <w:color w:val="auto"/>
          <w:sz w:val="22"/>
          <w:highlight w:val="none"/>
        </w:rPr>
      </w:pPr>
      <w:r>
        <w:rPr>
          <w:rFonts w:hint="eastAsia" w:ascii="宋体" w:hAnsi="宋体" w:cs="宋体"/>
          <w:b/>
          <w:color w:val="auto"/>
          <w:sz w:val="22"/>
          <w:highlight w:val="none"/>
        </w:rPr>
        <w:t>（二）检测标准</w:t>
      </w:r>
    </w:p>
    <w:p>
      <w:pPr>
        <w:pStyle w:val="9"/>
        <w:adjustRightInd w:val="0"/>
        <w:snapToGrid w:val="0"/>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1.污水排入城镇下水道水质标准（GB/T 31962-2015）</w:t>
      </w:r>
    </w:p>
    <w:p>
      <w:pPr>
        <w:pStyle w:val="9"/>
        <w:adjustRightInd w:val="0"/>
        <w:snapToGrid w:val="0"/>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2.城镇污水处理厂污染物排放标准（GB18918-2002）</w:t>
      </w:r>
    </w:p>
    <w:p>
      <w:pPr>
        <w:pStyle w:val="9"/>
        <w:adjustRightInd w:val="0"/>
        <w:snapToGrid w:val="0"/>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3.《浙江农村生活污水处理设施水污染物排放标准》(DB33/973 2015)</w:t>
      </w:r>
    </w:p>
    <w:p>
      <w:pPr>
        <w:pStyle w:val="9"/>
        <w:adjustRightInd w:val="0"/>
        <w:snapToGrid w:val="0"/>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4.《生活饮用水卫生标准》（GB5749－2006）</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注：所检项目指标出现明显异常，应分析原因，作出分析性评价。</w:t>
      </w:r>
    </w:p>
    <w:p>
      <w:pPr>
        <w:snapToGrid w:val="0"/>
        <w:spacing w:line="400" w:lineRule="exact"/>
        <w:rPr>
          <w:rFonts w:ascii="宋体" w:hAnsi="宋体" w:cs="宋体"/>
          <w:b/>
          <w:color w:val="auto"/>
          <w:sz w:val="22"/>
          <w:highlight w:val="none"/>
        </w:rPr>
      </w:pPr>
      <w:r>
        <w:rPr>
          <w:rFonts w:hint="eastAsia" w:ascii="宋体" w:hAnsi="宋体" w:cs="宋体"/>
          <w:b/>
          <w:color w:val="auto"/>
          <w:sz w:val="22"/>
          <w:highlight w:val="none"/>
        </w:rPr>
        <w:t>（三）报告要求</w:t>
      </w:r>
    </w:p>
    <w:p>
      <w:pPr>
        <w:snapToGrid w:val="0"/>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中标供应商须按本招标文件的检测频率要求，制定年度检测计划，并上报采购人平台运维管理平台，在当月、季度、半年度对样品进行检测并出具检测报告，除正式的检测报告中标供应商还需按照采购人的要求制定数据汇总表或汇总报告。如发现指标异常须提出针对性建议，检测报告应在当月（季度）提交给采购人。监测结果须上传至采购人平台终端。</w:t>
      </w:r>
    </w:p>
    <w:p>
      <w:pPr>
        <w:snapToGrid w:val="0"/>
        <w:spacing w:line="400" w:lineRule="exact"/>
        <w:rPr>
          <w:rFonts w:ascii="宋体" w:hAnsi="宋体" w:cs="宋体"/>
          <w:b/>
          <w:color w:val="auto"/>
          <w:sz w:val="22"/>
          <w:highlight w:val="none"/>
        </w:rPr>
      </w:pPr>
      <w:r>
        <w:rPr>
          <w:rFonts w:hint="eastAsia" w:ascii="宋体" w:hAnsi="宋体" w:cs="宋体"/>
          <w:b/>
          <w:color w:val="auto"/>
          <w:sz w:val="22"/>
          <w:highlight w:val="none"/>
        </w:rPr>
        <w:t>（四）、其他要求</w:t>
      </w:r>
    </w:p>
    <w:p>
      <w:pPr>
        <w:spacing w:line="360" w:lineRule="auto"/>
        <w:ind w:firstLine="480"/>
        <w:rPr>
          <w:rFonts w:ascii="宋体" w:hAnsi="宋体" w:cs="宋体"/>
          <w:bCs/>
          <w:color w:val="auto"/>
          <w:sz w:val="22"/>
          <w:highlight w:val="none"/>
        </w:rPr>
      </w:pPr>
      <w:r>
        <w:rPr>
          <w:rFonts w:hint="eastAsia" w:ascii="宋体" w:hAnsi="宋体" w:cs="宋体"/>
          <w:b/>
          <w:color w:val="auto"/>
          <w:sz w:val="22"/>
          <w:highlight w:val="none"/>
        </w:rPr>
        <w:t>1、▲投标供应商须具备独立采集水样能力，采集水样后，4小时内必须能将水样送达实验室，并及时完成对部分有时间限制检测指标的检测工作。投标供应商须提供承诺书及有效的保证措施（承诺内容须包括水样送达实验室承诺时间、完成部分对时间有限制检测指标的检测工作的承诺时间），合同期内采购人将严格按照承诺书中内容对中标供应商的检测能力进行监督，如采购人连续三次或累计五次发现中标供应商实际履约行为与承诺书</w:t>
      </w:r>
      <w:r>
        <w:rPr>
          <w:rFonts w:hint="eastAsia" w:ascii="宋体" w:hAnsi="宋体" w:cs="宋体"/>
          <w:bCs/>
          <w:color w:val="auto"/>
          <w:sz w:val="22"/>
          <w:highlight w:val="none"/>
        </w:rPr>
        <w:t>中承诺条款不符，采购人有权单方面终止合同。</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3、投标供应商项目负责人或项目技术顾问具有供水（给排水）行业的丰富经验，能够对监测中供水水质问题进行及时、有效的识别，并具有提出针对性整改建 议的能力、具有一定权威性。</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中标供应商负责取样和样品的检测工作，提供水质检测报告，中标供应商全权对实验结果负责，在委托中中标供应商如被查出数据造假或资质不足等问题，中标供应商需无条件提供另外有检测资质的机构采购人的检测项目重新检测并提供相应的检测报告和数据汇总。所有样品监测分析完成后需至少留样3天，采购人将不定期组织人员随机从留样中抽取一定数量的样品进行留样监测和实验室现场检查，对于达不到规范要求的采购人可以提前中止服务或者扣除一定的监测费。</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5、中标供应商按照检测频次制订取样时间和取样点表，并报采购人审核。</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6、中标供应商应做到水样留样，一旦发现所测指标异常，应立即留样检测。</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7、检测中一旦发现水质有异常，中标供应商应及时告知采购人。</w:t>
      </w:r>
    </w:p>
    <w:p>
      <w:pPr>
        <w:pStyle w:val="29"/>
        <w:adjustRightInd w:val="0"/>
        <w:snapToGrid w:val="0"/>
        <w:spacing w:before="0" w:line="400" w:lineRule="exact"/>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8、▲如需做突发事件应急水质抽检，中标供应商应在30分钟内响应，主城区范围2小时到达现场。如未在2小时内达到现场，按照每次1000元/次在服务费中进行扣除。</w:t>
      </w:r>
      <w:r>
        <w:rPr>
          <w:rFonts w:hint="eastAsia" w:ascii="宋体" w:hAnsi="宋体" w:cs="宋体"/>
          <w:b/>
          <w:bCs/>
          <w:color w:val="auto"/>
          <w:sz w:val="22"/>
          <w:szCs w:val="22"/>
          <w:highlight w:val="none"/>
        </w:rPr>
        <w:br w:type="textWrapping"/>
      </w:r>
      <w:r>
        <w:rPr>
          <w:rFonts w:hint="eastAsia" w:ascii="宋体" w:hAnsi="宋体" w:cs="宋体"/>
          <w:b/>
          <w:bCs/>
          <w:color w:val="auto"/>
          <w:sz w:val="22"/>
          <w:szCs w:val="22"/>
          <w:highlight w:val="none"/>
        </w:rPr>
        <w:t xml:space="preserve">    9、</w:t>
      </w:r>
      <w:r>
        <w:rPr>
          <w:rFonts w:hint="eastAsia" w:ascii="宋体" w:hAnsi="宋体" w:cs="宋体"/>
          <w:color w:val="auto"/>
          <w:sz w:val="22"/>
          <w:szCs w:val="22"/>
          <w:highlight w:val="none"/>
        </w:rPr>
        <w:t>责任追究</w:t>
      </w:r>
    </w:p>
    <w:p>
      <w:pPr>
        <w:pStyle w:val="29"/>
        <w:adjustRightInd w:val="0"/>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当上述工作任务未按时完成或质控要求中的任何一项达不到相关要求时，说明该批水样的监测数据存在可疑，采购人有权要求中标供应商24小时内对该批次样品进行重新监测，若重新监测结果还未满足质控要求，中标供应商需在2天内重新到现场采样监测，重新采样监测过程中产生的一切费用由中标供应商承担。若重新现场采样监测后，采购人的监测数据还是达不到质控要求，采购人有权单方面解除协议，并扣除该批样品的相关监测费用。</w:t>
      </w:r>
    </w:p>
    <w:p>
      <w:pPr>
        <w:spacing w:line="400" w:lineRule="exact"/>
        <w:ind w:firstLine="440" w:firstLineChars="200"/>
        <w:rPr>
          <w:rFonts w:ascii="宋体" w:hAnsi="宋体" w:cs="宋体"/>
          <w:color w:val="auto"/>
          <w:sz w:val="22"/>
          <w:highlight w:val="none"/>
        </w:rPr>
      </w:pPr>
      <w:r>
        <w:rPr>
          <w:rFonts w:hint="eastAsia" w:asciiTheme="minorEastAsia" w:hAnsiTheme="minorEastAsia" w:eastAsiaTheme="minorEastAsia" w:cstheme="minorEastAsia"/>
          <w:color w:val="auto"/>
          <w:sz w:val="22"/>
          <w:highlight w:val="none"/>
        </w:rPr>
        <w:t>10、在项目实施过程中（包括合同解除、终止后），中标供应商不可私自泄露采购人的检测项目、检测数据和现场采样情况。所有数据的版权属采购人所有，未经同意，中标供应商不得自行删除、复制、修改、转移数据，亦不得以任何形式向第三方提供；采购人提供的任何业务资料，中标供应商需认真保管、严格保密，并在使用完毕后及时归还</w:t>
      </w:r>
      <w:r>
        <w:rPr>
          <w:rFonts w:hint="eastAsia" w:ascii="宋体" w:hAnsi="宋体" w:cs="宋体"/>
          <w:color w:val="auto"/>
          <w:sz w:val="22"/>
          <w:highlight w:val="none"/>
        </w:rPr>
        <w:t>。</w:t>
      </w:r>
    </w:p>
    <w:p>
      <w:pPr>
        <w:pStyle w:val="29"/>
        <w:adjustRightInd w:val="0"/>
        <w:snapToGrid w:val="0"/>
        <w:spacing w:before="0" w:line="400" w:lineRule="exact"/>
        <w:ind w:firstLine="0" w:firstLineChars="0"/>
        <w:rPr>
          <w:rFonts w:ascii="宋体" w:hAnsi="宋体" w:cs="宋体"/>
          <w:b/>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b/>
          <w:color w:val="auto"/>
          <w:sz w:val="22"/>
          <w:szCs w:val="22"/>
          <w:highlight w:val="none"/>
        </w:rPr>
        <w:t>二、验收条件与其它服务</w:t>
      </w:r>
    </w:p>
    <w:p>
      <w:pPr>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1.其它服务</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当招标人管理范围内有举办重大活动时，投标供应商应具有饮用水安全保障的技术指导能力，能提供重点技术监管方案，具备应急检测设施设备，有应急检测队伍、现场应急处理技术专家。</w:t>
      </w:r>
    </w:p>
    <w:p>
      <w:pPr>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2. 验收条件</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采样、检测后所提交的报告，由采购单位进行验收，采购文件条款和投标文件承诺均作为甲方验收的依据。</w:t>
      </w:r>
    </w:p>
    <w:p>
      <w:pPr>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三、其它</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1、请投标供应商在投标文件中提供投入本项目所需的设备和交通工具。如项目实施过程中因缺少设备或服务导致无法检测，中标供应商须承诺自行解决。</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2、投标过程中，投标供应商应提供贰份有关投标在本项目完成后，对所有向甲方提供的采样、检测、报告出具承诺证明，证明一切数据和资料真实有效，并承担所有因此产生纠纷的一切责任。</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本项目实施过程中（包括采购过程），采购人可根据需要向中标供应商提供相关资料，中标供应商不得将资料的全部或者部分向任何第三方提供，否则，由此造成的一切后果由投标供应商承担。此条款不论投标供应商是否中标，均有效。</w:t>
      </w:r>
    </w:p>
    <w:p>
      <w:pPr>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4、取样具体位置由采购人在确定中标供应商后统一提供。</w:t>
      </w:r>
    </w:p>
    <w:p>
      <w:pPr>
        <w:snapToGrid w:val="0"/>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四、商务条款</w:t>
      </w:r>
    </w:p>
    <w:p>
      <w:pPr>
        <w:tabs>
          <w:tab w:val="left" w:pos="2352"/>
        </w:tabs>
        <w:snapToGrid w:val="0"/>
        <w:spacing w:line="400" w:lineRule="exact"/>
        <w:ind w:left="437" w:leftChars="208"/>
        <w:rPr>
          <w:rFonts w:ascii="宋体" w:hAnsi="宋体" w:cs="宋体"/>
          <w:b/>
          <w:bCs/>
          <w:color w:val="auto"/>
          <w:sz w:val="22"/>
          <w:highlight w:val="none"/>
        </w:rPr>
      </w:pPr>
      <w:r>
        <w:rPr>
          <w:rFonts w:hint="eastAsia" w:ascii="宋体" w:hAnsi="宋体" w:cs="宋体"/>
          <w:b/>
          <w:color w:val="auto"/>
          <w:sz w:val="22"/>
          <w:highlight w:val="none"/>
        </w:rPr>
        <w:t>（▲本部分要求均为实质性要求，任何负偏离都将作无效标处理）</w:t>
      </w:r>
      <w:r>
        <w:rPr>
          <w:rFonts w:hint="eastAsia" w:ascii="宋体" w:hAnsi="宋体" w:cs="宋体"/>
          <w:b/>
          <w:color w:val="auto"/>
          <w:sz w:val="22"/>
          <w:highlight w:val="none"/>
        </w:rPr>
        <w:br w:type="textWrapping"/>
      </w:r>
      <w:r>
        <w:rPr>
          <w:rFonts w:hint="eastAsia" w:ascii="宋体" w:hAnsi="宋体" w:cs="宋体"/>
          <w:b/>
          <w:bCs/>
          <w:color w:val="auto"/>
          <w:sz w:val="22"/>
          <w:highlight w:val="none"/>
        </w:rPr>
        <w:t>1.付款方式</w:t>
      </w:r>
    </w:p>
    <w:p>
      <w:pPr>
        <w:tabs>
          <w:tab w:val="left" w:pos="2352"/>
        </w:tabs>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（1）按季度支付：下个季度的第一个月15日前支付上季度服务费（在县财政拨款到位情况下，支付服务费用；若经费拨款延后，支付时间顺延）。按照中标实际检测项目水样单价*完成检测水样数量进行结算。</w:t>
      </w:r>
    </w:p>
    <w:p>
      <w:pPr>
        <w:tabs>
          <w:tab w:val="left" w:pos="2352"/>
        </w:tabs>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（2）合同期满后，成果资料报告均递交至采购人备案后，采购人向中标供应商支付剩余服务费。</w:t>
      </w:r>
    </w:p>
    <w:p>
      <w:pPr>
        <w:spacing w:line="40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注： 中标供应商在接到采购人通知后的7个工作日内将发票送达采购人</w:t>
      </w:r>
      <w:r>
        <w:rPr>
          <w:rFonts w:hint="eastAsia" w:ascii="宋体" w:hAnsi="宋体" w:cs="宋体"/>
          <w:color w:val="auto"/>
          <w:sz w:val="22"/>
          <w:highlight w:val="none"/>
        </w:rPr>
        <w:t>。</w:t>
      </w:r>
      <w:r>
        <w:rPr>
          <w:rFonts w:hint="eastAsia" w:ascii="宋体" w:hAnsi="宋体" w:cs="宋体"/>
          <w:color w:val="auto"/>
          <w:sz w:val="22"/>
          <w:highlight w:val="none"/>
        </w:rPr>
        <w:br w:type="textWrapping"/>
      </w:r>
      <w:r>
        <w:rPr>
          <w:rFonts w:hint="eastAsia" w:ascii="宋体" w:hAnsi="宋体" w:cs="宋体"/>
          <w:bCs/>
          <w:color w:val="auto"/>
          <w:sz w:val="22"/>
          <w:highlight w:val="none"/>
        </w:rPr>
        <w:t xml:space="preserve">    2.</w:t>
      </w:r>
      <w:r>
        <w:rPr>
          <w:rFonts w:hint="eastAsia" w:ascii="宋体" w:hAnsi="宋体" w:cs="宋体"/>
          <w:b/>
          <w:color w:val="auto"/>
          <w:sz w:val="22"/>
          <w:highlight w:val="none"/>
        </w:rPr>
        <w:t>服务期限</w:t>
      </w:r>
      <w:r>
        <w:rPr>
          <w:rFonts w:hint="eastAsia" w:ascii="宋体" w:hAnsi="宋体" w:cs="宋体"/>
          <w:bCs/>
          <w:color w:val="auto"/>
          <w:sz w:val="22"/>
          <w:highlight w:val="none"/>
        </w:rPr>
        <w:t>：自合同签订之日起一年，1年到期后，若中标供应商服务优良且在财政资金允许前提下，采购人可考虑续签合同，最多可续签2年，合同1年1签。</w:t>
      </w:r>
    </w:p>
    <w:p>
      <w:pPr>
        <w:spacing w:line="400" w:lineRule="exact"/>
        <w:ind w:firstLine="539" w:firstLineChars="245"/>
        <w:rPr>
          <w:rFonts w:ascii="宋体" w:hAnsi="宋体" w:cs="宋体"/>
          <w:bCs/>
          <w:color w:val="auto"/>
          <w:sz w:val="22"/>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rPr>
          <w:color w:val="auto"/>
          <w:highlight w:val="none"/>
        </w:rPr>
      </w:pPr>
    </w:p>
    <w:bookmarkEnd w:id="3"/>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4"/>
    </w:p>
    <w:p>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5" w:name="_Toc9317_WPSOffice_Level2"/>
      <w:r>
        <w:rPr>
          <w:rFonts w:hint="eastAsia" w:ascii="宋体" w:hAnsi="宋体" w:cs="宋体"/>
          <w:b/>
          <w:color w:val="auto"/>
          <w:sz w:val="22"/>
          <w:highlight w:val="none"/>
          <w:lang w:val="zh-CN"/>
        </w:rPr>
        <w:t>一、说明</w:t>
      </w:r>
      <w:bookmarkEnd w:id="5"/>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2.投标</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5.2投标供应商应对采购人在使用该服务时所涉及到的专利权负责，不损害采购人的利益。</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5.4投标供应商提供的服务中如使用其他公司的相关专利，应在标书中出示相关授权，如未出示但使用了其他公司的专利，导致供应商中标(成交)而引起相关诉讼，由投标供应商承担。</w:t>
      </w:r>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为采购项目提供整体设计、规范编制或者项目管理、监理、等服务的供应商，不得再参加该采购项目的其他采购活动。</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pPr>
        <w:tabs>
          <w:tab w:val="left" w:pos="1069"/>
          <w:tab w:val="left" w:pos="2352"/>
        </w:tabs>
        <w:autoSpaceDE w:val="0"/>
        <w:autoSpaceDN w:val="0"/>
        <w:adjustRightInd w:val="0"/>
        <w:spacing w:line="400" w:lineRule="atLeast"/>
        <w:ind w:firstLine="446" w:firstLineChars="200"/>
        <w:rPr>
          <w:rFonts w:ascii="宋体" w:hAnsi="宋体" w:cs="宋体"/>
          <w:b/>
          <w:bCs/>
          <w:color w:val="auto"/>
          <w:sz w:val="22"/>
          <w:highlight w:val="none"/>
          <w:lang w:val="zh-CN"/>
        </w:rPr>
      </w:pPr>
      <w:r>
        <w:rPr>
          <w:rFonts w:hint="eastAsia" w:ascii="宋体" w:hAnsi="宋体" w:cs="宋体"/>
          <w:color w:val="auto"/>
          <w:sz w:val="22"/>
          <w:highlight w:val="none"/>
        </w:rPr>
        <w:t>9</w:t>
      </w:r>
      <w:r>
        <w:rPr>
          <w:rFonts w:hint="eastAsia" w:ascii="宋体" w:hAnsi="宋体" w:cs="宋体"/>
          <w:color w:val="auto"/>
          <w:sz w:val="22"/>
          <w:highlight w:val="none"/>
          <w:lang w:val="zh-CN"/>
        </w:rPr>
        <w:t>.</w:t>
      </w:r>
      <w:r>
        <w:rPr>
          <w:rFonts w:hint="eastAsia" w:ascii="宋体" w:hAnsi="宋体" w:cs="宋体"/>
          <w:b/>
          <w:bCs/>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hAnsi="宋体" w:cs="宋体"/>
          <w:color w:val="auto"/>
          <w:sz w:val="22"/>
          <w:highlight w:val="none"/>
        </w:rPr>
        <w:t>10</w:t>
      </w:r>
      <w:r>
        <w:rPr>
          <w:rFonts w:hint="eastAsia" w:ascii="宋体" w:hAnsi="宋体" w:cs="宋体"/>
          <w:b/>
          <w:color w:val="auto"/>
          <w:sz w:val="22"/>
          <w:highlight w:val="none"/>
        </w:rPr>
        <w:t>.</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pPr>
        <w:pStyle w:val="9"/>
        <w:rPr>
          <w:color w:val="auto"/>
          <w:highlight w:val="none"/>
        </w:rPr>
      </w:pP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6"/>
    </w:p>
    <w:p>
      <w:pPr>
        <w:tabs>
          <w:tab w:val="left" w:pos="1069"/>
          <w:tab w:val="left" w:pos="2352"/>
        </w:tabs>
        <w:spacing w:line="400" w:lineRule="atLeast"/>
        <w:ind w:firstLine="446" w:firstLineChars="200"/>
        <w:rPr>
          <w:rFonts w:ascii="宋体" w:hAnsi="宋体" w:cs="宋体"/>
          <w:color w:val="auto"/>
          <w:sz w:val="22"/>
          <w:highlight w:val="none"/>
        </w:rPr>
      </w:pPr>
      <w:bookmarkStart w:id="7" w:name="_Toc24610_WPSOffice_Level3"/>
      <w:r>
        <w:rPr>
          <w:rFonts w:hint="eastAsia" w:ascii="宋体" w:hAnsi="宋体" w:cs="宋体"/>
          <w:color w:val="auto"/>
          <w:sz w:val="22"/>
          <w:highlight w:val="none"/>
          <w:lang w:val="zh-CN"/>
        </w:rPr>
        <w:t>1.竞争性磋商文件</w:t>
      </w:r>
      <w:bookmarkEnd w:id="7"/>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8" w:name="_Toc9317_WPSOffice_Level3"/>
      <w:r>
        <w:rPr>
          <w:rFonts w:hint="eastAsia" w:ascii="宋体" w:hAnsi="宋体" w:cs="宋体"/>
          <w:color w:val="auto"/>
          <w:sz w:val="22"/>
          <w:highlight w:val="none"/>
          <w:lang w:val="zh-CN"/>
        </w:rPr>
        <w:t>2.竞争性磋商文件的澄清</w:t>
      </w:r>
      <w:bookmarkEnd w:id="8"/>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9" w:name="_Toc6226_WPSOffice_Level3"/>
      <w:r>
        <w:rPr>
          <w:rFonts w:hint="eastAsia" w:ascii="宋体" w:hAnsi="宋体" w:cs="宋体"/>
          <w:color w:val="auto"/>
          <w:sz w:val="22"/>
          <w:highlight w:val="none"/>
          <w:lang w:val="zh-CN"/>
        </w:rPr>
        <w:t>3.竞争性磋商文件的修改</w:t>
      </w:r>
      <w:bookmarkEnd w:id="9"/>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0"/>
      <w:r>
        <w:rPr>
          <w:rFonts w:hint="eastAsia" w:ascii="宋体" w:hAnsi="宋体" w:cs="宋体"/>
          <w:b/>
          <w:color w:val="auto"/>
          <w:sz w:val="22"/>
          <w:highlight w:val="none"/>
          <w:lang w:val="zh-CN"/>
        </w:rPr>
        <w:t>投标（响应）文件</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1" w:name="_Toc132122410"/>
            <w:bookmarkStart w:id="12" w:name="_Toc132122113"/>
            <w:r>
              <w:rPr>
                <w:rFonts w:hint="eastAsia" w:ascii="宋体" w:hAnsi="宋体" w:cs="宋体"/>
                <w:color w:val="auto"/>
                <w:sz w:val="22"/>
                <w:highlight w:val="none"/>
                <w:lang w:val="zh-CN"/>
              </w:rPr>
              <w:t>序号</w:t>
            </w:r>
          </w:p>
        </w:tc>
        <w:tc>
          <w:tcPr>
            <w:tcW w:w="8736"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1"/>
      <w:bookmarkEnd w:id="12"/>
    </w:tbl>
    <w:p>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具有履行合同所必需的设备和专业技术能力的承诺函（附件三）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3"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符合中小企业要求应按要求提供以下证明材料：</w:t>
            </w:r>
          </w:p>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（1）中小企业：中小企业声明函（原件，加盖供应商公章，格式见附件1）</w:t>
            </w:r>
          </w:p>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（2）残疾人福利性单位：残疾人福利性单位声明函（原件，加盖供应商公章，格式见附件1）</w:t>
            </w:r>
          </w:p>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（3）监狱企业：提供由省级以上监狱管理局、戒毒管理局（含新疆生产建设兵团）出具的属于监狱企业的证明文件（原件）</w:t>
            </w:r>
          </w:p>
        </w:tc>
      </w:tr>
    </w:tbl>
    <w:p>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商务偏离表（附件九（一））、技术偏离表（附件九（二））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b/>
                <w:bCs/>
                <w:color w:val="auto"/>
                <w:sz w:val="22"/>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bl>
    <w:p>
      <w:pPr>
        <w:tabs>
          <w:tab w:val="left" w:pos="1069"/>
          <w:tab w:val="left" w:pos="2352"/>
        </w:tabs>
        <w:rPr>
          <w:rFonts w:ascii="宋体" w:hAnsi="宋体" w:cs="宋体"/>
          <w:color w:val="auto"/>
          <w:highlight w:val="none"/>
        </w:rPr>
      </w:pPr>
    </w:p>
    <w:p>
      <w:pPr>
        <w:tabs>
          <w:tab w:val="left" w:pos="1069"/>
          <w:tab w:val="left" w:pos="2352"/>
        </w:tabs>
        <w:rPr>
          <w:rFonts w:ascii="宋体" w:hAnsi="宋体" w:cs="宋体"/>
          <w:color w:val="auto"/>
          <w:highlight w:val="none"/>
        </w:rPr>
      </w:pP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3" w:name="_Toc132122115"/>
      <w:bookmarkStart w:id="14" w:name="_Toc132122412"/>
      <w:r>
        <w:rPr>
          <w:rFonts w:hint="eastAsia" w:ascii="宋体" w:hAnsi="宋体" w:cs="宋体"/>
          <w:color w:val="auto"/>
          <w:sz w:val="22"/>
          <w:highlight w:val="none"/>
        </w:rPr>
        <w:t>4.投标报价</w:t>
      </w:r>
      <w:bookmarkEnd w:id="13"/>
      <w:bookmarkEnd w:id="14"/>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15" w:name="_Toc132122117"/>
      <w:bookmarkStart w:id="16" w:name="_Toc132122414"/>
      <w:r>
        <w:rPr>
          <w:rFonts w:hint="eastAsia" w:ascii="宋体" w:hAnsi="宋体" w:cs="宋体"/>
          <w:color w:val="auto"/>
          <w:sz w:val="22"/>
          <w:highlight w:val="none"/>
        </w:rPr>
        <w:t>6.投标（响应）文件的有效期</w:t>
      </w:r>
      <w:bookmarkEnd w:id="15"/>
      <w:bookmarkEnd w:id="16"/>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pPr>
        <w:pStyle w:val="27"/>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7" w:name="_Toc132125038"/>
      <w:bookmarkStart w:id="18" w:name="_Toc132122417"/>
      <w:bookmarkStart w:id="19" w:name="_Toc132125152"/>
      <w:bookmarkStart w:id="20" w:name="_Toc132123882"/>
      <w:bookmarkStart w:id="21" w:name="_Toc132123548"/>
      <w:bookmarkStart w:id="22" w:name="_Toc132123440"/>
      <w:bookmarkStart w:id="23" w:name="_Toc132125984"/>
      <w:bookmarkStart w:id="24" w:name="_Toc132126155"/>
      <w:bookmarkStart w:id="25" w:name="_Toc132123635"/>
      <w:bookmarkStart w:id="26" w:name="_Toc132655777"/>
      <w:bookmarkStart w:id="27" w:name="_Toc132125096"/>
      <w:bookmarkStart w:id="28" w:name="_Toc132125575"/>
      <w:bookmarkStart w:id="29" w:name="_Toc132124595"/>
      <w:bookmarkStart w:id="30" w:name="_Toc132123839"/>
      <w:bookmarkStart w:id="31" w:name="_Toc132122120"/>
      <w:r>
        <w:rPr>
          <w:rFonts w:hint="eastAsia" w:hAnsi="宋体" w:cs="宋体"/>
          <w:b/>
          <w:bCs/>
          <w:color w:val="auto"/>
          <w:sz w:val="22"/>
          <w:highlight w:val="none"/>
        </w:rPr>
        <w:t>四、</w:t>
      </w:r>
      <w:r>
        <w:rPr>
          <w:rFonts w:hint="eastAsia" w:hAnsi="宋体" w:cs="宋体"/>
          <w:b/>
          <w:bCs/>
          <w:color w:val="auto"/>
          <w:sz w:val="22"/>
          <w:szCs w:val="22"/>
          <w:highlight w:val="none"/>
        </w:rPr>
        <w:t>投标文件</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pPr>
        <w:pStyle w:val="27"/>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pPr>
        <w:pStyle w:val="9"/>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9"/>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2" w:name="_Toc15003_WPSOffice_Level2"/>
      <w:bookmarkStart w:id="33" w:name="_Toc493530207"/>
      <w:r>
        <w:rPr>
          <w:rFonts w:hint="eastAsia" w:hAnsi="宋体" w:cs="宋体"/>
          <w:b/>
          <w:bCs/>
          <w:color w:val="auto"/>
          <w:sz w:val="22"/>
          <w:highlight w:val="none"/>
        </w:rPr>
        <w:t>五、开标和评标</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9"/>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pPr>
        <w:pStyle w:val="28"/>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pPr>
        <w:pStyle w:val="9"/>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9"/>
        <w:tabs>
          <w:tab w:val="left" w:pos="1069"/>
          <w:tab w:val="left" w:pos="2352"/>
        </w:tabs>
        <w:adjustRightInd w:val="0"/>
        <w:spacing w:line="400" w:lineRule="exact"/>
        <w:ind w:firstLine="446" w:firstLineChars="200"/>
        <w:rPr>
          <w:rFonts w:hAnsi="宋体" w:cs="宋体"/>
          <w:b/>
          <w:bCs/>
          <w:color w:val="auto"/>
          <w:sz w:val="22"/>
          <w:szCs w:val="22"/>
          <w:highlight w:val="none"/>
        </w:rPr>
      </w:pPr>
    </w:p>
    <w:p>
      <w:pPr>
        <w:pStyle w:val="9"/>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pPr>
        <w:pStyle w:val="9"/>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pPr>
        <w:tabs>
          <w:tab w:val="left" w:pos="1069"/>
          <w:tab w:val="left" w:pos="2352"/>
        </w:tabs>
        <w:spacing w:line="400" w:lineRule="exact"/>
        <w:ind w:firstLine="436" w:firstLineChars="196"/>
        <w:rPr>
          <w:rFonts w:ascii="宋体" w:hAnsi="宋体" w:cs="宋体"/>
          <w:color w:val="auto"/>
          <w:sz w:val="22"/>
          <w:highlight w:val="none"/>
        </w:rPr>
      </w:pPr>
      <w:bookmarkStart w:id="34" w:name="_Toc2500_WPSOffice_Level3"/>
      <w:r>
        <w:rPr>
          <w:rFonts w:hint="eastAsia" w:ascii="宋体" w:hAnsi="宋体" w:cs="宋体"/>
          <w:color w:val="auto"/>
          <w:sz w:val="22"/>
          <w:highlight w:val="none"/>
        </w:rPr>
        <w:t>1）审查投标（响应）文件是否符合竞争性磋商文件要求，并作出评价；</w:t>
      </w:r>
      <w:bookmarkEnd w:id="34"/>
    </w:p>
    <w:p>
      <w:pPr>
        <w:tabs>
          <w:tab w:val="left" w:pos="1069"/>
          <w:tab w:val="left" w:pos="2352"/>
        </w:tabs>
        <w:spacing w:line="400" w:lineRule="exact"/>
        <w:ind w:firstLine="446" w:firstLineChars="200"/>
        <w:rPr>
          <w:rFonts w:ascii="宋体" w:hAnsi="宋体" w:cs="宋体"/>
          <w:color w:val="auto"/>
          <w:sz w:val="22"/>
          <w:highlight w:val="none"/>
        </w:rPr>
      </w:pPr>
      <w:bookmarkStart w:id="35" w:name="_Toc20806_WPSOffice_Level3"/>
      <w:r>
        <w:rPr>
          <w:rFonts w:hint="eastAsia" w:ascii="宋体" w:hAnsi="宋体" w:cs="宋体"/>
          <w:color w:val="auto"/>
          <w:sz w:val="22"/>
          <w:highlight w:val="none"/>
        </w:rPr>
        <w:t>2）要求供应商对投标（响应）文件有关事项作出解释或者澄清；</w:t>
      </w:r>
      <w:bookmarkEnd w:id="35"/>
    </w:p>
    <w:p>
      <w:pPr>
        <w:tabs>
          <w:tab w:val="left" w:pos="1069"/>
          <w:tab w:val="left" w:pos="2352"/>
        </w:tabs>
        <w:spacing w:line="400" w:lineRule="exact"/>
        <w:ind w:firstLine="446" w:firstLineChars="200"/>
        <w:rPr>
          <w:rFonts w:ascii="宋体" w:hAnsi="宋体" w:cs="宋体"/>
          <w:color w:val="auto"/>
          <w:sz w:val="22"/>
          <w:highlight w:val="none"/>
        </w:rPr>
      </w:pPr>
      <w:bookmarkStart w:id="36" w:name="_Toc12689_WPSOffice_Level3"/>
      <w:r>
        <w:rPr>
          <w:rFonts w:hint="eastAsia" w:ascii="宋体" w:hAnsi="宋体" w:cs="宋体"/>
          <w:color w:val="auto"/>
          <w:sz w:val="22"/>
          <w:highlight w:val="none"/>
        </w:rPr>
        <w:t>3）按照竞争性磋商文件确定的评标办法直接确定中标（成交）供应商；</w:t>
      </w:r>
      <w:bookmarkEnd w:id="36"/>
    </w:p>
    <w:p>
      <w:pPr>
        <w:pStyle w:val="9"/>
        <w:tabs>
          <w:tab w:val="left" w:pos="1069"/>
          <w:tab w:val="left" w:pos="2352"/>
        </w:tabs>
        <w:adjustRightInd w:val="0"/>
        <w:spacing w:line="400" w:lineRule="exact"/>
        <w:ind w:firstLine="436" w:firstLineChars="196"/>
        <w:rPr>
          <w:rFonts w:hAnsi="宋体" w:cs="宋体"/>
          <w:b/>
          <w:bCs/>
          <w:color w:val="auto"/>
          <w:sz w:val="22"/>
          <w:highlight w:val="none"/>
        </w:rPr>
      </w:pPr>
      <w:bookmarkStart w:id="37" w:name="_Toc20017_WPSOffice_Level3"/>
      <w:r>
        <w:rPr>
          <w:rFonts w:hint="eastAsia" w:hAnsi="宋体" w:cs="宋体"/>
          <w:color w:val="auto"/>
          <w:sz w:val="22"/>
          <w:highlight w:val="none"/>
        </w:rPr>
        <w:t>4）向采购人或者有关部门报告非法干预评标工作的行为。</w:t>
      </w:r>
      <w:bookmarkEnd w:id="37"/>
    </w:p>
    <w:p>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pPr>
        <w:pStyle w:val="9"/>
        <w:tabs>
          <w:tab w:val="left" w:pos="1069"/>
          <w:tab w:val="left" w:pos="2352"/>
        </w:tabs>
        <w:adjustRightInd w:val="0"/>
        <w:spacing w:line="380" w:lineRule="exact"/>
        <w:ind w:firstLine="446" w:firstLineChars="200"/>
        <w:rPr>
          <w:rFonts w:hint="eastAsia" w:hAnsi="宋体" w:cs="宋体"/>
          <w:b/>
          <w:bCs/>
          <w:color w:val="auto"/>
          <w:sz w:val="22"/>
          <w:highlight w:val="none"/>
        </w:rPr>
      </w:pPr>
      <w:r>
        <w:rPr>
          <w:rFonts w:hint="eastAsia" w:hAnsi="宋体" w:cs="宋体"/>
          <w:b/>
          <w:bCs/>
          <w:color w:val="auto"/>
          <w:sz w:val="22"/>
          <w:highlight w:val="none"/>
        </w:rPr>
        <w:t>2.9如本项目投标截止时，投标供应商不足三家的不予开标，如在采购过程中符合要求的供应商只有2家的，，根据评审小组意见，可以流标；也可以按财政部《关于政府采购竞争性磋商采购方式管理暂行办法有关问题的补充通知【财库〔2015〕124号】》文件规定执行。</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3.投标（响应）文件的澄清</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pPr>
        <w:pStyle w:val="9"/>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pPr>
        <w:pStyle w:val="9"/>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5.评标原则</w:t>
      </w:r>
    </w:p>
    <w:p>
      <w:pPr>
        <w:pStyle w:val="9"/>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pPr>
        <w:pStyle w:val="9"/>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8" w:name="_Toc132126156"/>
      <w:bookmarkStart w:id="39" w:name="_Toc132123549"/>
      <w:bookmarkStart w:id="40" w:name="_Toc132125153"/>
      <w:bookmarkStart w:id="41" w:name="_Toc132125576"/>
      <w:bookmarkStart w:id="42" w:name="_Toc493530208"/>
      <w:bookmarkStart w:id="43" w:name="_Toc132125097"/>
      <w:bookmarkStart w:id="44" w:name="_Toc132655778"/>
      <w:bookmarkStart w:id="45" w:name="_Toc132124596"/>
      <w:bookmarkStart w:id="46" w:name="_Toc24884_WPSOffice_Level2"/>
      <w:bookmarkStart w:id="47" w:name="_Toc132125985"/>
      <w:bookmarkStart w:id="48" w:name="_Toc132125039"/>
      <w:bookmarkStart w:id="49" w:name="_Toc132122418"/>
      <w:bookmarkStart w:id="50" w:name="_Toc132122121"/>
      <w:bookmarkStart w:id="51" w:name="_Toc132123636"/>
      <w:bookmarkStart w:id="52" w:name="_Toc132123441"/>
      <w:bookmarkStart w:id="53" w:name="_Toc132123883"/>
      <w:bookmarkStart w:id="54" w:name="_Toc132123840"/>
      <w:r>
        <w:rPr>
          <w:rFonts w:hint="eastAsia" w:hAnsi="宋体" w:cs="宋体"/>
          <w:b/>
          <w:bCs/>
          <w:color w:val="auto"/>
          <w:sz w:val="22"/>
          <w:highlight w:val="none"/>
        </w:rPr>
        <w:t>六、授予合同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5" w:name="_Toc23038_WPSOffice_Level3"/>
      <w:r>
        <w:rPr>
          <w:rFonts w:hint="eastAsia" w:hAnsi="宋体" w:cs="宋体"/>
          <w:color w:val="auto"/>
          <w:sz w:val="22"/>
          <w:highlight w:val="none"/>
        </w:rPr>
        <w:t>1.决标</w:t>
      </w:r>
      <w:bookmarkEnd w:id="55"/>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6" w:name="_Toc764_WPSOffice_Level3"/>
      <w:r>
        <w:rPr>
          <w:rFonts w:hint="eastAsia" w:hAnsi="宋体" w:cs="宋体"/>
          <w:color w:val="auto"/>
          <w:sz w:val="22"/>
          <w:highlight w:val="none"/>
        </w:rPr>
        <w:t>2.</w:t>
      </w:r>
      <w:bookmarkEnd w:id="56"/>
      <w:r>
        <w:rPr>
          <w:rFonts w:hint="eastAsia" w:hAnsi="宋体" w:cs="宋体"/>
          <w:color w:val="auto"/>
          <w:sz w:val="22"/>
          <w:highlight w:val="none"/>
        </w:rPr>
        <w:t>中标（成交）通知书</w:t>
      </w:r>
    </w:p>
    <w:p>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7" w:name="_Toc3709_WPSOffice_Level3"/>
      <w:r>
        <w:rPr>
          <w:rFonts w:hint="eastAsia" w:hAnsi="宋体" w:cs="宋体"/>
          <w:color w:val="auto"/>
          <w:sz w:val="22"/>
          <w:highlight w:val="none"/>
        </w:rPr>
        <w:t>4.签订合同</w:t>
      </w:r>
      <w:bookmarkEnd w:id="57"/>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9"/>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8" w:name="_Toc21884_WPSOffice_Level3"/>
      <w:r>
        <w:rPr>
          <w:rFonts w:hint="eastAsia" w:hAnsi="宋体" w:cs="宋体"/>
          <w:color w:val="auto"/>
          <w:sz w:val="22"/>
          <w:highlight w:val="none"/>
        </w:rPr>
        <w:t>5.</w:t>
      </w:r>
      <w:bookmarkEnd w:id="58"/>
      <w:r>
        <w:rPr>
          <w:rFonts w:hint="eastAsia" w:hAnsi="宋体" w:cs="宋体"/>
          <w:color w:val="auto"/>
          <w:sz w:val="22"/>
          <w:highlight w:val="none"/>
        </w:rPr>
        <w:t>履约保证金</w:t>
      </w:r>
    </w:p>
    <w:p>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hAnsi="宋体" w:cs="宋体"/>
          <w:color w:val="auto"/>
          <w:sz w:val="22"/>
          <w:highlight w:val="none"/>
          <w:lang w:val="zh-CN"/>
        </w:rPr>
        <w:t>无</w:t>
      </w:r>
    </w:p>
    <w:p>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中标（成交）供应商在领取中标（成交）通知书同时向代理机构支付招标代理服务费</w:t>
      </w:r>
      <w:r>
        <w:rPr>
          <w:rFonts w:hint="eastAsia" w:hAnsi="宋体" w:cs="仿宋_GB2312"/>
          <w:b/>
          <w:bCs/>
          <w:color w:val="auto"/>
          <w:sz w:val="22"/>
          <w:highlight w:val="none"/>
          <w:u w:val="single"/>
          <w:lang w:val="en-US" w:eastAsia="zh-CN"/>
        </w:rPr>
        <w:t>柒仟</w:t>
      </w:r>
      <w:r>
        <w:rPr>
          <w:rFonts w:hint="eastAsia" w:ascii="宋体" w:hAnsi="宋体" w:cs="宋体"/>
          <w:color w:val="auto"/>
          <w:sz w:val="22"/>
          <w:highlight w:val="none"/>
        </w:rPr>
        <w:t>元。</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招标代理费汇入以下帐号：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开户银行：浙江泰顺农村商业银行股份有限公司关山支行城南分理处</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开户名称：泰顺华旗技术服务  有限公司</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highlight w:val="none"/>
        </w:rPr>
      </w:pPr>
      <w:r>
        <w:rPr>
          <w:rFonts w:hint="eastAsia" w:ascii="宋体" w:hAnsi="宋体" w:cs="宋体"/>
          <w:color w:val="auto"/>
          <w:sz w:val="22"/>
          <w:highlight w:val="none"/>
        </w:rPr>
        <w:t>开户帐号：201000248530910</w:t>
      </w:r>
    </w:p>
    <w:p>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pPr>
        <w:pStyle w:val="29"/>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29"/>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29"/>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pPr>
        <w:pStyle w:val="9"/>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9"/>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pPr>
        <w:pStyle w:val="9"/>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29"/>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9"/>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2"/>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            投诉书范本：</w:t>
      </w:r>
    </w:p>
    <w:p>
      <w:pPr>
        <w:pStyle w:val="2"/>
        <w:tabs>
          <w:tab w:val="left" w:pos="1069"/>
          <w:tab w:val="left" w:pos="2352"/>
        </w:tabs>
        <w:ind w:left="856" w:hanging="428"/>
        <w:rPr>
          <w:rFonts w:ascii="宋体" w:hAnsi="宋体"/>
          <w:color w:val="auto"/>
          <w:highlight w:val="none"/>
        </w:rPr>
      </w:pPr>
      <w:r>
        <w:rPr>
          <w:rFonts w:hint="eastAsia" w:ascii="宋体" w:hAnsi="宋体"/>
          <w:color w:val="auto"/>
          <w:highlight w:val="none"/>
        </w:rPr>
        <w:drawing>
          <wp:inline distT="0" distB="0" distL="114300" distR="114300">
            <wp:extent cx="922020" cy="826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922020" cy="826770"/>
                    </a:xfrm>
                    <a:prstGeom prst="rect">
                      <a:avLst/>
                    </a:prstGeom>
                    <a:noFill/>
                    <a:ln>
                      <a:noFill/>
                    </a:ln>
                  </pic:spPr>
                </pic:pic>
              </a:graphicData>
            </a:graphic>
          </wp:inline>
        </w:drawing>
      </w:r>
    </w:p>
    <w:p>
      <w:pPr>
        <w:tabs>
          <w:tab w:val="left" w:pos="1069"/>
          <w:tab w:val="left" w:pos="2352"/>
        </w:tabs>
        <w:jc w:val="center"/>
        <w:rPr>
          <w:rFonts w:ascii="宋体" w:hAnsi="宋体" w:cs="宋体"/>
          <w:b/>
          <w:bCs/>
          <w:color w:val="auto"/>
          <w:sz w:val="32"/>
          <w:szCs w:val="32"/>
          <w:highlight w:val="none"/>
          <w:lang w:val="zh-CN"/>
        </w:rPr>
      </w:pPr>
      <w:bookmarkStart w:id="59" w:name="_Toc29876_WPSOffice_Level1"/>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pPr>
        <w:tabs>
          <w:tab w:val="left" w:pos="1069"/>
          <w:tab w:val="left" w:pos="2352"/>
        </w:tabs>
        <w:jc w:val="left"/>
        <w:rPr>
          <w:rFonts w:ascii="宋体"/>
          <w:b/>
          <w:bCs/>
          <w:color w:val="auto"/>
          <w:sz w:val="22"/>
          <w:highlight w:val="none"/>
        </w:rPr>
      </w:pPr>
      <w:bookmarkStart w:id="60" w:name="_Toc25899_WPSOffice_Level2"/>
      <w:bookmarkStart w:id="61" w:name="_Toc10483_WPSOffice_Level2"/>
      <w:r>
        <w:rPr>
          <w:rFonts w:hint="eastAsia" w:ascii="宋体"/>
          <w:b/>
          <w:bCs/>
          <w:color w:val="auto"/>
          <w:sz w:val="22"/>
          <w:highlight w:val="none"/>
        </w:rPr>
        <w:t>一、</w:t>
      </w:r>
      <w:bookmarkEnd w:id="60"/>
      <w:r>
        <w:rPr>
          <w:rFonts w:hint="eastAsia" w:ascii="宋体"/>
          <w:b/>
          <w:bCs/>
          <w:color w:val="auto"/>
          <w:sz w:val="22"/>
          <w:highlight w:val="none"/>
        </w:rPr>
        <w:t>面向中小企业采购</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（4）财政部、司法部《关于政府采购支持监狱企业发展有关问题的通知》（财库〔2014〕68号）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r>
        <w:rPr>
          <w:rFonts w:hint="eastAsia" w:ascii="宋体"/>
          <w:color w:val="auto"/>
          <w:sz w:val="22"/>
          <w:highlight w:val="none"/>
        </w:rPr>
        <w:br w:type="textWrapping"/>
      </w: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w:t>
      </w:r>
      <w:r>
        <w:rPr>
          <w:rFonts w:hint="eastAsia" w:hAnsi="宋体" w:cs="宋体"/>
          <w:color w:val="auto"/>
          <w:sz w:val="22"/>
          <w:highlight w:val="none"/>
          <w:lang w:val="en-US" w:eastAsia="zh-CN"/>
        </w:rPr>
        <w:t>3</w:t>
      </w:r>
      <w:r>
        <w:rPr>
          <w:rFonts w:hint="eastAsia" w:hAnsi="宋体" w:cs="宋体"/>
          <w:color w:val="auto"/>
          <w:sz w:val="22"/>
          <w:highlight w:val="none"/>
        </w:rPr>
        <w:t>号）</w:t>
      </w:r>
      <w:r>
        <w:rPr>
          <w:rFonts w:hint="eastAsia" w:hAnsi="宋体" w:cs="宋体"/>
          <w:color w:val="auto"/>
          <w:sz w:val="22"/>
          <w:highlight w:val="none"/>
        </w:rPr>
        <w:br w:type="textWrapping"/>
      </w:r>
      <w:r>
        <w:rPr>
          <w:rFonts w:hint="eastAsia" w:hAnsi="宋体" w:cs="宋体"/>
          <w:color w:val="auto"/>
          <w:sz w:val="22"/>
          <w:highlight w:val="none"/>
          <w:lang w:eastAsia="zh-CN"/>
        </w:rPr>
        <w:t>（</w:t>
      </w:r>
      <w:r>
        <w:rPr>
          <w:rFonts w:hint="eastAsia" w:hAnsi="宋体" w:cs="宋体"/>
          <w:color w:val="auto"/>
          <w:sz w:val="22"/>
          <w:highlight w:val="none"/>
          <w:lang w:val="en-US" w:eastAsia="zh-CN"/>
        </w:rPr>
        <w:t>7</w:t>
      </w:r>
      <w:r>
        <w:rPr>
          <w:rFonts w:hint="eastAsia" w:hAnsi="宋体" w:cs="宋体"/>
          <w:color w:val="auto"/>
          <w:sz w:val="22"/>
          <w:highlight w:val="none"/>
          <w:lang w:eastAsia="zh-CN"/>
        </w:rPr>
        <w:t>）</w:t>
      </w:r>
      <w:r>
        <w:rPr>
          <w:rFonts w:hint="eastAsia" w:hAnsi="宋体" w:cs="宋体"/>
          <w:color w:val="auto"/>
          <w:sz w:val="22"/>
          <w:highlight w:val="none"/>
        </w:rPr>
        <w:t>《关于进一步加大政府采购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w:t>
      </w:r>
      <w:r>
        <w:rPr>
          <w:rFonts w:hint="eastAsia" w:ascii="宋体"/>
          <w:b/>
          <w:bCs/>
          <w:color w:val="auto"/>
          <w:sz w:val="22"/>
          <w:highlight w:val="none"/>
          <w:u w:val="single"/>
          <w:lang w:val="en-US" w:eastAsia="zh-CN"/>
        </w:rPr>
        <w:t>专门面向中小企业采购</w:t>
      </w:r>
      <w:r>
        <w:rPr>
          <w:rFonts w:hint="eastAsia" w:ascii="宋体"/>
          <w:b/>
          <w:bCs/>
          <w:color w:val="auto"/>
          <w:sz w:val="22"/>
          <w:highlight w:val="none"/>
          <w:u w:val="single"/>
          <w:lang w:eastAsia="zh-CN"/>
        </w:rPr>
        <w:t>，</w:t>
      </w:r>
      <w:r>
        <w:rPr>
          <w:rFonts w:hint="eastAsia" w:ascii="宋体"/>
          <w:color w:val="auto"/>
          <w:sz w:val="22"/>
          <w:highlight w:val="none"/>
        </w:rPr>
        <w:t>符合要求应的应提供以下证明材料（</w:t>
      </w:r>
      <w:r>
        <w:rPr>
          <w:rFonts w:hint="eastAsia" w:ascii="宋体"/>
          <w:b/>
          <w:bCs/>
          <w:color w:val="auto"/>
          <w:sz w:val="22"/>
          <w:highlight w:val="none"/>
          <w:u w:val="single"/>
        </w:rPr>
        <w:t>附在《商务技术文件》中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pPr>
        <w:tabs>
          <w:tab w:val="left" w:pos="2352"/>
        </w:tabs>
        <w:spacing w:line="440" w:lineRule="atLeast"/>
        <w:jc w:val="left"/>
        <w:rPr>
          <w:rFonts w:ascii="宋体"/>
          <w:color w:val="auto"/>
          <w:sz w:val="22"/>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pPr>
        <w:tabs>
          <w:tab w:val="left" w:pos="2352"/>
        </w:tabs>
        <w:snapToGrid w:val="0"/>
        <w:spacing w:line="360" w:lineRule="auto"/>
        <w:jc w:val="center"/>
        <w:rPr>
          <w:rFonts w:hint="eastAsia"/>
          <w:b/>
          <w:color w:val="auto"/>
          <w:sz w:val="28"/>
          <w:szCs w:val="28"/>
          <w:highlight w:val="none"/>
          <w:lang w:eastAsia="zh-CN"/>
        </w:rPr>
      </w:pPr>
      <w:r>
        <w:rPr>
          <w:rFonts w:hint="eastAsia"/>
          <w:b/>
          <w:color w:val="auto"/>
          <w:sz w:val="28"/>
          <w:szCs w:val="28"/>
          <w:highlight w:val="none"/>
        </w:rPr>
        <w:t>中小企业声明函</w:t>
      </w:r>
      <w:r>
        <w:rPr>
          <w:rFonts w:hint="eastAsia"/>
          <w:b/>
          <w:color w:val="auto"/>
          <w:sz w:val="28"/>
          <w:szCs w:val="28"/>
          <w:highlight w:val="none"/>
          <w:lang w:eastAsia="zh-CN"/>
        </w:rPr>
        <w:t>（</w:t>
      </w:r>
      <w:r>
        <w:rPr>
          <w:rFonts w:hint="eastAsia"/>
          <w:b/>
          <w:color w:val="auto"/>
          <w:sz w:val="28"/>
          <w:szCs w:val="28"/>
          <w:highlight w:val="none"/>
          <w:lang w:val="en-US" w:eastAsia="zh-CN"/>
        </w:rPr>
        <w:t>服务</w:t>
      </w:r>
      <w:r>
        <w:rPr>
          <w:rFonts w:hint="eastAsia"/>
          <w:b/>
          <w:color w:val="auto"/>
          <w:sz w:val="28"/>
          <w:szCs w:val="28"/>
          <w:highlight w:val="none"/>
          <w:lang w:eastAsia="zh-CN"/>
        </w:rPr>
        <w:t>）</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7"/>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hint="eastAsia" w:ascii="宋体" w:hAnsi="宋体" w:cs="宋体"/>
          <w:b/>
          <w:bCs/>
          <w:color w:val="auto"/>
          <w:sz w:val="22"/>
          <w:highlight w:val="none"/>
        </w:rPr>
        <w:t>（</w:t>
      </w:r>
      <w:r>
        <w:rPr>
          <w:rFonts w:hint="eastAsia" w:ascii="宋体" w:hAnsi="宋体" w:cs="宋体"/>
          <w:b/>
          <w:bCs/>
          <w:color w:val="auto"/>
          <w:sz w:val="22"/>
          <w:highlight w:val="none"/>
          <w:u w:val="single"/>
        </w:rPr>
        <w:t>其他未列明行业</w:t>
      </w:r>
      <w:r>
        <w:rPr>
          <w:rFonts w:hint="eastAsia" w:ascii="宋体" w:hAnsi="宋体" w:cs="宋体"/>
          <w:b/>
          <w:bCs/>
          <w:color w:val="auto"/>
          <w:sz w:val="22"/>
          <w:highlight w:val="none"/>
        </w:rPr>
        <w:t>）</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pPr>
        <w:tabs>
          <w:tab w:val="left" w:pos="2352"/>
        </w:tabs>
        <w:snapToGrid w:val="0"/>
        <w:spacing w:line="360" w:lineRule="auto"/>
        <w:ind w:firstLine="446" w:firstLineChars="200"/>
        <w:rPr>
          <w:color w:val="auto"/>
          <w:sz w:val="22"/>
          <w:highlight w:val="none"/>
        </w:rPr>
      </w:pPr>
    </w:p>
    <w:p>
      <w:pPr>
        <w:tabs>
          <w:tab w:val="left" w:pos="2352"/>
        </w:tabs>
        <w:snapToGrid w:val="0"/>
        <w:spacing w:line="360" w:lineRule="auto"/>
        <w:ind w:firstLine="446" w:firstLineChars="200"/>
        <w:rPr>
          <w:color w:val="auto"/>
          <w:sz w:val="22"/>
          <w:highlight w:val="none"/>
        </w:rPr>
      </w:pP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pPr>
        <w:pStyle w:val="16"/>
        <w:tabs>
          <w:tab w:val="left" w:pos="2352"/>
        </w:tabs>
        <w:ind w:left="0"/>
        <w:rPr>
          <w:color w:val="auto"/>
          <w:highlight w:val="none"/>
        </w:rPr>
      </w:pPr>
    </w:p>
    <w:bookmarkEnd w:id="61"/>
    <w:p>
      <w:pPr>
        <w:pStyle w:val="7"/>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pPr>
              <w:pStyle w:val="31"/>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30"/>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pPr>
              <w:tabs>
                <w:tab w:val="left" w:pos="1069"/>
                <w:tab w:val="left" w:pos="2352"/>
              </w:tabs>
              <w:jc w:val="left"/>
              <w:rPr>
                <w:rFonts w:ascii="宋体" w:hAnsi="宋体" w:cs="宋体"/>
                <w:color w:val="auto"/>
                <w:sz w:val="22"/>
                <w:highlight w:val="none"/>
              </w:rPr>
            </w:pPr>
          </w:p>
        </w:tc>
      </w:tr>
    </w:tbl>
    <w:p>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pPr>
              <w:pStyle w:val="31"/>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pPr>
              <w:tabs>
                <w:tab w:val="left" w:pos="1069"/>
                <w:tab w:val="left" w:pos="2352"/>
              </w:tabs>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pPr>
              <w:pStyle w:val="31"/>
              <w:tabs>
                <w:tab w:val="left" w:pos="1069"/>
                <w:tab w:val="left" w:pos="2352"/>
              </w:tabs>
              <w:spacing w:line="360" w:lineRule="auto"/>
              <w:ind w:firstLine="0" w:firstLineChars="0"/>
              <w:rPr>
                <w:rFonts w:ascii="宋体" w:hAnsi="宋体" w:eastAsia="宋体" w:cs="宋体"/>
                <w:color w:val="auto"/>
                <w:kern w:val="0"/>
                <w:sz w:val="22"/>
                <w:highlight w:val="none"/>
              </w:rPr>
            </w:pPr>
          </w:p>
        </w:tc>
      </w:tr>
    </w:tbl>
    <w:p>
      <w:pPr>
        <w:tabs>
          <w:tab w:val="left" w:pos="1069"/>
          <w:tab w:val="left" w:pos="2352"/>
        </w:tabs>
        <w:rPr>
          <w:rFonts w:ascii="宋体" w:hAnsi="宋体" w:cs="宋体"/>
          <w:color w:val="auto"/>
          <w:sz w:val="22"/>
          <w:highlight w:val="none"/>
        </w:rPr>
      </w:pP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pPr>
        <w:pStyle w:val="19"/>
        <w:tabs>
          <w:tab w:val="left" w:pos="1069"/>
          <w:tab w:val="left" w:pos="2352"/>
        </w:tabs>
        <w:rPr>
          <w:rFonts w:ascii="宋体" w:hAnsi="宋体" w:cs="宋体"/>
          <w:b/>
          <w:color w:val="auto"/>
          <w:sz w:val="32"/>
          <w:szCs w:val="32"/>
          <w:highlight w:val="none"/>
        </w:rPr>
      </w:pPr>
    </w:p>
    <w:p>
      <w:pPr>
        <w:pStyle w:val="19"/>
        <w:tabs>
          <w:tab w:val="left" w:pos="1069"/>
          <w:tab w:val="left" w:pos="2352"/>
        </w:tabs>
        <w:rPr>
          <w:rFonts w:ascii="宋体" w:hAnsi="宋体" w:cs="宋体"/>
          <w:b/>
          <w:color w:val="auto"/>
          <w:sz w:val="32"/>
          <w:szCs w:val="32"/>
          <w:highlight w:val="none"/>
        </w:rPr>
      </w:pPr>
    </w:p>
    <w:p>
      <w:pPr>
        <w:pStyle w:val="19"/>
        <w:tabs>
          <w:tab w:val="left" w:pos="1069"/>
          <w:tab w:val="left" w:pos="2352"/>
        </w:tabs>
        <w:rPr>
          <w:rFonts w:ascii="宋体" w:hAnsi="宋体" w:cs="宋体"/>
          <w:b/>
          <w:color w:val="auto"/>
          <w:sz w:val="32"/>
          <w:szCs w:val="32"/>
          <w:highlight w:val="none"/>
        </w:rPr>
      </w:pPr>
    </w:p>
    <w:p>
      <w:pPr>
        <w:pStyle w:val="19"/>
        <w:tabs>
          <w:tab w:val="left" w:pos="1069"/>
          <w:tab w:val="left" w:pos="2352"/>
        </w:tabs>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9"/>
      <w:bookmarkStart w:id="62" w:name="_Toc11700_WPSOffice_Level1"/>
    </w:p>
    <w:p>
      <w:pPr>
        <w:tabs>
          <w:tab w:val="left" w:pos="1069"/>
          <w:tab w:val="left" w:pos="2352"/>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pPr>
        <w:tabs>
          <w:tab w:val="left" w:pos="1069"/>
          <w:tab w:val="left" w:pos="2352"/>
        </w:tabs>
        <w:spacing w:line="460" w:lineRule="exact"/>
        <w:rPr>
          <w:rFonts w:ascii="宋体"/>
          <w:color w:val="auto"/>
          <w:sz w:val="22"/>
          <w:highlight w:val="none"/>
        </w:rPr>
      </w:pPr>
      <w:r>
        <w:rPr>
          <w:rFonts w:hint="eastAsia" w:ascii="宋体"/>
          <w:color w:val="auto"/>
          <w:sz w:val="22"/>
          <w:highlight w:val="none"/>
        </w:rPr>
        <w:t>乙方（中标供应商）：</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pPr>
        <w:pStyle w:val="10"/>
        <w:tabs>
          <w:tab w:val="right" w:leader="middleDot" w:pos="8296"/>
        </w:tabs>
        <w:spacing w:line="400" w:lineRule="exact"/>
        <w:ind w:left="0" w:leftChars="0" w:firstLine="446"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依据《中华人民共和国民法典》的规定，合同双方就</w:t>
      </w:r>
      <w:r>
        <w:rPr>
          <w:rFonts w:hint="eastAsia" w:ascii="宋体" w:hAnsi="宋体" w:cs="宋体"/>
          <w:color w:val="auto"/>
          <w:sz w:val="22"/>
          <w:szCs w:val="22"/>
          <w:highlight w:val="none"/>
          <w:u w:val="single"/>
          <w:lang w:eastAsia="zh-CN"/>
        </w:rPr>
        <w:t>泰顺县农村城镇生活污水水质检测</w:t>
      </w:r>
      <w:r>
        <w:rPr>
          <w:rFonts w:hint="eastAsia" w:ascii="宋体" w:hAnsi="宋体" w:cs="宋体"/>
          <w:color w:val="auto"/>
          <w:sz w:val="22"/>
          <w:szCs w:val="22"/>
          <w:highlight w:val="none"/>
          <w:u w:val="single"/>
        </w:rPr>
        <w:t>（项目编号：TSCG202207018）</w:t>
      </w:r>
      <w:r>
        <w:rPr>
          <w:rFonts w:hint="eastAsia" w:ascii="宋体" w:hAnsi="宋体" w:cs="宋体"/>
          <w:color w:val="auto"/>
          <w:sz w:val="22"/>
          <w:szCs w:val="22"/>
          <w:highlight w:val="none"/>
        </w:rPr>
        <w:t xml:space="preserve">招标采购结果，签订此合同。                      </w:t>
      </w:r>
    </w:p>
    <w:p>
      <w:pPr>
        <w:spacing w:line="400" w:lineRule="exact"/>
        <w:ind w:firstLine="223" w:firstLineChars="100"/>
        <w:rPr>
          <w:rFonts w:ascii="宋体" w:hAnsi="宋体" w:cs="宋体"/>
          <w:color w:val="auto"/>
          <w:sz w:val="22"/>
          <w:highlight w:val="none"/>
        </w:rPr>
      </w:pPr>
      <w:r>
        <w:rPr>
          <w:rFonts w:hint="eastAsia" w:ascii="宋体" w:hAnsi="宋体" w:cs="宋体"/>
          <w:color w:val="auto"/>
          <w:sz w:val="22"/>
          <w:highlight w:val="none"/>
        </w:rPr>
        <w:t>一、服务内容及要求</w:t>
      </w:r>
    </w:p>
    <w:p>
      <w:pPr>
        <w:snapToGrid w:val="0"/>
        <w:spacing w:line="400" w:lineRule="exact"/>
        <w:rPr>
          <w:rFonts w:ascii="宋体" w:hAnsi="宋体" w:cs="宋体"/>
          <w:color w:val="auto"/>
          <w:sz w:val="22"/>
          <w:highlight w:val="none"/>
        </w:rPr>
      </w:pPr>
      <w:r>
        <w:rPr>
          <w:rFonts w:hint="eastAsia" w:ascii="宋体" w:hAnsi="宋体" w:cs="宋体"/>
          <w:color w:val="auto"/>
          <w:sz w:val="22"/>
          <w:highlight w:val="none"/>
        </w:rPr>
        <w:t>（一）检测清单</w:t>
      </w:r>
    </w:p>
    <w:tbl>
      <w:tblPr>
        <w:tblStyle w:val="20"/>
        <w:tblW w:w="9155" w:type="dxa"/>
        <w:tblInd w:w="93" w:type="dxa"/>
        <w:tblLayout w:type="fixed"/>
        <w:tblCellMar>
          <w:top w:w="0" w:type="dxa"/>
          <w:left w:w="108" w:type="dxa"/>
          <w:bottom w:w="0" w:type="dxa"/>
          <w:right w:w="108" w:type="dxa"/>
        </w:tblCellMar>
      </w:tblPr>
      <w:tblGrid>
        <w:gridCol w:w="732"/>
        <w:gridCol w:w="1102"/>
        <w:gridCol w:w="2857"/>
        <w:gridCol w:w="2690"/>
        <w:gridCol w:w="887"/>
        <w:gridCol w:w="887"/>
      </w:tblGrid>
      <w:tr>
        <w:tblPrEx>
          <w:tblCellMar>
            <w:top w:w="0" w:type="dxa"/>
            <w:left w:w="108" w:type="dxa"/>
            <w:bottom w:w="0" w:type="dxa"/>
            <w:right w:w="108" w:type="dxa"/>
          </w:tblCellMar>
        </w:tblPrEx>
        <w:trPr>
          <w:trHeight w:val="559"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检测项目</w:t>
            </w:r>
          </w:p>
        </w:tc>
        <w:tc>
          <w:tcPr>
            <w:tcW w:w="28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检测内容</w:t>
            </w:r>
          </w:p>
        </w:tc>
        <w:tc>
          <w:tcPr>
            <w:tcW w:w="26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数量及要求</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单价</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备注</w:t>
            </w:r>
          </w:p>
        </w:tc>
      </w:tr>
      <w:tr>
        <w:tblPrEx>
          <w:tblCellMar>
            <w:top w:w="0" w:type="dxa"/>
            <w:left w:w="108" w:type="dxa"/>
            <w:bottom w:w="0" w:type="dxa"/>
            <w:right w:w="108" w:type="dxa"/>
          </w:tblCellMar>
        </w:tblPrEx>
        <w:trPr>
          <w:trHeight w:val="2197" w:hRule="atLeast"/>
        </w:trPr>
        <w:tc>
          <w:tcPr>
            <w:tcW w:w="73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10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排水户抽查检测</w:t>
            </w:r>
          </w:p>
        </w:tc>
        <w:tc>
          <w:tcPr>
            <w:tcW w:w="285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根据不同行业进行检测（检测项目包括但不仅限于PH值、化学需氧量、氨氮、五日生化需氧量、悬浮物、总磷、总氮、动植物油类（农家乐、餐饮类、水源保护地等需加测此项）、粪大肠菌群（医疗机构、水源保护地等需加测此项）、总余氯（加氯消毒需加测此项）等</w:t>
            </w:r>
          </w:p>
        </w:tc>
        <w:tc>
          <w:tcPr>
            <w:tcW w:w="2690" w:type="dxa"/>
            <w:tcBorders>
              <w:top w:val="single" w:color="000000" w:sz="4" w:space="0"/>
              <w:left w:val="single" w:color="000000" w:sz="4" w:space="0"/>
              <w:bottom w:val="single" w:color="auto" w:sz="4" w:space="0"/>
              <w:right w:val="single" w:color="000000" w:sz="4" w:space="0"/>
            </w:tcBorders>
            <w:vAlign w:val="center"/>
          </w:tcPr>
          <w:p>
            <w:pPr>
              <w:pStyle w:val="25"/>
              <w:spacing w:line="400" w:lineRule="exact"/>
              <w:rPr>
                <w:rFonts w:ascii="宋体" w:hAnsi="宋体" w:cs="宋体"/>
                <w:color w:val="auto"/>
                <w:sz w:val="22"/>
                <w:szCs w:val="22"/>
                <w:highlight w:val="none"/>
              </w:rPr>
            </w:pPr>
            <w:r>
              <w:rPr>
                <w:rFonts w:hint="eastAsia" w:ascii="宋体" w:hAnsi="宋体" w:cs="宋体"/>
                <w:color w:val="auto"/>
                <w:kern w:val="2"/>
                <w:sz w:val="22"/>
                <w:szCs w:val="22"/>
                <w:highlight w:val="none"/>
              </w:rPr>
              <w:t>暂定30个，数量会根据采购人需求有所变动，检测频率一般一年一次，按照采购人实际需求检测并出具成果报告。无固定排水户</w:t>
            </w:r>
          </w:p>
        </w:tc>
        <w:tc>
          <w:tcPr>
            <w:tcW w:w="887" w:type="dxa"/>
            <w:tcBorders>
              <w:top w:val="single" w:color="000000" w:sz="4" w:space="0"/>
              <w:left w:val="single" w:color="000000" w:sz="4" w:space="0"/>
              <w:bottom w:val="single" w:color="auto" w:sz="4" w:space="0"/>
              <w:right w:val="single" w:color="000000" w:sz="4" w:space="0"/>
            </w:tcBorders>
            <w:vAlign w:val="center"/>
          </w:tcPr>
          <w:p>
            <w:pPr>
              <w:pStyle w:val="25"/>
              <w:spacing w:line="400" w:lineRule="exact"/>
              <w:rPr>
                <w:rFonts w:ascii="宋体" w:hAnsi="宋体" w:cs="宋体"/>
                <w:color w:val="auto"/>
                <w:spacing w:val="-1"/>
                <w:sz w:val="22"/>
                <w:szCs w:val="22"/>
                <w:highlight w:val="none"/>
              </w:rPr>
            </w:pPr>
          </w:p>
        </w:tc>
        <w:tc>
          <w:tcPr>
            <w:tcW w:w="887" w:type="dxa"/>
            <w:tcBorders>
              <w:top w:val="single" w:color="000000" w:sz="4" w:space="0"/>
              <w:left w:val="single" w:color="000000" w:sz="4" w:space="0"/>
              <w:bottom w:val="single" w:color="auto" w:sz="4" w:space="0"/>
              <w:right w:val="single" w:color="000000" w:sz="4" w:space="0"/>
            </w:tcBorders>
            <w:vAlign w:val="center"/>
          </w:tcPr>
          <w:p>
            <w:pPr>
              <w:pStyle w:val="25"/>
              <w:spacing w:line="400" w:lineRule="exact"/>
              <w:rPr>
                <w:rFonts w:ascii="宋体" w:hAnsi="宋体" w:cs="宋体"/>
                <w:color w:val="auto"/>
                <w:spacing w:val="-1"/>
                <w:sz w:val="22"/>
                <w:szCs w:val="22"/>
                <w:highlight w:val="none"/>
              </w:rPr>
            </w:pPr>
          </w:p>
        </w:tc>
      </w:tr>
      <w:tr>
        <w:tblPrEx>
          <w:tblCellMar>
            <w:top w:w="0" w:type="dxa"/>
            <w:left w:w="108" w:type="dxa"/>
            <w:bottom w:w="0" w:type="dxa"/>
            <w:right w:w="108" w:type="dxa"/>
          </w:tblCellMar>
        </w:tblPrEx>
        <w:trPr>
          <w:trHeight w:val="212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城镇污水检测</w:t>
            </w:r>
          </w:p>
        </w:tc>
        <w:tc>
          <w:tcPr>
            <w:tcW w:w="28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针对县城污水处理厂的进水和出水样品进行污染物排放检测。每月检测项目包含但不仅限于pH值、化学需氧量、氨氮、五日生化需氧量、悬浮物、总磷、总氮、粪大肠菌群、动植物油类（农家乐、餐饮类、水源保护地等需加测此项）；一年每个污水处理厂出水需要进行一次全分析检测。</w:t>
            </w: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spacing w:val="-1"/>
                <w:kern w:val="0"/>
                <w:sz w:val="22"/>
                <w:highlight w:val="none"/>
              </w:rPr>
              <w:t>共9个乡镇</w:t>
            </w:r>
            <w:r>
              <w:rPr>
                <w:rFonts w:hint="eastAsia" w:ascii="宋体" w:hAnsi="宋体" w:cs="宋体"/>
                <w:color w:val="auto"/>
                <w:spacing w:val="-1"/>
                <w:kern w:val="0"/>
                <w:sz w:val="22"/>
                <w:highlight w:val="none"/>
              </w:rPr>
              <w:br w:type="textWrapping"/>
            </w:r>
            <w:r>
              <w:rPr>
                <w:rFonts w:hint="eastAsia" w:ascii="宋体" w:hAnsi="宋体" w:cs="宋体"/>
                <w:color w:val="auto"/>
                <w:kern w:val="0"/>
                <w:sz w:val="22"/>
                <w:highlight w:val="none"/>
                <w:lang w:bidi="ar"/>
              </w:rPr>
              <w:t>注：污水厂每家每月一次进出水水样，出水一年一次全分析。</w:t>
            </w:r>
            <w:r>
              <w:rPr>
                <w:rFonts w:hint="eastAsia" w:ascii="宋体" w:hAnsi="宋体" w:cs="宋体"/>
                <w:color w:val="auto"/>
                <w:sz w:val="22"/>
                <w:highlight w:val="none"/>
              </w:rPr>
              <w:t>后附清单</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pacing w:val="-1"/>
                <w:kern w:val="0"/>
                <w:sz w:val="22"/>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pacing w:val="-1"/>
                <w:kern w:val="0"/>
                <w:sz w:val="22"/>
                <w:highlight w:val="none"/>
              </w:rPr>
            </w:pPr>
          </w:p>
        </w:tc>
      </w:tr>
      <w:tr>
        <w:tblPrEx>
          <w:tblCellMar>
            <w:top w:w="0" w:type="dxa"/>
            <w:left w:w="108" w:type="dxa"/>
            <w:bottom w:w="0" w:type="dxa"/>
            <w:right w:w="108" w:type="dxa"/>
          </w:tblCellMar>
        </w:tblPrEx>
        <w:trPr>
          <w:trHeight w:val="1013"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农村污水检测</w:t>
            </w:r>
          </w:p>
        </w:tc>
        <w:tc>
          <w:tcPr>
            <w:tcW w:w="28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包括但不限于PH值、化学需氧量、氨氮、悬浮物、总磷、粪大肠菌群、动植物油类等）。</w:t>
            </w: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共388个点位（因新建、改造等原因数量有所浮动）</w:t>
            </w:r>
          </w:p>
          <w:p>
            <w:pPr>
              <w:widowControl/>
              <w:spacing w:line="40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注：按每季度、每半年度、每年度时间节点检测水样。</w:t>
            </w:r>
            <w:r>
              <w:rPr>
                <w:rFonts w:hint="eastAsia" w:ascii="宋体" w:hAnsi="宋体" w:cs="宋体"/>
                <w:color w:val="auto"/>
                <w:spacing w:val="-1"/>
                <w:sz w:val="22"/>
                <w:highlight w:val="none"/>
              </w:rPr>
              <w:t>其中设计日处理量为30吨以上（含30吨）</w:t>
            </w:r>
            <w:r>
              <w:rPr>
                <w:rFonts w:hint="eastAsia" w:ascii="宋体" w:hAnsi="宋体" w:cs="宋体"/>
                <w:color w:val="auto"/>
                <w:spacing w:val="-1"/>
                <w:sz w:val="22"/>
                <w:highlight w:val="none"/>
                <w:u w:val="single"/>
              </w:rPr>
              <w:t xml:space="preserve">179 </w:t>
            </w:r>
            <w:r>
              <w:rPr>
                <w:rFonts w:hint="eastAsia" w:ascii="宋体" w:hAnsi="宋体" w:cs="宋体"/>
                <w:color w:val="auto"/>
                <w:spacing w:val="-1"/>
                <w:sz w:val="22"/>
                <w:highlight w:val="none"/>
              </w:rPr>
              <w:t>个，10-30吨（含10吨，不含30吨）</w:t>
            </w:r>
            <w:r>
              <w:rPr>
                <w:rFonts w:hint="eastAsia" w:ascii="宋体" w:hAnsi="宋体" w:cs="宋体"/>
                <w:color w:val="auto"/>
                <w:spacing w:val="-1"/>
                <w:sz w:val="22"/>
                <w:highlight w:val="none"/>
                <w:u w:val="single"/>
              </w:rPr>
              <w:t xml:space="preserve"> 178   </w:t>
            </w:r>
            <w:r>
              <w:rPr>
                <w:rFonts w:hint="eastAsia" w:ascii="宋体" w:hAnsi="宋体" w:cs="宋体"/>
                <w:color w:val="auto"/>
                <w:spacing w:val="-1"/>
                <w:sz w:val="22"/>
                <w:highlight w:val="none"/>
              </w:rPr>
              <w:t>个，10吨以下（不含10吨）</w:t>
            </w:r>
            <w:r>
              <w:rPr>
                <w:rFonts w:hint="eastAsia" w:ascii="宋体" w:hAnsi="宋体" w:cs="宋体"/>
                <w:color w:val="auto"/>
                <w:spacing w:val="-1"/>
                <w:sz w:val="22"/>
                <w:highlight w:val="none"/>
                <w:u w:val="single"/>
              </w:rPr>
              <w:t xml:space="preserve"> 29   </w:t>
            </w:r>
            <w:r>
              <w:rPr>
                <w:rFonts w:hint="eastAsia" w:ascii="宋体" w:hAnsi="宋体" w:cs="宋体"/>
                <w:color w:val="auto"/>
                <w:spacing w:val="-1"/>
                <w:sz w:val="22"/>
                <w:highlight w:val="none"/>
              </w:rPr>
              <w:t>个，每个终端均需进行进水、出水水质监测，其中30吨以上（含30吨）每季度监测一次，10-30吨（含10吨，不含30吨）每半年监测一次，10吨以下（不含10吨）每年监测一次。届时以终端实际数量为准。</w:t>
            </w:r>
            <w:r>
              <w:rPr>
                <w:rFonts w:hint="eastAsia" w:ascii="宋体" w:hAnsi="宋体" w:cs="宋体"/>
                <w:color w:val="auto"/>
                <w:sz w:val="22"/>
                <w:highlight w:val="none"/>
              </w:rPr>
              <w:t>后附清单</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kern w:val="0"/>
                <w:sz w:val="22"/>
                <w:highlight w:val="none"/>
                <w:lang w:bidi="ar"/>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auto"/>
                <w:kern w:val="0"/>
                <w:sz w:val="22"/>
                <w:highlight w:val="none"/>
                <w:lang w:bidi="ar"/>
              </w:rPr>
            </w:pPr>
          </w:p>
        </w:tc>
      </w:tr>
    </w:tbl>
    <w:p>
      <w:pPr>
        <w:pStyle w:val="9"/>
        <w:adjustRightInd w:val="0"/>
        <w:snapToGrid w:val="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备注：合同金额己包含人工费、材料费、设备使用费、企业管理费以及合理的利润、税金等一切相关费用。后期根据每季度实际检测项目的水样数量*该项水样中标单价进行结算。甲方可根据实际情况对各检测项目的检测水样数量进行调整，但实际支付总金额不得超过供应商合同总价。</w:t>
      </w:r>
    </w:p>
    <w:p>
      <w:pPr>
        <w:spacing w:line="400" w:lineRule="exact"/>
        <w:ind w:firstLine="223" w:firstLineChars="100"/>
        <w:rPr>
          <w:rFonts w:ascii="宋体" w:hAnsi="宋体" w:cs="宋体"/>
          <w:color w:val="auto"/>
          <w:sz w:val="22"/>
          <w:highlight w:val="none"/>
        </w:rPr>
      </w:pPr>
      <w:r>
        <w:rPr>
          <w:rFonts w:hint="eastAsia" w:ascii="宋体" w:hAnsi="宋体" w:cs="宋体"/>
          <w:color w:val="auto"/>
          <w:sz w:val="22"/>
          <w:highlight w:val="none"/>
        </w:rPr>
        <w:t>（二）检测标准</w:t>
      </w:r>
    </w:p>
    <w:p>
      <w:pPr>
        <w:pStyle w:val="9"/>
        <w:adjustRightInd w:val="0"/>
        <w:snapToGrid w:val="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1.污水排入城镇下水道水质标准（GB/T 31962-2015）</w:t>
      </w:r>
    </w:p>
    <w:p>
      <w:pPr>
        <w:pStyle w:val="9"/>
        <w:adjustRightInd w:val="0"/>
        <w:snapToGrid w:val="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2.城镇污水处理厂污染物排放标准（GB18918-2002）</w:t>
      </w:r>
    </w:p>
    <w:p>
      <w:pPr>
        <w:pStyle w:val="9"/>
        <w:adjustRightInd w:val="0"/>
        <w:snapToGrid w:val="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3.《浙江农村生活污水处理设施水污染物排放标准》(DB33/973 2015)</w:t>
      </w:r>
    </w:p>
    <w:p>
      <w:pPr>
        <w:pStyle w:val="9"/>
        <w:adjustRightInd w:val="0"/>
        <w:snapToGrid w:val="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4.《生活饮用水卫生标准》（GB5749－2006）</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注：所检项目指标出现明显异常，应分析原因，作出分析性评价。</w:t>
      </w:r>
    </w:p>
    <w:p>
      <w:pPr>
        <w:snapToGrid w:val="0"/>
        <w:spacing w:line="400" w:lineRule="exact"/>
        <w:ind w:firstLine="223" w:firstLineChars="100"/>
        <w:rPr>
          <w:rFonts w:ascii="宋体" w:hAnsi="宋体" w:cs="宋体"/>
          <w:color w:val="auto"/>
          <w:sz w:val="22"/>
          <w:highlight w:val="none"/>
        </w:rPr>
      </w:pPr>
      <w:r>
        <w:rPr>
          <w:rFonts w:hint="eastAsia" w:ascii="宋体" w:hAnsi="宋体" w:cs="宋体"/>
          <w:color w:val="auto"/>
          <w:sz w:val="22"/>
          <w:highlight w:val="none"/>
        </w:rPr>
        <w:t>（三）报告要求</w:t>
      </w:r>
    </w:p>
    <w:p>
      <w:pPr>
        <w:snapToGrid w:val="0"/>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乙方须按合同的检测频率要求，在当月、季度、半年度对样品进行检测并出具检测报告，如发现指标异常须提出针对性建议，检测报告应在当月（季度）提交给甲方。监测结果须上传至甲方平台终端。</w:t>
      </w:r>
    </w:p>
    <w:p>
      <w:pPr>
        <w:snapToGrid w:val="0"/>
        <w:spacing w:line="400" w:lineRule="exact"/>
        <w:rPr>
          <w:rFonts w:ascii="宋体" w:hAnsi="宋体" w:cs="宋体"/>
          <w:color w:val="auto"/>
          <w:sz w:val="22"/>
          <w:highlight w:val="none"/>
        </w:rPr>
      </w:pPr>
      <w:r>
        <w:rPr>
          <w:rFonts w:hint="eastAsia" w:ascii="宋体" w:hAnsi="宋体" w:cs="宋体"/>
          <w:color w:val="auto"/>
          <w:sz w:val="22"/>
          <w:highlight w:val="none"/>
        </w:rPr>
        <w:t>（四）其他要求</w:t>
      </w:r>
    </w:p>
    <w:p>
      <w:pPr>
        <w:spacing w:line="400" w:lineRule="exact"/>
        <w:ind w:firstLine="480"/>
        <w:rPr>
          <w:rFonts w:ascii="宋体" w:hAnsi="宋体" w:cs="宋体"/>
          <w:color w:val="auto"/>
          <w:sz w:val="22"/>
          <w:highlight w:val="none"/>
        </w:rPr>
      </w:pPr>
      <w:r>
        <w:rPr>
          <w:rFonts w:hint="eastAsia" w:ascii="宋体" w:hAnsi="宋体" w:cs="宋体"/>
          <w:color w:val="auto"/>
          <w:sz w:val="22"/>
          <w:highlight w:val="none"/>
        </w:rPr>
        <w:t>1、乙方采集水样后，4小时内必须能将水样送达实验室，并及时完成对部分有时间限制检测指标的检测工作。乙方须提供承诺书及有效的保证措施（承诺内容须包括水样送达实验室承诺时间、完成部分对时间有限制检测指标的检测工作的承诺时间），合同期内甲方将严格按照承诺书中内容对乙方的检测能力进行监督，如甲方连续三次或累计五次发现乙方实际履约行为与承诺书中承诺条款不符，甲方有权单方面终止合同并没收其履约保证金。</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2、乙方项目负责人或项目技术顾问具有供水（给排水）行业的丰富经验，能够对监测中供水水质问题进行及时、有效的识别，并具有提出针对性整改建 议的能力、具有一定权威性。</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3、乙方负责取样和样品的检测工作，提供水质检测报告，乙方全权对实验结果负责，在委托中乙方如被查出数据造假或资质不足等问题，乙方需无条件提供另外有检测资质的机构甲方的检测项目重新检测并提供相应的检测报告和数据汇总。所有样品监测分析完成后需至少留样3天，甲方将不定期组织人员随机从留样中抽取一定数量的样品进行留样监测和实验室现场检查，对于达不到规范要求的甲方可以提前中止服务或者扣除一定的监测费。</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4、乙方按照检测频次制订取样时间和取样点表，并报甲方审核。</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5、乙方应做到水样留样，一旦发现所测指标异常，应立即留样检测。</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6、检测中一旦发现水质有异常，乙方应及时告知甲方。</w:t>
      </w:r>
    </w:p>
    <w:p>
      <w:pPr>
        <w:pStyle w:val="29"/>
        <w:adjustRightInd w:val="0"/>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7、如需做突发事件应急水质抽检，乙方应在30分钟内响应，主城区范围2小时到达现场。如未在2小时内达到现场，按照每次1000元/次在服务费中进行扣除。</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8、责任追究</w:t>
      </w:r>
    </w:p>
    <w:p>
      <w:pPr>
        <w:pStyle w:val="29"/>
        <w:adjustRightInd w:val="0"/>
        <w:snapToGrid w:val="0"/>
        <w:spacing w:before="0" w:line="400" w:lineRule="exact"/>
        <w:ind w:firstLine="448"/>
        <w:rPr>
          <w:rFonts w:ascii="宋体" w:hAnsi="宋体" w:cs="宋体"/>
          <w:b/>
          <w:bCs/>
          <w:color w:val="auto"/>
          <w:sz w:val="22"/>
          <w:szCs w:val="22"/>
          <w:highlight w:val="none"/>
        </w:rPr>
      </w:pPr>
      <w:r>
        <w:rPr>
          <w:rFonts w:hint="eastAsia" w:ascii="宋体" w:hAnsi="宋体" w:cs="宋体"/>
          <w:color w:val="auto"/>
          <w:sz w:val="22"/>
          <w:szCs w:val="22"/>
          <w:highlight w:val="none"/>
        </w:rPr>
        <w:t>当上述工作任务未按时完成或质控要求中的任何一项达不到相关要求时，说明该批水样的监测数据存在可疑，甲方有权要求乙方24小时内对该批次样品进行重新监测，若重新监测结果还未满足质控要求，乙方需在2天内重新到现场采样监测，重新采样监测过程中产生的一切费用由乙方承担。若重新现场采样监测后，乙方的监测数据还是达不到质控要求，甲方有权单方面解除协议，并扣除该批样品的相关监测费用。</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二、验收条件与其它服务</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1.其它服务</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当甲方管理范围内有举办重大活动时，乙方应具有饮用水安全保障的技术指导能力，能提供重点技术监管方案，具备应急检测设施设备，有应急检测队伍、现场应急处理技术专家。</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 验收条件</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采样、检测后所提交的报告，由采甲方进行验收，采购文件条款和投标文件承诺均作为甲方验收的依据。</w:t>
      </w:r>
    </w:p>
    <w:p>
      <w:pPr>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三、其它</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1、乙方在后附提供投入本项目所需的设备和交通工具。如项目实施过程中因缺少设备或服务导致无法检测，乙方须承诺自行解决。</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2、乙方应提供两份对所有向甲方提供的采样、检测、报告出具承诺证明，证明一切数据和资料真实有效，并承担所有因此产生纠纷的一切责任。</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3、本项目实施过程中（包括采购过程），甲方可根据需要向乙方提供相关资料，乙方不得将资料的全部或者部分向任何第三方提供，否则，由此造成的一切后果由乙方承担。</w:t>
      </w:r>
    </w:p>
    <w:p>
      <w:pPr>
        <w:snapToGrid w:val="0"/>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4、取样具体位置由甲方统一提供。</w:t>
      </w:r>
    </w:p>
    <w:p>
      <w:pPr>
        <w:snapToGrid w:val="0"/>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四、付款方式</w:t>
      </w:r>
    </w:p>
    <w:p>
      <w:pPr>
        <w:tabs>
          <w:tab w:val="left" w:pos="2352"/>
        </w:tabs>
        <w:snapToGrid w:val="0"/>
        <w:spacing w:line="40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1.付款方式</w:t>
      </w:r>
    </w:p>
    <w:p>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（1）按季度支付：下个季度的第一个月15日前支付上季度服务费（在县财政拨款到位情况下，支付服务费用；若经费拨款延后，支付时间顺延）。按照实际检测项目水样单价*完成检测水样数量进行结算。</w:t>
      </w:r>
    </w:p>
    <w:p>
      <w:pPr>
        <w:tabs>
          <w:tab w:val="left" w:pos="2352"/>
          <w:tab w:val="left" w:pos="449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（2）合同期满后，成果资料报告均递交至甲方备案后，甲方向</w:t>
      </w:r>
      <w:r>
        <w:rPr>
          <w:rFonts w:hint="eastAsia" w:ascii="宋体" w:hAnsi="宋体" w:cs="宋体"/>
          <w:color w:val="auto"/>
          <w:sz w:val="22"/>
          <w:highlight w:val="none"/>
        </w:rPr>
        <w:t>乙方</w:t>
      </w:r>
      <w:r>
        <w:rPr>
          <w:rFonts w:hint="eastAsia" w:ascii="宋体" w:hAnsi="宋体" w:cs="宋体"/>
          <w:bCs/>
          <w:color w:val="auto"/>
          <w:sz w:val="22"/>
          <w:highlight w:val="none"/>
        </w:rPr>
        <w:t>支付剩余服务费。</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注： 乙方在接到甲方通知后的7个工作日内将发票送达至甲方。</w:t>
      </w:r>
    </w:p>
    <w:p>
      <w:pPr>
        <w:tabs>
          <w:tab w:val="left" w:pos="720"/>
          <w:tab w:val="left" w:pos="1134"/>
        </w:tabs>
        <w:snapToGrid w:val="0"/>
        <w:spacing w:line="400" w:lineRule="exact"/>
        <w:ind w:left="543" w:leftChars="215" w:hanging="86" w:hangingChars="39"/>
        <w:rPr>
          <w:rFonts w:ascii="宋体" w:hAnsi="宋体" w:cs="宋体"/>
          <w:color w:val="auto"/>
          <w:sz w:val="22"/>
          <w:highlight w:val="none"/>
        </w:rPr>
      </w:pPr>
      <w:r>
        <w:rPr>
          <w:rFonts w:hint="eastAsia" w:ascii="宋体" w:hAnsi="宋体" w:cs="宋体"/>
          <w:b/>
          <w:bCs/>
          <w:color w:val="auto"/>
          <w:sz w:val="22"/>
          <w:highlight w:val="none"/>
        </w:rPr>
        <w:t>五、服务期限</w:t>
      </w:r>
      <w:r>
        <w:rPr>
          <w:rFonts w:hint="eastAsia" w:ascii="宋体" w:hAnsi="宋体" w:cs="宋体"/>
          <w:b/>
          <w:bCs/>
          <w:color w:val="auto"/>
          <w:sz w:val="22"/>
          <w:highlight w:val="none"/>
        </w:rPr>
        <w:br w:type="textWrapping"/>
      </w:r>
      <w:r>
        <w:rPr>
          <w:rFonts w:hint="eastAsia" w:ascii="宋体" w:hAnsi="宋体" w:cs="宋体"/>
          <w:color w:val="auto"/>
          <w:sz w:val="22"/>
          <w:highlight w:val="none"/>
        </w:rPr>
        <w:t>自合同签订之日起一年。</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b/>
          <w:bCs/>
          <w:color w:val="auto"/>
          <w:sz w:val="22"/>
          <w:highlight w:val="none"/>
        </w:rPr>
        <w:t>六、质量与其他要求</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 xml:space="preserve">（1）本项目完成后，乙方仍应向甲方免费提供改造咨询、技术交底等后期服务工作。 </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（2）在合同执行期间，乙方有责任与甲方及其他有关部门保持联系和合作。此责任应包括所有为了开展工作切实有效，所需的交换和提供数据、标准和资料等工作。</w:t>
      </w:r>
    </w:p>
    <w:p>
      <w:pPr>
        <w:tabs>
          <w:tab w:val="left" w:pos="720"/>
          <w:tab w:val="left" w:pos="1134"/>
        </w:tabs>
        <w:snapToGrid w:val="0"/>
        <w:spacing w:line="400" w:lineRule="exact"/>
        <w:ind w:left="14" w:leftChars="7" w:firstLine="356" w:firstLineChars="160"/>
        <w:rPr>
          <w:rFonts w:ascii="宋体" w:hAnsi="宋体" w:cs="宋体"/>
          <w:b/>
          <w:bCs/>
          <w:color w:val="auto"/>
          <w:sz w:val="22"/>
          <w:highlight w:val="none"/>
        </w:rPr>
      </w:pPr>
      <w:r>
        <w:rPr>
          <w:rFonts w:hint="eastAsia" w:ascii="宋体" w:hAnsi="宋体" w:cs="宋体"/>
          <w:b/>
          <w:bCs/>
          <w:color w:val="auto"/>
          <w:sz w:val="22"/>
          <w:highlight w:val="none"/>
        </w:rPr>
        <w:t>七、双方责任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甲方责任：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（1）协助乙方做好检测的相关协调工作；</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（2）协助乙方协调有关单位提供符合各检测现场工作要求的有关必备条件；</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（3）有权组织对乙方检测成果报告进行验收；</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（4）按合同约定按时向乙方支付费用。</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2、乙方责任：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（1）乙方在检测实施前，应根据不同的水质检测样品，结合检测现场的现状编制科学、规范、符合实际情况的检查实施方案，报甲方批准实施；</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（2）乙方按照现行国家有关检测的技术标准、规范，按合同要求进行检测，并定期向甲方反映工作情况和存在问题，对于甲方提出的技术要求和合理变更以及必要的检验应当接受；</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（3）检测所需的设备、仪器、工具、材料、防护措施以及检测、试验 ，均由乙方自行配备；</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（4）乙方必须为现场工作人员购买意外伤亡保险；</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（5）在检测过程中导致的任何事故，均由乙方全权负责，甲方对此不承担任何责任；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（6）乙方应按照相关规范确定检测内容，完善表格，提供技术电子文档；</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（7）分析整理检测数据，编制检测报告，并向甲方提供  贰  份正式书面报告和有关电子文档(成果份数根据甲方要求提供，乙方不得额外增加费用)；</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（8）乙方对其提交的检查数据、计算数据、技术分析及结论等成果的质量负全部责任；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（9）协助对甲方的技术进行保密；</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（10）向甲方提供必要的检测咨询服务；</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（11）若组织验收，则验收时所涉及的专家审查费均由乙方承担；合同执行期间，遵守法律法规及其他有关规定，接受甲方及其他有关部门的监督、检查和管理。</w:t>
      </w:r>
    </w:p>
    <w:p>
      <w:pPr>
        <w:tabs>
          <w:tab w:val="left" w:pos="720"/>
          <w:tab w:val="left" w:pos="1134"/>
        </w:tabs>
        <w:snapToGrid w:val="0"/>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八、对检测结论异议的处理</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甲方对检测结论有异议的，可由双方共同认可的检测机构复检。复检费用由乙方承担。对复检结论仍有异议的，可向主管部门申请专家论证解决。</w:t>
      </w:r>
    </w:p>
    <w:p>
      <w:pPr>
        <w:tabs>
          <w:tab w:val="left" w:pos="720"/>
          <w:tab w:val="left" w:pos="1134"/>
        </w:tabs>
        <w:snapToGrid w:val="0"/>
        <w:spacing w:line="40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rPr>
        <w:t>九、违约责任</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（1）因甲方未履行义务而造成乙方无法按时保质地完成检测业务的，甲方应当承担相应的经济损失，完成检测业务的时限由双方另行约定。</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（2）检测报告信息错误、未按照约定检测依据进行检测或者检测结论判断错误的，乙方应及时进行更正或免费重新进行检测，给甲方造成损失的应予以赔偿，由甲方原因造成上述错误的除外。</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（3）甲方如发现乙方未能按时提交检测报告的，甲方有权单方面终止合同。</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（4）其他违约任：                                                 。</w:t>
      </w:r>
    </w:p>
    <w:p>
      <w:pPr>
        <w:tabs>
          <w:tab w:val="left" w:pos="720"/>
          <w:tab w:val="left" w:pos="1134"/>
        </w:tabs>
        <w:snapToGrid w:val="0"/>
        <w:spacing w:line="40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rPr>
        <w:t>十、其他约定事项</w:t>
      </w:r>
    </w:p>
    <w:p>
      <w:pPr>
        <w:tabs>
          <w:tab w:val="left" w:pos="720"/>
          <w:tab w:val="left" w:pos="1134"/>
        </w:tabs>
        <w:snapToGrid w:val="0"/>
        <w:spacing w:line="400" w:lineRule="exact"/>
        <w:ind w:left="14" w:leftChars="7" w:firstLine="356" w:firstLineChars="160"/>
        <w:rPr>
          <w:rFonts w:ascii="宋体" w:hAnsi="宋体" w:cs="宋体"/>
          <w:color w:val="auto"/>
          <w:sz w:val="22"/>
          <w:highlight w:val="none"/>
        </w:rPr>
      </w:pPr>
      <w:r>
        <w:rPr>
          <w:rFonts w:hint="eastAsia" w:ascii="宋体" w:hAnsi="宋体" w:cs="宋体"/>
          <w:color w:val="auto"/>
          <w:sz w:val="22"/>
          <w:highlight w:val="none"/>
        </w:rPr>
        <w:t>解决合同纠纷方式：执行本合同发生争议，由当事人双方协商和解，也可以请求调解。双方当事人和解或调解不成，采用合同订立地点所在地人民法院仲裁委员会仲裁。</w:t>
      </w:r>
    </w:p>
    <w:p>
      <w:pPr>
        <w:tabs>
          <w:tab w:val="left" w:pos="720"/>
          <w:tab w:val="left" w:pos="1134"/>
        </w:tabs>
        <w:snapToGrid w:val="0"/>
        <w:spacing w:line="400" w:lineRule="exact"/>
        <w:ind w:firstLine="223" w:firstLineChars="100"/>
        <w:rPr>
          <w:rFonts w:ascii="宋体" w:hAnsi="宋体" w:cs="宋体"/>
          <w:color w:val="auto"/>
          <w:sz w:val="22"/>
          <w:highlight w:val="none"/>
        </w:rPr>
      </w:pPr>
      <w:r>
        <w:rPr>
          <w:rFonts w:hint="eastAsia" w:ascii="宋体" w:hAnsi="宋体" w:cs="宋体"/>
          <w:b/>
          <w:bCs/>
          <w:color w:val="auto"/>
          <w:sz w:val="22"/>
          <w:highlight w:val="none"/>
        </w:rPr>
        <w:t>十一、</w:t>
      </w:r>
      <w:r>
        <w:rPr>
          <w:rFonts w:hint="eastAsia" w:ascii="宋体" w:hAnsi="宋体" w:cs="宋体"/>
          <w:color w:val="auto"/>
          <w:sz w:val="22"/>
          <w:highlight w:val="none"/>
        </w:rPr>
        <w:t>本合同正本一式二份，双方各执一份，副本一式三份，双方各执一份，招标代理机构I（政采云备案）执一份，均具有同等法律效力。</w:t>
      </w:r>
    </w:p>
    <w:p>
      <w:pPr>
        <w:spacing w:line="400" w:lineRule="exact"/>
        <w:ind w:firstLine="446" w:firstLineChars="200"/>
        <w:rPr>
          <w:rFonts w:ascii="宋体" w:hAnsi="宋体" w:cs="宋体"/>
          <w:color w:val="auto"/>
          <w:sz w:val="22"/>
          <w:highlight w:val="none"/>
        </w:rPr>
      </w:pP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甲方：（单位全称）（盖章）                乙方：（单位全称）（盖章）</w:t>
      </w:r>
    </w:p>
    <w:p>
      <w:pPr>
        <w:spacing w:line="400" w:lineRule="exact"/>
        <w:ind w:firstLine="440"/>
        <w:jc w:val="left"/>
        <w:rPr>
          <w:rFonts w:ascii="宋体" w:hAnsi="宋体" w:cs="宋体"/>
          <w:color w:val="auto"/>
          <w:sz w:val="22"/>
          <w:highlight w:val="none"/>
        </w:rPr>
      </w:pPr>
      <w:r>
        <w:rPr>
          <w:rFonts w:hint="eastAsia" w:ascii="宋体" w:hAnsi="宋体" w:cs="宋体"/>
          <w:color w:val="auto"/>
          <w:sz w:val="22"/>
          <w:highlight w:val="none"/>
        </w:rPr>
        <w:t xml:space="preserve">法定代表人或其授权的代理人：              法定代表人或其授权的代理人： </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 xml:space="preserve">联系电话：                              联系电话：     </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传真：                                    传真：</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地址：                                    地址：</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开户银行：                                开户银行：</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开户账号：                                开户账号：</w:t>
      </w:r>
    </w:p>
    <w:p>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日期：                                    日期：</w:t>
      </w:r>
    </w:p>
    <w:p>
      <w:pPr>
        <w:spacing w:line="400" w:lineRule="exact"/>
        <w:rPr>
          <w:rFonts w:ascii="宋体" w:hAnsi="宋体" w:cs="宋体"/>
          <w:color w:val="auto"/>
          <w:sz w:val="22"/>
          <w:highlight w:val="none"/>
        </w:rPr>
      </w:pPr>
    </w:p>
    <w:p>
      <w:pPr>
        <w:tabs>
          <w:tab w:val="left" w:pos="1069"/>
          <w:tab w:val="left" w:pos="2352"/>
        </w:tabs>
        <w:spacing w:line="430" w:lineRule="atLeast"/>
        <w:rPr>
          <w:rFonts w:ascii="宋体"/>
          <w:color w:val="auto"/>
          <w:sz w:val="22"/>
          <w:highlight w:val="none"/>
          <w:u w:val="single"/>
        </w:rPr>
      </w:pPr>
    </w:p>
    <w:p>
      <w:pPr>
        <w:tabs>
          <w:tab w:val="left" w:pos="1069"/>
          <w:tab w:val="left" w:pos="2352"/>
        </w:tabs>
        <w:spacing w:line="430" w:lineRule="atLeast"/>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pPr>
        <w:pStyle w:val="5"/>
        <w:tabs>
          <w:tab w:val="left" w:pos="1069"/>
          <w:tab w:val="left" w:pos="2352"/>
        </w:tabs>
        <w:jc w:val="center"/>
        <w:rPr>
          <w:rFonts w:ascii="宋体" w:hAnsi="宋体" w:cs="宋体"/>
          <w:b/>
          <w:bCs/>
          <w:color w:val="auto"/>
          <w:sz w:val="32"/>
          <w:szCs w:val="32"/>
          <w:highlight w:val="none"/>
        </w:rPr>
      </w:pPr>
    </w:p>
    <w:p>
      <w:pPr>
        <w:pStyle w:val="5"/>
        <w:tabs>
          <w:tab w:val="left" w:pos="1069"/>
          <w:tab w:val="left" w:pos="2352"/>
        </w:tabs>
        <w:rPr>
          <w:rFonts w:ascii="宋体" w:hAnsi="宋体" w:cs="宋体"/>
          <w:b/>
          <w:bCs/>
          <w:color w:val="auto"/>
          <w:sz w:val="32"/>
          <w:szCs w:val="32"/>
          <w:highlight w:val="none"/>
        </w:rPr>
      </w:pPr>
    </w:p>
    <w:p>
      <w:pPr>
        <w:pStyle w:val="5"/>
        <w:tabs>
          <w:tab w:val="left" w:pos="1069"/>
          <w:tab w:val="left" w:pos="2352"/>
        </w:tabs>
        <w:jc w:val="center"/>
        <w:rPr>
          <w:rFonts w:ascii="宋体" w:hAnsi="宋体" w:cs="宋体"/>
          <w:b/>
          <w:bCs/>
          <w:color w:val="auto"/>
          <w:sz w:val="32"/>
          <w:szCs w:val="32"/>
          <w:highlight w:val="none"/>
        </w:rPr>
      </w:pPr>
    </w:p>
    <w:p>
      <w:pPr>
        <w:pStyle w:val="5"/>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2"/>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泰顺县农村城镇生活污水水质检测</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0"/>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项目编号：TSCG202207018</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pStyle w:val="5"/>
        <w:tabs>
          <w:tab w:val="left" w:pos="1069"/>
          <w:tab w:val="left" w:pos="2352"/>
        </w:tabs>
        <w:rPr>
          <w:color w:val="auto"/>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泰顺县农村城镇生活污水水质检测</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rPr>
        <w:t>TSCG202207018</w:t>
      </w:r>
    </w:p>
    <w:p>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0"/>
        <w:tblW w:w="9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pPr>
              <w:pStyle w:val="9"/>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pPr>
              <w:pStyle w:val="9"/>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pPr>
              <w:pStyle w:val="9"/>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540" w:type="dxa"/>
            <w:vAlign w:val="center"/>
          </w:tcPr>
          <w:p>
            <w:pPr>
              <w:pStyle w:val="9"/>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pPr>
              <w:pStyle w:val="9"/>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pPr>
              <w:pStyle w:val="9"/>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pPr>
              <w:pStyle w:val="9"/>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泰顺县农村城镇生活污水水质检测</w:t>
            </w:r>
          </w:p>
        </w:tc>
        <w:tc>
          <w:tcPr>
            <w:tcW w:w="4225" w:type="dxa"/>
            <w:tcBorders>
              <w:left w:val="single" w:color="000000" w:sz="4" w:space="0"/>
            </w:tcBorders>
            <w:vAlign w:val="center"/>
          </w:tcPr>
          <w:p>
            <w:pPr>
              <w:pStyle w:val="9"/>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pPr>
              <w:pStyle w:val="9"/>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pPr>
              <w:pStyle w:val="9"/>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pPr>
              <w:pStyle w:val="9"/>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4</w:t>
            </w:r>
            <w:r>
              <w:rPr>
                <w:rFonts w:hint="eastAsia" w:hAnsi="宋体" w:cs="宋体"/>
                <w:color w:val="auto"/>
                <w:kern w:val="2"/>
                <w:sz w:val="22"/>
                <w:szCs w:val="22"/>
                <w:highlight w:val="none"/>
                <w:lang w:val="en-US" w:eastAsia="zh-CN"/>
              </w:rPr>
              <w:t>3</w:t>
            </w:r>
            <w:r>
              <w:rPr>
                <w:rFonts w:hint="eastAsia" w:hAnsi="宋体" w:cs="宋体"/>
                <w:color w:val="auto"/>
                <w:kern w:val="2"/>
                <w:sz w:val="22"/>
                <w:szCs w:val="22"/>
                <w:highlight w:val="none"/>
              </w:rPr>
              <w:t>0000元</w:t>
            </w:r>
          </w:p>
        </w:tc>
      </w:tr>
    </w:tbl>
    <w:p>
      <w:pPr>
        <w:pStyle w:val="9"/>
        <w:tabs>
          <w:tab w:val="left" w:pos="1069"/>
          <w:tab w:val="left" w:pos="2352"/>
        </w:tabs>
        <w:spacing w:line="440" w:lineRule="atLeast"/>
        <w:rPr>
          <w:rFonts w:hAnsi="宋体" w:cs="宋体"/>
          <w:color w:val="auto"/>
          <w:sz w:val="22"/>
          <w:highlight w:val="none"/>
        </w:rPr>
      </w:pPr>
    </w:p>
    <w:p>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color w:val="auto"/>
          <w:sz w:val="22"/>
          <w:highlight w:val="none"/>
        </w:rPr>
        <w:t>。</w:t>
      </w:r>
    </w:p>
    <w:p>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3、▲不提供此表格的将视为没有实质性响应竞争性磋商文件。</w:t>
      </w:r>
    </w:p>
    <w:p>
      <w:pPr>
        <w:pStyle w:val="9"/>
        <w:tabs>
          <w:tab w:val="left" w:pos="1069"/>
          <w:tab w:val="left" w:pos="2352"/>
        </w:tabs>
        <w:spacing w:line="440" w:lineRule="atLeast"/>
        <w:rPr>
          <w:rFonts w:hAnsi="宋体" w:cs="宋体"/>
          <w:b/>
          <w:bCs/>
          <w:color w:val="auto"/>
          <w:sz w:val="22"/>
          <w:highlight w:val="none"/>
        </w:rPr>
      </w:pPr>
    </w:p>
    <w:p>
      <w:pPr>
        <w:pStyle w:val="9"/>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pPr>
        <w:pStyle w:val="9"/>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9"/>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lang w:val="zh-CN"/>
        </w:rPr>
      </w:pPr>
      <w:bookmarkStart w:id="63" w:name="_Toc31481_WPSOffice_Level2"/>
    </w:p>
    <w:p>
      <w:pPr>
        <w:pStyle w:val="19"/>
        <w:tabs>
          <w:tab w:val="left" w:pos="1069"/>
          <w:tab w:val="left" w:pos="2352"/>
        </w:tabs>
        <w:rPr>
          <w:rFonts w:ascii="宋体" w:hAnsi="宋体" w:cs="宋体"/>
          <w:color w:val="auto"/>
          <w:sz w:val="22"/>
          <w:highlight w:val="none"/>
          <w:lang w:val="zh-CN"/>
        </w:rPr>
      </w:pPr>
    </w:p>
    <w:p>
      <w:pPr>
        <w:pStyle w:val="19"/>
        <w:tabs>
          <w:tab w:val="left" w:pos="1069"/>
          <w:tab w:val="left" w:pos="2352"/>
        </w:tabs>
        <w:rPr>
          <w:rFonts w:ascii="宋体" w:hAnsi="宋体" w:cs="宋体"/>
          <w:color w:val="auto"/>
          <w:sz w:val="22"/>
          <w:highlight w:val="none"/>
          <w:lang w:val="zh-CN"/>
        </w:rPr>
      </w:pPr>
    </w:p>
    <w:p>
      <w:pPr>
        <w:pStyle w:val="19"/>
        <w:tabs>
          <w:tab w:val="left" w:pos="1069"/>
          <w:tab w:val="left" w:pos="2352"/>
        </w:tabs>
        <w:rPr>
          <w:rFonts w:ascii="宋体" w:hAnsi="宋体" w:cs="宋体"/>
          <w:color w:val="auto"/>
          <w:sz w:val="22"/>
          <w:highlight w:val="none"/>
          <w:lang w:val="zh-CN"/>
        </w:rPr>
      </w:pPr>
    </w:p>
    <w:bookmarkEnd w:id="63"/>
    <w:p>
      <w:pPr>
        <w:pStyle w:val="7"/>
        <w:tabs>
          <w:tab w:val="left" w:pos="1069"/>
          <w:tab w:val="left" w:pos="2352"/>
        </w:tabs>
        <w:rPr>
          <w:rFonts w:ascii="宋体" w:hAnsi="宋体" w:cs="宋体"/>
          <w:b/>
          <w:bCs/>
          <w:color w:val="auto"/>
          <w:sz w:val="32"/>
          <w:szCs w:val="32"/>
          <w:highlight w:val="none"/>
        </w:rPr>
      </w:pPr>
    </w:p>
    <w:p>
      <w:pPr>
        <w:pStyle w:val="7"/>
        <w:tabs>
          <w:tab w:val="left" w:pos="1069"/>
          <w:tab w:val="left" w:pos="2352"/>
        </w:tabs>
        <w:rPr>
          <w:rFonts w:ascii="宋体" w:hAnsi="宋体" w:cs="宋体"/>
          <w:b/>
          <w:bCs/>
          <w:color w:val="auto"/>
          <w:sz w:val="32"/>
          <w:szCs w:val="32"/>
          <w:highlight w:val="none"/>
        </w:rPr>
      </w:pPr>
    </w:p>
    <w:p>
      <w:pPr>
        <w:pStyle w:val="7"/>
        <w:tabs>
          <w:tab w:val="left" w:pos="1069"/>
          <w:tab w:val="left" w:pos="2352"/>
        </w:tabs>
        <w:rPr>
          <w:rFonts w:ascii="宋体" w:hAnsi="宋体" w:cs="宋体"/>
          <w:b/>
          <w:bCs/>
          <w:color w:val="auto"/>
          <w:sz w:val="32"/>
          <w:szCs w:val="32"/>
          <w:highlight w:val="none"/>
        </w:rPr>
      </w:pPr>
    </w:p>
    <w:p>
      <w:pPr>
        <w:pStyle w:val="7"/>
        <w:tabs>
          <w:tab w:val="left" w:pos="2352"/>
        </w:tabs>
        <w:rPr>
          <w:rFonts w:ascii="宋体"/>
          <w:b/>
          <w:bCs/>
          <w:color w:val="auto"/>
          <w:sz w:val="32"/>
          <w:szCs w:val="32"/>
          <w:highlight w:val="none"/>
        </w:rPr>
      </w:pPr>
    </w:p>
    <w:p>
      <w:pPr>
        <w:pStyle w:val="7"/>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泰顺县农村城镇生活污水水质检测</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rPr>
        <w:t>TSCG202207018</w:t>
      </w:r>
    </w:p>
    <w:p>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0"/>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center"/>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bl>
    <w:p>
      <w:pPr>
        <w:tabs>
          <w:tab w:val="left" w:pos="2352"/>
        </w:tabs>
        <w:rPr>
          <w:rFonts w:ascii="宋体" w:cs="Arial"/>
          <w:bCs/>
          <w:color w:val="auto"/>
          <w:sz w:val="22"/>
          <w:highlight w:val="none"/>
        </w:rPr>
      </w:pPr>
    </w:p>
    <w:p>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tabs>
          <w:tab w:val="left" w:pos="2352"/>
        </w:tabs>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p>
    <w:p>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tabs>
          <w:tab w:val="left" w:pos="2352"/>
        </w:tabs>
        <w:spacing w:line="440" w:lineRule="atLeast"/>
        <w:rPr>
          <w:rFonts w:hAnsi="宋体"/>
          <w:color w:val="auto"/>
          <w:sz w:val="22"/>
          <w:highlight w:val="none"/>
        </w:rPr>
      </w:pPr>
      <w:r>
        <w:rPr>
          <w:rFonts w:hint="eastAsia" w:hAnsi="宋体"/>
          <w:color w:val="auto"/>
          <w:sz w:val="22"/>
          <w:highlight w:val="none"/>
        </w:rPr>
        <w:t>日期：</w:t>
      </w: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pacing w:line="480" w:lineRule="auto"/>
        <w:jc w:val="center"/>
        <w:rPr>
          <w:rFonts w:ascii="宋体" w:hAnsi="宋体" w:cs="宋体"/>
          <w:b/>
          <w:color w:val="auto"/>
          <w:sz w:val="64"/>
          <w:szCs w:val="64"/>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泰顺县农村城镇生活污水水质检测</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0"/>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项目编号：TSCG202207018</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pStyle w:val="5"/>
        <w:tabs>
          <w:tab w:val="left" w:pos="1069"/>
          <w:tab w:val="left" w:pos="2352"/>
        </w:tabs>
        <w:rPr>
          <w:rFonts w:ascii="宋体" w:hAnsi="宋体" w:cs="宋体"/>
          <w:b/>
          <w:bCs/>
          <w:color w:val="auto"/>
          <w:sz w:val="30"/>
          <w:highlight w:val="none"/>
          <w:lang w:val="zh-CN"/>
        </w:rPr>
      </w:pPr>
    </w:p>
    <w:p>
      <w:pPr>
        <w:tabs>
          <w:tab w:val="left" w:pos="1069"/>
          <w:tab w:val="left" w:pos="2352"/>
        </w:tabs>
        <w:rPr>
          <w:color w:val="auto"/>
          <w:highlight w:val="none"/>
          <w:lang w:val="zh-CN"/>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泰顺县综合行政执法局、杭州华旗招标代理有限公司：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9"/>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color w:val="auto"/>
          <w:sz w:val="36"/>
          <w:highlight w:val="none"/>
        </w:rPr>
        <w:br w:type="page"/>
      </w:r>
      <w:bookmarkStart w:id="64" w:name="_Toc13669"/>
      <w:bookmarkStart w:id="65" w:name="_Toc18304"/>
      <w:bookmarkStart w:id="66" w:name="_Toc14589"/>
      <w:bookmarkStart w:id="67" w:name="_Toc10630"/>
      <w:bookmarkStart w:id="68" w:name="_Toc6606"/>
      <w:bookmarkStart w:id="69" w:name="_Toc11360"/>
      <w:bookmarkStart w:id="70" w:name="_Toc33194406"/>
      <w:bookmarkStart w:id="71" w:name="_Toc31784"/>
      <w:bookmarkStart w:id="72" w:name="_Toc28957"/>
      <w:bookmarkStart w:id="73" w:name="_Toc27119255"/>
      <w:bookmarkStart w:id="74" w:name="_Toc31544"/>
      <w:bookmarkStart w:id="75" w:name="_Toc14988"/>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四</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bookmarkEnd w:id="64"/>
      <w:bookmarkEnd w:id="65"/>
      <w:bookmarkEnd w:id="66"/>
      <w:bookmarkEnd w:id="67"/>
      <w:bookmarkEnd w:id="68"/>
      <w:bookmarkEnd w:id="69"/>
      <w:bookmarkEnd w:id="70"/>
      <w:bookmarkEnd w:id="71"/>
      <w:bookmarkEnd w:id="72"/>
      <w:bookmarkEnd w:id="73"/>
      <w:bookmarkEnd w:id="74"/>
      <w:bookmarkEnd w:id="75"/>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泰顺县综合行政执法局、杭州华旗招标代理有限公司：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9"/>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pPr>
        <w:tabs>
          <w:tab w:val="left" w:pos="1069"/>
          <w:tab w:val="left" w:pos="2352"/>
        </w:tabs>
        <w:autoSpaceDE w:val="0"/>
        <w:autoSpaceDN w:val="0"/>
        <w:adjustRightInd w:val="0"/>
        <w:spacing w:line="460" w:lineRule="atLeast"/>
        <w:rPr>
          <w:rFonts w:ascii="宋体" w:hAnsi="宋体" w:cs="宋体"/>
          <w:color w:val="auto"/>
          <w:sz w:val="36"/>
          <w:highlight w:val="none"/>
        </w:rPr>
      </w:pPr>
    </w:p>
    <w:p>
      <w:pPr>
        <w:tabs>
          <w:tab w:val="left" w:pos="1069"/>
          <w:tab w:val="left" w:pos="2352"/>
        </w:tabs>
        <w:snapToGrid w:val="0"/>
        <w:spacing w:line="500" w:lineRule="atLeast"/>
        <w:rPr>
          <w:rFonts w:ascii="宋体" w:hAnsi="宋体" w:cs="宋体"/>
          <w:color w:val="auto"/>
          <w:sz w:val="30"/>
          <w:szCs w:val="30"/>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6" w:name="_Toc32552_WPSOffice_Level3"/>
      <w:r>
        <w:rPr>
          <w:rFonts w:hint="eastAsia" w:ascii="宋体" w:hAnsi="宋体" w:cs="宋体"/>
          <w:b/>
          <w:bCs/>
          <w:color w:val="auto"/>
          <w:sz w:val="32"/>
          <w:highlight w:val="none"/>
          <w:lang w:val="zh-CN"/>
        </w:rPr>
        <w:t>法定代表人授权书</w:t>
      </w:r>
      <w:bookmarkEnd w:id="76"/>
    </w:p>
    <w:p>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泰顺县综合行政执法局</w:t>
      </w:r>
      <w:r>
        <w:rPr>
          <w:rFonts w:hint="eastAsia" w:ascii="宋体" w:hAnsi="宋体" w:cs="宋体"/>
          <w:color w:val="auto"/>
          <w:sz w:val="22"/>
          <w:highlight w:val="none"/>
          <w:lang w:val="zh-CN"/>
        </w:rPr>
        <w:t>：</w:t>
      </w:r>
    </w:p>
    <w:p>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泰顺县农村城镇生活污水水质检测</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rPr>
        <w:t>TSCG202207018）</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pPr>
        <w:tabs>
          <w:tab w:val="left" w:pos="1069"/>
          <w:tab w:val="left" w:pos="2352"/>
        </w:tabs>
        <w:spacing w:line="400" w:lineRule="atLeast"/>
        <w:ind w:firstLine="446" w:firstLineChars="200"/>
        <w:rPr>
          <w:rFonts w:ascii="宋体" w:hAnsi="宋体" w:cs="宋体"/>
          <w:color w:val="auto"/>
          <w:sz w:val="22"/>
          <w:highlight w:val="none"/>
        </w:rPr>
      </w:pPr>
    </w:p>
    <w:p>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pPr>
        <w:tabs>
          <w:tab w:val="left" w:pos="1069"/>
          <w:tab w:val="left" w:pos="2352"/>
        </w:tabs>
        <w:spacing w:line="400" w:lineRule="atLeast"/>
        <w:rPr>
          <w:rFonts w:ascii="宋体" w:hAnsi="宋体" w:cs="宋体"/>
          <w:color w:val="auto"/>
          <w:sz w:val="22"/>
          <w:highlight w:val="non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pPr>
        <w:tabs>
          <w:tab w:val="left" w:pos="1069"/>
          <w:tab w:val="left" w:pos="2352"/>
        </w:tabs>
        <w:spacing w:line="400" w:lineRule="atLeast"/>
        <w:ind w:left="2699"/>
        <w:rPr>
          <w:rFonts w:ascii="宋体" w:hAnsi="宋体" w:cs="宋体"/>
          <w:color w:val="auto"/>
          <w:sz w:val="22"/>
          <w:highlight w:val="none"/>
        </w:rPr>
      </w:pPr>
    </w:p>
    <w:p>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pPr>
        <w:tabs>
          <w:tab w:val="left" w:pos="1069"/>
          <w:tab w:val="left" w:pos="2352"/>
        </w:tabs>
        <w:spacing w:line="360" w:lineRule="exact"/>
        <w:ind w:left="2699"/>
        <w:rPr>
          <w:rFonts w:ascii="宋体" w:hAnsi="宋体" w:cs="宋体"/>
          <w:color w:val="auto"/>
          <w:sz w:val="22"/>
          <w:highlight w:val="none"/>
        </w:rPr>
      </w:pP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pStyle w:val="9"/>
        <w:tabs>
          <w:tab w:val="left" w:pos="1069"/>
          <w:tab w:val="left" w:pos="2352"/>
        </w:tabs>
        <w:adjustRightInd w:val="0"/>
        <w:snapToGrid w:val="0"/>
        <w:spacing w:line="360" w:lineRule="exact"/>
        <w:jc w:val="center"/>
        <w:rPr>
          <w:rFonts w:hAnsi="宋体" w:cs="宋体"/>
          <w:color w:val="auto"/>
          <w:sz w:val="22"/>
          <w:highlight w:val="none"/>
          <w:lang w:val="zh-CN"/>
        </w:rPr>
      </w:pPr>
    </w:p>
    <w:p>
      <w:pPr>
        <w:pStyle w:val="9"/>
        <w:tabs>
          <w:tab w:val="left" w:pos="1069"/>
          <w:tab w:val="left" w:pos="2352"/>
        </w:tabs>
        <w:adjustRightInd w:val="0"/>
        <w:snapToGrid w:val="0"/>
        <w:spacing w:line="360" w:lineRule="exact"/>
        <w:jc w:val="center"/>
        <w:rPr>
          <w:rFonts w:hAnsi="宋体" w:cs="宋体"/>
          <w:color w:val="auto"/>
          <w:sz w:val="22"/>
          <w:highlight w:val="none"/>
          <w:lang w:val="zh-CN"/>
        </w:rPr>
      </w:pPr>
    </w:p>
    <w:p>
      <w:pPr>
        <w:pStyle w:val="9"/>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9"/>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泰顺县农村城镇生活污水水质检测</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0"/>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项目编号：TSCG202207018</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pPr>
        <w:pStyle w:val="8"/>
        <w:tabs>
          <w:tab w:val="left" w:pos="1069"/>
          <w:tab w:val="left" w:pos="2352"/>
        </w:tabs>
        <w:ind w:left="0" w:right="-257"/>
        <w:rPr>
          <w:color w:val="auto"/>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附件六</w:t>
      </w:r>
    </w:p>
    <w:p>
      <w:pPr>
        <w:tabs>
          <w:tab w:val="left" w:pos="1069"/>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7" w:name="_Toc30988_WPSOffice_Level3"/>
      <w:r>
        <w:rPr>
          <w:rFonts w:hint="eastAsia" w:ascii="宋体" w:hAnsi="宋体" w:cs="宋体"/>
          <w:b/>
          <w:bCs/>
          <w:color w:val="auto"/>
          <w:sz w:val="36"/>
          <w:highlight w:val="none"/>
        </w:rPr>
        <w:t>报价</w:t>
      </w:r>
      <w:r>
        <w:rPr>
          <w:rFonts w:hint="eastAsia" w:ascii="宋体" w:hAnsi="宋体" w:cs="宋体"/>
          <w:b/>
          <w:bCs/>
          <w:color w:val="auto"/>
          <w:sz w:val="36"/>
          <w:highlight w:val="none"/>
          <w:lang w:val="zh-CN"/>
        </w:rPr>
        <w:t>函</w:t>
      </w:r>
      <w:bookmarkEnd w:id="77"/>
    </w:p>
    <w:p>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pPr>
        <w:pStyle w:val="9"/>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泰顺县综合行政执法局：</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泰顺县农村城镇生活污水水质检测</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rPr>
        <w:t>TSCG202207018）</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泰顺县农村城镇生活污水水质检测</w:t>
      </w:r>
      <w:r>
        <w:rPr>
          <w:rFonts w:hint="eastAsia" w:ascii="宋体" w:hAnsi="宋体" w:cs="宋体"/>
          <w:color w:val="auto"/>
          <w:sz w:val="22"/>
          <w:highlight w:val="none"/>
          <w:lang w:val="zh-CN"/>
        </w:rPr>
        <w:t>进行投标。为此：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pPr>
        <w:pStyle w:val="9"/>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pPr>
        <w:pStyle w:val="9"/>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9"/>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pStyle w:val="5"/>
        <w:tabs>
          <w:tab w:val="left" w:pos="1069"/>
          <w:tab w:val="left" w:pos="2352"/>
        </w:tabs>
        <w:rPr>
          <w:color w:val="auto"/>
          <w:highlight w:val="none"/>
        </w:rPr>
      </w:pPr>
    </w:p>
    <w:p>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附件七</w:t>
      </w:r>
    </w:p>
    <w:p>
      <w:pPr>
        <w:tabs>
          <w:tab w:val="left" w:pos="1069"/>
          <w:tab w:val="left" w:pos="2352"/>
        </w:tabs>
        <w:spacing w:line="360" w:lineRule="exact"/>
        <w:jc w:val="center"/>
        <w:rPr>
          <w:rFonts w:ascii="宋体" w:hAnsi="宋体" w:cs="宋体"/>
          <w:b/>
          <w:bCs/>
          <w:color w:val="auto"/>
          <w:sz w:val="30"/>
          <w:highlight w:val="none"/>
          <w:lang w:val="zh-CN"/>
        </w:rPr>
      </w:pPr>
      <w:bookmarkStart w:id="78" w:name="_Toc15399_WPSOffice_Level3"/>
      <w:r>
        <w:rPr>
          <w:rFonts w:hint="eastAsia" w:ascii="宋体" w:hAnsi="宋体" w:cs="宋体"/>
          <w:b/>
          <w:bCs/>
          <w:color w:val="auto"/>
          <w:sz w:val="30"/>
          <w:highlight w:val="none"/>
          <w:lang w:val="zh-CN"/>
        </w:rPr>
        <w:t>供应商参与政府采购活动投标资格声明函</w:t>
      </w:r>
      <w:bookmarkEnd w:id="78"/>
    </w:p>
    <w:tbl>
      <w:tblPr>
        <w:tblStyle w:val="20"/>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9"/>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pPr>
              <w:pStyle w:val="9"/>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泰顺县农村城镇生活污水水质检测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9"/>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pPr>
              <w:pStyle w:val="9"/>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TSCG202207018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9"/>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pPr>
              <w:pStyle w:val="9"/>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9"/>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1、根据政府采购法第二十二条规定，我单位满足以下条件，并已经在技术资信部分投标（响应）文件中提供了相应的证明材料：</w:t>
            </w:r>
          </w:p>
          <w:p>
            <w:pPr>
              <w:pStyle w:val="9"/>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pStyle w:val="9"/>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9"/>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要求，并在技术资信部分投标（响应）文件中提供了相应的证明材料</w:t>
            </w:r>
            <w:r>
              <w:rPr>
                <w:rFonts w:hint="eastAsia" w:ascii="宋体" w:hAnsi="宋体" w:cs="宋体"/>
                <w:color w:val="auto"/>
                <w:szCs w:val="21"/>
                <w:highlight w:val="none"/>
                <w:u w:val="single"/>
              </w:rPr>
              <w:t>（竞争性磋商文件没有要求特定资格条件的，本条款空格处可以空白）</w:t>
            </w:r>
          </w:p>
          <w:p>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9"/>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9"/>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9"/>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tabs>
          <w:tab w:val="left" w:pos="1069"/>
          <w:tab w:val="left" w:pos="2352"/>
        </w:tabs>
        <w:spacing w:line="360" w:lineRule="exact"/>
        <w:jc w:val="left"/>
        <w:rPr>
          <w:rFonts w:ascii="宋体" w:hAnsi="宋体" w:cs="宋体"/>
          <w:bCs/>
          <w:color w:val="auto"/>
          <w:sz w:val="22"/>
          <w:highlight w:val="none"/>
          <w:u w:val="single"/>
        </w:rPr>
      </w:pPr>
    </w:p>
    <w:p>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附件八</w:t>
      </w:r>
    </w:p>
    <w:p>
      <w:pPr>
        <w:tabs>
          <w:tab w:val="left" w:pos="1069"/>
          <w:tab w:val="left" w:pos="2352"/>
        </w:tabs>
        <w:jc w:val="center"/>
        <w:rPr>
          <w:rFonts w:ascii="宋体" w:hAnsi="宋体" w:cs="宋体"/>
          <w:color w:val="auto"/>
          <w:sz w:val="24"/>
          <w:highlight w:val="none"/>
        </w:rPr>
      </w:pPr>
      <w:bookmarkStart w:id="79" w:name="_Toc7010_WPSOffice_Level3"/>
      <w:r>
        <w:rPr>
          <w:rFonts w:hint="eastAsia" w:ascii="宋体" w:hAnsi="宋体" w:cs="宋体"/>
          <w:b/>
          <w:bCs/>
          <w:color w:val="auto"/>
          <w:sz w:val="32"/>
          <w:szCs w:val="32"/>
          <w:highlight w:val="none"/>
        </w:rPr>
        <w:t>法定代表人诚信投标承诺书</w:t>
      </w:r>
      <w:bookmarkEnd w:id="79"/>
    </w:p>
    <w:p>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泰顺县农村城镇生活污水水质检测</w:t>
      </w:r>
      <w:r>
        <w:rPr>
          <w:rFonts w:hint="eastAsia" w:ascii="宋体" w:hAnsi="宋体" w:cs="宋体"/>
          <w:color w:val="auto"/>
          <w:sz w:val="22"/>
          <w:highlight w:val="none"/>
          <w:u w:val="single"/>
        </w:rPr>
        <w:t>（采购编号：TSCG202207018）</w:t>
      </w:r>
      <w:r>
        <w:rPr>
          <w:rFonts w:hint="eastAsia" w:ascii="宋体" w:hAnsi="宋体" w:cs="宋体"/>
          <w:color w:val="auto"/>
          <w:sz w:val="22"/>
          <w:highlight w:val="none"/>
        </w:rPr>
        <w:t>的投标；</w:t>
      </w:r>
    </w:p>
    <w:p>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pPr>
        <w:pStyle w:val="9"/>
        <w:tabs>
          <w:tab w:val="left" w:pos="1069"/>
          <w:tab w:val="left" w:pos="2352"/>
        </w:tabs>
        <w:spacing w:line="360" w:lineRule="exact"/>
        <w:jc w:val="center"/>
        <w:rPr>
          <w:rFonts w:hAnsi="宋体" w:cs="宋体"/>
          <w:color w:val="auto"/>
          <w:sz w:val="32"/>
          <w:highlight w:val="none"/>
        </w:rPr>
      </w:pPr>
    </w:p>
    <w:p>
      <w:pPr>
        <w:tabs>
          <w:tab w:val="left" w:pos="1069"/>
          <w:tab w:val="left" w:pos="2352"/>
        </w:tabs>
        <w:spacing w:line="360" w:lineRule="exact"/>
        <w:jc w:val="left"/>
        <w:rPr>
          <w:rFonts w:ascii="宋体" w:hAnsi="宋体" w:cs="宋体"/>
          <w:color w:val="auto"/>
          <w:sz w:val="30"/>
          <w:highlight w:val="none"/>
        </w:rPr>
      </w:pPr>
    </w:p>
    <w:p>
      <w:pPr>
        <w:pStyle w:val="9"/>
        <w:tabs>
          <w:tab w:val="left" w:pos="1069"/>
          <w:tab w:val="left" w:pos="2352"/>
        </w:tabs>
        <w:spacing w:line="360" w:lineRule="exact"/>
        <w:jc w:val="left"/>
        <w:rPr>
          <w:rFonts w:hAnsi="宋体" w:cs="宋体"/>
          <w:b/>
          <w:bCs/>
          <w:color w:val="auto"/>
          <w:sz w:val="32"/>
          <w:highlight w:val="none"/>
          <w:lang w:val="zh-CN"/>
        </w:rPr>
      </w:pPr>
    </w:p>
    <w:p>
      <w:pPr>
        <w:tabs>
          <w:tab w:val="left" w:pos="2352"/>
        </w:tabs>
        <w:rPr>
          <w:color w:val="auto"/>
          <w:highlight w:val="none"/>
          <w:lang w:val="zh-CN"/>
        </w:rPr>
      </w:pPr>
    </w:p>
    <w:p>
      <w:pPr>
        <w:pStyle w:val="9"/>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九</w:t>
      </w:r>
    </w:p>
    <w:p>
      <w:pPr>
        <w:pStyle w:val="9"/>
        <w:tabs>
          <w:tab w:val="left" w:pos="1069"/>
          <w:tab w:val="left" w:pos="2352"/>
        </w:tabs>
        <w:spacing w:line="360" w:lineRule="exact"/>
        <w:jc w:val="center"/>
        <w:rPr>
          <w:rFonts w:hAnsi="宋体" w:cs="宋体"/>
          <w:b/>
          <w:bCs/>
          <w:color w:val="auto"/>
          <w:sz w:val="32"/>
          <w:highlight w:val="none"/>
          <w:lang w:val="zh-CN"/>
        </w:rPr>
      </w:pPr>
      <w:bookmarkStart w:id="80" w:name="_Toc18541_WPSOffice_Level3"/>
      <w:r>
        <w:rPr>
          <w:rFonts w:hint="eastAsia" w:hAnsi="宋体" w:cs="宋体"/>
          <w:b/>
          <w:bCs/>
          <w:color w:val="auto"/>
          <w:sz w:val="32"/>
          <w:highlight w:val="none"/>
          <w:lang w:val="zh-CN"/>
        </w:rPr>
        <w:t>（一）商务偏离表</w:t>
      </w:r>
      <w:bookmarkEnd w:id="80"/>
    </w:p>
    <w:p>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pPr>
        <w:pStyle w:val="9"/>
        <w:tabs>
          <w:tab w:val="left" w:pos="1069"/>
          <w:tab w:val="left" w:pos="2352"/>
        </w:tabs>
        <w:spacing w:line="360" w:lineRule="exact"/>
        <w:jc w:val="center"/>
        <w:rPr>
          <w:rFonts w:hAnsi="宋体" w:cs="宋体"/>
          <w:b/>
          <w:bCs/>
          <w:color w:val="auto"/>
          <w:sz w:val="32"/>
          <w:highlight w:val="none"/>
          <w:lang w:val="zh-CN"/>
        </w:rPr>
      </w:pPr>
      <w:bookmarkStart w:id="81" w:name="_Toc4031_WPSOffice_Level3"/>
      <w:r>
        <w:rPr>
          <w:rFonts w:hint="eastAsia" w:hAnsi="宋体" w:cs="宋体"/>
          <w:b/>
          <w:bCs/>
          <w:color w:val="auto"/>
          <w:sz w:val="32"/>
          <w:highlight w:val="none"/>
          <w:lang w:val="zh-CN"/>
        </w:rPr>
        <w:t>（二）技术偏离表</w:t>
      </w:r>
      <w:bookmarkEnd w:id="81"/>
    </w:p>
    <w:tbl>
      <w:tblPr>
        <w:tblStyle w:val="2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pPr>
        <w:tabs>
          <w:tab w:val="left" w:pos="1069"/>
          <w:tab w:val="left" w:pos="2352"/>
        </w:tabs>
        <w:rPr>
          <w:rFonts w:ascii="宋体" w:hAnsi="宋体" w:cs="宋体"/>
          <w:color w:val="auto"/>
          <w:highlight w:val="none"/>
        </w:rPr>
      </w:pPr>
      <w:bookmarkStart w:id="82" w:name="_Toc30988_WPSOffice_Level2"/>
      <w:r>
        <w:rPr>
          <w:rFonts w:hint="eastAsia" w:ascii="宋体" w:hAnsi="宋体" w:cs="宋体"/>
          <w:color w:val="auto"/>
          <w:highlight w:val="none"/>
        </w:rPr>
        <w:t>备注：表格可以延续</w:t>
      </w:r>
      <w:bookmarkEnd w:id="82"/>
    </w:p>
    <w:p>
      <w:pPr>
        <w:pStyle w:val="9"/>
        <w:tabs>
          <w:tab w:val="left" w:pos="1069"/>
          <w:tab w:val="left" w:pos="2352"/>
        </w:tabs>
        <w:spacing w:line="360" w:lineRule="exact"/>
        <w:rPr>
          <w:rFonts w:hAnsi="宋体" w:cs="宋体"/>
          <w:color w:val="auto"/>
          <w:sz w:val="2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附件十</w:t>
      </w:r>
    </w:p>
    <w:p>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泰顺县农村城镇生活污水水质检测</w:t>
      </w:r>
    </w:p>
    <w:p>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TSCG202207018</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ind w:left="5250"/>
              <w:rPr>
                <w:rFonts w:ascii="宋体" w:hAnsi="宋体" w:cs="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bl>
    <w:p>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pPr>
        <w:pStyle w:val="9"/>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pPr>
        <w:pStyle w:val="9"/>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9"/>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附件十一</w:t>
      </w:r>
    </w:p>
    <w:p>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3" w:name="_Toc28287_WPSOffice_Level3"/>
      <w:r>
        <w:rPr>
          <w:rFonts w:hint="eastAsia" w:ascii="宋体" w:hAnsi="宋体" w:cs="宋体"/>
          <w:b/>
          <w:bCs/>
          <w:color w:val="auto"/>
          <w:sz w:val="32"/>
          <w:highlight w:val="none"/>
        </w:rPr>
        <w:t>供应商项目业绩清单</w:t>
      </w:r>
      <w:bookmarkEnd w:id="83"/>
    </w:p>
    <w:p>
      <w:pPr>
        <w:pStyle w:val="9"/>
        <w:tabs>
          <w:tab w:val="left" w:pos="1069"/>
          <w:tab w:val="left" w:pos="2352"/>
        </w:tabs>
        <w:spacing w:line="360" w:lineRule="exact"/>
        <w:jc w:val="center"/>
        <w:rPr>
          <w:rFonts w:hAnsi="宋体" w:cs="宋体"/>
          <w:color w:val="auto"/>
          <w:sz w:val="22"/>
          <w:highlight w:val="none"/>
        </w:rPr>
      </w:pPr>
    </w:p>
    <w:tbl>
      <w:tblPr>
        <w:tblStyle w:val="20"/>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pPr>
        <w:pStyle w:val="9"/>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pPr>
        <w:tabs>
          <w:tab w:val="left" w:pos="1069"/>
          <w:tab w:val="left" w:pos="2352"/>
        </w:tabs>
        <w:rPr>
          <w:rFonts w:ascii="宋体" w:hAnsi="宋体" w:cs="宋体"/>
          <w:color w:val="auto"/>
          <w:spacing w:val="20"/>
          <w:sz w:val="22"/>
          <w:highlight w:val="none"/>
        </w:rPr>
      </w:pPr>
    </w:p>
    <w:p>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pPr>
        <w:pStyle w:val="9"/>
        <w:tabs>
          <w:tab w:val="left" w:pos="1069"/>
          <w:tab w:val="left" w:pos="2352"/>
        </w:tabs>
        <w:spacing w:line="360" w:lineRule="exact"/>
        <w:jc w:val="left"/>
        <w:rPr>
          <w:rFonts w:hAnsi="宋体" w:cs="宋体"/>
          <w:color w:val="auto"/>
          <w:sz w:val="22"/>
          <w:szCs w:val="22"/>
          <w:highlight w:val="none"/>
        </w:rPr>
      </w:pPr>
    </w:p>
    <w:p>
      <w:pPr>
        <w:pStyle w:val="9"/>
        <w:tabs>
          <w:tab w:val="left" w:pos="1069"/>
          <w:tab w:val="left" w:pos="2352"/>
        </w:tabs>
        <w:spacing w:line="360" w:lineRule="exact"/>
        <w:jc w:val="left"/>
        <w:rPr>
          <w:rFonts w:hAnsi="宋体" w:cs="宋体"/>
          <w:color w:val="auto"/>
          <w:sz w:val="22"/>
          <w:szCs w:val="22"/>
          <w:highlight w:val="none"/>
        </w:rPr>
      </w:pPr>
    </w:p>
    <w:p>
      <w:pPr>
        <w:pStyle w:val="9"/>
        <w:tabs>
          <w:tab w:val="left" w:pos="1069"/>
          <w:tab w:val="left" w:pos="2352"/>
        </w:tabs>
        <w:spacing w:line="360" w:lineRule="exact"/>
        <w:jc w:val="left"/>
        <w:rPr>
          <w:rFonts w:hAnsi="宋体" w:cs="宋体"/>
          <w:color w:val="auto"/>
          <w:sz w:val="22"/>
          <w:szCs w:val="22"/>
          <w:highlight w:val="none"/>
        </w:rPr>
      </w:pPr>
    </w:p>
    <w:p>
      <w:pPr>
        <w:pStyle w:val="9"/>
        <w:tabs>
          <w:tab w:val="left" w:pos="1069"/>
          <w:tab w:val="left" w:pos="2352"/>
        </w:tabs>
        <w:spacing w:line="360" w:lineRule="exact"/>
        <w:jc w:val="left"/>
        <w:rPr>
          <w:rFonts w:hAnsi="宋体" w:cs="宋体"/>
          <w:color w:val="auto"/>
          <w:sz w:val="22"/>
          <w:szCs w:val="22"/>
          <w:highlight w:val="none"/>
        </w:rPr>
      </w:pPr>
    </w:p>
    <w:p>
      <w:pPr>
        <w:tabs>
          <w:tab w:val="left" w:pos="1069"/>
          <w:tab w:val="left" w:pos="2352"/>
        </w:tabs>
        <w:spacing w:line="400" w:lineRule="exact"/>
        <w:jc w:val="left"/>
        <w:rPr>
          <w:rFonts w:ascii="宋体" w:hAnsi="宋体" w:cs="宋体"/>
          <w:b/>
          <w:bCs/>
          <w:color w:val="auto"/>
          <w:sz w:val="30"/>
          <w:highlight w:val="none"/>
        </w:rPr>
      </w:pPr>
    </w:p>
    <w:p>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附件十二</w:t>
      </w:r>
    </w:p>
    <w:p>
      <w:pPr>
        <w:tabs>
          <w:tab w:val="left" w:pos="1069"/>
          <w:tab w:val="left" w:pos="2352"/>
        </w:tabs>
        <w:spacing w:line="420" w:lineRule="exact"/>
        <w:jc w:val="center"/>
        <w:rPr>
          <w:rFonts w:ascii="宋体" w:hAnsi="宋体" w:cs="宋体"/>
          <w:b/>
          <w:bCs/>
          <w:color w:val="auto"/>
          <w:sz w:val="30"/>
          <w:highlight w:val="none"/>
        </w:rPr>
      </w:pPr>
      <w:bookmarkStart w:id="84" w:name="_Toc31819"/>
      <w:r>
        <w:rPr>
          <w:rFonts w:hint="eastAsia" w:ascii="宋体" w:hAnsi="宋体" w:cs="宋体"/>
          <w:b/>
          <w:bCs/>
          <w:color w:val="auto"/>
          <w:sz w:val="30"/>
          <w:highlight w:val="none"/>
        </w:rPr>
        <w:t>政府采购活动现场确认声明书</w:t>
      </w:r>
      <w:bookmarkEnd w:id="84"/>
    </w:p>
    <w:p>
      <w:pPr>
        <w:pStyle w:val="32"/>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pPr>
        <w:pStyle w:val="32"/>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pPr>
        <w:pStyle w:val="32"/>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泰顺县农村城镇生活污水水质检测</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TSCG202207018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pPr>
        <w:pStyle w:val="33"/>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3"/>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pPr>
        <w:pStyle w:val="33"/>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pPr>
        <w:pStyle w:val="33"/>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32"/>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pPr>
        <w:pStyle w:val="33"/>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pPr>
        <w:pStyle w:val="33"/>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pPr>
        <w:pStyle w:val="32"/>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pPr>
        <w:pStyle w:val="32"/>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pPr>
        <w:pStyle w:val="3"/>
        <w:tabs>
          <w:tab w:val="left" w:pos="1069"/>
          <w:tab w:val="left" w:pos="2352"/>
        </w:tabs>
        <w:spacing w:line="400" w:lineRule="exact"/>
        <w:ind w:left="490" w:hanging="490"/>
        <w:rPr>
          <w:rFonts w:ascii="宋体" w:hAnsi="宋体" w:cs="宋体"/>
          <w:b/>
          <w:bCs/>
          <w:color w:val="auto"/>
          <w:szCs w:val="21"/>
          <w:highlight w:val="none"/>
        </w:rPr>
      </w:pPr>
    </w:p>
    <w:p>
      <w:pPr>
        <w:pStyle w:val="9"/>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5"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5"/>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根据《中华人民共和国政府采购法》等有关政府采购法规，结合本次所要采购项目的实际，按照公平、公正、科学、择优的原则选择中标供应商，特制定本评审办法。</w:t>
      </w:r>
    </w:p>
    <w:p>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6" w:name="_Toc32552_WPSOffice_Level2"/>
      <w:r>
        <w:rPr>
          <w:rFonts w:hint="eastAsia" w:ascii="宋体" w:hAnsi="宋体" w:cs="宋体"/>
          <w:b/>
          <w:color w:val="auto"/>
          <w:sz w:val="22"/>
          <w:highlight w:val="none"/>
        </w:rPr>
        <w:t>一、总则</w:t>
      </w:r>
      <w:bookmarkEnd w:id="86"/>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供应商，评审小组不作任何解释。供应商不得以任何方式干扰采购工作的进行，一经发现其投标（响应）文件将被拒绝。</w:t>
      </w:r>
    </w:p>
    <w:p>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7" w:name="_Toc15399_WPSOffice_Level2"/>
      <w:r>
        <w:rPr>
          <w:rFonts w:hint="eastAsia" w:ascii="宋体" w:hAnsi="宋体" w:cs="宋体"/>
          <w:b/>
          <w:color w:val="auto"/>
          <w:sz w:val="22"/>
          <w:highlight w:val="none"/>
        </w:rPr>
        <w:t>二、评审组织</w:t>
      </w:r>
      <w:bookmarkEnd w:id="87"/>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pPr>
        <w:tabs>
          <w:tab w:val="left" w:pos="1069"/>
          <w:tab w:val="left" w:pos="2352"/>
        </w:tabs>
        <w:snapToGrid w:val="0"/>
        <w:spacing w:line="380" w:lineRule="exact"/>
        <w:ind w:firstLine="1774" w:firstLineChars="796"/>
        <w:rPr>
          <w:rFonts w:ascii="宋体" w:hAnsi="宋体" w:cs="宋体"/>
          <w:color w:val="auto"/>
          <w:sz w:val="22"/>
          <w:highlight w:val="none"/>
        </w:rPr>
      </w:pPr>
      <w:bookmarkStart w:id="88" w:name="_Toc7010_WPSOffice_Level2"/>
      <w:r>
        <w:rPr>
          <w:rFonts w:hint="eastAsia" w:ascii="宋体" w:hAnsi="宋体" w:cs="宋体"/>
          <w:b/>
          <w:color w:val="auto"/>
          <w:sz w:val="22"/>
          <w:highlight w:val="none"/>
        </w:rPr>
        <w:t>三、投标（响应）文件递交截止、磋商程序、磋商原则和方式</w:t>
      </w:r>
      <w:bookmarkEnd w:id="88"/>
    </w:p>
    <w:p>
      <w:pPr>
        <w:pStyle w:val="9"/>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pPr>
        <w:pStyle w:val="9"/>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1采购人按竞争性磋商文件规定的时间、地点收取投标（响应）文件。</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pPr>
        <w:pStyle w:val="9"/>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评审小组将综合分析合格供应商的各项指标，而不是以单项指标的优劣评选出中标（成交）的供应商。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pPr>
        <w:pStyle w:val="9"/>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pPr>
        <w:pStyle w:val="9"/>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89" w:name="_Toc28287_WPSOffice_Level2"/>
    </w:p>
    <w:p>
      <w:pPr>
        <w:tabs>
          <w:tab w:val="left" w:pos="1069"/>
          <w:tab w:val="left" w:pos="2352"/>
        </w:tabs>
        <w:rPr>
          <w:color w:val="auto"/>
          <w:highlight w:val="none"/>
        </w:rPr>
      </w:pPr>
    </w:p>
    <w:p>
      <w:pPr>
        <w:pStyle w:val="9"/>
        <w:numPr>
          <w:ilvl w:val="0"/>
          <w:numId w:val="8"/>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89"/>
      <w:bookmarkStart w:id="90" w:name="_Toc20707_WPSOffice_Level3"/>
    </w:p>
    <w:bookmarkEnd w:id="90"/>
    <w:p>
      <w:pPr>
        <w:pStyle w:val="27"/>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（满分20分）</w:t>
      </w:r>
    </w:p>
    <w:p>
      <w:pPr>
        <w:pStyle w:val="9"/>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pPr>
        <w:pStyle w:val="9"/>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磋商报价得分=（磋商基准价/最终报价）×20%×100</w:t>
      </w:r>
    </w:p>
    <w:p>
      <w:pPr>
        <w:pStyle w:val="9"/>
        <w:tabs>
          <w:tab w:val="left" w:pos="1069"/>
          <w:tab w:val="left" w:pos="2352"/>
        </w:tabs>
        <w:adjustRightInd w:val="0"/>
        <w:snapToGrid w:val="0"/>
        <w:spacing w:line="420" w:lineRule="exact"/>
        <w:ind w:left="335"/>
        <w:rPr>
          <w:rFonts w:hint="eastAsia" w:hAnsi="宋体" w:eastAsia="宋体" w:cs="宋体"/>
          <w:color w:val="auto"/>
          <w:sz w:val="22"/>
          <w:highlight w:val="none"/>
          <w:lang w:eastAsia="zh-CN"/>
        </w:rPr>
      </w:pPr>
      <w:r>
        <w:rPr>
          <w:color w:val="auto"/>
          <w:sz w:val="22"/>
          <w:highlight w:val="none"/>
        </w:rPr>
        <w:t>2</w:t>
      </w:r>
      <w:r>
        <w:rPr>
          <w:rFonts w:hint="eastAsia"/>
          <w:color w:val="auto"/>
          <w:sz w:val="22"/>
          <w:highlight w:val="none"/>
        </w:rPr>
        <w:t>、</w:t>
      </w:r>
      <w:r>
        <w:rPr>
          <w:rFonts w:hint="eastAsia" w:hAnsi="宋体" w:cs="宋体"/>
          <w:color w:val="auto"/>
          <w:sz w:val="22"/>
          <w:highlight w:val="none"/>
        </w:rPr>
        <w:t>本项目专门面向中小企业采购，不再执行价格评审优惠的扶持政策</w:t>
      </w:r>
      <w:r>
        <w:rPr>
          <w:rFonts w:hint="eastAsia"/>
          <w:color w:val="auto"/>
          <w:sz w:val="22"/>
          <w:highlight w:val="none"/>
        </w:rPr>
        <w:t>。</w:t>
      </w:r>
      <w:r>
        <w:rPr>
          <w:rFonts w:hint="eastAsia"/>
          <w:color w:val="auto"/>
          <w:sz w:val="22"/>
          <w:highlight w:val="none"/>
        </w:rPr>
        <w:br w:type="textWrapping"/>
      </w: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满分80分</w:t>
      </w:r>
      <w:r>
        <w:rPr>
          <w:rFonts w:hint="eastAsia" w:hAnsi="宋体" w:cs="宋体"/>
          <w:bCs/>
          <w:color w:val="auto"/>
          <w:sz w:val="22"/>
          <w:highlight w:val="none"/>
        </w:rPr>
        <w:t>）</w:t>
      </w:r>
    </w:p>
    <w:tbl>
      <w:tblPr>
        <w:tblStyle w:val="20"/>
        <w:tblpPr w:leftFromText="180" w:rightFromText="180" w:vertAnchor="text" w:horzAnchor="page" w:tblpX="1256" w:tblpY="81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79"/>
        <w:gridCol w:w="957"/>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pPr>
              <w:spacing w:line="288" w:lineRule="auto"/>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579" w:type="dxa"/>
            <w:vAlign w:val="center"/>
          </w:tcPr>
          <w:p>
            <w:pPr>
              <w:spacing w:line="288" w:lineRule="auto"/>
              <w:jc w:val="center"/>
              <w:rPr>
                <w:rFonts w:ascii="宋体" w:hAnsi="宋体" w:cs="宋体"/>
                <w:b/>
                <w:color w:val="auto"/>
                <w:spacing w:val="-6"/>
                <w:sz w:val="22"/>
                <w:highlight w:val="none"/>
              </w:rPr>
            </w:pPr>
            <w:r>
              <w:rPr>
                <w:rFonts w:hint="eastAsia" w:ascii="宋体" w:hAnsi="宋体" w:cs="宋体"/>
                <w:b/>
                <w:color w:val="auto"/>
                <w:spacing w:val="-6"/>
                <w:sz w:val="22"/>
                <w:highlight w:val="none"/>
              </w:rPr>
              <w:t>评审因素</w:t>
            </w:r>
          </w:p>
        </w:tc>
        <w:tc>
          <w:tcPr>
            <w:tcW w:w="957" w:type="dxa"/>
            <w:vAlign w:val="center"/>
          </w:tcPr>
          <w:p>
            <w:pPr>
              <w:spacing w:line="288" w:lineRule="auto"/>
              <w:jc w:val="center"/>
              <w:rPr>
                <w:rFonts w:ascii="宋体" w:hAnsi="宋体" w:cs="宋体"/>
                <w:b/>
                <w:color w:val="auto"/>
                <w:spacing w:val="-6"/>
                <w:sz w:val="22"/>
                <w:highlight w:val="none"/>
              </w:rPr>
            </w:pPr>
            <w:r>
              <w:rPr>
                <w:rFonts w:hint="eastAsia" w:ascii="宋体" w:hAnsi="宋体" w:cs="宋体"/>
                <w:b/>
                <w:color w:val="auto"/>
                <w:spacing w:val="-6"/>
                <w:sz w:val="22"/>
                <w:highlight w:val="none"/>
              </w:rPr>
              <w:t>分值</w:t>
            </w:r>
          </w:p>
        </w:tc>
        <w:tc>
          <w:tcPr>
            <w:tcW w:w="6403" w:type="dxa"/>
            <w:vAlign w:val="center"/>
          </w:tcPr>
          <w:p>
            <w:pPr>
              <w:pStyle w:val="38"/>
              <w:tabs>
                <w:tab w:val="left" w:pos="1418"/>
              </w:tabs>
              <w:spacing w:line="288" w:lineRule="auto"/>
              <w:rPr>
                <w:rFonts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1579" w:type="dxa"/>
            <w:vAlign w:val="center"/>
          </w:tcPr>
          <w:p>
            <w:pPr>
              <w:jc w:val="center"/>
              <w:rPr>
                <w:rFonts w:ascii="宋体" w:hAnsi="宋体" w:cs="宋体"/>
                <w:bCs/>
                <w:color w:val="auto"/>
                <w:sz w:val="22"/>
                <w:highlight w:val="none"/>
              </w:rPr>
            </w:pPr>
            <w:r>
              <w:rPr>
                <w:rFonts w:hint="eastAsia" w:ascii="宋体" w:hAnsi="宋体" w:cs="宋体"/>
                <w:color w:val="auto"/>
                <w:sz w:val="22"/>
                <w:highlight w:val="none"/>
              </w:rPr>
              <w:t>投标供应商</w:t>
            </w:r>
            <w:r>
              <w:rPr>
                <w:rFonts w:hint="eastAsia" w:ascii="宋体" w:hAnsi="宋体" w:cs="宋体"/>
                <w:bCs/>
                <w:color w:val="auto"/>
                <w:sz w:val="22"/>
                <w:highlight w:val="none"/>
              </w:rPr>
              <w:t>认证体系</w:t>
            </w:r>
          </w:p>
        </w:tc>
        <w:tc>
          <w:tcPr>
            <w:tcW w:w="957" w:type="dxa"/>
            <w:vAlign w:val="center"/>
          </w:tcPr>
          <w:p>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0-6分</w:t>
            </w:r>
          </w:p>
        </w:tc>
        <w:tc>
          <w:tcPr>
            <w:tcW w:w="6403" w:type="dxa"/>
            <w:vAlign w:val="center"/>
          </w:tcPr>
          <w:p>
            <w:pPr>
              <w:autoSpaceDE w:val="0"/>
              <w:autoSpaceDN w:val="0"/>
              <w:adjustRightInd w:val="0"/>
              <w:rPr>
                <w:color w:val="auto"/>
                <w:sz w:val="22"/>
                <w:highlight w:val="none"/>
              </w:rPr>
            </w:pPr>
            <w:r>
              <w:rPr>
                <w:rFonts w:hint="eastAsia"/>
                <w:color w:val="auto"/>
                <w:sz w:val="22"/>
                <w:highlight w:val="none"/>
              </w:rPr>
              <w:t>（1）投标供应商具有有效质量管理体系的得1分；投标供应商具有有效环境管理体系认证的得1分；投标供应商具备有效职业健康安全管理体系认证的得1分；提供认证证书复印件加盖有效公章。</w:t>
            </w:r>
          </w:p>
          <w:p>
            <w:pPr>
              <w:pStyle w:val="9"/>
              <w:rPr>
                <w:color w:val="auto"/>
                <w:sz w:val="22"/>
                <w:szCs w:val="22"/>
                <w:highlight w:val="none"/>
              </w:rPr>
            </w:pPr>
            <w:r>
              <w:rPr>
                <w:rFonts w:hint="eastAsia"/>
                <w:color w:val="auto"/>
                <w:sz w:val="22"/>
                <w:szCs w:val="22"/>
                <w:highlight w:val="none"/>
              </w:rPr>
              <w:t>（2）</w:t>
            </w:r>
            <w:r>
              <w:rPr>
                <w:color w:val="auto"/>
                <w:sz w:val="22"/>
                <w:szCs w:val="22"/>
                <w:highlight w:val="none"/>
              </w:rPr>
              <w:t>供应商检测资质认定证书（CMA）检测指标</w:t>
            </w:r>
            <w:r>
              <w:rPr>
                <w:rFonts w:hint="eastAsia"/>
                <w:color w:val="auto"/>
                <w:sz w:val="22"/>
                <w:szCs w:val="22"/>
                <w:highlight w:val="none"/>
              </w:rPr>
              <w:t>满足本项目的得1分，在此基础上增加200</w:t>
            </w:r>
            <w:r>
              <w:rPr>
                <w:color w:val="auto"/>
                <w:sz w:val="22"/>
                <w:szCs w:val="22"/>
                <w:highlight w:val="none"/>
              </w:rPr>
              <w:t>项以上的，</w:t>
            </w:r>
            <w:r>
              <w:rPr>
                <w:rFonts w:hint="eastAsia"/>
                <w:color w:val="auto"/>
                <w:sz w:val="22"/>
                <w:szCs w:val="22"/>
                <w:highlight w:val="none"/>
              </w:rPr>
              <w:t>得2</w:t>
            </w:r>
            <w:r>
              <w:rPr>
                <w:color w:val="auto"/>
                <w:sz w:val="22"/>
                <w:szCs w:val="22"/>
                <w:highlight w:val="none"/>
              </w:rPr>
              <w:t>分；</w:t>
            </w:r>
            <w:r>
              <w:rPr>
                <w:rFonts w:hint="eastAsia"/>
                <w:color w:val="auto"/>
                <w:sz w:val="22"/>
                <w:szCs w:val="22"/>
                <w:highlight w:val="none"/>
              </w:rPr>
              <w:t>在此基础上增加400</w:t>
            </w:r>
            <w:r>
              <w:rPr>
                <w:color w:val="auto"/>
                <w:sz w:val="22"/>
                <w:szCs w:val="22"/>
                <w:highlight w:val="none"/>
              </w:rPr>
              <w:t>项以上的，</w:t>
            </w:r>
            <w:r>
              <w:rPr>
                <w:rFonts w:hint="eastAsia"/>
                <w:color w:val="auto"/>
                <w:sz w:val="22"/>
                <w:szCs w:val="22"/>
                <w:highlight w:val="none"/>
              </w:rPr>
              <w:t>得3</w:t>
            </w:r>
            <w:r>
              <w:rPr>
                <w:color w:val="auto"/>
                <w:sz w:val="22"/>
                <w:szCs w:val="22"/>
                <w:highlight w:val="none"/>
              </w:rPr>
              <w:t>分</w:t>
            </w:r>
            <w:r>
              <w:rPr>
                <w:rFonts w:hint="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2</w:t>
            </w:r>
          </w:p>
        </w:tc>
        <w:tc>
          <w:tcPr>
            <w:tcW w:w="1579" w:type="dxa"/>
            <w:vAlign w:val="center"/>
          </w:tcPr>
          <w:p>
            <w:pPr>
              <w:jc w:val="center"/>
              <w:rPr>
                <w:rFonts w:ascii="宋体" w:hAnsi="宋体" w:cs="宋体"/>
                <w:bCs/>
                <w:color w:val="auto"/>
                <w:sz w:val="22"/>
                <w:highlight w:val="none"/>
              </w:rPr>
            </w:pPr>
            <w:r>
              <w:rPr>
                <w:rFonts w:hint="eastAsia" w:ascii="宋体" w:hAnsi="宋体" w:cs="宋体"/>
                <w:color w:val="auto"/>
                <w:sz w:val="22"/>
                <w:highlight w:val="none"/>
              </w:rPr>
              <w:t>投标供应商</w:t>
            </w:r>
            <w:r>
              <w:rPr>
                <w:rFonts w:hint="eastAsia" w:ascii="宋体" w:hAnsi="宋体" w:cs="宋体"/>
                <w:bCs/>
                <w:color w:val="auto"/>
                <w:sz w:val="22"/>
                <w:highlight w:val="none"/>
              </w:rPr>
              <w:t>类似业绩</w:t>
            </w:r>
          </w:p>
        </w:tc>
        <w:tc>
          <w:tcPr>
            <w:tcW w:w="957" w:type="dxa"/>
            <w:vAlign w:val="center"/>
          </w:tcPr>
          <w:p>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0-2分</w:t>
            </w:r>
          </w:p>
        </w:tc>
        <w:tc>
          <w:tcPr>
            <w:tcW w:w="6403" w:type="dxa"/>
            <w:vAlign w:val="center"/>
          </w:tcPr>
          <w:p>
            <w:pPr>
              <w:snapToGrid w:val="0"/>
              <w:rPr>
                <w:rFonts w:ascii="宋体" w:hAnsi="宋体" w:cs="宋体"/>
                <w:color w:val="auto"/>
                <w:sz w:val="22"/>
                <w:highlight w:val="none"/>
              </w:rPr>
            </w:pPr>
            <w:r>
              <w:rPr>
                <w:rFonts w:hint="eastAsia" w:ascii="宋体" w:hAnsi="宋体" w:cs="宋体"/>
                <w:color w:val="auto"/>
                <w:sz w:val="22"/>
                <w:highlight w:val="none"/>
              </w:rPr>
              <w:t>根据投标供应商承接过类似业绩的，每提供1个得1分，最多可得2分。</w:t>
            </w:r>
          </w:p>
          <w:p>
            <w:pPr>
              <w:spacing w:line="288" w:lineRule="auto"/>
              <w:jc w:val="left"/>
              <w:rPr>
                <w:rFonts w:ascii="宋体" w:hAnsi="宋体" w:cs="宋体"/>
                <w:color w:val="auto"/>
                <w:sz w:val="22"/>
                <w:highlight w:val="none"/>
              </w:rPr>
            </w:pPr>
            <w:r>
              <w:rPr>
                <w:rFonts w:hint="eastAsia" w:ascii="宋体" w:hAnsi="宋体" w:cs="宋体"/>
                <w:b/>
                <w:bCs/>
                <w:color w:val="auto"/>
                <w:sz w:val="22"/>
                <w:highlight w:val="none"/>
              </w:rPr>
              <w:t>注：须提供合同复印件</w:t>
            </w:r>
            <w:r>
              <w:rPr>
                <w:rFonts w:hint="eastAsia" w:ascii="宋体" w:hAnsi="宋体" w:cs="宋体"/>
                <w:b/>
                <w:bCs/>
                <w:color w:val="auto"/>
                <w:sz w:val="22"/>
                <w:highlight w:val="none"/>
                <w:lang w:val="en-US" w:eastAsia="zh-CN"/>
              </w:rPr>
              <w:t>和验收材料（或履约证明）</w:t>
            </w:r>
            <w:r>
              <w:rPr>
                <w:rFonts w:hint="eastAsia" w:ascii="宋体" w:hAnsi="宋体" w:cs="宋体"/>
                <w:b/>
                <w:bCs/>
                <w:color w:val="auto"/>
                <w:sz w:val="22"/>
                <w:highlight w:val="none"/>
              </w:rPr>
              <w:t>加盖有效公章，不提供不得分。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7" w:type="dxa"/>
            <w:vMerge w:val="restart"/>
            <w:vAlign w:val="center"/>
          </w:tcPr>
          <w:p>
            <w:pPr>
              <w:spacing w:line="288" w:lineRule="auto"/>
              <w:jc w:val="center"/>
              <w:rPr>
                <w:rFonts w:ascii="宋体" w:hAnsi="宋体" w:cs="宋体"/>
                <w:color w:val="auto"/>
                <w:sz w:val="22"/>
                <w:highlight w:val="none"/>
              </w:rPr>
            </w:pPr>
            <w:r>
              <w:rPr>
                <w:rFonts w:hint="eastAsia" w:ascii="宋体" w:hAnsi="宋体" w:cs="宋体"/>
                <w:color w:val="auto"/>
                <w:sz w:val="22"/>
                <w:highlight w:val="none"/>
              </w:rPr>
              <w:t>3</w:t>
            </w:r>
          </w:p>
        </w:tc>
        <w:tc>
          <w:tcPr>
            <w:tcW w:w="1579" w:type="dxa"/>
            <w:vMerge w:val="restart"/>
            <w:vAlign w:val="center"/>
          </w:tcPr>
          <w:p>
            <w:pPr>
              <w:jc w:val="center"/>
              <w:rPr>
                <w:rFonts w:hint="eastAsia" w:ascii="宋体" w:hAnsi="宋体" w:eastAsia="宋体" w:cs="宋体"/>
                <w:bCs/>
                <w:color w:val="auto"/>
                <w:sz w:val="22"/>
                <w:highlight w:val="none"/>
              </w:rPr>
            </w:pPr>
            <w:r>
              <w:rPr>
                <w:rFonts w:hint="eastAsia" w:ascii="宋体" w:hAnsi="宋体" w:eastAsia="宋体" w:cs="宋体"/>
                <w:color w:val="auto"/>
                <w:sz w:val="22"/>
                <w:highlight w:val="none"/>
              </w:rPr>
              <w:t>投标供应商</w:t>
            </w:r>
            <w:r>
              <w:rPr>
                <w:rFonts w:hint="eastAsia" w:ascii="宋体" w:hAnsi="宋体" w:eastAsia="宋体" w:cs="宋体"/>
                <w:bCs/>
                <w:color w:val="auto"/>
                <w:sz w:val="22"/>
                <w:highlight w:val="none"/>
              </w:rPr>
              <w:t>团队情况</w:t>
            </w:r>
          </w:p>
        </w:tc>
        <w:tc>
          <w:tcPr>
            <w:tcW w:w="957" w:type="dxa"/>
            <w:vMerge w:val="restart"/>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0-11分</w:t>
            </w:r>
          </w:p>
        </w:tc>
        <w:tc>
          <w:tcPr>
            <w:tcW w:w="6403" w:type="dxa"/>
            <w:vAlign w:val="center"/>
          </w:tcPr>
          <w:p>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（1）根据投标供应商拟投入的项目负责人具有水质检测相关专业</w:t>
            </w:r>
            <w:r>
              <w:rPr>
                <w:rFonts w:hint="eastAsia" w:ascii="宋体" w:hAnsi="宋体" w:eastAsia="宋体" w:cs="宋体"/>
                <w:color w:val="auto"/>
                <w:sz w:val="22"/>
                <w:szCs w:val="22"/>
                <w:highlight w:val="none"/>
              </w:rPr>
              <w:t>中级职称的得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分，具有水质检测相关专业高级及以上职称的得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rPr>
              <w:t>，本项最高得4分。</w:t>
            </w:r>
          </w:p>
          <w:p>
            <w:pPr>
              <w:snapToGrid w:val="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注：提供项目负责人在该单位的社保缴纳证明、职称证书，提供复印件加盖公章。）</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rPr>
              <w:t>项目负责人具有</w:t>
            </w:r>
            <w:r>
              <w:rPr>
                <w:rFonts w:hint="eastAsia" w:ascii="宋体" w:hAnsi="宋体" w:eastAsia="宋体" w:cs="宋体"/>
                <w:color w:val="auto"/>
                <w:sz w:val="22"/>
                <w:szCs w:val="22"/>
                <w:highlight w:val="none"/>
              </w:rPr>
              <w:t>同</w:t>
            </w:r>
            <w:r>
              <w:rPr>
                <w:rFonts w:hint="eastAsia" w:ascii="宋体" w:hAnsi="宋体" w:eastAsia="宋体" w:cs="宋体"/>
                <w:color w:val="auto"/>
                <w:sz w:val="22"/>
                <w:szCs w:val="22"/>
                <w:highlight w:val="none"/>
              </w:rPr>
              <w:t>类项目业绩的，每具有一个得1分，最高得2分，提供合同复印件加盖有效公章（若合同中未体现的，应提供其他委托方佐证的材料），不提供不得分。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667" w:type="dxa"/>
            <w:vMerge w:val="continue"/>
            <w:vAlign w:val="center"/>
          </w:tcPr>
          <w:p>
            <w:pPr>
              <w:spacing w:line="288" w:lineRule="auto"/>
              <w:jc w:val="center"/>
              <w:rPr>
                <w:rFonts w:ascii="宋体" w:hAnsi="宋体" w:cs="宋体"/>
                <w:color w:val="auto"/>
                <w:sz w:val="22"/>
                <w:highlight w:val="none"/>
              </w:rPr>
            </w:pPr>
          </w:p>
        </w:tc>
        <w:tc>
          <w:tcPr>
            <w:tcW w:w="1579" w:type="dxa"/>
            <w:vMerge w:val="continue"/>
            <w:vAlign w:val="center"/>
          </w:tcPr>
          <w:p>
            <w:pPr>
              <w:jc w:val="center"/>
              <w:rPr>
                <w:rFonts w:ascii="宋体" w:hAnsi="宋体" w:cs="宋体"/>
                <w:bCs/>
                <w:color w:val="auto"/>
                <w:sz w:val="22"/>
                <w:highlight w:val="none"/>
              </w:rPr>
            </w:pPr>
          </w:p>
        </w:tc>
        <w:tc>
          <w:tcPr>
            <w:tcW w:w="957" w:type="dxa"/>
            <w:vMerge w:val="continue"/>
            <w:vAlign w:val="center"/>
          </w:tcPr>
          <w:p>
            <w:pPr>
              <w:widowControl/>
              <w:jc w:val="center"/>
              <w:textAlignment w:val="center"/>
              <w:rPr>
                <w:rFonts w:ascii="宋体" w:hAnsi="宋体" w:cs="宋体"/>
                <w:color w:val="auto"/>
                <w:kern w:val="0"/>
                <w:sz w:val="22"/>
                <w:highlight w:val="none"/>
                <w:lang w:bidi="ar"/>
              </w:rPr>
            </w:pPr>
          </w:p>
        </w:tc>
        <w:tc>
          <w:tcPr>
            <w:tcW w:w="6403" w:type="dxa"/>
            <w:vAlign w:val="center"/>
          </w:tcPr>
          <w:p>
            <w:pPr>
              <w:numPr>
                <w:ilvl w:val="0"/>
                <w:numId w:val="9"/>
              </w:numPr>
              <w:snapToGrid w:val="0"/>
              <w:rPr>
                <w:color w:val="auto"/>
                <w:sz w:val="22"/>
                <w:highlight w:val="none"/>
              </w:rPr>
            </w:pPr>
            <w:r>
              <w:rPr>
                <w:rFonts w:hint="eastAsia"/>
                <w:color w:val="auto"/>
                <w:sz w:val="22"/>
                <w:highlight w:val="none"/>
              </w:rPr>
              <w:t>根据本项目拟投入团队（除项目负责人外）具有检测相关专业中级及以上职称的人员得3分。</w:t>
            </w:r>
          </w:p>
          <w:p>
            <w:pPr>
              <w:pStyle w:val="9"/>
              <w:rPr>
                <w:color w:val="auto"/>
                <w:sz w:val="22"/>
                <w:szCs w:val="22"/>
                <w:highlight w:val="none"/>
              </w:rPr>
            </w:pPr>
            <w:r>
              <w:rPr>
                <w:rFonts w:hint="eastAsia"/>
                <w:b/>
                <w:bCs/>
                <w:color w:val="auto"/>
                <w:sz w:val="22"/>
                <w:szCs w:val="22"/>
                <w:highlight w:val="none"/>
              </w:rPr>
              <w:t>注：上述人员须提供</w:t>
            </w:r>
            <w:r>
              <w:rPr>
                <w:rFonts w:hint="eastAsia" w:ascii="Times New Roman" w:hAnsi="Times New Roman"/>
                <w:b/>
                <w:bCs/>
                <w:color w:val="auto"/>
                <w:sz w:val="22"/>
                <w:szCs w:val="22"/>
                <w:highlight w:val="none"/>
              </w:rPr>
              <w:t>在该单位的社保缴纳证明、、</w:t>
            </w:r>
            <w:r>
              <w:rPr>
                <w:rFonts w:hint="eastAsia"/>
                <w:b/>
                <w:bCs/>
                <w:color w:val="auto"/>
                <w:sz w:val="22"/>
                <w:szCs w:val="22"/>
                <w:highlight w:val="none"/>
              </w:rPr>
              <w:t>证书复印件加盖有效公章，不提供不得分。</w:t>
            </w:r>
          </w:p>
          <w:p>
            <w:pPr>
              <w:snapToGrid w:val="0"/>
              <w:rPr>
                <w:color w:val="auto"/>
                <w:sz w:val="22"/>
                <w:highlight w:val="none"/>
              </w:rPr>
            </w:pPr>
            <w:r>
              <w:rPr>
                <w:rFonts w:hint="eastAsia"/>
                <w:color w:val="auto"/>
                <w:sz w:val="22"/>
                <w:highlight w:val="none"/>
              </w:rPr>
              <w:t>2.</w:t>
            </w:r>
            <w:r>
              <w:rPr>
                <w:rFonts w:hint="eastAsia"/>
                <w:color w:val="auto"/>
                <w:sz w:val="22"/>
                <w:highlight w:val="none"/>
              </w:rPr>
              <w:t>根据本项目拟投入团队（除项目负责人外）人员中具有同类项目业绩的，每具有一个得1分，最高得2分，提供合同复印件加盖有效公章（若合同中未体现的，应提供其他委托方佐证的材料），不提供不得分。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67" w:type="dxa"/>
            <w:vAlign w:val="center"/>
          </w:tcPr>
          <w:p>
            <w:pPr>
              <w:spacing w:line="288" w:lineRule="auto"/>
              <w:jc w:val="center"/>
              <w:rPr>
                <w:rFonts w:ascii="宋体" w:hAnsi="宋体" w:cs="宋体"/>
                <w:color w:val="auto"/>
                <w:sz w:val="22"/>
                <w:highlight w:val="none"/>
              </w:rPr>
            </w:pPr>
            <w:r>
              <w:rPr>
                <w:rFonts w:hint="eastAsia" w:ascii="宋体" w:hAnsi="宋体" w:cs="宋体"/>
                <w:color w:val="auto"/>
                <w:sz w:val="22"/>
                <w:highlight w:val="none"/>
              </w:rPr>
              <w:t>4</w:t>
            </w:r>
          </w:p>
        </w:tc>
        <w:tc>
          <w:tcPr>
            <w:tcW w:w="1579" w:type="dxa"/>
            <w:vAlign w:val="center"/>
          </w:tcPr>
          <w:p>
            <w:pPr>
              <w:rPr>
                <w:rFonts w:ascii="宋体" w:hAnsi="宋体" w:cs="宋体"/>
                <w:bCs/>
                <w:color w:val="auto"/>
                <w:sz w:val="22"/>
                <w:highlight w:val="none"/>
              </w:rPr>
            </w:pPr>
            <w:r>
              <w:rPr>
                <w:rFonts w:hint="eastAsia" w:ascii="宋体" w:hAnsi="宋体" w:cs="宋体"/>
                <w:bCs/>
                <w:color w:val="auto"/>
                <w:sz w:val="22"/>
                <w:highlight w:val="none"/>
              </w:rPr>
              <w:t>工作的要点、关键点、难点及针对性技术措施</w:t>
            </w:r>
          </w:p>
        </w:tc>
        <w:tc>
          <w:tcPr>
            <w:tcW w:w="957" w:type="dxa"/>
            <w:vAlign w:val="center"/>
          </w:tcPr>
          <w:p>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0-10分</w:t>
            </w:r>
          </w:p>
        </w:tc>
        <w:tc>
          <w:tcPr>
            <w:tcW w:w="6403" w:type="dxa"/>
            <w:vAlign w:val="center"/>
          </w:tcPr>
          <w:p>
            <w:pPr>
              <w:rPr>
                <w:rFonts w:hint="eastAsia" w:ascii="宋体" w:hAnsi="宋体" w:cs="宋体"/>
                <w:color w:val="auto"/>
                <w:sz w:val="22"/>
                <w:highlight w:val="none"/>
              </w:rPr>
            </w:pPr>
            <w:r>
              <w:rPr>
                <w:rFonts w:hint="eastAsia" w:ascii="宋体" w:cs="宋体"/>
                <w:color w:val="auto"/>
                <w:sz w:val="22"/>
                <w:highlight w:val="none"/>
                <w:lang w:val="en-US" w:eastAsia="zh-CN"/>
              </w:rPr>
              <w:br w:type="textWrapping"/>
            </w:r>
            <w:r>
              <w:rPr>
                <w:rFonts w:hint="eastAsia" w:ascii="宋体" w:hAnsi="宋体" w:cs="宋体"/>
                <w:color w:val="auto"/>
                <w:sz w:val="22"/>
                <w:highlight w:val="none"/>
              </w:rPr>
              <w:t>根据各投标供应商针对本项目检测工作的要点、关键点、难点及针对性技术措施综合</w:t>
            </w:r>
            <w:r>
              <w:rPr>
                <w:rFonts w:hint="eastAsia" w:ascii="宋体" w:hAnsi="宋体" w:cs="宋体"/>
                <w:color w:val="auto"/>
                <w:sz w:val="22"/>
                <w:highlight w:val="none"/>
                <w:lang w:val="en-US" w:eastAsia="zh-CN"/>
              </w:rPr>
              <w:t>评</w:t>
            </w:r>
            <w:r>
              <w:rPr>
                <w:rFonts w:hint="eastAsia" w:ascii="宋体" w:hAnsi="宋体" w:cs="宋体"/>
                <w:color w:val="auto"/>
                <w:sz w:val="22"/>
                <w:highlight w:val="none"/>
              </w:rPr>
              <w:t>分。</w:t>
            </w:r>
          </w:p>
          <w:p>
            <w:pPr>
              <w:rPr>
                <w:rFonts w:hint="eastAsia" w:ascii="宋体" w:hAnsi="宋体" w:cs="宋体"/>
                <w:color w:val="auto"/>
                <w:sz w:val="22"/>
                <w:highlight w:val="none"/>
                <w:lang w:val="en-US" w:eastAsia="zh-CN"/>
              </w:rPr>
            </w:pPr>
            <w:r>
              <w:rPr>
                <w:rFonts w:hint="eastAsia" w:ascii="宋体" w:hAnsi="宋体" w:cs="宋体"/>
                <w:color w:val="auto"/>
                <w:sz w:val="22"/>
                <w:highlight w:val="none"/>
              </w:rPr>
              <w:t>要点</w:t>
            </w:r>
            <w:r>
              <w:rPr>
                <w:rFonts w:hint="eastAsia" w:ascii="宋体" w:hAnsi="宋体" w:cs="宋体"/>
                <w:color w:val="auto"/>
                <w:sz w:val="22"/>
                <w:highlight w:val="none"/>
                <w:lang w:val="en-US" w:eastAsia="zh-CN"/>
              </w:rPr>
              <w:t>分析到位的得2分，</w:t>
            </w:r>
            <w:r>
              <w:rPr>
                <w:rFonts w:hint="eastAsia" w:ascii="宋体" w:hAnsi="宋体" w:cs="宋体"/>
                <w:color w:val="auto"/>
                <w:sz w:val="22"/>
                <w:highlight w:val="none"/>
              </w:rPr>
              <w:t>要点</w:t>
            </w:r>
            <w:r>
              <w:rPr>
                <w:rFonts w:hint="eastAsia" w:ascii="宋体" w:hAnsi="宋体" w:cs="宋体"/>
                <w:color w:val="auto"/>
                <w:sz w:val="22"/>
                <w:highlight w:val="none"/>
                <w:lang w:val="en-US" w:eastAsia="zh-CN"/>
              </w:rPr>
              <w:t>分析基本到位的1分，完全不合理或不可行的得0分；</w:t>
            </w:r>
          </w:p>
          <w:p>
            <w:pPr>
              <w:rPr>
                <w:rFonts w:hint="eastAsia" w:ascii="宋体" w:hAnsi="宋体" w:cs="宋体"/>
                <w:color w:val="auto"/>
                <w:sz w:val="22"/>
                <w:highlight w:val="none"/>
                <w:lang w:val="en-US" w:eastAsia="zh-CN"/>
              </w:rPr>
            </w:pPr>
            <w:r>
              <w:rPr>
                <w:rFonts w:hint="eastAsia" w:ascii="宋体" w:hAnsi="宋体" w:cs="宋体"/>
                <w:color w:val="auto"/>
                <w:sz w:val="22"/>
                <w:highlight w:val="none"/>
              </w:rPr>
              <w:t>关键点</w:t>
            </w:r>
            <w:r>
              <w:rPr>
                <w:rFonts w:hint="eastAsia" w:ascii="宋体" w:hAnsi="宋体" w:cs="宋体"/>
                <w:color w:val="auto"/>
                <w:sz w:val="22"/>
                <w:highlight w:val="none"/>
                <w:lang w:val="en-US" w:eastAsia="zh-CN"/>
              </w:rPr>
              <w:t>分析到位的得3分,</w:t>
            </w:r>
            <w:r>
              <w:rPr>
                <w:rFonts w:hint="eastAsia" w:ascii="宋体" w:hAnsi="宋体" w:cs="宋体"/>
                <w:color w:val="auto"/>
                <w:sz w:val="22"/>
                <w:highlight w:val="none"/>
              </w:rPr>
              <w:t>关键点</w:t>
            </w:r>
            <w:r>
              <w:rPr>
                <w:rFonts w:hint="eastAsia" w:ascii="宋体" w:hAnsi="宋体" w:cs="宋体"/>
                <w:color w:val="auto"/>
                <w:sz w:val="22"/>
                <w:highlight w:val="none"/>
                <w:lang w:val="en-US" w:eastAsia="zh-CN"/>
              </w:rPr>
              <w:t>分析基本到位的得1.5分，完全不合理或不可行的得0分；</w:t>
            </w:r>
          </w:p>
          <w:p>
            <w:pPr>
              <w:rPr>
                <w:rFonts w:hint="eastAsia" w:ascii="宋体" w:hAnsi="宋体" w:cs="宋体"/>
                <w:color w:val="auto"/>
                <w:sz w:val="22"/>
                <w:highlight w:val="none"/>
                <w:lang w:eastAsia="zh-CN"/>
              </w:rPr>
            </w:pPr>
            <w:r>
              <w:rPr>
                <w:rFonts w:hint="eastAsia" w:ascii="宋体" w:hAnsi="宋体" w:cs="宋体"/>
                <w:color w:val="auto"/>
                <w:sz w:val="22"/>
                <w:highlight w:val="none"/>
              </w:rPr>
              <w:t>难点分析到位</w:t>
            </w:r>
            <w:r>
              <w:rPr>
                <w:rFonts w:hint="eastAsia" w:ascii="宋体" w:hAnsi="宋体" w:cs="宋体"/>
                <w:color w:val="auto"/>
                <w:sz w:val="22"/>
                <w:highlight w:val="none"/>
                <w:lang w:val="en-US" w:eastAsia="zh-CN"/>
              </w:rPr>
              <w:t>的得2分</w:t>
            </w:r>
            <w:r>
              <w:rPr>
                <w:rFonts w:hint="eastAsia" w:ascii="宋体" w:hAnsi="宋体" w:cs="宋体"/>
                <w:color w:val="auto"/>
                <w:sz w:val="22"/>
                <w:highlight w:val="none"/>
              </w:rPr>
              <w:t>，难点分析</w:t>
            </w:r>
            <w:r>
              <w:rPr>
                <w:rFonts w:hint="eastAsia" w:ascii="宋体" w:hAnsi="宋体" w:cs="宋体"/>
                <w:color w:val="auto"/>
                <w:sz w:val="22"/>
                <w:highlight w:val="none"/>
                <w:lang w:val="en-US" w:eastAsia="zh-CN"/>
              </w:rPr>
              <w:t>基本到位的得1分，完全不合理或不可行的得0分</w:t>
            </w:r>
            <w:r>
              <w:rPr>
                <w:rFonts w:hint="eastAsia" w:ascii="宋体" w:hAnsi="宋体" w:cs="宋体"/>
                <w:color w:val="auto"/>
                <w:sz w:val="22"/>
                <w:highlight w:val="none"/>
                <w:lang w:eastAsia="zh-CN"/>
              </w:rPr>
              <w:t>；</w:t>
            </w:r>
          </w:p>
          <w:p>
            <w:pPr>
              <w:rPr>
                <w:rFonts w:ascii="宋体" w:hAnsi="宋体" w:cs="宋体"/>
                <w:color w:val="auto"/>
                <w:sz w:val="22"/>
                <w:highlight w:val="none"/>
              </w:rPr>
            </w:pPr>
            <w:r>
              <w:rPr>
                <w:rFonts w:hint="eastAsia" w:ascii="宋体" w:hAnsi="宋体" w:cs="宋体"/>
                <w:color w:val="auto"/>
                <w:sz w:val="22"/>
                <w:highlight w:val="none"/>
              </w:rPr>
              <w:t>有针对性措施</w:t>
            </w:r>
            <w:r>
              <w:rPr>
                <w:rFonts w:hint="eastAsia" w:ascii="宋体" w:hAnsi="宋体" w:cs="宋体"/>
                <w:color w:val="auto"/>
                <w:sz w:val="22"/>
                <w:highlight w:val="none"/>
                <w:lang w:val="en-US" w:eastAsia="zh-CN"/>
              </w:rPr>
              <w:t>且合理的得3分，</w:t>
            </w:r>
            <w:r>
              <w:rPr>
                <w:rFonts w:hint="eastAsia" w:ascii="宋体" w:hAnsi="宋体" w:cs="宋体"/>
                <w:color w:val="auto"/>
                <w:sz w:val="22"/>
                <w:highlight w:val="none"/>
              </w:rPr>
              <w:t>针对性措施</w:t>
            </w:r>
            <w:r>
              <w:rPr>
                <w:rFonts w:hint="eastAsia" w:ascii="宋体" w:hAnsi="宋体" w:cs="宋体"/>
                <w:color w:val="auto"/>
                <w:sz w:val="22"/>
                <w:highlight w:val="none"/>
                <w:lang w:val="en-US" w:eastAsia="zh-CN"/>
              </w:rPr>
              <w:t>基本合理的得1.5分，完全不合理或不可行的得0分</w:t>
            </w:r>
            <w:r>
              <w:rPr>
                <w:rFonts w:hint="eastAsia" w:ascii="宋体" w:hAnsi="宋体" w:cs="宋体"/>
                <w:color w:val="auto"/>
                <w:sz w:val="22"/>
                <w:highlight w:val="none"/>
              </w:rPr>
              <w:t>。</w:t>
            </w:r>
            <w:r>
              <w:rPr>
                <w:rFonts w:hint="eastAsia" w:ascii="宋体" w:hAnsi="宋体" w:cs="宋体"/>
                <w:color w:val="auto"/>
                <w:sz w:val="22"/>
                <w:highlight w:val="none"/>
              </w:rPr>
              <w:br w:type="textWrapping"/>
            </w:r>
            <w:r>
              <w:rPr>
                <w:rFonts w:hint="eastAsia" w:ascii="宋体" w:hAnsi="宋体" w:cs="宋体"/>
                <w:color w:val="auto"/>
                <w:sz w:val="22"/>
                <w:highlight w:val="none"/>
                <w:lang w:val="en-US" w:eastAsia="zh-CN"/>
              </w:rPr>
              <w:t>未提供的不得分</w:t>
            </w:r>
            <w:r>
              <w:rPr>
                <w:rFonts w:hint="eastAsia" w:ascii="宋体" w:hAnsi="宋体" w:cs="宋体"/>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67" w:type="dxa"/>
            <w:vAlign w:val="center"/>
          </w:tcPr>
          <w:p>
            <w:pPr>
              <w:spacing w:line="288" w:lineRule="auto"/>
              <w:jc w:val="center"/>
              <w:rPr>
                <w:rFonts w:ascii="宋体" w:hAnsi="宋体" w:cs="宋体"/>
                <w:color w:val="auto"/>
                <w:sz w:val="22"/>
                <w:highlight w:val="none"/>
              </w:rPr>
            </w:pPr>
            <w:r>
              <w:rPr>
                <w:rFonts w:hint="eastAsia" w:ascii="宋体" w:hAnsi="宋体" w:cs="宋体"/>
                <w:bCs/>
                <w:color w:val="auto"/>
                <w:spacing w:val="-6"/>
                <w:sz w:val="22"/>
                <w:highlight w:val="none"/>
              </w:rPr>
              <w:t>5</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检测方案</w:t>
            </w:r>
          </w:p>
        </w:tc>
        <w:tc>
          <w:tcPr>
            <w:tcW w:w="957" w:type="dxa"/>
            <w:vAlign w:val="center"/>
          </w:tcPr>
          <w:p>
            <w:pPr>
              <w:spacing w:before="158" w:beforeLines="50"/>
              <w:jc w:val="center"/>
              <w:rPr>
                <w:rFonts w:ascii="宋体" w:hAnsi="宋体" w:cs="宋体"/>
                <w:color w:val="auto"/>
                <w:kern w:val="0"/>
                <w:sz w:val="22"/>
                <w:highlight w:val="none"/>
                <w:lang w:bidi="ar"/>
              </w:rPr>
            </w:pPr>
            <w:r>
              <w:rPr>
                <w:rFonts w:hint="eastAsia" w:ascii="宋体" w:hAnsi="宋体" w:cs="宋体"/>
                <w:color w:val="auto"/>
                <w:sz w:val="22"/>
                <w:highlight w:val="none"/>
              </w:rPr>
              <w:t>0-10分</w:t>
            </w:r>
          </w:p>
        </w:tc>
        <w:tc>
          <w:tcPr>
            <w:tcW w:w="6403" w:type="dxa"/>
            <w:vAlign w:val="center"/>
          </w:tcPr>
          <w:p>
            <w:pPr>
              <w:rPr>
                <w:rFonts w:hint="eastAsia" w:ascii="宋体" w:hAnsi="宋体" w:cs="宋体"/>
                <w:color w:val="auto"/>
                <w:sz w:val="22"/>
                <w:highlight w:val="none"/>
              </w:rPr>
            </w:pPr>
            <w:r>
              <w:rPr>
                <w:rFonts w:hint="eastAsia" w:ascii="宋体" w:hAnsi="宋体" w:cs="宋体"/>
                <w:color w:val="auto"/>
                <w:sz w:val="22"/>
                <w:highlight w:val="none"/>
              </w:rPr>
              <w:t>根据各投标供应商针对本项目检测方案进行打分。</w:t>
            </w:r>
          </w:p>
          <w:p>
            <w:pPr>
              <w:rPr>
                <w:rFonts w:ascii="宋体" w:hAnsi="宋体" w:cs="宋体"/>
                <w:color w:val="auto"/>
                <w:sz w:val="22"/>
                <w:highlight w:val="none"/>
              </w:rPr>
            </w:pPr>
            <w:r>
              <w:rPr>
                <w:rFonts w:hint="eastAsia" w:ascii="宋体" w:hAnsi="宋体" w:cs="宋体"/>
                <w:color w:val="auto"/>
                <w:sz w:val="22"/>
                <w:highlight w:val="none"/>
              </w:rPr>
              <w:t>检测方案描述全面、有针对性、科学合理且</w:t>
            </w:r>
            <w:r>
              <w:rPr>
                <w:rFonts w:hint="eastAsia" w:ascii="宋体" w:hAnsi="宋体" w:cs="宋体"/>
                <w:bCs/>
                <w:color w:val="auto"/>
                <w:sz w:val="22"/>
                <w:highlight w:val="none"/>
              </w:rPr>
              <w:t>贴合项目采购需求的得10分，</w:t>
            </w:r>
            <w:r>
              <w:rPr>
                <w:rFonts w:hint="eastAsia" w:ascii="宋体" w:hAnsi="宋体" w:cs="宋体"/>
                <w:color w:val="auto"/>
                <w:sz w:val="22"/>
                <w:highlight w:val="none"/>
              </w:rPr>
              <w:t>检测方案描述</w:t>
            </w:r>
            <w:r>
              <w:rPr>
                <w:rFonts w:hint="eastAsia" w:ascii="宋体" w:hAnsi="宋体" w:cs="宋体"/>
                <w:color w:val="auto"/>
                <w:sz w:val="22"/>
                <w:highlight w:val="none"/>
                <w:lang w:val="en-US" w:eastAsia="zh-CN"/>
              </w:rPr>
              <w:t>基本</w:t>
            </w:r>
            <w:r>
              <w:rPr>
                <w:rFonts w:hint="eastAsia" w:ascii="宋体" w:hAnsi="宋体" w:cs="宋体"/>
                <w:color w:val="auto"/>
                <w:sz w:val="22"/>
                <w:highlight w:val="none"/>
              </w:rPr>
              <w:t>全面、有</w:t>
            </w:r>
            <w:r>
              <w:rPr>
                <w:rFonts w:hint="eastAsia" w:ascii="宋体" w:hAnsi="宋体" w:cs="宋体"/>
                <w:color w:val="auto"/>
                <w:sz w:val="22"/>
                <w:highlight w:val="none"/>
                <w:lang w:val="en-US" w:eastAsia="zh-CN"/>
              </w:rPr>
              <w:t>一定</w:t>
            </w:r>
            <w:r>
              <w:rPr>
                <w:rFonts w:hint="eastAsia" w:ascii="宋体" w:hAnsi="宋体" w:cs="宋体"/>
                <w:color w:val="auto"/>
                <w:sz w:val="22"/>
                <w:highlight w:val="none"/>
              </w:rPr>
              <w:t>针对性、</w:t>
            </w:r>
            <w:r>
              <w:rPr>
                <w:rFonts w:hint="eastAsia" w:ascii="宋体" w:hAnsi="宋体" w:cs="宋体"/>
                <w:color w:val="auto"/>
                <w:sz w:val="22"/>
                <w:highlight w:val="none"/>
                <w:lang w:val="en-US" w:eastAsia="zh-CN"/>
              </w:rPr>
              <w:t>基本</w:t>
            </w:r>
            <w:r>
              <w:rPr>
                <w:rFonts w:hint="eastAsia" w:ascii="宋体" w:hAnsi="宋体" w:cs="宋体"/>
                <w:color w:val="auto"/>
                <w:sz w:val="22"/>
                <w:highlight w:val="none"/>
              </w:rPr>
              <w:t>科学合理</w:t>
            </w:r>
            <w:r>
              <w:rPr>
                <w:rFonts w:hint="eastAsia" w:ascii="宋体" w:hAnsi="宋体" w:cs="宋体"/>
                <w:color w:val="auto"/>
                <w:sz w:val="22"/>
                <w:highlight w:val="none"/>
                <w:lang w:val="en-US" w:eastAsia="zh-CN"/>
              </w:rPr>
              <w:t>和基本</w:t>
            </w:r>
            <w:r>
              <w:rPr>
                <w:rFonts w:hint="eastAsia" w:ascii="宋体" w:hAnsi="宋体" w:cs="宋体"/>
                <w:bCs/>
                <w:color w:val="auto"/>
                <w:sz w:val="22"/>
                <w:highlight w:val="none"/>
              </w:rPr>
              <w:t>贴合项目采购需求的得</w:t>
            </w:r>
            <w:r>
              <w:rPr>
                <w:rFonts w:hint="eastAsia" w:ascii="宋体" w:hAnsi="宋体" w:cs="宋体"/>
                <w:bCs/>
                <w:color w:val="auto"/>
                <w:sz w:val="22"/>
                <w:highlight w:val="none"/>
                <w:lang w:val="en-US" w:eastAsia="zh-CN"/>
              </w:rPr>
              <w:t>8</w:t>
            </w:r>
            <w:r>
              <w:rPr>
                <w:rFonts w:hint="eastAsia" w:ascii="宋体" w:hAnsi="宋体" w:cs="宋体"/>
                <w:bCs/>
                <w:color w:val="auto"/>
                <w:sz w:val="22"/>
                <w:highlight w:val="none"/>
              </w:rPr>
              <w:t>分</w:t>
            </w:r>
            <w:r>
              <w:rPr>
                <w:rFonts w:hint="eastAsia" w:ascii="宋体" w:hAnsi="宋体" w:cs="宋体"/>
                <w:bCs/>
                <w:color w:val="auto"/>
                <w:sz w:val="22"/>
                <w:highlight w:val="none"/>
                <w:lang w:eastAsia="zh-CN"/>
              </w:rPr>
              <w:t>，</w:t>
            </w:r>
            <w:r>
              <w:rPr>
                <w:rFonts w:hint="eastAsia" w:ascii="宋体" w:hAnsi="宋体" w:cs="宋体"/>
                <w:color w:val="auto"/>
                <w:sz w:val="22"/>
                <w:highlight w:val="none"/>
              </w:rPr>
              <w:t>检测方案描述</w:t>
            </w:r>
            <w:r>
              <w:rPr>
                <w:rFonts w:hint="eastAsia" w:ascii="宋体" w:hAnsi="宋体" w:cs="宋体"/>
                <w:color w:val="auto"/>
                <w:sz w:val="22"/>
                <w:highlight w:val="none"/>
                <w:lang w:val="en-US" w:eastAsia="zh-CN"/>
              </w:rPr>
              <w:t>仅部分可行的得6分，</w:t>
            </w:r>
            <w:r>
              <w:rPr>
                <w:rFonts w:hint="eastAsia" w:ascii="宋体" w:hAnsi="宋体" w:cs="宋体"/>
                <w:color w:val="auto"/>
                <w:sz w:val="22"/>
                <w:highlight w:val="none"/>
                <w:lang w:val="en-US" w:eastAsia="zh-CN"/>
              </w:rPr>
              <w:t>完全不合理或不可行的得0分</w:t>
            </w:r>
            <w:r>
              <w:rPr>
                <w:rFonts w:hint="eastAsia" w:ascii="宋体" w:hAnsi="宋体" w:cs="宋体"/>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6</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合理化建议</w:t>
            </w:r>
          </w:p>
        </w:tc>
        <w:tc>
          <w:tcPr>
            <w:tcW w:w="957" w:type="dxa"/>
            <w:vAlign w:val="center"/>
          </w:tcPr>
          <w:p>
            <w:pPr>
              <w:spacing w:before="158" w:beforeLines="50"/>
              <w:jc w:val="center"/>
              <w:rPr>
                <w:rFonts w:ascii="宋体" w:hAnsi="宋体" w:cs="宋体"/>
                <w:color w:val="auto"/>
                <w:sz w:val="22"/>
                <w:highlight w:val="none"/>
              </w:rPr>
            </w:pPr>
            <w:r>
              <w:rPr>
                <w:rFonts w:hint="eastAsia" w:ascii="宋体" w:hAnsi="宋体" w:cs="宋体"/>
                <w:color w:val="auto"/>
                <w:sz w:val="22"/>
                <w:highlight w:val="none"/>
              </w:rPr>
              <w:t>0-5分</w:t>
            </w:r>
          </w:p>
        </w:tc>
        <w:tc>
          <w:tcPr>
            <w:tcW w:w="6403" w:type="dxa"/>
            <w:vAlign w:val="center"/>
          </w:tcPr>
          <w:p>
            <w:pPr>
              <w:autoSpaceDE w:val="0"/>
              <w:autoSpaceDN w:val="0"/>
              <w:adjustRightInd w:val="0"/>
              <w:rPr>
                <w:color w:val="auto"/>
                <w:sz w:val="22"/>
                <w:highlight w:val="none"/>
              </w:rPr>
            </w:pPr>
            <w:r>
              <w:rPr>
                <w:rFonts w:hint="eastAsia"/>
                <w:color w:val="auto"/>
                <w:sz w:val="22"/>
                <w:highlight w:val="none"/>
              </w:rPr>
              <w:t>各投标供应商对本项目现状的分析，以及重点难点的解决方案的符合性、科学性、合理性，进行打分。</w:t>
            </w:r>
          </w:p>
          <w:p>
            <w:pPr>
              <w:jc w:val="left"/>
              <w:rPr>
                <w:rFonts w:hAnsi="宋体" w:cs="宋体"/>
                <w:color w:val="auto"/>
                <w:sz w:val="22"/>
                <w:szCs w:val="22"/>
                <w:highlight w:val="none"/>
              </w:rPr>
            </w:pPr>
            <w:r>
              <w:rPr>
                <w:rFonts w:hint="eastAsia" w:hAnsi="宋体" w:cs="宋体"/>
                <w:color w:val="auto"/>
                <w:sz w:val="22"/>
                <w:szCs w:val="22"/>
                <w:highlight w:val="none"/>
              </w:rPr>
              <w:t>现状分析到位，重难点解决方案合理、科学，</w:t>
            </w:r>
            <w:r>
              <w:rPr>
                <w:rFonts w:hint="eastAsia" w:hAnsi="宋体" w:cs="宋体"/>
                <w:bCs/>
                <w:color w:val="auto"/>
                <w:sz w:val="22"/>
                <w:szCs w:val="22"/>
                <w:highlight w:val="none"/>
              </w:rPr>
              <w:t>贴合项目采购需求的得5分，</w:t>
            </w:r>
            <w:r>
              <w:rPr>
                <w:rFonts w:hint="eastAsia" w:hAnsi="宋体" w:cs="宋体"/>
                <w:color w:val="auto"/>
                <w:sz w:val="22"/>
                <w:szCs w:val="22"/>
                <w:highlight w:val="none"/>
              </w:rPr>
              <w:t>现状分析</w:t>
            </w:r>
            <w:r>
              <w:rPr>
                <w:rFonts w:hint="eastAsia" w:hAnsi="宋体" w:cs="宋体"/>
                <w:color w:val="auto"/>
                <w:sz w:val="22"/>
                <w:szCs w:val="22"/>
                <w:highlight w:val="none"/>
                <w:lang w:val="en-US" w:eastAsia="zh-CN"/>
              </w:rPr>
              <w:t>基本</w:t>
            </w:r>
            <w:r>
              <w:rPr>
                <w:rFonts w:hint="eastAsia" w:hAnsi="宋体" w:cs="宋体"/>
                <w:color w:val="auto"/>
                <w:sz w:val="22"/>
                <w:szCs w:val="22"/>
                <w:highlight w:val="none"/>
              </w:rPr>
              <w:t>到位，重难点解决方案</w:t>
            </w:r>
            <w:r>
              <w:rPr>
                <w:rFonts w:hint="eastAsia" w:hAnsi="宋体" w:cs="宋体"/>
                <w:color w:val="auto"/>
                <w:sz w:val="22"/>
                <w:szCs w:val="22"/>
                <w:highlight w:val="none"/>
                <w:lang w:val="en-US" w:eastAsia="zh-CN"/>
              </w:rPr>
              <w:t>基本</w:t>
            </w:r>
            <w:r>
              <w:rPr>
                <w:rFonts w:hint="eastAsia" w:hAnsi="宋体" w:cs="宋体"/>
                <w:color w:val="auto"/>
                <w:sz w:val="22"/>
                <w:szCs w:val="22"/>
                <w:highlight w:val="none"/>
              </w:rPr>
              <w:t>合理、科学，</w:t>
            </w:r>
            <w:r>
              <w:rPr>
                <w:rFonts w:hint="eastAsia" w:hAnsi="宋体" w:cs="宋体"/>
                <w:color w:val="auto"/>
                <w:sz w:val="22"/>
                <w:szCs w:val="22"/>
                <w:highlight w:val="none"/>
                <w:lang w:val="en-US" w:eastAsia="zh-CN"/>
              </w:rPr>
              <w:t>基本</w:t>
            </w:r>
            <w:r>
              <w:rPr>
                <w:rFonts w:hint="eastAsia" w:hAnsi="宋体" w:cs="宋体"/>
                <w:bCs/>
                <w:color w:val="auto"/>
                <w:sz w:val="22"/>
                <w:szCs w:val="22"/>
                <w:highlight w:val="none"/>
              </w:rPr>
              <w:t>贴合项目采购需求的得</w:t>
            </w:r>
            <w:r>
              <w:rPr>
                <w:rFonts w:hint="eastAsia" w:hAnsi="宋体" w:cs="宋体"/>
                <w:bCs/>
                <w:color w:val="auto"/>
                <w:sz w:val="22"/>
                <w:szCs w:val="22"/>
                <w:highlight w:val="none"/>
                <w:lang w:val="en-US" w:eastAsia="zh-CN"/>
              </w:rPr>
              <w:t>4</w:t>
            </w:r>
            <w:r>
              <w:rPr>
                <w:rFonts w:hint="eastAsia" w:hAnsi="宋体" w:cs="宋体"/>
                <w:bCs/>
                <w:color w:val="auto"/>
                <w:sz w:val="22"/>
                <w:szCs w:val="22"/>
                <w:highlight w:val="none"/>
              </w:rPr>
              <w:t>分</w:t>
            </w:r>
            <w:r>
              <w:rPr>
                <w:rFonts w:hint="eastAsia" w:hAnsi="宋体" w:cs="宋体"/>
                <w:bCs/>
                <w:color w:val="auto"/>
                <w:sz w:val="22"/>
                <w:szCs w:val="22"/>
                <w:highlight w:val="none"/>
                <w:lang w:eastAsia="zh-CN"/>
              </w:rPr>
              <w:t>，</w:t>
            </w:r>
            <w:r>
              <w:rPr>
                <w:rFonts w:hint="eastAsia" w:hAnsi="宋体" w:cs="宋体"/>
                <w:color w:val="auto"/>
                <w:sz w:val="22"/>
                <w:szCs w:val="22"/>
                <w:highlight w:val="none"/>
              </w:rPr>
              <w:t>现状分析重难点解决方案</w:t>
            </w:r>
            <w:r>
              <w:rPr>
                <w:rFonts w:hint="eastAsia" w:hAnsi="宋体" w:cs="宋体"/>
                <w:color w:val="auto"/>
                <w:sz w:val="22"/>
                <w:szCs w:val="22"/>
                <w:highlight w:val="none"/>
                <w:lang w:val="en-US" w:eastAsia="zh-CN"/>
              </w:rPr>
              <w:t>仅部分可行的得2分，完全</w:t>
            </w:r>
            <w:r>
              <w:rPr>
                <w:rFonts w:hint="eastAsia" w:ascii="宋体" w:hAnsi="宋体" w:eastAsia="宋体" w:cs="宋体"/>
                <w:bCs/>
                <w:color w:val="auto"/>
                <w:kern w:val="0"/>
                <w:sz w:val="22"/>
                <w:highlight w:val="none"/>
                <w:lang w:val="en-US" w:eastAsia="zh-CN"/>
              </w:rPr>
              <w:t>不合理或不可行的得0分</w:t>
            </w:r>
            <w:r>
              <w:rPr>
                <w:rFonts w:hint="eastAsia" w:ascii="宋体" w:hAnsi="宋体" w:cs="宋体"/>
                <w:bCs/>
                <w:color w:val="auto"/>
                <w:kern w:val="0"/>
                <w:sz w:val="22"/>
                <w:highlight w:val="none"/>
                <w:lang w:val="en-US" w:eastAsia="zh-CN"/>
              </w:rPr>
              <w:t>，</w:t>
            </w:r>
            <w:r>
              <w:rPr>
                <w:rFonts w:hint="eastAsia" w:ascii="宋体" w:hAnsi="宋体" w:cs="宋体"/>
                <w:color w:val="auto"/>
                <w:sz w:val="22"/>
                <w:highlight w:val="none"/>
              </w:rPr>
              <w:t>未提供不得分</w:t>
            </w:r>
            <w:r>
              <w:rPr>
                <w:rFonts w:hint="eastAsia" w:hAnsi="宋体" w:cs="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7</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检测设备、材料配置情况</w:t>
            </w:r>
          </w:p>
        </w:tc>
        <w:tc>
          <w:tcPr>
            <w:tcW w:w="957" w:type="dxa"/>
            <w:vAlign w:val="center"/>
          </w:tcPr>
          <w:p>
            <w:pPr>
              <w:spacing w:before="158" w:beforeLines="50"/>
              <w:jc w:val="center"/>
              <w:rPr>
                <w:rFonts w:ascii="宋体" w:hAnsi="宋体" w:cs="宋体"/>
                <w:color w:val="auto"/>
                <w:sz w:val="22"/>
                <w:highlight w:val="none"/>
              </w:rPr>
            </w:pPr>
            <w:r>
              <w:rPr>
                <w:rFonts w:hint="eastAsia" w:ascii="宋体" w:hAnsi="宋体" w:cs="宋体"/>
                <w:color w:val="auto"/>
                <w:sz w:val="22"/>
                <w:highlight w:val="none"/>
              </w:rPr>
              <w:t>0-12分</w:t>
            </w:r>
          </w:p>
        </w:tc>
        <w:tc>
          <w:tcPr>
            <w:tcW w:w="6403" w:type="dxa"/>
            <w:vAlign w:val="center"/>
          </w:tcPr>
          <w:p>
            <w:pPr>
              <w:pStyle w:val="9"/>
              <w:adjustRightInd w:val="0"/>
              <w:snapToGrid w:val="0"/>
              <w:spacing w:line="300" w:lineRule="exact"/>
              <w:rPr>
                <w:color w:val="auto"/>
                <w:sz w:val="22"/>
                <w:szCs w:val="22"/>
                <w:highlight w:val="none"/>
              </w:rPr>
            </w:pPr>
            <w:r>
              <w:rPr>
                <w:rFonts w:hint="eastAsia"/>
                <w:color w:val="auto"/>
                <w:sz w:val="22"/>
                <w:szCs w:val="22"/>
                <w:highlight w:val="none"/>
              </w:rPr>
              <w:t>根据</w:t>
            </w:r>
            <w:r>
              <w:rPr>
                <w:rFonts w:hint="eastAsia" w:hAnsi="宋体" w:cs="宋体"/>
                <w:color w:val="auto"/>
                <w:sz w:val="22"/>
                <w:szCs w:val="22"/>
                <w:highlight w:val="none"/>
              </w:rPr>
              <w:t>各投标供应商</w:t>
            </w:r>
            <w:r>
              <w:rPr>
                <w:rFonts w:hint="eastAsia"/>
                <w:color w:val="auto"/>
                <w:sz w:val="22"/>
                <w:szCs w:val="22"/>
                <w:highlight w:val="none"/>
              </w:rPr>
              <w:t>具备本项目采样相关仪器、运输储存工具、检测相关仪器，需提供设备仪器图片及相关检测仪器说明，评委根据提供仪器设备先进性及性能优劣程度进行打分。</w:t>
            </w:r>
          </w:p>
          <w:p>
            <w:pPr>
              <w:pStyle w:val="9"/>
              <w:adjustRightInd w:val="0"/>
              <w:snapToGrid w:val="0"/>
              <w:spacing w:line="300" w:lineRule="exact"/>
              <w:rPr>
                <w:color w:val="auto"/>
                <w:sz w:val="22"/>
                <w:szCs w:val="22"/>
                <w:highlight w:val="none"/>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配置完整配套的</w:t>
            </w:r>
            <w:r>
              <w:rPr>
                <w:rFonts w:hint="eastAsia" w:hAnsi="宋体" w:cs="宋体"/>
                <w:color w:val="auto"/>
                <w:sz w:val="22"/>
                <w:szCs w:val="22"/>
                <w:highlight w:val="none"/>
              </w:rPr>
              <w:t>采样仪器</w:t>
            </w:r>
            <w:r>
              <w:rPr>
                <w:rFonts w:hint="eastAsia" w:hAnsi="宋体" w:cs="宋体"/>
                <w:color w:val="auto"/>
                <w:sz w:val="22"/>
                <w:szCs w:val="22"/>
                <w:highlight w:val="none"/>
                <w:lang w:val="en-US" w:eastAsia="zh-CN"/>
              </w:rPr>
              <w:t>得2分</w:t>
            </w:r>
            <w:r>
              <w:rPr>
                <w:rFonts w:hint="eastAsia" w:hAnsi="宋体" w:cs="宋体"/>
                <w:bCs/>
                <w:color w:val="auto"/>
                <w:sz w:val="22"/>
                <w:szCs w:val="22"/>
                <w:highlight w:val="none"/>
              </w:rPr>
              <w:t>。</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w:t>
            </w:r>
            <w:r>
              <w:rPr>
                <w:rFonts w:hint="eastAsia" w:hAnsi="宋体" w:cs="宋体"/>
                <w:color w:val="auto"/>
                <w:sz w:val="22"/>
                <w:szCs w:val="22"/>
                <w:highlight w:val="none"/>
                <w:lang w:val="en-US" w:eastAsia="zh-CN"/>
              </w:rPr>
              <w:t>配置</w:t>
            </w:r>
            <w:r>
              <w:rPr>
                <w:rFonts w:hint="eastAsia"/>
                <w:color w:val="auto"/>
                <w:sz w:val="22"/>
                <w:szCs w:val="22"/>
                <w:highlight w:val="none"/>
              </w:rPr>
              <w:t>运输储存工具</w:t>
            </w:r>
            <w:r>
              <w:rPr>
                <w:rFonts w:hint="eastAsia" w:hAnsi="宋体" w:cs="宋体"/>
                <w:color w:val="auto"/>
                <w:sz w:val="22"/>
                <w:szCs w:val="22"/>
                <w:highlight w:val="none"/>
                <w:lang w:val="en-US" w:eastAsia="zh-CN"/>
              </w:rPr>
              <w:t>得2分</w:t>
            </w:r>
            <w:r>
              <w:rPr>
                <w:rFonts w:hint="eastAsia" w:hAnsi="宋体" w:cs="宋体"/>
                <w:bCs/>
                <w:color w:val="auto"/>
                <w:sz w:val="22"/>
                <w:szCs w:val="22"/>
                <w:highlight w:val="none"/>
              </w:rPr>
              <w:t>。</w:t>
            </w:r>
            <w:r>
              <w:rPr>
                <w:rFonts w:hint="eastAsia" w:hAnsi="宋体" w:cs="宋体"/>
                <w:bCs/>
                <w:color w:val="auto"/>
                <w:sz w:val="22"/>
                <w:szCs w:val="22"/>
                <w:highlight w:val="none"/>
              </w:rPr>
              <w:br w:type="textWrapping"/>
            </w:r>
            <w:r>
              <w:rPr>
                <w:rFonts w:hint="eastAsia" w:hAnsi="宋体" w:cs="宋体"/>
                <w:bCs/>
                <w:color w:val="auto"/>
                <w:sz w:val="22"/>
                <w:szCs w:val="22"/>
                <w:highlight w:val="none"/>
              </w:rPr>
              <w:t>（3）</w:t>
            </w:r>
            <w:r>
              <w:rPr>
                <w:rFonts w:hint="eastAsia" w:hAnsi="宋体" w:cs="宋体"/>
                <w:color w:val="auto"/>
                <w:sz w:val="22"/>
                <w:szCs w:val="22"/>
                <w:highlight w:val="none"/>
                <w:lang w:val="en-US" w:eastAsia="zh-CN"/>
              </w:rPr>
              <w:t>配置</w:t>
            </w:r>
            <w:r>
              <w:rPr>
                <w:rFonts w:hint="eastAsia"/>
                <w:color w:val="auto"/>
                <w:sz w:val="22"/>
                <w:szCs w:val="22"/>
                <w:highlight w:val="none"/>
              </w:rPr>
              <w:t>相关检测</w:t>
            </w:r>
            <w:r>
              <w:rPr>
                <w:rFonts w:hint="eastAsia"/>
                <w:color w:val="auto"/>
                <w:sz w:val="22"/>
                <w:szCs w:val="22"/>
                <w:highlight w:val="none"/>
                <w:lang w:val="en-US" w:eastAsia="zh-CN"/>
              </w:rPr>
              <w:t>类的</w:t>
            </w:r>
            <w:r>
              <w:rPr>
                <w:rFonts w:hint="eastAsia"/>
                <w:color w:val="auto"/>
                <w:sz w:val="22"/>
                <w:szCs w:val="22"/>
                <w:highlight w:val="none"/>
              </w:rPr>
              <w:t>仪器</w:t>
            </w:r>
            <w:r>
              <w:rPr>
                <w:rFonts w:hint="eastAsia"/>
                <w:color w:val="auto"/>
                <w:sz w:val="22"/>
                <w:szCs w:val="22"/>
                <w:highlight w:val="none"/>
                <w:lang w:val="en-US" w:eastAsia="zh-CN"/>
              </w:rPr>
              <w:t>设备</w:t>
            </w:r>
            <w:r>
              <w:rPr>
                <w:rFonts w:hint="eastAsia"/>
                <w:color w:val="auto"/>
                <w:sz w:val="22"/>
                <w:szCs w:val="22"/>
                <w:highlight w:val="none"/>
                <w:lang w:eastAsia="zh-CN"/>
              </w:rPr>
              <w:t>，</w:t>
            </w:r>
            <w:r>
              <w:rPr>
                <w:rFonts w:hint="eastAsia"/>
                <w:color w:val="auto"/>
                <w:sz w:val="22"/>
                <w:szCs w:val="22"/>
                <w:highlight w:val="none"/>
                <w:lang w:val="en-US" w:eastAsia="zh-CN"/>
              </w:rPr>
              <w:t>每提供一个得1分，最高</w:t>
            </w:r>
            <w:r>
              <w:rPr>
                <w:rFonts w:hint="eastAsia" w:hAnsi="宋体" w:cs="宋体"/>
                <w:color w:val="auto"/>
                <w:sz w:val="22"/>
                <w:szCs w:val="22"/>
                <w:highlight w:val="none"/>
                <w:lang w:val="en-US" w:eastAsia="zh-CN"/>
              </w:rPr>
              <w:t>得8分</w:t>
            </w:r>
            <w:r>
              <w:rPr>
                <w:rFonts w:hint="eastAsia" w:hAnsi="宋体" w:cs="宋体"/>
                <w:bCs/>
                <w:color w:val="auto"/>
                <w:sz w:val="22"/>
                <w:szCs w:val="22"/>
                <w:highlight w:val="none"/>
              </w:rPr>
              <w:t>。</w:t>
            </w:r>
          </w:p>
          <w:p>
            <w:pPr>
              <w:pStyle w:val="9"/>
              <w:adjustRightInd w:val="0"/>
              <w:snapToGrid w:val="0"/>
              <w:spacing w:line="300" w:lineRule="exact"/>
              <w:rPr>
                <w:color w:val="auto"/>
                <w:sz w:val="22"/>
                <w:szCs w:val="22"/>
                <w:highlight w:val="none"/>
              </w:rPr>
            </w:pPr>
            <w:r>
              <w:rPr>
                <w:rFonts w:hint="eastAsia"/>
                <w:color w:val="auto"/>
                <w:sz w:val="22"/>
                <w:szCs w:val="22"/>
                <w:highlight w:val="none"/>
              </w:rPr>
              <w:t>注：需提供供应商自有购买的仪器设备发票及购置合同等相关证明材料，否则不得分。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8</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服务承诺</w:t>
            </w:r>
          </w:p>
        </w:tc>
        <w:tc>
          <w:tcPr>
            <w:tcW w:w="957"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0-8分</w:t>
            </w:r>
          </w:p>
        </w:tc>
        <w:tc>
          <w:tcPr>
            <w:tcW w:w="6403" w:type="dxa"/>
            <w:vAlign w:val="center"/>
          </w:tcPr>
          <w:p>
            <w:pPr>
              <w:pStyle w:val="9"/>
              <w:adjustRightInd w:val="0"/>
              <w:snapToGrid w:val="0"/>
              <w:spacing w:line="300" w:lineRule="exact"/>
              <w:rPr>
                <w:rFonts w:hAnsi="宋体" w:cs="宋体"/>
                <w:bCs/>
                <w:color w:val="auto"/>
                <w:sz w:val="22"/>
                <w:szCs w:val="22"/>
                <w:highlight w:val="none"/>
              </w:rPr>
            </w:pPr>
            <w:r>
              <w:rPr>
                <w:rFonts w:hint="eastAsia" w:hAnsi="宋体" w:cs="宋体"/>
                <w:bCs/>
                <w:color w:val="auto"/>
                <w:sz w:val="22"/>
                <w:szCs w:val="22"/>
                <w:highlight w:val="none"/>
              </w:rPr>
              <w:t>根据各投标供应商针对本项目服务响应时间、后续服务内容、服务体系、质量保障措施等，评委根据各供应商内容在规定分值内打分。</w:t>
            </w:r>
          </w:p>
          <w:p>
            <w:pPr>
              <w:pStyle w:val="9"/>
              <w:adjustRightInd w:val="0"/>
              <w:snapToGrid w:val="0"/>
              <w:spacing w:line="300" w:lineRule="exact"/>
              <w:rPr>
                <w:rFonts w:hAnsi="宋体" w:cs="宋体"/>
                <w:bCs/>
                <w:color w:val="auto"/>
                <w:sz w:val="22"/>
                <w:szCs w:val="22"/>
                <w:highlight w:val="none"/>
              </w:rPr>
            </w:pPr>
            <w:r>
              <w:rPr>
                <w:rFonts w:hint="eastAsia" w:ascii="宋体" w:cs="宋体"/>
                <w:color w:val="auto"/>
                <w:sz w:val="22"/>
                <w:highlight w:val="none"/>
                <w:lang w:val="en-US" w:eastAsia="zh-CN"/>
              </w:rPr>
              <w:t>承诺在15分钟内响应的得2分。</w:t>
            </w:r>
            <w:r>
              <w:rPr>
                <w:rFonts w:hint="eastAsia" w:ascii="宋体" w:cs="宋体"/>
                <w:color w:val="auto"/>
                <w:sz w:val="22"/>
                <w:highlight w:val="none"/>
                <w:lang w:val="en-US" w:eastAsia="zh-CN"/>
              </w:rPr>
              <w:br w:type="textWrapping"/>
            </w:r>
            <w:r>
              <w:rPr>
                <w:rFonts w:hint="eastAsia" w:hAnsi="宋体" w:cs="宋体"/>
                <w:bCs/>
                <w:color w:val="auto"/>
                <w:sz w:val="22"/>
                <w:szCs w:val="22"/>
                <w:highlight w:val="none"/>
              </w:rPr>
              <w:t>后续服务内容、服务体系、质量保障措施等方案完全满足、描述详细，内容全面，完整的本项目要求的得</w:t>
            </w:r>
            <w:r>
              <w:rPr>
                <w:rFonts w:hint="eastAsia" w:hAnsi="宋体" w:cs="宋体"/>
                <w:bCs/>
                <w:color w:val="auto"/>
                <w:sz w:val="22"/>
                <w:szCs w:val="22"/>
                <w:highlight w:val="none"/>
                <w:lang w:val="en-US" w:eastAsia="zh-CN"/>
              </w:rPr>
              <w:t>6</w:t>
            </w:r>
            <w:r>
              <w:rPr>
                <w:rFonts w:hint="eastAsia" w:hAnsi="宋体" w:cs="宋体"/>
                <w:bCs/>
                <w:color w:val="auto"/>
                <w:sz w:val="22"/>
                <w:szCs w:val="22"/>
                <w:highlight w:val="none"/>
              </w:rPr>
              <w:t>分，</w:t>
            </w:r>
            <w:r>
              <w:rPr>
                <w:rFonts w:hint="eastAsia" w:hAnsi="宋体" w:cs="宋体"/>
                <w:bCs/>
                <w:color w:val="auto"/>
                <w:sz w:val="22"/>
                <w:szCs w:val="22"/>
                <w:highlight w:val="none"/>
                <w:lang w:val="en-US" w:eastAsia="zh-CN"/>
              </w:rPr>
              <w:t>方案基本合理的得5分，方案仅部分可行的得3分，</w:t>
            </w:r>
            <w:r>
              <w:rPr>
                <w:rFonts w:hint="eastAsia" w:hAnsi="宋体" w:cs="宋体"/>
                <w:color w:val="auto"/>
                <w:sz w:val="22"/>
                <w:szCs w:val="22"/>
                <w:highlight w:val="none"/>
                <w:lang w:val="en-US" w:eastAsia="zh-CN"/>
              </w:rPr>
              <w:t>完全</w:t>
            </w:r>
            <w:r>
              <w:rPr>
                <w:rFonts w:hint="eastAsia" w:ascii="宋体" w:hAnsi="宋体" w:eastAsia="宋体" w:cs="宋体"/>
                <w:bCs/>
                <w:color w:val="auto"/>
                <w:kern w:val="0"/>
                <w:sz w:val="22"/>
                <w:highlight w:val="none"/>
                <w:lang w:val="en-US" w:eastAsia="zh-CN"/>
              </w:rPr>
              <w:t>不合理或不可行的得0分</w:t>
            </w:r>
            <w:r>
              <w:rPr>
                <w:rFonts w:hint="eastAsia" w:ascii="宋体" w:hAnsi="宋体" w:cs="宋体"/>
                <w:bCs/>
                <w:color w:val="auto"/>
                <w:kern w:val="0"/>
                <w:sz w:val="22"/>
                <w:highlight w:val="none"/>
                <w:lang w:val="en-US" w:eastAsia="zh-CN"/>
              </w:rPr>
              <w:t>，</w:t>
            </w:r>
            <w:r>
              <w:rPr>
                <w:rFonts w:hint="eastAsia" w:ascii="宋体" w:hAnsi="宋体" w:cs="宋体"/>
                <w:color w:val="auto"/>
                <w:sz w:val="22"/>
                <w:highlight w:val="none"/>
              </w:rPr>
              <w:t>未提供不得分</w:t>
            </w:r>
            <w:r>
              <w:rPr>
                <w:rFonts w:hint="eastAsia" w:hAnsi="宋体" w:cs="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9</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服务质量</w:t>
            </w:r>
          </w:p>
        </w:tc>
        <w:tc>
          <w:tcPr>
            <w:tcW w:w="957"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0-8分</w:t>
            </w:r>
          </w:p>
        </w:tc>
        <w:tc>
          <w:tcPr>
            <w:tcW w:w="6403" w:type="dxa"/>
            <w:vAlign w:val="center"/>
          </w:tcPr>
          <w:p>
            <w:pPr>
              <w:pStyle w:val="9"/>
              <w:adjustRightInd w:val="0"/>
              <w:snapToGrid w:val="0"/>
              <w:spacing w:line="300" w:lineRule="exact"/>
              <w:rPr>
                <w:rFonts w:hAnsi="宋体" w:cs="宋体"/>
                <w:bCs/>
                <w:color w:val="auto"/>
                <w:sz w:val="22"/>
                <w:szCs w:val="22"/>
                <w:highlight w:val="none"/>
              </w:rPr>
            </w:pPr>
            <w:r>
              <w:rPr>
                <w:rFonts w:hint="eastAsia" w:hAnsi="宋体" w:cs="宋体"/>
                <w:bCs/>
                <w:color w:val="auto"/>
                <w:sz w:val="22"/>
                <w:szCs w:val="22"/>
                <w:highlight w:val="none"/>
              </w:rPr>
              <w:t>根据质量控制方法的合理性、可行性等进行打分。质量控制方法合理、可行、贴合项目目采购需求的得8分，方法</w:t>
            </w:r>
            <w:r>
              <w:rPr>
                <w:rFonts w:hint="eastAsia" w:hAnsi="宋体" w:cs="宋体"/>
                <w:bCs/>
                <w:color w:val="auto"/>
                <w:sz w:val="22"/>
                <w:szCs w:val="22"/>
                <w:highlight w:val="none"/>
                <w:lang w:val="en-US" w:eastAsia="zh-CN"/>
              </w:rPr>
              <w:t>基本合理的得6分，</w:t>
            </w:r>
            <w:r>
              <w:rPr>
                <w:rFonts w:hint="eastAsia" w:hAnsi="宋体" w:cs="宋体"/>
                <w:bCs/>
                <w:color w:val="auto"/>
                <w:sz w:val="22"/>
                <w:szCs w:val="22"/>
                <w:highlight w:val="none"/>
              </w:rPr>
              <w:t>方法</w:t>
            </w:r>
            <w:r>
              <w:rPr>
                <w:rFonts w:hint="eastAsia" w:hAnsi="宋体" w:cs="宋体"/>
                <w:bCs/>
                <w:color w:val="auto"/>
                <w:sz w:val="22"/>
                <w:szCs w:val="22"/>
                <w:highlight w:val="none"/>
                <w:lang w:val="en-US" w:eastAsia="zh-CN"/>
              </w:rPr>
              <w:t>仅部分可行的得4分，</w:t>
            </w:r>
            <w:r>
              <w:rPr>
                <w:rFonts w:hint="eastAsia" w:hAnsi="宋体" w:cs="宋体"/>
                <w:color w:val="auto"/>
                <w:sz w:val="22"/>
                <w:szCs w:val="22"/>
                <w:highlight w:val="none"/>
                <w:lang w:val="en-US" w:eastAsia="zh-CN"/>
              </w:rPr>
              <w:t>完全</w:t>
            </w:r>
            <w:r>
              <w:rPr>
                <w:rFonts w:hint="eastAsia" w:ascii="宋体" w:hAnsi="宋体" w:eastAsia="宋体" w:cs="宋体"/>
                <w:bCs/>
                <w:color w:val="auto"/>
                <w:kern w:val="0"/>
                <w:sz w:val="22"/>
                <w:highlight w:val="none"/>
                <w:lang w:val="en-US" w:eastAsia="zh-CN"/>
              </w:rPr>
              <w:t>不合理或不可行的得0分</w:t>
            </w:r>
            <w:r>
              <w:rPr>
                <w:rFonts w:hint="eastAsia" w:ascii="宋体" w:hAnsi="宋体" w:cs="宋体"/>
                <w:bCs/>
                <w:color w:val="auto"/>
                <w:kern w:val="0"/>
                <w:sz w:val="22"/>
                <w:highlight w:val="none"/>
                <w:lang w:val="en-US" w:eastAsia="zh-CN"/>
              </w:rPr>
              <w:t>，</w:t>
            </w:r>
            <w:r>
              <w:rPr>
                <w:rFonts w:hint="eastAsia" w:ascii="宋体" w:hAnsi="宋体" w:cs="宋体"/>
                <w:color w:val="auto"/>
                <w:sz w:val="22"/>
                <w:highlight w:val="none"/>
              </w:rPr>
              <w:t>未提供不得分</w:t>
            </w:r>
            <w:r>
              <w:rPr>
                <w:rFonts w:hint="eastAsia" w:hAnsi="宋体" w:cs="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7" w:type="dxa"/>
            <w:vAlign w:val="center"/>
          </w:tcPr>
          <w:p>
            <w:pPr>
              <w:spacing w:line="288"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10</w:t>
            </w:r>
          </w:p>
        </w:tc>
        <w:tc>
          <w:tcPr>
            <w:tcW w:w="1579"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检测规范管理制度</w:t>
            </w:r>
          </w:p>
        </w:tc>
        <w:tc>
          <w:tcPr>
            <w:tcW w:w="957" w:type="dxa"/>
            <w:vAlign w:val="center"/>
          </w:tcPr>
          <w:p>
            <w:pPr>
              <w:jc w:val="center"/>
              <w:rPr>
                <w:rFonts w:ascii="宋体" w:hAnsi="宋体" w:cs="宋体"/>
                <w:bCs/>
                <w:color w:val="auto"/>
                <w:sz w:val="22"/>
                <w:highlight w:val="none"/>
              </w:rPr>
            </w:pPr>
            <w:r>
              <w:rPr>
                <w:rFonts w:hint="eastAsia" w:ascii="宋体" w:hAnsi="宋体" w:cs="宋体"/>
                <w:bCs/>
                <w:color w:val="auto"/>
                <w:sz w:val="22"/>
                <w:highlight w:val="none"/>
              </w:rPr>
              <w:t>0-8分</w:t>
            </w:r>
          </w:p>
        </w:tc>
        <w:tc>
          <w:tcPr>
            <w:tcW w:w="6403" w:type="dxa"/>
            <w:vAlign w:val="center"/>
          </w:tcPr>
          <w:p>
            <w:pPr>
              <w:rPr>
                <w:rFonts w:ascii="宋体" w:hAnsi="宋体" w:cs="宋体"/>
                <w:color w:val="auto"/>
                <w:sz w:val="22"/>
                <w:highlight w:val="none"/>
              </w:rPr>
            </w:pPr>
            <w:r>
              <w:rPr>
                <w:rFonts w:hint="eastAsia" w:ascii="宋体" w:hAnsi="宋体" w:cs="宋体"/>
                <w:color w:val="auto"/>
                <w:sz w:val="22"/>
                <w:highlight w:val="none"/>
              </w:rPr>
              <w:t>针对本项目的管理制度（包括但不限于设备管理制度、人员管理制度、检测过程管理制度、报告管理制度、档案管理制度、实验室管理制度等）的完善性、科学性进行评审。（0-8分）</w:t>
            </w:r>
            <w:r>
              <w:rPr>
                <w:rFonts w:hint="eastAsia" w:ascii="宋体" w:hAnsi="宋体" w:cs="宋体"/>
                <w:color w:val="auto"/>
                <w:sz w:val="22"/>
                <w:highlight w:val="none"/>
              </w:rPr>
              <w:br w:type="textWrapping"/>
            </w:r>
            <w:r>
              <w:rPr>
                <w:rFonts w:hint="eastAsia" w:ascii="宋体" w:hAnsi="宋体" w:cs="宋体"/>
                <w:color w:val="auto"/>
                <w:sz w:val="22"/>
                <w:highlight w:val="none"/>
              </w:rPr>
              <w:t>管理制度全面、科学合理，贴合项目采购需求的</w:t>
            </w:r>
            <w:r>
              <w:rPr>
                <w:rFonts w:hint="eastAsia" w:ascii="宋体" w:hAnsi="宋体" w:cs="宋体"/>
                <w:bCs/>
                <w:color w:val="auto"/>
                <w:sz w:val="22"/>
                <w:highlight w:val="none"/>
              </w:rPr>
              <w:t>得8分，</w:t>
            </w:r>
            <w:r>
              <w:rPr>
                <w:rFonts w:hint="eastAsia" w:ascii="宋体" w:hAnsi="宋体" w:cs="宋体"/>
                <w:color w:val="auto"/>
                <w:sz w:val="22"/>
                <w:highlight w:val="none"/>
              </w:rPr>
              <w:t>管理制度</w:t>
            </w:r>
            <w:r>
              <w:rPr>
                <w:rFonts w:hint="eastAsia" w:hAnsi="宋体" w:cs="宋体"/>
                <w:bCs/>
                <w:color w:val="auto"/>
                <w:sz w:val="22"/>
                <w:szCs w:val="22"/>
                <w:highlight w:val="none"/>
                <w:lang w:val="en-US" w:eastAsia="zh-CN"/>
              </w:rPr>
              <w:t>基本合理的得6分，</w:t>
            </w:r>
            <w:r>
              <w:rPr>
                <w:rFonts w:hint="eastAsia" w:ascii="宋体" w:hAnsi="宋体" w:cs="宋体"/>
                <w:color w:val="auto"/>
                <w:sz w:val="22"/>
                <w:highlight w:val="none"/>
              </w:rPr>
              <w:t>管理制度</w:t>
            </w:r>
            <w:r>
              <w:rPr>
                <w:rFonts w:hint="eastAsia" w:hAnsi="宋体" w:cs="宋体"/>
                <w:bCs/>
                <w:color w:val="auto"/>
                <w:sz w:val="22"/>
                <w:szCs w:val="22"/>
                <w:highlight w:val="none"/>
                <w:lang w:val="en-US" w:eastAsia="zh-CN"/>
              </w:rPr>
              <w:t>仅部分可行的得4分，</w:t>
            </w:r>
            <w:r>
              <w:rPr>
                <w:rFonts w:hint="eastAsia" w:hAnsi="宋体" w:cs="宋体"/>
                <w:color w:val="auto"/>
                <w:sz w:val="22"/>
                <w:szCs w:val="22"/>
                <w:highlight w:val="none"/>
                <w:lang w:val="en-US" w:eastAsia="zh-CN"/>
              </w:rPr>
              <w:t>完全</w:t>
            </w:r>
            <w:r>
              <w:rPr>
                <w:rFonts w:hint="eastAsia" w:ascii="宋体" w:hAnsi="宋体" w:eastAsia="宋体" w:cs="宋体"/>
                <w:bCs/>
                <w:color w:val="auto"/>
                <w:kern w:val="0"/>
                <w:sz w:val="22"/>
                <w:highlight w:val="none"/>
                <w:lang w:val="en-US" w:eastAsia="zh-CN"/>
              </w:rPr>
              <w:t>不合理或不可行的得0分</w:t>
            </w:r>
            <w:r>
              <w:rPr>
                <w:rFonts w:hint="eastAsia" w:ascii="宋体" w:hAnsi="宋体" w:cs="宋体"/>
                <w:bCs/>
                <w:color w:val="auto"/>
                <w:kern w:val="0"/>
                <w:sz w:val="22"/>
                <w:highlight w:val="none"/>
                <w:lang w:val="en-US" w:eastAsia="zh-CN"/>
              </w:rPr>
              <w:t>，</w:t>
            </w:r>
            <w:r>
              <w:rPr>
                <w:rFonts w:hint="eastAsia" w:ascii="宋体" w:hAnsi="宋体" w:cs="宋体"/>
                <w:color w:val="auto"/>
                <w:sz w:val="22"/>
                <w:highlight w:val="none"/>
              </w:rPr>
              <w:t>未提供不得分</w:t>
            </w:r>
            <w:r>
              <w:rPr>
                <w:rFonts w:hint="eastAsia" w:hAnsi="宋体" w:cs="宋体"/>
                <w:bCs/>
                <w:color w:val="auto"/>
                <w:sz w:val="22"/>
                <w:szCs w:val="22"/>
                <w:highlight w:val="none"/>
              </w:rPr>
              <w:t>。</w:t>
            </w:r>
          </w:p>
        </w:tc>
      </w:tr>
    </w:tbl>
    <w:p>
      <w:pPr>
        <w:pStyle w:val="9"/>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bCs/>
          <w:color w:val="auto"/>
          <w:sz w:val="22"/>
          <w:highlight w:val="none"/>
        </w:rPr>
        <w:br w:type="textWrapping"/>
      </w:r>
    </w:p>
    <w:p>
      <w:pPr>
        <w:tabs>
          <w:tab w:val="left" w:pos="2352"/>
        </w:tabs>
        <w:rPr>
          <w:rFonts w:hAnsi="宋体" w:cs="宋体"/>
          <w:bCs/>
          <w:color w:val="auto"/>
          <w:sz w:val="22"/>
          <w:highlight w:val="none"/>
        </w:rPr>
      </w:pPr>
    </w:p>
    <w:p>
      <w:pPr>
        <w:pStyle w:val="9"/>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1" w:name="_Toc18541_WPSOffice_Level2"/>
      <w:r>
        <w:rPr>
          <w:rFonts w:hint="eastAsia" w:hAnsi="宋体" w:cs="宋体"/>
          <w:b/>
          <w:bCs/>
          <w:color w:val="auto"/>
          <w:sz w:val="22"/>
          <w:szCs w:val="22"/>
          <w:highlight w:val="none"/>
        </w:rPr>
        <w:t>五、说明</w:t>
      </w:r>
      <w:bookmarkEnd w:id="91"/>
    </w:p>
    <w:p>
      <w:pPr>
        <w:pStyle w:val="9"/>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1、每个供应商最终得分=技术资信部分分值（所有评审小组成员打分的算术平均值）＋商务报价部分分值。</w:t>
      </w:r>
    </w:p>
    <w:p>
      <w:pPr>
        <w:pStyle w:val="9"/>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2、评审小组推荐综合得分第一名的供应商为中标（成交）供应商，如果得分相同的，按投标报价由低到高顺序排列，得分且报价均相同的，按技术标得分由高到低排列。</w:t>
      </w:r>
    </w:p>
    <w:p>
      <w:pPr>
        <w:pStyle w:val="9"/>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pPr>
        <w:pStyle w:val="9"/>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pPr>
        <w:tabs>
          <w:tab w:val="left" w:pos="2352"/>
        </w:tabs>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LnMQBAACQAwAADgAAAGRycy9lMm9Eb2MueG1srVPNjtMwEL4j8Q6W&#10;79TZCq1K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aW&#10;1fXrrFAfoMbE+4CpaXjrB9yb2Q/ozMQHFW3+IiWCcdT3dNFXDomI/Gi1XK0qDAmMzRfEZw/PQ4T0&#10;TnpLstHQiAMsuvLjB0hj6pySqzl/p40pQzTuHwdiZg/LvY89ZisNu2EitPPtCfn0OPuGOlx1Ssx7&#10;h9LmNZmNOBu7ycg1INweEhYu/WTUEWoqhoMqjKalypvw971kPfxI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vCFLnMQBAACQAwAADgAAAAAAAAABACAAAAAeAQAAZHJzL2Uyb0RvYy54bWxQ&#10;SwUGAAAAAAYABgBZAQAAV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F5BsMBAACQ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q&#10;ts4KDQEaTHwImJrGN37EvVn8gM5MfFTR5i9SIhhHfc9XfeWYiMiP1vV6XWFIYGy5ID57fB4ipLfS&#10;W5KNlkYcYNGVn95DmlKXlFzN+XttTBmicX85EDN7WO596jFbadyPM6G9787IZ8DZt9ThqlNi3jmU&#10;Nq/JYsTF2M9GrgHh9TFh4dJPRp2g5mI4qMJoXqq8CX/eS9bjj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cXkGwwEAAJADAAAOAAAAAAAAAAEAIAAAAB4BAABkcnMvZTJvRG9jLnhtbFBL&#10;BQYAAAAABgAGAFkBAABT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620"/>
        <w:tab w:val="clear" w:pos="4153"/>
      </w:tabs>
      <w:jc w:val="center"/>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51155" cy="293370"/>
          <wp:effectExtent l="0" t="0" r="1270" b="1905"/>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51155" cy="29337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74CF"/>
    <w:multiLevelType w:val="singleLevel"/>
    <w:tmpl w:val="DDC374CF"/>
    <w:lvl w:ilvl="0" w:tentative="0">
      <w:start w:val="1"/>
      <w:numFmt w:val="decimal"/>
      <w:lvlText w:val="%1."/>
      <w:lvlJc w:val="left"/>
      <w:pPr>
        <w:ind w:left="425" w:hanging="425"/>
      </w:pPr>
      <w:rPr>
        <w:rFonts w:hint="default"/>
      </w:rPr>
    </w:lvl>
  </w:abstractNum>
  <w:abstractNum w:abstractNumId="1">
    <w:nsid w:val="FBB0A722"/>
    <w:multiLevelType w:val="singleLevel"/>
    <w:tmpl w:val="FBB0A722"/>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880BC85"/>
    <w:multiLevelType w:val="singleLevel"/>
    <w:tmpl w:val="0880BC85"/>
    <w:lvl w:ilvl="0" w:tentative="0">
      <w:start w:val="1"/>
      <w:numFmt w:val="decimal"/>
      <w:lvlText w:val="%1."/>
      <w:lvlJc w:val="left"/>
      <w:pPr>
        <w:tabs>
          <w:tab w:val="left" w:pos="312"/>
        </w:tabs>
      </w:pPr>
    </w:lvl>
  </w:abstractNum>
  <w:abstractNum w:abstractNumId="5">
    <w:nsid w:val="3EF4D7FB"/>
    <w:multiLevelType w:val="singleLevel"/>
    <w:tmpl w:val="3EF4D7FB"/>
    <w:lvl w:ilvl="0" w:tentative="0">
      <w:start w:val="3"/>
      <w:numFmt w:val="decimal"/>
      <w:suff w:val="nothing"/>
      <w:lvlText w:val="%1、"/>
      <w:lvlJc w:val="left"/>
      <w:rPr>
        <w:rFonts w:cs="Times New Roman"/>
      </w:r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69A5B887"/>
    <w:multiLevelType w:val="singleLevel"/>
    <w:tmpl w:val="69A5B887"/>
    <w:lvl w:ilvl="0" w:tentative="0">
      <w:start w:val="1"/>
      <w:numFmt w:val="decimal"/>
      <w:suff w:val="nothing"/>
      <w:lvlText w:val="%1、"/>
      <w:lvlJc w:val="left"/>
    </w:lvl>
  </w:abstractNum>
  <w:num w:numId="1">
    <w:abstractNumId w:val="3"/>
  </w:num>
  <w:num w:numId="2">
    <w:abstractNumId w:val="8"/>
  </w:num>
  <w:num w:numId="3">
    <w:abstractNumId w:val="5"/>
  </w:num>
  <w:num w:numId="4">
    <w:abstractNumId w:val="6"/>
  </w:num>
  <w:num w:numId="5">
    <w:abstractNumId w:val="7"/>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UaoO6FiK9V4M1j/lQetVcu3ioow=" w:salt="FYUcUzUkIsvWlEdng8lqz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A43293"/>
    <w:rsid w:val="00230AE5"/>
    <w:rsid w:val="00687204"/>
    <w:rsid w:val="00A43293"/>
    <w:rsid w:val="0ED7510F"/>
    <w:rsid w:val="105A77E5"/>
    <w:rsid w:val="157A4D0A"/>
    <w:rsid w:val="19AD1CFF"/>
    <w:rsid w:val="1A153282"/>
    <w:rsid w:val="1A235E33"/>
    <w:rsid w:val="264B3E10"/>
    <w:rsid w:val="31D4731B"/>
    <w:rsid w:val="326114CA"/>
    <w:rsid w:val="439E01DD"/>
    <w:rsid w:val="48C144BA"/>
    <w:rsid w:val="4DED20EF"/>
    <w:rsid w:val="4EE10541"/>
    <w:rsid w:val="56DF6270"/>
    <w:rsid w:val="57D03321"/>
    <w:rsid w:val="5BAC5B00"/>
    <w:rsid w:val="5BAF31D8"/>
    <w:rsid w:val="5DA622BA"/>
    <w:rsid w:val="5EAE035C"/>
    <w:rsid w:val="61E814E9"/>
    <w:rsid w:val="6FDA6BE8"/>
    <w:rsid w:val="709F7836"/>
    <w:rsid w:val="71F2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1"/>
    <w:qFormat/>
    <w:uiPriority w:val="0"/>
    <w:pPr>
      <w:ind w:left="480" w:hanging="480" w:hangingChars="200"/>
    </w:pPr>
    <w:rPr>
      <w:sz w:val="24"/>
    </w:rPr>
  </w:style>
  <w:style w:type="paragraph" w:styleId="5">
    <w:name w:val="Normal Indent"/>
    <w:basedOn w:val="1"/>
    <w:next w:val="1"/>
    <w:qFormat/>
    <w:uiPriority w:val="99"/>
    <w:pPr>
      <w:ind w:firstLine="420"/>
    </w:pPr>
    <w:rPr>
      <w:szCs w:val="20"/>
    </w:rPr>
  </w:style>
  <w:style w:type="paragraph" w:styleId="6">
    <w:name w:val="annotation text"/>
    <w:basedOn w:val="1"/>
    <w:link w:val="35"/>
    <w:qFormat/>
    <w:uiPriority w:val="0"/>
    <w:pPr>
      <w:jc w:val="left"/>
    </w:pPr>
  </w:style>
  <w:style w:type="paragraph" w:styleId="7">
    <w:name w:val="Body Text"/>
    <w:basedOn w:val="1"/>
    <w:next w:val="1"/>
    <w:qFormat/>
    <w:uiPriority w:val="99"/>
    <w:rPr>
      <w:kern w:val="0"/>
      <w:sz w:val="20"/>
      <w:szCs w:val="20"/>
    </w:rPr>
  </w:style>
  <w:style w:type="paragraph" w:styleId="8">
    <w:name w:val="Block Text"/>
    <w:basedOn w:val="1"/>
    <w:qFormat/>
    <w:uiPriority w:val="0"/>
    <w:pPr>
      <w:adjustRightInd w:val="0"/>
      <w:spacing w:line="300" w:lineRule="auto"/>
      <w:ind w:left="958" w:right="-120" w:rightChars="-120"/>
      <w:jc w:val="left"/>
    </w:pPr>
    <w:rPr>
      <w:rFonts w:ascii="宋体" w:hAnsi="宋体"/>
      <w:sz w:val="28"/>
    </w:rPr>
  </w:style>
  <w:style w:type="paragraph" w:styleId="9">
    <w:name w:val="Plain Text"/>
    <w:basedOn w:val="1"/>
    <w:next w:val="10"/>
    <w:qFormat/>
    <w:uiPriority w:val="0"/>
    <w:rPr>
      <w:rFonts w:ascii="宋体" w:hAnsi="Courier New"/>
      <w:kern w:val="0"/>
      <w:szCs w:val="21"/>
    </w:rPr>
  </w:style>
  <w:style w:type="paragraph" w:styleId="10">
    <w:name w:val="toc 2"/>
    <w:basedOn w:val="1"/>
    <w:next w:val="1"/>
    <w:qFormat/>
    <w:uiPriority w:val="0"/>
    <w:pPr>
      <w:ind w:left="420" w:leftChars="200"/>
    </w:pPr>
    <w:rPr>
      <w:szCs w:val="24"/>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envelope return"/>
    <w:basedOn w:val="1"/>
    <w:qFormat/>
    <w:uiPriority w:val="99"/>
    <w:pPr>
      <w:snapToGrid w:val="0"/>
    </w:pPr>
    <w:rPr>
      <w:rFonts w:ascii="Arial" w:hAnsi="Arial"/>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5">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16">
    <w:name w:val="toc 6"/>
    <w:basedOn w:val="1"/>
    <w:next w:val="1"/>
    <w:qFormat/>
    <w:uiPriority w:val="0"/>
    <w:pPr>
      <w:ind w:left="1050"/>
      <w:jc w:val="left"/>
    </w:pPr>
    <w:rPr>
      <w:rFonts w:ascii="Century Gothic" w:hAnsi="Century Gothic"/>
      <w:sz w:val="18"/>
      <w:szCs w:val="18"/>
    </w:rPr>
  </w:style>
  <w:style w:type="paragraph" w:styleId="17">
    <w:name w:val="table of figures"/>
    <w:basedOn w:val="1"/>
    <w:next w:val="1"/>
    <w:unhideWhenUsed/>
    <w:qFormat/>
    <w:uiPriority w:val="99"/>
    <w:pPr>
      <w:ind w:left="200" w:leftChars="200" w:hanging="200" w:hangingChars="200"/>
    </w:pPr>
  </w:style>
  <w:style w:type="paragraph" w:styleId="18">
    <w:name w:val="annotation subject"/>
    <w:basedOn w:val="6"/>
    <w:next w:val="6"/>
    <w:link w:val="36"/>
    <w:qFormat/>
    <w:uiPriority w:val="0"/>
    <w:rPr>
      <w:b/>
      <w:bCs/>
    </w:rPr>
  </w:style>
  <w:style w:type="paragraph" w:styleId="19">
    <w:name w:val="Body Text First Indent"/>
    <w:basedOn w:val="7"/>
    <w:next w:val="16"/>
    <w:qFormat/>
    <w:uiPriority w:val="0"/>
    <w:pPr>
      <w:spacing w:line="312" w:lineRule="auto"/>
      <w:ind w:firstLine="420"/>
    </w:pPr>
    <w:rPr>
      <w:szCs w:val="24"/>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annotation reference"/>
    <w:basedOn w:val="22"/>
    <w:qFormat/>
    <w:uiPriority w:val="0"/>
    <w:rPr>
      <w:sz w:val="21"/>
      <w:szCs w:val="21"/>
    </w:rPr>
  </w:style>
  <w:style w:type="paragraph" w:customStyle="1" w:styleId="25">
    <w:name w:val="表格文字"/>
    <w:basedOn w:val="9"/>
    <w:next w:val="7"/>
    <w:qFormat/>
    <w:uiPriority w:val="99"/>
    <w:pPr>
      <w:adjustRightInd w:val="0"/>
      <w:spacing w:line="420" w:lineRule="atLeast"/>
      <w:jc w:val="left"/>
      <w:textAlignment w:val="baseline"/>
    </w:pPr>
    <w:rPr>
      <w:rFonts w:ascii="Times New Roman" w:hAnsi="Times New Roman"/>
      <w:szCs w:val="24"/>
    </w:rPr>
  </w:style>
  <w:style w:type="paragraph" w:customStyle="1" w:styleId="26">
    <w:name w:val="Normal Indent1"/>
    <w:basedOn w:val="1"/>
    <w:qFormat/>
    <w:uiPriority w:val="0"/>
    <w:pPr>
      <w:ind w:firstLine="420" w:firstLineChars="200"/>
    </w:pPr>
  </w:style>
  <w:style w:type="paragraph" w:customStyle="1" w:styleId="27">
    <w:name w:val="Plain Text1"/>
    <w:basedOn w:val="1"/>
    <w:qFormat/>
    <w:uiPriority w:val="0"/>
    <w:rPr>
      <w:rFonts w:ascii="宋体" w:hAnsi="Courier New"/>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列出段落1"/>
    <w:basedOn w:val="1"/>
    <w:qFormat/>
    <w:uiPriority w:val="34"/>
    <w:pPr>
      <w:ind w:firstLine="420" w:firstLineChars="200"/>
    </w:pPr>
  </w:style>
  <w:style w:type="paragraph" w:customStyle="1" w:styleId="3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
    <w:name w:val="纯文本1"/>
    <w:basedOn w:val="33"/>
    <w:qFormat/>
    <w:uiPriority w:val="0"/>
    <w:pPr>
      <w:widowControl/>
      <w:jc w:val="left"/>
    </w:pPr>
    <w:rPr>
      <w:rFonts w:hint="default" w:ascii="宋体" w:hAnsi="Courier New"/>
    </w:rPr>
  </w:style>
  <w:style w:type="paragraph" w:customStyle="1" w:styleId="3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4">
    <w:name w:val="批注框文本 Char"/>
    <w:basedOn w:val="22"/>
    <w:link w:val="11"/>
    <w:qFormat/>
    <w:uiPriority w:val="0"/>
    <w:rPr>
      <w:rFonts w:ascii="Times New Roman" w:hAnsi="Times New Roman" w:eastAsia="宋体" w:cs="Times New Roman"/>
      <w:kern w:val="2"/>
      <w:sz w:val="18"/>
      <w:szCs w:val="18"/>
    </w:rPr>
  </w:style>
  <w:style w:type="character" w:customStyle="1" w:styleId="35">
    <w:name w:val="批注文字 Char"/>
    <w:basedOn w:val="22"/>
    <w:link w:val="6"/>
    <w:qFormat/>
    <w:uiPriority w:val="0"/>
    <w:rPr>
      <w:rFonts w:ascii="Times New Roman" w:hAnsi="Times New Roman" w:eastAsia="宋体" w:cs="Times New Roman"/>
      <w:kern w:val="2"/>
      <w:sz w:val="21"/>
      <w:szCs w:val="22"/>
    </w:rPr>
  </w:style>
  <w:style w:type="character" w:customStyle="1" w:styleId="36">
    <w:name w:val="批注主题 Char"/>
    <w:basedOn w:val="35"/>
    <w:link w:val="18"/>
    <w:qFormat/>
    <w:uiPriority w:val="0"/>
    <w:rPr>
      <w:rFonts w:ascii="Times New Roman" w:hAnsi="Times New Roman" w:eastAsia="宋体" w:cs="Times New Roman"/>
      <w:b/>
      <w:bCs/>
      <w:kern w:val="2"/>
      <w:sz w:val="21"/>
      <w:szCs w:val="22"/>
    </w:rPr>
  </w:style>
  <w:style w:type="paragraph" w:customStyle="1" w:styleId="37">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8">
    <w:name w:val="表内文字"/>
    <w:basedOn w:val="1"/>
    <w:qFormat/>
    <w:uiPriority w:val="0"/>
    <w:pPr>
      <w:spacing w:line="500" w:lineRule="atLeast"/>
      <w:jc w:val="center"/>
    </w:pPr>
    <w:rPr>
      <w:rFonts w:ascii="Arial" w:hAnsi="Arial" w:eastAsia="楷体_GB2312" w:cs="Arial"/>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29478</Words>
  <Characters>31128</Characters>
  <Lines>242</Lines>
  <Paragraphs>68</Paragraphs>
  <TotalTime>26</TotalTime>
  <ScaleCrop>false</ScaleCrop>
  <LinksUpToDate>false</LinksUpToDate>
  <CharactersWithSpaces>32197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2022-06-09T11:54:00Z</dcterms:created>
  <dc:creator>huawei</dc:creator>
  <cp:lastModifiedBy>S.tart</cp:lastModifiedBy>
  <dcterms:modified xsi:type="dcterms:W3CDTF">2022-07-15T08:00:06Z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85B35589A9AC43EFB122D03F9BDEC0F1</vt:lpwstr>
  </property>
</Properties>
</file>