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rPr>
          <w:rFonts w:cs="仿宋" w:asciiTheme="majorEastAsia" w:hAnsiTheme="majorEastAsia" w:eastAsiaTheme="majorEastAsia"/>
          <w:color w:val="auto"/>
          <w:w w:val="80"/>
          <w:sz w:val="52"/>
          <w:szCs w:val="52"/>
          <w:highlight w:val="none"/>
          <w:lang w:bidi="th-TH"/>
        </w:rPr>
      </w:pPr>
    </w:p>
    <w:p>
      <w:pPr>
        <w:pStyle w:val="19"/>
        <w:adjustRightInd w:val="0"/>
        <w:snapToGrid w:val="0"/>
        <w:spacing w:line="360" w:lineRule="auto"/>
        <w:ind w:firstLine="0"/>
        <w:rPr>
          <w:rFonts w:cs="仿宋" w:asciiTheme="majorEastAsia" w:hAnsiTheme="majorEastAsia" w:eastAsiaTheme="majorEastAsia"/>
          <w:color w:val="auto"/>
          <w:highlight w:val="none"/>
        </w:rPr>
      </w:pPr>
    </w:p>
    <w:p>
      <w:pPr>
        <w:pStyle w:val="19"/>
        <w:adjustRightInd w:val="0"/>
        <w:snapToGrid w:val="0"/>
        <w:spacing w:line="360" w:lineRule="auto"/>
        <w:ind w:firstLine="0"/>
        <w:rPr>
          <w:rFonts w:cs="仿宋" w:asciiTheme="majorEastAsia" w:hAnsiTheme="majorEastAsia" w:eastAsiaTheme="majorEastAsia"/>
          <w:color w:val="auto"/>
          <w:highlight w:val="none"/>
        </w:rPr>
      </w:pPr>
    </w:p>
    <w:p>
      <w:pPr>
        <w:pStyle w:val="169"/>
        <w:widowControl w:val="0"/>
        <w:adjustRightInd w:val="0"/>
        <w:snapToGrid w:val="0"/>
        <w:spacing w:line="360" w:lineRule="auto"/>
        <w:ind w:firstLine="0"/>
        <w:jc w:val="center"/>
        <w:rPr>
          <w:rFonts w:cs="仿宋" w:asciiTheme="majorEastAsia" w:hAnsiTheme="majorEastAsia" w:eastAsiaTheme="majorEastAsia"/>
          <w:color w:val="auto"/>
          <w:szCs w:val="44"/>
          <w:highlight w:val="none"/>
        </w:rPr>
      </w:pPr>
      <w:r>
        <w:rPr>
          <w:rFonts w:hint="eastAsia" w:cs="仿宋" w:asciiTheme="majorEastAsia" w:hAnsiTheme="majorEastAsia" w:eastAsiaTheme="majorEastAsia"/>
          <w:color w:val="auto"/>
          <w:szCs w:val="44"/>
          <w:highlight w:val="none"/>
        </w:rPr>
        <w:t>十二工段以南500米的监测断面水质提升和十八工段闸口监测断面水质提升项目</w:t>
      </w:r>
    </w:p>
    <w:p>
      <w:pPr>
        <w:adjustRightInd w:val="0"/>
        <w:snapToGrid w:val="0"/>
        <w:spacing w:line="360" w:lineRule="auto"/>
        <w:jc w:val="center"/>
        <w:rPr>
          <w:rFonts w:cs="仿宋" w:asciiTheme="majorEastAsia" w:hAnsiTheme="majorEastAsia" w:eastAsiaTheme="majorEastAsia"/>
          <w:b/>
          <w:color w:val="auto"/>
          <w:szCs w:val="84"/>
          <w:highlight w:val="none"/>
        </w:rPr>
      </w:pPr>
      <w:r>
        <w:rPr>
          <w:rFonts w:hint="eastAsia" w:cs="仿宋" w:asciiTheme="majorEastAsia" w:hAnsiTheme="majorEastAsia" w:eastAsiaTheme="majorEastAsia"/>
          <w:b/>
          <w:color w:val="auto"/>
          <w:szCs w:val="84"/>
          <w:highlight w:val="none"/>
        </w:rPr>
        <w:t>（电子招投标）</w:t>
      </w:r>
    </w:p>
    <w:p>
      <w:pPr>
        <w:pStyle w:val="18"/>
        <w:rPr>
          <w:rFonts w:cs="仿宋" w:asciiTheme="majorEastAsia" w:hAnsiTheme="majorEastAsia" w:eastAsiaTheme="majorEastAsia"/>
          <w:color w:val="auto"/>
          <w:highlight w:val="none"/>
        </w:rPr>
      </w:pPr>
    </w:p>
    <w:p>
      <w:pPr>
        <w:jc w:val="center"/>
        <w:rPr>
          <w:rFonts w:cs="仿宋" w:asciiTheme="majorEastAsia" w:hAnsiTheme="majorEastAsia" w:eastAsiaTheme="majorEastAsia"/>
          <w:b/>
          <w:color w:val="auto"/>
          <w:szCs w:val="84"/>
          <w:highlight w:val="none"/>
        </w:rPr>
      </w:pPr>
    </w:p>
    <w:p>
      <w:pPr>
        <w:jc w:val="center"/>
        <w:rPr>
          <w:rFonts w:cs="仿宋" w:asciiTheme="majorEastAsia" w:hAnsiTheme="majorEastAsia" w:eastAsiaTheme="majorEastAsia"/>
          <w:b/>
          <w:color w:val="auto"/>
          <w:szCs w:val="84"/>
          <w:highlight w:val="none"/>
        </w:rPr>
      </w:pPr>
    </w:p>
    <w:p>
      <w:pPr>
        <w:spacing w:line="360" w:lineRule="auto"/>
        <w:jc w:val="center"/>
        <w:rPr>
          <w:rFonts w:cs="仿宋" w:asciiTheme="majorEastAsia" w:hAnsiTheme="majorEastAsia" w:eastAsiaTheme="majorEastAsia"/>
          <w:b/>
          <w:color w:val="auto"/>
          <w:sz w:val="84"/>
          <w:szCs w:val="84"/>
          <w:highlight w:val="none"/>
        </w:rPr>
      </w:pPr>
      <w:r>
        <w:rPr>
          <w:rFonts w:hint="eastAsia" w:cs="仿宋" w:asciiTheme="majorEastAsia" w:hAnsiTheme="majorEastAsia" w:eastAsiaTheme="majorEastAsia"/>
          <w:b/>
          <w:color w:val="auto"/>
          <w:spacing w:val="40"/>
          <w:w w:val="80"/>
          <w:sz w:val="96"/>
          <w:szCs w:val="96"/>
          <w:highlight w:val="none"/>
          <w:lang w:bidi="th-TH"/>
        </w:rPr>
        <w:t>采 购 文 件</w:t>
      </w:r>
    </w:p>
    <w:p>
      <w:pPr>
        <w:jc w:val="center"/>
        <w:rPr>
          <w:rFonts w:cs="仿宋" w:asciiTheme="majorEastAsia" w:hAnsiTheme="majorEastAsia" w:eastAsiaTheme="majorEastAsia"/>
          <w:b/>
          <w:color w:val="auto"/>
          <w:szCs w:val="84"/>
          <w:highlight w:val="none"/>
        </w:rPr>
      </w:pPr>
    </w:p>
    <w:p>
      <w:pPr>
        <w:jc w:val="center"/>
        <w:rPr>
          <w:rFonts w:cs="仿宋" w:asciiTheme="majorEastAsia" w:hAnsiTheme="majorEastAsia" w:eastAsiaTheme="majorEastAsia"/>
          <w:b/>
          <w:color w:val="auto"/>
          <w:szCs w:val="84"/>
          <w:highlight w:val="none"/>
        </w:rPr>
      </w:pPr>
    </w:p>
    <w:p>
      <w:pPr>
        <w:spacing w:line="360" w:lineRule="auto"/>
        <w:jc w:val="center"/>
        <w:rPr>
          <w:rFonts w:hint="eastAsia" w:cs="仿宋" w:asciiTheme="majorEastAsia" w:hAnsiTheme="majorEastAsia" w:eastAsiaTheme="majorEastAsia"/>
          <w:b/>
          <w:color w:val="auto"/>
          <w:w w:val="80"/>
          <w:sz w:val="36"/>
          <w:szCs w:val="36"/>
          <w:highlight w:val="none"/>
          <w:lang w:eastAsia="zh-CN" w:bidi="th-TH"/>
        </w:rPr>
      </w:pPr>
      <w:r>
        <w:rPr>
          <w:rFonts w:hint="eastAsia" w:cs="仿宋" w:asciiTheme="majorEastAsia" w:hAnsiTheme="majorEastAsia" w:eastAsiaTheme="majorEastAsia"/>
          <w:b/>
          <w:color w:val="auto"/>
          <w:w w:val="80"/>
          <w:sz w:val="36"/>
          <w:szCs w:val="36"/>
          <w:highlight w:val="none"/>
          <w:lang w:bidi="th-TH"/>
        </w:rPr>
        <w:t>项目编号：</w:t>
      </w:r>
      <w:r>
        <w:rPr>
          <w:rFonts w:hint="eastAsia" w:cs="仿宋" w:asciiTheme="majorEastAsia" w:hAnsiTheme="majorEastAsia" w:eastAsiaTheme="majorEastAsia"/>
          <w:b/>
          <w:color w:val="auto"/>
          <w:w w:val="80"/>
          <w:sz w:val="36"/>
          <w:szCs w:val="36"/>
          <w:highlight w:val="none"/>
          <w:lang w:eastAsia="zh-CN" w:bidi="th-TH"/>
        </w:rPr>
        <w:t>QTCG-GK-2023-114</w:t>
      </w:r>
    </w:p>
    <w:p>
      <w:pPr>
        <w:pStyle w:val="26"/>
        <w:ind w:left="5250"/>
        <w:rPr>
          <w:rFonts w:cs="仿宋" w:asciiTheme="majorEastAsia" w:hAnsiTheme="majorEastAsia" w:eastAsiaTheme="majorEastAsia"/>
          <w:b/>
          <w:color w:val="auto"/>
          <w:szCs w:val="28"/>
          <w:highlight w:val="none"/>
        </w:rPr>
      </w:pPr>
    </w:p>
    <w:p>
      <w:pPr>
        <w:rPr>
          <w:rFonts w:cs="仿宋" w:asciiTheme="majorEastAsia" w:hAnsiTheme="majorEastAsia" w:eastAsiaTheme="majorEastAsia"/>
          <w:b/>
          <w:color w:val="auto"/>
          <w:highlight w:val="none"/>
        </w:rPr>
      </w:pPr>
    </w:p>
    <w:p>
      <w:pPr>
        <w:rPr>
          <w:rFonts w:cs="仿宋" w:asciiTheme="majorEastAsia" w:hAnsiTheme="majorEastAsia" w:eastAsiaTheme="majorEastAsia"/>
          <w:b/>
          <w:color w:val="auto"/>
          <w:highlight w:val="none"/>
        </w:rPr>
      </w:pPr>
    </w:p>
    <w:p>
      <w:pPr>
        <w:rPr>
          <w:rFonts w:cs="仿宋" w:asciiTheme="majorEastAsia" w:hAnsiTheme="majorEastAsia" w:eastAsiaTheme="majorEastAsia"/>
          <w:b/>
          <w:color w:val="auto"/>
          <w:highlight w:val="none"/>
        </w:rPr>
      </w:pPr>
    </w:p>
    <w:p>
      <w:pPr>
        <w:rPr>
          <w:rFonts w:cs="仿宋" w:asciiTheme="majorEastAsia" w:hAnsiTheme="majorEastAsia" w:eastAsiaTheme="majorEastAsia"/>
          <w:b/>
          <w:color w:val="auto"/>
          <w:highlight w:val="none"/>
        </w:rPr>
      </w:pPr>
    </w:p>
    <w:p>
      <w:pPr>
        <w:rPr>
          <w:rFonts w:cs="仿宋" w:asciiTheme="majorEastAsia" w:hAnsiTheme="majorEastAsia" w:eastAsiaTheme="majorEastAsia"/>
          <w:b/>
          <w:color w:val="auto"/>
          <w:highlight w:val="none"/>
        </w:rPr>
      </w:pPr>
    </w:p>
    <w:p>
      <w:pPr>
        <w:rPr>
          <w:rFonts w:cs="仿宋" w:asciiTheme="majorEastAsia" w:hAnsiTheme="majorEastAsia" w:eastAsiaTheme="majorEastAsia"/>
          <w:b/>
          <w:color w:val="auto"/>
          <w:highlight w:val="none"/>
        </w:rPr>
      </w:pPr>
    </w:p>
    <w:tbl>
      <w:tblPr>
        <w:tblStyle w:val="45"/>
        <w:tblW w:w="6528" w:type="dxa"/>
        <w:jc w:val="center"/>
        <w:tblLayout w:type="fixed"/>
        <w:tblCellMar>
          <w:top w:w="0" w:type="dxa"/>
          <w:left w:w="108" w:type="dxa"/>
          <w:bottom w:w="0" w:type="dxa"/>
          <w:right w:w="108" w:type="dxa"/>
        </w:tblCellMar>
      </w:tblPr>
      <w:tblGrid>
        <w:gridCol w:w="2160"/>
        <w:gridCol w:w="260"/>
        <w:gridCol w:w="4108"/>
      </w:tblGrid>
      <w:tr>
        <w:tblPrEx>
          <w:tblCellMar>
            <w:top w:w="0" w:type="dxa"/>
            <w:left w:w="108" w:type="dxa"/>
            <w:bottom w:w="0" w:type="dxa"/>
            <w:right w:w="108" w:type="dxa"/>
          </w:tblCellMar>
        </w:tblPrEx>
        <w:trPr>
          <w:trHeight w:val="680" w:hRule="atLeast"/>
          <w:jc w:val="center"/>
        </w:trPr>
        <w:tc>
          <w:tcPr>
            <w:tcW w:w="2160" w:type="dxa"/>
            <w:noWrap/>
            <w:vAlign w:val="center"/>
          </w:tcPr>
          <w:p>
            <w:pPr>
              <w:snapToGrid w:val="0"/>
              <w:jc w:val="distribute"/>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采购人</w:t>
            </w:r>
          </w:p>
        </w:tc>
        <w:tc>
          <w:tcPr>
            <w:tcW w:w="260" w:type="dxa"/>
            <w:noWrap/>
            <w:vAlign w:val="center"/>
          </w:tcPr>
          <w:p>
            <w:pPr>
              <w:snapToGrid w:val="0"/>
              <w:jc w:val="distribute"/>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w:t>
            </w:r>
          </w:p>
        </w:tc>
        <w:tc>
          <w:tcPr>
            <w:tcW w:w="4108" w:type="dxa"/>
            <w:noWrap/>
            <w:vAlign w:val="center"/>
          </w:tcPr>
          <w:p>
            <w:pPr>
              <w:snapToGrid w:val="0"/>
              <w:jc w:val="distribute"/>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杭州市钱塘区农业农村局</w:t>
            </w:r>
          </w:p>
        </w:tc>
      </w:tr>
      <w:tr>
        <w:tblPrEx>
          <w:tblCellMar>
            <w:top w:w="0" w:type="dxa"/>
            <w:left w:w="108" w:type="dxa"/>
            <w:bottom w:w="0" w:type="dxa"/>
            <w:right w:w="108" w:type="dxa"/>
          </w:tblCellMar>
        </w:tblPrEx>
        <w:trPr>
          <w:trHeight w:val="297" w:hRule="atLeast"/>
          <w:jc w:val="center"/>
        </w:trPr>
        <w:tc>
          <w:tcPr>
            <w:tcW w:w="2160" w:type="dxa"/>
            <w:noWrap/>
            <w:vAlign w:val="center"/>
          </w:tcPr>
          <w:p>
            <w:pPr>
              <w:snapToGrid w:val="0"/>
              <w:jc w:val="distribute"/>
              <w:rPr>
                <w:rFonts w:cs="仿宋" w:asciiTheme="majorEastAsia" w:hAnsiTheme="majorEastAsia" w:eastAsiaTheme="majorEastAsia"/>
                <w:b/>
                <w:color w:val="auto"/>
                <w:sz w:val="22"/>
                <w:szCs w:val="22"/>
                <w:highlight w:val="none"/>
              </w:rPr>
            </w:pPr>
          </w:p>
        </w:tc>
        <w:tc>
          <w:tcPr>
            <w:tcW w:w="260" w:type="dxa"/>
            <w:noWrap/>
            <w:vAlign w:val="center"/>
          </w:tcPr>
          <w:p>
            <w:pPr>
              <w:snapToGrid w:val="0"/>
              <w:jc w:val="distribute"/>
              <w:rPr>
                <w:rFonts w:cs="仿宋" w:asciiTheme="majorEastAsia" w:hAnsiTheme="majorEastAsia" w:eastAsiaTheme="majorEastAsia"/>
                <w:b/>
                <w:color w:val="auto"/>
                <w:sz w:val="22"/>
                <w:szCs w:val="22"/>
                <w:highlight w:val="none"/>
              </w:rPr>
            </w:pPr>
          </w:p>
        </w:tc>
        <w:tc>
          <w:tcPr>
            <w:tcW w:w="4108" w:type="dxa"/>
            <w:noWrap/>
            <w:vAlign w:val="center"/>
          </w:tcPr>
          <w:p>
            <w:pPr>
              <w:snapToGrid w:val="0"/>
              <w:jc w:val="distribute"/>
              <w:rPr>
                <w:rFonts w:cs="仿宋" w:asciiTheme="majorEastAsia" w:hAnsiTheme="majorEastAsia" w:eastAsiaTheme="majorEastAsia"/>
                <w:b/>
                <w:color w:val="auto"/>
                <w:sz w:val="22"/>
                <w:szCs w:val="22"/>
                <w:highlight w:val="none"/>
              </w:rPr>
            </w:pPr>
          </w:p>
        </w:tc>
      </w:tr>
      <w:tr>
        <w:tblPrEx>
          <w:tblCellMar>
            <w:top w:w="0" w:type="dxa"/>
            <w:left w:w="108" w:type="dxa"/>
            <w:bottom w:w="0" w:type="dxa"/>
            <w:right w:w="108" w:type="dxa"/>
          </w:tblCellMar>
        </w:tblPrEx>
        <w:trPr>
          <w:trHeight w:val="680" w:hRule="atLeast"/>
          <w:jc w:val="center"/>
        </w:trPr>
        <w:tc>
          <w:tcPr>
            <w:tcW w:w="2160" w:type="dxa"/>
            <w:noWrap/>
            <w:vAlign w:val="center"/>
          </w:tcPr>
          <w:p>
            <w:pPr>
              <w:snapToGrid w:val="0"/>
              <w:jc w:val="distribute"/>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采购代理机构</w:t>
            </w:r>
          </w:p>
        </w:tc>
        <w:tc>
          <w:tcPr>
            <w:tcW w:w="260" w:type="dxa"/>
            <w:noWrap/>
            <w:vAlign w:val="center"/>
          </w:tcPr>
          <w:p>
            <w:pPr>
              <w:snapToGrid w:val="0"/>
              <w:jc w:val="distribute"/>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w:t>
            </w:r>
          </w:p>
        </w:tc>
        <w:tc>
          <w:tcPr>
            <w:tcW w:w="4108" w:type="dxa"/>
            <w:noWrap/>
            <w:vAlign w:val="center"/>
          </w:tcPr>
          <w:p>
            <w:pPr>
              <w:snapToGrid w:val="0"/>
              <w:jc w:val="left"/>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sz w:val="32"/>
                <w:szCs w:val="32"/>
                <w:highlight w:val="none"/>
              </w:rPr>
              <w:t>浙江元正工程管理有限公司</w:t>
            </w:r>
          </w:p>
        </w:tc>
      </w:tr>
      <w:tr>
        <w:tblPrEx>
          <w:tblCellMar>
            <w:top w:w="0" w:type="dxa"/>
            <w:left w:w="108" w:type="dxa"/>
            <w:bottom w:w="0" w:type="dxa"/>
            <w:right w:w="108" w:type="dxa"/>
          </w:tblCellMar>
        </w:tblPrEx>
        <w:trPr>
          <w:trHeight w:val="680" w:hRule="atLeast"/>
          <w:jc w:val="center"/>
        </w:trPr>
        <w:tc>
          <w:tcPr>
            <w:tcW w:w="2160" w:type="dxa"/>
            <w:noWrap/>
            <w:vAlign w:val="center"/>
          </w:tcPr>
          <w:p>
            <w:pPr>
              <w:snapToGrid w:val="0"/>
              <w:jc w:val="distribute"/>
              <w:rPr>
                <w:rFonts w:cs="仿宋" w:asciiTheme="majorEastAsia" w:hAnsiTheme="majorEastAsia" w:eastAsiaTheme="majorEastAsia"/>
                <w:b/>
                <w:color w:val="auto"/>
                <w:sz w:val="30"/>
                <w:szCs w:val="30"/>
                <w:highlight w:val="none"/>
              </w:rPr>
            </w:pPr>
          </w:p>
        </w:tc>
        <w:tc>
          <w:tcPr>
            <w:tcW w:w="260" w:type="dxa"/>
            <w:noWrap/>
            <w:vAlign w:val="center"/>
          </w:tcPr>
          <w:p>
            <w:pPr>
              <w:snapToGrid w:val="0"/>
              <w:jc w:val="distribute"/>
              <w:rPr>
                <w:rFonts w:cs="仿宋" w:asciiTheme="majorEastAsia" w:hAnsiTheme="majorEastAsia" w:eastAsiaTheme="majorEastAsia"/>
                <w:b/>
                <w:color w:val="auto"/>
                <w:sz w:val="30"/>
                <w:szCs w:val="30"/>
                <w:highlight w:val="none"/>
              </w:rPr>
            </w:pPr>
          </w:p>
        </w:tc>
        <w:tc>
          <w:tcPr>
            <w:tcW w:w="4108" w:type="dxa"/>
            <w:noWrap/>
            <w:vAlign w:val="center"/>
          </w:tcPr>
          <w:p>
            <w:pPr>
              <w:snapToGrid w:val="0"/>
              <w:jc w:val="distribute"/>
              <w:rPr>
                <w:rFonts w:cs="仿宋" w:asciiTheme="majorEastAsia" w:hAnsiTheme="majorEastAsia" w:eastAsiaTheme="majorEastAsia"/>
                <w:b/>
                <w:color w:val="auto"/>
                <w:sz w:val="30"/>
                <w:szCs w:val="30"/>
                <w:highlight w:val="none"/>
              </w:rPr>
            </w:pPr>
          </w:p>
        </w:tc>
      </w:tr>
      <w:tr>
        <w:tblPrEx>
          <w:tblCellMar>
            <w:top w:w="0" w:type="dxa"/>
            <w:left w:w="108" w:type="dxa"/>
            <w:bottom w:w="0" w:type="dxa"/>
            <w:right w:w="108" w:type="dxa"/>
          </w:tblCellMar>
        </w:tblPrEx>
        <w:trPr>
          <w:trHeight w:val="680" w:hRule="atLeast"/>
          <w:jc w:val="center"/>
        </w:trPr>
        <w:tc>
          <w:tcPr>
            <w:tcW w:w="6528" w:type="dxa"/>
            <w:gridSpan w:val="3"/>
            <w:noWrap/>
            <w:vAlign w:val="bottom"/>
          </w:tcPr>
          <w:p>
            <w:pPr>
              <w:snapToGrid w:val="0"/>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2023年</w:t>
            </w:r>
            <w:r>
              <w:rPr>
                <w:rFonts w:cs="仿宋" w:asciiTheme="majorEastAsia" w:hAnsiTheme="majorEastAsia" w:eastAsiaTheme="majorEastAsia"/>
                <w:b/>
                <w:color w:val="auto"/>
                <w:sz w:val="30"/>
                <w:szCs w:val="30"/>
                <w:highlight w:val="none"/>
              </w:rPr>
              <w:t>0</w:t>
            </w:r>
            <w:r>
              <w:rPr>
                <w:rFonts w:hint="eastAsia" w:cs="仿宋" w:asciiTheme="majorEastAsia" w:hAnsiTheme="majorEastAsia" w:eastAsiaTheme="majorEastAsia"/>
                <w:b/>
                <w:color w:val="auto"/>
                <w:sz w:val="30"/>
                <w:szCs w:val="30"/>
                <w:highlight w:val="none"/>
                <w:lang w:val="en-US" w:eastAsia="zh-CN"/>
              </w:rPr>
              <w:t>5</w:t>
            </w:r>
            <w:r>
              <w:rPr>
                <w:rFonts w:hint="eastAsia" w:cs="仿宋" w:asciiTheme="majorEastAsia" w:hAnsiTheme="majorEastAsia" w:eastAsiaTheme="majorEastAsia"/>
                <w:b/>
                <w:color w:val="auto"/>
                <w:sz w:val="30"/>
                <w:szCs w:val="30"/>
                <w:highlight w:val="none"/>
              </w:rPr>
              <w:t>月</w:t>
            </w:r>
          </w:p>
        </w:tc>
      </w:tr>
    </w:tbl>
    <w:p>
      <w:pP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48"/>
          <w:szCs w:val="48"/>
          <w:highlight w:val="none"/>
        </w:rPr>
        <w:br w:type="page"/>
      </w:r>
    </w:p>
    <w:p>
      <w:pPr>
        <w:spacing w:line="360" w:lineRule="auto"/>
        <w:jc w:val="center"/>
        <w:rPr>
          <w:rFonts w:cs="仿宋" w:asciiTheme="majorEastAsia" w:hAnsiTheme="majorEastAsia" w:eastAsiaTheme="majorEastAsia"/>
          <w:color w:val="auto"/>
          <w:sz w:val="24"/>
          <w:highlight w:val="none"/>
        </w:rPr>
      </w:pPr>
    </w:p>
    <w:p>
      <w:pPr>
        <w:spacing w:line="360" w:lineRule="auto"/>
        <w:jc w:val="center"/>
        <w:rPr>
          <w:rFonts w:cs="仿宋" w:asciiTheme="majorEastAsia" w:hAnsiTheme="majorEastAsia" w:eastAsiaTheme="majorEastAsia"/>
          <w:b/>
          <w:color w:val="auto"/>
          <w:sz w:val="48"/>
          <w:szCs w:val="48"/>
          <w:highlight w:val="none"/>
        </w:rPr>
      </w:pPr>
      <w:r>
        <w:rPr>
          <w:rFonts w:hint="eastAsia" w:cs="仿宋" w:asciiTheme="majorEastAsia" w:hAnsiTheme="majorEastAsia" w:eastAsiaTheme="majorEastAsia"/>
          <w:b/>
          <w:color w:val="auto"/>
          <w:sz w:val="48"/>
          <w:szCs w:val="48"/>
          <w:highlight w:val="none"/>
        </w:rPr>
        <w:t>目  录</w:t>
      </w:r>
    </w:p>
    <w:p>
      <w:pPr>
        <w:spacing w:line="360" w:lineRule="auto"/>
        <w:rPr>
          <w:rFonts w:cs="仿宋" w:asciiTheme="majorEastAsia" w:hAnsiTheme="majorEastAsia" w:eastAsiaTheme="majorEastAsia"/>
          <w:color w:val="auto"/>
          <w:sz w:val="32"/>
          <w:szCs w:val="32"/>
          <w:highlight w:val="none"/>
        </w:rPr>
      </w:pPr>
    </w:p>
    <w:p>
      <w:pPr>
        <w:spacing w:line="360" w:lineRule="auto"/>
        <w:rPr>
          <w:rFonts w:cs="仿宋" w:asciiTheme="majorEastAsia" w:hAnsiTheme="majorEastAsia" w:eastAsiaTheme="majorEastAsia"/>
          <w:color w:val="auto"/>
          <w:sz w:val="32"/>
          <w:szCs w:val="32"/>
          <w:highlight w:val="none"/>
        </w:rPr>
      </w:pPr>
    </w:p>
    <w:p>
      <w:pP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第一部分      招标公告</w:t>
      </w:r>
    </w:p>
    <w:p>
      <w:pP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第二部分      投标人须知</w:t>
      </w:r>
    </w:p>
    <w:p>
      <w:pP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第三部分      采购需求</w:t>
      </w:r>
    </w:p>
    <w:p>
      <w:pP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第四部分      评标办法</w:t>
      </w:r>
    </w:p>
    <w:p>
      <w:pP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第五部分      拟签订的合同文本</w:t>
      </w:r>
    </w:p>
    <w:p>
      <w:pP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第六部分      应提交的有关格式范例</w:t>
      </w:r>
    </w:p>
    <w:p>
      <w:pPr>
        <w:pStyle w:val="24"/>
        <w:spacing w:line="360" w:lineRule="auto"/>
        <w:jc w:val="center"/>
        <w:rPr>
          <w:rFonts w:cs="仿宋" w:asciiTheme="majorEastAsia" w:hAnsiTheme="majorEastAsia" w:eastAsiaTheme="majorEastAsia"/>
          <w:color w:val="auto"/>
          <w:highlight w:val="none"/>
        </w:rPr>
        <w:sectPr>
          <w:headerReference r:id="rId3" w:type="default"/>
          <w:footerReference r:id="rId4" w:type="default"/>
          <w:pgSz w:w="11906" w:h="16838"/>
          <w:pgMar w:top="1440" w:right="1800" w:bottom="1440" w:left="1800" w:header="851" w:footer="992" w:gutter="0"/>
          <w:pgNumType w:start="0"/>
          <w:cols w:space="720" w:num="1"/>
          <w:titlePg/>
          <w:docGrid w:type="lines" w:linePitch="312" w:charSpace="0"/>
        </w:sectPr>
      </w:pPr>
    </w:p>
    <w:p>
      <w:pPr>
        <w:adjustRightInd w:val="0"/>
        <w:snapToGrid w:val="0"/>
        <w:spacing w:beforeLines="50" w:afterLines="50" w:line="360" w:lineRule="auto"/>
        <w:jc w:val="center"/>
        <w:outlineLvl w:val="0"/>
        <w:rPr>
          <w:rFonts w:cs="仿宋" w:asciiTheme="majorEastAsia" w:hAnsiTheme="majorEastAsia" w:eastAsiaTheme="majorEastAsia"/>
          <w:b/>
          <w:color w:val="auto"/>
          <w:sz w:val="30"/>
          <w:szCs w:val="30"/>
          <w:highlight w:val="none"/>
        </w:rPr>
      </w:pPr>
      <w:bookmarkStart w:id="0" w:name="_Toc26776"/>
      <w:bookmarkStart w:id="1" w:name="_Toc21665"/>
      <w:r>
        <w:rPr>
          <w:rFonts w:hint="eastAsia" w:cs="仿宋" w:asciiTheme="majorEastAsia" w:hAnsiTheme="majorEastAsia" w:eastAsiaTheme="majorEastAsia"/>
          <w:b/>
          <w:color w:val="auto"/>
          <w:sz w:val="30"/>
          <w:szCs w:val="30"/>
          <w:highlight w:val="none"/>
        </w:rPr>
        <w:t>第一部分  采购公告</w:t>
      </w:r>
      <w:bookmarkEnd w:id="0"/>
      <w:bookmarkEnd w:id="1"/>
    </w:p>
    <w:p>
      <w:pPr>
        <w:pBdr>
          <w:top w:val="single" w:color="auto" w:sz="4" w:space="1"/>
          <w:left w:val="single" w:color="auto" w:sz="4" w:space="0"/>
          <w:bottom w:val="single" w:color="auto" w:sz="4" w:space="3"/>
          <w:right w:val="single" w:color="auto" w:sz="4" w:space="4"/>
        </w:pBdr>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 xml:space="preserve">项目概况                                                    </w:t>
      </w:r>
    </w:p>
    <w:p>
      <w:pPr>
        <w:pBdr>
          <w:top w:val="single" w:color="auto" w:sz="4" w:space="1"/>
          <w:left w:val="single" w:color="auto" w:sz="4" w:space="0"/>
          <w:bottom w:val="single" w:color="auto" w:sz="4" w:space="3"/>
          <w:right w:val="single" w:color="auto" w:sz="4" w:space="4"/>
        </w:pBdr>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十二工段以南500米的监测断面水质提升和十八工段闸口监测断面水质提升项目招标项目的潜在投标人应在政采云平台（https://www.zcygov.cn/）获取（下载）招标文件，并于 2023年</w:t>
      </w:r>
      <w:r>
        <w:rPr>
          <w:rFonts w:hint="eastAsia" w:cs="仿宋" w:asciiTheme="majorEastAsia" w:hAnsiTheme="majorEastAsia" w:eastAsiaTheme="majorEastAsia"/>
          <w:color w:val="auto"/>
          <w:kern w:val="0"/>
          <w:sz w:val="24"/>
          <w:highlight w:val="none"/>
          <w:lang w:val="en-US" w:eastAsia="zh-CN"/>
        </w:rPr>
        <w:t>5</w:t>
      </w:r>
      <w:r>
        <w:rPr>
          <w:rFonts w:hint="eastAsia" w:cs="仿宋" w:asciiTheme="majorEastAsia" w:hAnsiTheme="majorEastAsia" w:eastAsiaTheme="majorEastAsia"/>
          <w:color w:val="auto"/>
          <w:kern w:val="0"/>
          <w:sz w:val="24"/>
          <w:highlight w:val="none"/>
        </w:rPr>
        <w:t>月</w:t>
      </w:r>
      <w:r>
        <w:rPr>
          <w:rFonts w:hint="eastAsia" w:cs="仿宋" w:asciiTheme="majorEastAsia" w:hAnsiTheme="majorEastAsia" w:eastAsiaTheme="majorEastAsia"/>
          <w:color w:val="auto"/>
          <w:kern w:val="0"/>
          <w:sz w:val="24"/>
          <w:highlight w:val="none"/>
          <w:lang w:val="en-US" w:eastAsia="zh-CN"/>
        </w:rPr>
        <w:t>26</w:t>
      </w:r>
      <w:r>
        <w:rPr>
          <w:rFonts w:cs="仿宋" w:asciiTheme="majorEastAsia" w:hAnsiTheme="majorEastAsia" w:eastAsiaTheme="majorEastAsia"/>
          <w:color w:val="auto"/>
          <w:kern w:val="0"/>
          <w:sz w:val="24"/>
          <w:highlight w:val="none"/>
        </w:rPr>
        <w:t xml:space="preserve"> </w:t>
      </w:r>
      <w:r>
        <w:rPr>
          <w:rFonts w:hint="eastAsia" w:cs="仿宋" w:asciiTheme="majorEastAsia" w:hAnsiTheme="majorEastAsia" w:eastAsiaTheme="majorEastAsia"/>
          <w:color w:val="auto"/>
          <w:kern w:val="0"/>
          <w:sz w:val="24"/>
          <w:highlight w:val="none"/>
        </w:rPr>
        <w:t xml:space="preserve">日 09:30（北京时间）前递交（上传）投标文件。      </w:t>
      </w:r>
    </w:p>
    <w:p>
      <w:pPr>
        <w:pStyle w:val="41"/>
        <w:adjustRightInd w:val="0"/>
        <w:snapToGrid w:val="0"/>
        <w:spacing w:beforeAutospacing="0" w:afterAutospacing="0" w:line="360" w:lineRule="auto"/>
        <w:jc w:val="both"/>
        <w:rPr>
          <w:rFonts w:cs="仿宋" w:asciiTheme="majorEastAsia" w:hAnsiTheme="majorEastAsia" w:eastAsiaTheme="majorEastAsia"/>
          <w:color w:val="auto"/>
          <w:sz w:val="24"/>
          <w:szCs w:val="24"/>
          <w:highlight w:val="none"/>
        </w:rPr>
      </w:pPr>
    </w:p>
    <w:p>
      <w:pPr>
        <w:pStyle w:val="41"/>
        <w:adjustRightInd w:val="0"/>
        <w:snapToGrid w:val="0"/>
        <w:spacing w:beforeAutospacing="0" w:afterAutospacing="0" w:line="360" w:lineRule="auto"/>
        <w:jc w:val="both"/>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b/>
          <w:bCs/>
          <w:color w:val="auto"/>
          <w:sz w:val="24"/>
          <w:szCs w:val="24"/>
          <w:highlight w:val="none"/>
        </w:rPr>
        <w:t>一、项目基本情况</w:t>
      </w:r>
    </w:p>
    <w:p>
      <w:pPr>
        <w:pStyle w:val="41"/>
        <w:adjustRightInd w:val="0"/>
        <w:snapToGrid w:val="0"/>
        <w:spacing w:beforeAutospacing="0" w:afterAutospacing="0" w:line="360" w:lineRule="auto"/>
        <w:ind w:firstLine="480" w:firstLineChars="200"/>
        <w:rPr>
          <w:rFonts w:hint="eastAsia" w:cs="仿宋" w:asciiTheme="majorEastAsia" w:hAnsiTheme="majorEastAsia" w:eastAsiaTheme="majorEastAsia"/>
          <w:color w:val="auto"/>
          <w:sz w:val="24"/>
          <w:szCs w:val="24"/>
          <w:highlight w:val="none"/>
          <w:lang w:eastAsia="zh-CN"/>
        </w:rPr>
      </w:pPr>
      <w:r>
        <w:rPr>
          <w:rFonts w:hint="eastAsia" w:cs="仿宋" w:asciiTheme="majorEastAsia" w:hAnsiTheme="majorEastAsia" w:eastAsiaTheme="majorEastAsia"/>
          <w:color w:val="auto"/>
          <w:sz w:val="24"/>
          <w:szCs w:val="24"/>
          <w:highlight w:val="none"/>
        </w:rPr>
        <w:t>项目编号：</w:t>
      </w:r>
      <w:r>
        <w:rPr>
          <w:rFonts w:hint="eastAsia" w:cs="仿宋" w:asciiTheme="majorEastAsia" w:hAnsiTheme="majorEastAsia" w:eastAsiaTheme="majorEastAsia"/>
          <w:color w:val="auto"/>
          <w:sz w:val="24"/>
          <w:szCs w:val="24"/>
          <w:highlight w:val="none"/>
          <w:lang w:eastAsia="zh-CN"/>
        </w:rPr>
        <w:t>QTCG-GK-2023-114</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项目名称：十二工段以南500米的监测断面水质提升和十八工段闸口监测断面水质提升项目</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预算金额（元）：</w:t>
      </w:r>
      <w:r>
        <w:rPr>
          <w:rFonts w:hint="eastAsia" w:cs="仿宋" w:asciiTheme="majorEastAsia" w:hAnsiTheme="majorEastAsia" w:eastAsiaTheme="majorEastAsia"/>
          <w:b/>
          <w:bCs/>
          <w:color w:val="auto"/>
          <w:sz w:val="24"/>
          <w:szCs w:val="24"/>
          <w:highlight w:val="none"/>
        </w:rPr>
        <w:t>6690000</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最高限价（元）：</w:t>
      </w:r>
      <w:r>
        <w:rPr>
          <w:rFonts w:hint="eastAsia" w:cs="仿宋" w:asciiTheme="majorEastAsia" w:hAnsiTheme="majorEastAsia" w:eastAsiaTheme="majorEastAsia"/>
          <w:b/>
          <w:bCs/>
          <w:color w:val="auto"/>
          <w:sz w:val="24"/>
          <w:szCs w:val="24"/>
          <w:highlight w:val="none"/>
        </w:rPr>
        <w:t>6690000</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采购需求：</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标项名称：十二工段以南500米的监测断面水质提升和十八工段闸口监测断面水质提升项目</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数量：1</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预算金额（元）: </w:t>
      </w:r>
      <w:r>
        <w:rPr>
          <w:rFonts w:hint="eastAsia" w:cs="仿宋" w:asciiTheme="majorEastAsia" w:hAnsiTheme="majorEastAsia" w:eastAsiaTheme="majorEastAsia"/>
          <w:b/>
          <w:bCs/>
          <w:color w:val="auto"/>
          <w:sz w:val="24"/>
          <w:szCs w:val="24"/>
          <w:highlight w:val="none"/>
        </w:rPr>
        <w:t>6690000</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简要规格描述或项目基本概况介绍、用途：十二工段以南500米的监测断面水质提升和十八工段闸口监测断面水质提升内河道进行生态治理。具体以招标文件第三部分采购需求为准。</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备注：</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合同履约期限：标项 1，整体服务期2年。具体时间根据采购人要求安排。</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本项目（是）接受联合体投标。</w:t>
      </w:r>
    </w:p>
    <w:p>
      <w:pPr>
        <w:pStyle w:val="41"/>
        <w:adjustRightInd w:val="0"/>
        <w:snapToGrid w:val="0"/>
        <w:spacing w:beforeAutospacing="0" w:afterAutospacing="0" w:line="360" w:lineRule="auto"/>
        <w:jc w:val="both"/>
        <w:rPr>
          <w:rFonts w:cs="仿宋" w:asciiTheme="majorEastAsia" w:hAnsiTheme="majorEastAsia" w:eastAsiaTheme="majorEastAsia"/>
          <w:b/>
          <w:bCs/>
          <w:color w:val="auto"/>
          <w:sz w:val="24"/>
          <w:szCs w:val="24"/>
          <w:highlight w:val="none"/>
        </w:rPr>
      </w:pPr>
      <w:r>
        <w:rPr>
          <w:rFonts w:hint="eastAsia" w:cs="仿宋" w:asciiTheme="majorEastAsia" w:hAnsiTheme="majorEastAsia" w:eastAsiaTheme="majorEastAsia"/>
          <w:b/>
          <w:bCs/>
          <w:color w:val="auto"/>
          <w:sz w:val="24"/>
          <w:szCs w:val="24"/>
          <w:highlight w:val="none"/>
        </w:rPr>
        <w:t>二、申请人的资格要求</w:t>
      </w:r>
    </w:p>
    <w:p>
      <w:pPr>
        <w:spacing w:line="360" w:lineRule="auto"/>
        <w:ind w:firstLine="480"/>
        <w:rPr>
          <w:rFonts w:cs="仿宋" w:asciiTheme="majorEastAsia" w:hAnsiTheme="majorEastAsia" w:eastAsiaTheme="majorEastAsia"/>
          <w:snapToGrid w:val="0"/>
          <w:color w:val="auto"/>
          <w:kern w:val="28"/>
          <w:sz w:val="24"/>
          <w:szCs w:val="20"/>
          <w:highlight w:val="none"/>
        </w:rPr>
      </w:pPr>
      <w:r>
        <w:rPr>
          <w:rFonts w:hint="eastAsia" w:cs="仿宋" w:asciiTheme="majorEastAsia" w:hAnsiTheme="majorEastAsia" w:eastAsiaTheme="majorEastAsia"/>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cs="仿宋" w:asciiTheme="majorEastAsia" w:hAnsiTheme="majorEastAsia" w:eastAsiaTheme="majorEastAsia"/>
          <w:snapToGrid w:val="0"/>
          <w:color w:val="auto"/>
          <w:kern w:val="28"/>
          <w:sz w:val="24"/>
          <w:szCs w:val="20"/>
          <w:highlight w:val="none"/>
        </w:rPr>
      </w:pPr>
      <w:r>
        <w:rPr>
          <w:rFonts w:hint="eastAsia" w:cs="仿宋" w:asciiTheme="majorEastAsia" w:hAnsiTheme="majorEastAsia" w:eastAsiaTheme="majorEastAsia"/>
          <w:snapToGrid w:val="0"/>
          <w:color w:val="auto"/>
          <w:kern w:val="28"/>
          <w:sz w:val="24"/>
          <w:szCs w:val="20"/>
          <w:highlight w:val="none"/>
        </w:rPr>
        <w:t xml:space="preserve">    2.落实政府采购政策需满足的资格要求：</w:t>
      </w:r>
    </w:p>
    <w:p>
      <w:pPr>
        <w:spacing w:line="360" w:lineRule="auto"/>
        <w:ind w:firstLine="480" w:firstLineChars="200"/>
        <w:rPr>
          <w:rFonts w:cs="仿宋" w:asciiTheme="majorEastAsia" w:hAnsiTheme="majorEastAsia" w:eastAsiaTheme="majorEastAsia"/>
          <w:color w:val="auto"/>
          <w:sz w:val="24"/>
          <w:highlight w:val="none"/>
        </w:rPr>
      </w:pPr>
      <w:r>
        <w:rPr>
          <w:rFonts w:ascii="Segoe UI Symbol" w:hAnsi="Segoe UI Symbol" w:cs="Segoe UI Symbol" w:eastAsiaTheme="majorEastAsia"/>
          <w:color w:val="auto"/>
          <w:kern w:val="0"/>
          <w:sz w:val="24"/>
          <w:highlight w:val="none"/>
        </w:rPr>
        <w:t>☐</w:t>
      </w:r>
      <w:r>
        <w:rPr>
          <w:rFonts w:hint="eastAsia" w:cs="仿宋" w:asciiTheme="majorEastAsia" w:hAnsiTheme="majorEastAsia" w:eastAsiaTheme="majorEastAsia"/>
          <w:color w:val="auto"/>
          <w:sz w:val="24"/>
          <w:highlight w:val="none"/>
        </w:rPr>
        <w:t>无；</w:t>
      </w:r>
    </w:p>
    <w:p>
      <w:pPr>
        <w:spacing w:line="360" w:lineRule="auto"/>
        <w:ind w:firstLine="480" w:firstLineChars="200"/>
        <w:rPr>
          <w:rFonts w:cs="仿宋" w:asciiTheme="majorEastAsia" w:hAnsiTheme="majorEastAsia" w:eastAsiaTheme="majorEastAsia"/>
          <w:color w:val="auto"/>
          <w:sz w:val="24"/>
          <w:highlight w:val="none"/>
        </w:rPr>
      </w:pPr>
      <w:r>
        <w:rPr>
          <w:rFonts w:cs="Arial" w:asciiTheme="majorEastAsia" w:hAnsiTheme="majorEastAsia" w:eastAsiaTheme="majorEastAsia"/>
          <w:color w:val="auto"/>
          <w:kern w:val="0"/>
          <w:sz w:val="24"/>
          <w:highlight w:val="none"/>
        </w:rPr>
        <w:sym w:font="Wingdings" w:char="00FE"/>
      </w:r>
      <w:r>
        <w:rPr>
          <w:rFonts w:hint="eastAsia" w:cs="仿宋" w:asciiTheme="majorEastAsia" w:hAnsiTheme="majorEastAsia" w:eastAsiaTheme="majorEastAsia"/>
          <w:color w:val="auto"/>
          <w:kern w:val="0"/>
          <w:sz w:val="24"/>
          <w:highlight w:val="none"/>
        </w:rPr>
        <w:t>专</w:t>
      </w:r>
      <w:r>
        <w:rPr>
          <w:rFonts w:hint="eastAsia" w:cs="仿宋" w:asciiTheme="majorEastAsia" w:hAnsiTheme="majorEastAsia" w:eastAsiaTheme="majorEastAsia"/>
          <w:color w:val="auto"/>
          <w:sz w:val="24"/>
          <w:highlight w:val="none"/>
        </w:rPr>
        <w:t>门面向中小企业</w:t>
      </w:r>
    </w:p>
    <w:p>
      <w:pPr>
        <w:spacing w:line="360" w:lineRule="auto"/>
        <w:ind w:firstLine="897" w:firstLineChars="374"/>
        <w:rPr>
          <w:rFonts w:cs="仿宋" w:asciiTheme="majorEastAsia" w:hAnsiTheme="majorEastAsia" w:eastAsiaTheme="majorEastAsia"/>
          <w:color w:val="auto"/>
          <w:sz w:val="24"/>
          <w:highlight w:val="none"/>
          <w:u w:val="single"/>
        </w:rPr>
      </w:pPr>
      <w:r>
        <w:rPr>
          <w:rFonts w:ascii="Segoe UI Symbol" w:hAnsi="Segoe UI Symbol" w:cs="Segoe UI Symbol" w:eastAsiaTheme="majorEastAsia"/>
          <w:color w:val="auto"/>
          <w:kern w:val="0"/>
          <w:sz w:val="24"/>
          <w:highlight w:val="none"/>
        </w:rPr>
        <w:t>☐</w:t>
      </w:r>
      <w:r>
        <w:rPr>
          <w:rFonts w:hint="eastAsia" w:cs="仿宋" w:asciiTheme="majorEastAsia" w:hAnsiTheme="majorEastAsia" w:eastAsiaTheme="majorEastAsia"/>
          <w:color w:val="auto"/>
          <w:sz w:val="24"/>
          <w:highlight w:val="none"/>
        </w:rPr>
        <w:t>货物全部由符合政策要求的中小企业制造，提供中小企业声明函；</w:t>
      </w:r>
    </w:p>
    <w:p>
      <w:pPr>
        <w:spacing w:line="360" w:lineRule="auto"/>
        <w:ind w:firstLine="897" w:firstLineChars="374"/>
        <w:rPr>
          <w:rFonts w:cs="仿宋" w:asciiTheme="majorEastAsia" w:hAnsiTheme="majorEastAsia" w:eastAsiaTheme="majorEastAsia"/>
          <w:color w:val="auto"/>
          <w:sz w:val="24"/>
          <w:highlight w:val="none"/>
        </w:rPr>
      </w:pPr>
      <w:r>
        <w:rPr>
          <w:rFonts w:ascii="Segoe UI Symbol" w:hAnsi="Segoe UI Symbol" w:cs="Segoe UI Symbol" w:eastAsiaTheme="majorEastAsia"/>
          <w:color w:val="auto"/>
          <w:kern w:val="0"/>
          <w:sz w:val="24"/>
          <w:highlight w:val="none"/>
        </w:rPr>
        <w:t>☐</w:t>
      </w:r>
      <w:r>
        <w:rPr>
          <w:rFonts w:hint="eastAsia" w:cs="仿宋" w:asciiTheme="majorEastAsia" w:hAnsiTheme="majorEastAsia" w:eastAsiaTheme="majorEastAsia"/>
          <w:color w:val="auto"/>
          <w:sz w:val="24"/>
          <w:highlight w:val="none"/>
        </w:rPr>
        <w:t>货物全部由符合政策要求的小微企业制造，提供中小企业声明函；</w:t>
      </w:r>
    </w:p>
    <w:p>
      <w:pPr>
        <w:spacing w:line="360" w:lineRule="auto"/>
        <w:ind w:firstLine="897" w:firstLineChars="374"/>
        <w:rPr>
          <w:rFonts w:cs="仿宋" w:asciiTheme="majorEastAsia" w:hAnsiTheme="majorEastAsia" w:eastAsiaTheme="majorEastAsia"/>
          <w:color w:val="auto"/>
          <w:sz w:val="24"/>
          <w:highlight w:val="none"/>
        </w:rPr>
      </w:pPr>
      <w:r>
        <w:rPr>
          <w:rFonts w:cs="Arial" w:asciiTheme="majorEastAsia" w:hAnsiTheme="majorEastAsia" w:eastAsiaTheme="majorEastAsia"/>
          <w:color w:val="auto"/>
          <w:kern w:val="0"/>
          <w:sz w:val="24"/>
          <w:highlight w:val="none"/>
        </w:rPr>
        <w:sym w:font="Wingdings" w:char="00FE"/>
      </w:r>
      <w:r>
        <w:rPr>
          <w:rFonts w:hint="eastAsia" w:cs="仿宋" w:asciiTheme="majorEastAsia" w:hAnsiTheme="majorEastAsia" w:eastAsiaTheme="majorEastAsia"/>
          <w:color w:val="auto"/>
          <w:sz w:val="24"/>
          <w:highlight w:val="none"/>
        </w:rPr>
        <w:t>服务全部由符合政策要求的中小企业承接，提供中小企业声明函；</w:t>
      </w:r>
    </w:p>
    <w:p>
      <w:pPr>
        <w:spacing w:line="360" w:lineRule="auto"/>
        <w:ind w:firstLine="897" w:firstLineChars="374"/>
        <w:rPr>
          <w:rFonts w:cs="仿宋" w:asciiTheme="majorEastAsia" w:hAnsiTheme="majorEastAsia" w:eastAsiaTheme="majorEastAsia"/>
          <w:color w:val="auto"/>
          <w:sz w:val="24"/>
          <w:highlight w:val="none"/>
        </w:rPr>
      </w:pPr>
      <w:r>
        <w:rPr>
          <w:rFonts w:ascii="Segoe UI Symbol" w:hAnsi="Segoe UI Symbol" w:cs="Segoe UI Symbol" w:eastAsiaTheme="majorEastAsia"/>
          <w:color w:val="auto"/>
          <w:kern w:val="0"/>
          <w:sz w:val="24"/>
          <w:highlight w:val="none"/>
        </w:rPr>
        <w:t>☐</w:t>
      </w:r>
      <w:r>
        <w:rPr>
          <w:rFonts w:hint="eastAsia" w:cs="仿宋" w:asciiTheme="majorEastAsia" w:hAnsiTheme="majorEastAsia" w:eastAsiaTheme="majorEastAsia"/>
          <w:color w:val="auto"/>
          <w:sz w:val="24"/>
          <w:highlight w:val="none"/>
        </w:rPr>
        <w:t>服务全部由符合政策要求的小微企业承接，提供中小企业声明函；</w:t>
      </w:r>
    </w:p>
    <w:p>
      <w:pPr>
        <w:rPr>
          <w:rFonts w:cs="仿宋" w:asciiTheme="majorEastAsia" w:hAnsiTheme="majorEastAsia" w:eastAsiaTheme="majorEastAsia"/>
          <w:color w:val="auto"/>
          <w:highlight w:val="none"/>
        </w:rPr>
      </w:pPr>
    </w:p>
    <w:p>
      <w:pPr>
        <w:spacing w:line="360" w:lineRule="auto"/>
        <w:ind w:firstLine="480" w:firstLineChars="200"/>
        <w:rPr>
          <w:rFonts w:cs="仿宋" w:asciiTheme="majorEastAsia" w:hAnsiTheme="majorEastAsia" w:eastAsiaTheme="majorEastAsia"/>
          <w:color w:val="auto"/>
          <w:sz w:val="24"/>
          <w:highlight w:val="none"/>
        </w:rPr>
      </w:pPr>
      <w:r>
        <w:rPr>
          <w:rFonts w:ascii="Segoe UI Symbol" w:hAnsi="Segoe UI Symbol" w:cs="Segoe UI Symbol" w:eastAsiaTheme="majorEastAsia"/>
          <w:color w:val="auto"/>
          <w:kern w:val="0"/>
          <w:sz w:val="24"/>
          <w:highlight w:val="none"/>
        </w:rPr>
        <w:t>☐</w:t>
      </w:r>
      <w:r>
        <w:rPr>
          <w:rFonts w:hint="eastAsia" w:cs="仿宋" w:asciiTheme="majorEastAsia" w:hAnsiTheme="majorEastAsia" w:eastAsiaTheme="majorEastAsia"/>
          <w:color w:val="auto"/>
          <w:sz w:val="24"/>
          <w:highlight w:val="none"/>
        </w:rPr>
        <w:t>要求以联合体形式参加，提供联合协议和中小企业声明函，联合协议中中小企业合同金额应当达到</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%，小微企业合同金额应当达到</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cs="仿宋" w:asciiTheme="majorEastAsia" w:hAnsiTheme="majorEastAsia" w:eastAsiaTheme="majorEastAsia"/>
          <w:color w:val="auto"/>
          <w:sz w:val="24"/>
          <w:highlight w:val="none"/>
        </w:rPr>
        <w:t>；</w:t>
      </w:r>
    </w:p>
    <w:p>
      <w:pPr>
        <w:spacing w:line="360" w:lineRule="auto"/>
        <w:ind w:firstLine="480" w:firstLineChars="200"/>
        <w:rPr>
          <w:rFonts w:cs="仿宋" w:asciiTheme="majorEastAsia" w:hAnsiTheme="majorEastAsia" w:eastAsiaTheme="majorEastAsia"/>
          <w:color w:val="auto"/>
          <w:sz w:val="24"/>
          <w:highlight w:val="none"/>
        </w:rPr>
      </w:pPr>
      <w:r>
        <w:rPr>
          <w:rFonts w:ascii="Segoe UI Symbol" w:hAnsi="Segoe UI Symbol" w:cs="Segoe UI Symbol" w:eastAsiaTheme="majorEastAsia"/>
          <w:color w:val="auto"/>
          <w:kern w:val="0"/>
          <w:sz w:val="24"/>
          <w:highlight w:val="none"/>
        </w:rPr>
        <w:t>☐</w:t>
      </w:r>
      <w:r>
        <w:rPr>
          <w:rFonts w:hint="eastAsia" w:cs="仿宋" w:asciiTheme="majorEastAsia" w:hAnsiTheme="majorEastAsia" w:eastAsiaTheme="majorEastAsia"/>
          <w:color w:val="auto"/>
          <w:sz w:val="24"/>
          <w:highlight w:val="none"/>
        </w:rPr>
        <w:t>要求合同分包，提供分包意向协议和中小企业声明函，分包意向协议中中小企业合同金额应当达到达到</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 ，小微企业合同金额应当达到</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 ;</w:t>
      </w:r>
      <w:r>
        <w:rPr>
          <w:rFonts w:hint="eastAsia" w:cs="仿宋" w:asciiTheme="majorEastAsia" w:hAnsiTheme="majorEastAsia" w:eastAsiaTheme="majorEastAsia"/>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cs="仿宋" w:asciiTheme="majorEastAsia" w:hAnsiTheme="majorEastAsia" w:eastAsiaTheme="majorEastAsia"/>
          <w:color w:val="auto"/>
          <w:sz w:val="24"/>
          <w:highlight w:val="none"/>
        </w:rPr>
        <w:t>；</w:t>
      </w:r>
    </w:p>
    <w:p>
      <w:pP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3.本项目的特定资格要求：无；</w:t>
      </w:r>
    </w:p>
    <w:p>
      <w:pP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r>
        <w:rPr>
          <w:rFonts w:hint="eastAsia" w:cs="仿宋" w:asciiTheme="majorEastAsia" w:hAnsiTheme="majorEastAsia" w:eastAsiaTheme="majorEastAsia"/>
          <w:snapToGrid w:val="0"/>
          <w:color w:val="auto"/>
          <w:kern w:val="28"/>
          <w:sz w:val="24"/>
          <w:szCs w:val="20"/>
          <w:highlight w:val="none"/>
        </w:rPr>
        <w:t>。</w:t>
      </w:r>
    </w:p>
    <w:p>
      <w:pPr>
        <w:pStyle w:val="41"/>
        <w:adjustRightInd w:val="0"/>
        <w:snapToGrid w:val="0"/>
        <w:spacing w:beforeAutospacing="0" w:afterAutospacing="0" w:line="360" w:lineRule="auto"/>
        <w:ind w:firstLine="482"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b/>
          <w:bCs/>
          <w:color w:val="auto"/>
          <w:sz w:val="24"/>
          <w:szCs w:val="24"/>
          <w:highlight w:val="none"/>
        </w:rPr>
        <w:t>三、获取招标文件</w:t>
      </w:r>
    </w:p>
    <w:p>
      <w:pP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时间：</w:t>
      </w:r>
      <w:r>
        <w:rPr>
          <w:rFonts w:hint="eastAsia" w:cs="仿宋" w:asciiTheme="majorEastAsia" w:hAnsiTheme="majorEastAsia" w:eastAsiaTheme="majorEastAsia"/>
          <w:color w:val="auto"/>
          <w:sz w:val="24"/>
          <w:highlight w:val="none"/>
        </w:rPr>
        <w:t>/至</w:t>
      </w:r>
      <w:r>
        <w:rPr>
          <w:rFonts w:hint="eastAsia" w:cs="仿宋" w:asciiTheme="majorEastAsia" w:hAnsiTheme="majorEastAsia" w:eastAsiaTheme="majorEastAsia"/>
          <w:color w:val="auto"/>
          <w:sz w:val="24"/>
          <w:highlight w:val="none"/>
          <w:u w:val="single"/>
        </w:rPr>
        <w:t>2023年</w:t>
      </w:r>
      <w:r>
        <w:rPr>
          <w:rFonts w:hint="eastAsia" w:cs="仿宋" w:asciiTheme="majorEastAsia" w:hAnsiTheme="majorEastAsia" w:eastAsiaTheme="majorEastAsia"/>
          <w:color w:val="auto"/>
          <w:sz w:val="24"/>
          <w:highlight w:val="none"/>
          <w:u w:val="single"/>
          <w:lang w:val="en-US" w:eastAsia="zh-CN"/>
        </w:rPr>
        <w:t>5</w:t>
      </w:r>
      <w:r>
        <w:rPr>
          <w:rFonts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26</w:t>
      </w:r>
      <w:r>
        <w:rPr>
          <w:rFonts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地点（网址）：</w:t>
      </w:r>
      <w:r>
        <w:rPr>
          <w:rFonts w:hint="eastAsia" w:cs="仿宋" w:asciiTheme="majorEastAsia" w:hAnsiTheme="majorEastAsia" w:eastAsiaTheme="majorEastAsia"/>
          <w:color w:val="auto"/>
          <w:sz w:val="24"/>
          <w:highlight w:val="none"/>
        </w:rPr>
        <w:t xml:space="preserve">政采云平台（https://www.zcygov.cn/） </w:t>
      </w:r>
    </w:p>
    <w:p>
      <w:pP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方式：</w:t>
      </w:r>
      <w:r>
        <w:rPr>
          <w:rFonts w:hint="eastAsia" w:cs="仿宋" w:asciiTheme="majorEastAsia" w:hAnsiTheme="majorEastAsia" w:eastAsiaTheme="majorEastAsia"/>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售价（元）：</w:t>
      </w:r>
      <w:r>
        <w:rPr>
          <w:rFonts w:hint="eastAsia" w:cs="仿宋" w:asciiTheme="majorEastAsia" w:hAnsiTheme="majorEastAsia" w:eastAsiaTheme="majorEastAsia"/>
          <w:color w:val="auto"/>
          <w:sz w:val="24"/>
          <w:highlight w:val="none"/>
        </w:rPr>
        <w:t xml:space="preserve">0 </w:t>
      </w:r>
      <w:r>
        <w:rPr>
          <w:rFonts w:hint="eastAsia" w:cs="仿宋" w:asciiTheme="majorEastAsia" w:hAnsiTheme="majorEastAsia" w:eastAsiaTheme="majorEastAsia"/>
          <w:color w:val="auto"/>
          <w:sz w:val="24"/>
          <w:highlight w:val="none"/>
        </w:rPr>
        <w:tab/>
      </w:r>
    </w:p>
    <w:p>
      <w:pP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四、提交投标文件截止时间、开标时间和地点</w:t>
      </w:r>
    </w:p>
    <w:p>
      <w:pP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提交投标文件截止时间：</w:t>
      </w:r>
      <w:r>
        <w:rPr>
          <w:rFonts w:hint="eastAsia" w:cs="仿宋" w:asciiTheme="majorEastAsia" w:hAnsiTheme="majorEastAsia" w:eastAsiaTheme="majorEastAsia"/>
          <w:color w:val="auto"/>
          <w:sz w:val="24"/>
          <w:highlight w:val="none"/>
          <w:u w:val="single"/>
        </w:rPr>
        <w:t xml:space="preserve"> 2023年</w:t>
      </w:r>
      <w:r>
        <w:rPr>
          <w:rFonts w:hint="eastAsia" w:cs="仿宋" w:asciiTheme="majorEastAsia" w:hAnsiTheme="majorEastAsia" w:eastAsiaTheme="majorEastAsia"/>
          <w:color w:val="auto"/>
          <w:sz w:val="24"/>
          <w:highlight w:val="none"/>
          <w:u w:val="single"/>
          <w:lang w:val="en-US" w:eastAsia="zh-CN"/>
        </w:rPr>
        <w:t>5</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26</w:t>
      </w:r>
      <w:r>
        <w:rPr>
          <w:rFonts w:hint="eastAsia" w:cs="仿宋" w:asciiTheme="majorEastAsia" w:hAnsiTheme="majorEastAsia" w:eastAsiaTheme="majorEastAsia"/>
          <w:color w:val="auto"/>
          <w:sz w:val="24"/>
          <w:highlight w:val="none"/>
          <w:u w:val="single"/>
        </w:rPr>
        <w:t>日09:30</w:t>
      </w:r>
      <w:r>
        <w:rPr>
          <w:rFonts w:hint="eastAsia" w:cs="仿宋" w:asciiTheme="majorEastAsia" w:hAnsiTheme="majorEastAsia" w:eastAsiaTheme="majorEastAsia"/>
          <w:color w:val="auto"/>
          <w:sz w:val="24"/>
          <w:highlight w:val="none"/>
        </w:rPr>
        <w:t>（北京时间）</w:t>
      </w:r>
    </w:p>
    <w:p>
      <w:pP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投标地点（网址）：</w:t>
      </w:r>
      <w:r>
        <w:rPr>
          <w:rFonts w:hint="eastAsia" w:cs="仿宋" w:asciiTheme="majorEastAsia" w:hAnsiTheme="majorEastAsia" w:eastAsiaTheme="majorEastAsia"/>
          <w:color w:val="auto"/>
          <w:sz w:val="24"/>
          <w:highlight w:val="none"/>
        </w:rPr>
        <w:t xml:space="preserve">政采云平台（https://www.zcygov.cn/） </w:t>
      </w:r>
    </w:p>
    <w:p>
      <w:pPr>
        <w:spacing w:line="360" w:lineRule="auto"/>
        <w:ind w:firstLine="482" w:firstLineChars="200"/>
        <w:rPr>
          <w:rFonts w:cs="仿宋" w:asciiTheme="majorEastAsia" w:hAnsiTheme="majorEastAsia" w:eastAsiaTheme="majorEastAsia"/>
          <w:bCs/>
          <w:color w:val="auto"/>
          <w:sz w:val="24"/>
          <w:highlight w:val="none"/>
          <w:u w:val="single"/>
        </w:rPr>
      </w:pPr>
      <w:r>
        <w:rPr>
          <w:rFonts w:hint="eastAsia" w:cs="仿宋" w:asciiTheme="majorEastAsia" w:hAnsiTheme="majorEastAsia" w:eastAsiaTheme="majorEastAsia"/>
          <w:b/>
          <w:color w:val="auto"/>
          <w:sz w:val="24"/>
          <w:highlight w:val="none"/>
        </w:rPr>
        <w:t>开标时间：</w:t>
      </w:r>
      <w:r>
        <w:rPr>
          <w:rFonts w:hint="eastAsia" w:cs="仿宋" w:asciiTheme="majorEastAsia" w:hAnsiTheme="majorEastAsia" w:eastAsiaTheme="majorEastAsia"/>
          <w:color w:val="auto"/>
          <w:sz w:val="24"/>
          <w:highlight w:val="none"/>
          <w:u w:val="single"/>
        </w:rPr>
        <w:t>2023年</w:t>
      </w:r>
      <w:r>
        <w:rPr>
          <w:rFonts w:hint="eastAsia" w:cs="仿宋" w:asciiTheme="majorEastAsia" w:hAnsiTheme="majorEastAsia" w:eastAsiaTheme="majorEastAsia"/>
          <w:color w:val="auto"/>
          <w:sz w:val="24"/>
          <w:highlight w:val="none"/>
          <w:u w:val="single"/>
          <w:lang w:val="en-US" w:eastAsia="zh-CN"/>
        </w:rPr>
        <w:t>5</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26</w:t>
      </w:r>
      <w:r>
        <w:rPr>
          <w:rFonts w:hint="eastAsia" w:cs="仿宋" w:asciiTheme="majorEastAsia" w:hAnsiTheme="majorEastAsia" w:eastAsiaTheme="majorEastAsia"/>
          <w:color w:val="auto"/>
          <w:sz w:val="24"/>
          <w:highlight w:val="none"/>
          <w:u w:val="single"/>
        </w:rPr>
        <w:t>日09:30</w:t>
      </w:r>
    </w:p>
    <w:p>
      <w:pP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开标地点（网址）：</w:t>
      </w:r>
      <w:r>
        <w:rPr>
          <w:rFonts w:hint="eastAsia" w:cs="仿宋" w:asciiTheme="majorEastAsia" w:hAnsiTheme="majorEastAsia" w:eastAsiaTheme="majorEastAsia"/>
          <w:color w:val="auto"/>
          <w:sz w:val="24"/>
          <w:highlight w:val="none"/>
        </w:rPr>
        <w:t>政采云平台（https://www.zcygov.cn/）</w:t>
      </w:r>
    </w:p>
    <w:p>
      <w:pPr>
        <w:spacing w:line="360" w:lineRule="auto"/>
        <w:ind w:firstLine="1446" w:firstLineChars="6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bCs/>
          <w:color w:val="auto"/>
          <w:sz w:val="24"/>
          <w:highlight w:val="none"/>
        </w:rPr>
        <w:t>（线下）：</w:t>
      </w:r>
      <w:r>
        <w:rPr>
          <w:rFonts w:hint="eastAsia" w:cs="仿宋" w:asciiTheme="majorEastAsia" w:hAnsiTheme="majorEastAsia" w:eastAsiaTheme="majorEastAsia"/>
          <w:color w:val="auto"/>
          <w:sz w:val="24"/>
          <w:highlight w:val="none"/>
        </w:rPr>
        <w:t>杭州市钱塘区金沙大道600号东楼6楼</w:t>
      </w:r>
      <w:r>
        <w:rPr>
          <w:rFonts w:hint="eastAsia" w:cs="仿宋" w:asciiTheme="majorEastAsia" w:hAnsiTheme="majorEastAsia" w:eastAsiaTheme="majorEastAsia"/>
          <w:color w:val="auto"/>
          <w:sz w:val="24"/>
          <w:highlight w:val="none"/>
          <w:lang w:val="en-US" w:eastAsia="zh-CN"/>
        </w:rPr>
        <w:t>5</w:t>
      </w:r>
      <w:r>
        <w:rPr>
          <w:rFonts w:hint="eastAsia" w:cs="仿宋" w:asciiTheme="majorEastAsia" w:hAnsiTheme="majorEastAsia" w:eastAsiaTheme="majorEastAsia"/>
          <w:color w:val="auto"/>
          <w:sz w:val="24"/>
          <w:highlight w:val="none"/>
        </w:rPr>
        <w:t>号开标室</w:t>
      </w:r>
    </w:p>
    <w:p>
      <w:pP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五、采购意向公开链接</w:t>
      </w:r>
    </w:p>
    <w:p>
      <w:pPr>
        <w:spacing w:line="360" w:lineRule="auto"/>
        <w:ind w:firstLine="420" w:firstLineChars="200"/>
        <w:rPr>
          <w:rFonts w:cs="仿宋" w:asciiTheme="majorEastAsia" w:hAnsiTheme="majorEastAsia" w:eastAsiaTheme="majorEastAsia"/>
          <w:color w:val="auto"/>
          <w:sz w:val="22"/>
          <w:szCs w:val="22"/>
          <w:highlight w:val="none"/>
        </w:rPr>
      </w:pPr>
      <w:r>
        <w:rPr>
          <w:color w:val="auto"/>
          <w:highlight w:val="none"/>
        </w:rPr>
        <w:fldChar w:fldCharType="begin"/>
      </w:r>
      <w:r>
        <w:rPr>
          <w:color w:val="auto"/>
          <w:highlight w:val="none"/>
        </w:rPr>
        <w:instrText xml:space="preserve"> HYPERLINK "https://zfcg.czt.zj.gov.cn/innerUsed_noticeDetails/index.html?noticeId=9256721&amp;utm=web-government-front.49399a16.0.0.1c4e0f70d9b111eda9a1ab91f09d5af5" </w:instrText>
      </w:r>
      <w:r>
        <w:rPr>
          <w:color w:val="auto"/>
          <w:highlight w:val="none"/>
        </w:rPr>
        <w:fldChar w:fldCharType="separate"/>
      </w:r>
      <w:r>
        <w:rPr>
          <w:rStyle w:val="52"/>
          <w:rFonts w:cs="仿宋" w:asciiTheme="majorEastAsia" w:hAnsiTheme="majorEastAsia" w:eastAsiaTheme="majorEastAsia"/>
          <w:color w:val="auto"/>
          <w:sz w:val="22"/>
          <w:szCs w:val="22"/>
          <w:highlight w:val="none"/>
        </w:rPr>
        <w:t>https://zfcg.czt.zj.gov.cn/innerUsed_noticeDetails/index.html?noticeId=9256721&amp;utm=web-government-front.49399a16.0.0.1c4e0f70d9b111eda9a1ab91f09d5af5</w:t>
      </w:r>
      <w:r>
        <w:rPr>
          <w:rStyle w:val="52"/>
          <w:rFonts w:cs="仿宋" w:asciiTheme="majorEastAsia" w:hAnsiTheme="majorEastAsia" w:eastAsiaTheme="majorEastAsia"/>
          <w:color w:val="auto"/>
          <w:sz w:val="22"/>
          <w:szCs w:val="22"/>
          <w:highlight w:val="none"/>
        </w:rPr>
        <w:fldChar w:fldCharType="end"/>
      </w: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 xml:space="preserve">六、公告期限 </w:t>
      </w:r>
    </w:p>
    <w:p>
      <w:pP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自本公告发布之日起5个工作日。</w:t>
      </w:r>
    </w:p>
    <w:p>
      <w:pP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七、其他补充事宜</w:t>
      </w:r>
      <w:bookmarkStart w:id="126" w:name="_GoBack"/>
      <w:bookmarkEnd w:id="126"/>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 支持中小企业力度 助力扎实稳住经济 的通知》（浙财采监〔2022〕8号）已分别于2022年1月29日、2022年2月1日和2022年7月1日开始实施，此前有关规定与上述文件内容不一致的，按上述文件要求执行。</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4.其他事项：</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（1）需要落实的政府采购政策：包括节约资源、保护环境、支持创新、促进中小企业发展等。详见招标文件的第二部分总则。</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highlight w:val="none"/>
        </w:rPr>
        <w:t>（3）</w:t>
      </w:r>
      <w:r>
        <w:rPr>
          <w:rFonts w:hint="eastAsia" w:cs="仿宋" w:asciiTheme="majorEastAsia" w:hAnsiTheme="majorEastAsia" w:eastAsiaTheme="majorEastAsia"/>
          <w:color w:val="auto"/>
          <w:sz w:val="24"/>
          <w:szCs w:val="24"/>
          <w:highlight w:val="none"/>
        </w:rPr>
        <w:t>钱塘区政府采购支持中小企业信用融资：</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为支持和促进中小企业发展，进一步发挥政府采购政策功能，根据《杭州市政府采购支持中小企业信用融资管理办法》、《关于钱塘区政府采购支持中小企业信用融资有关事项的通知》，现将相关事项通知如下：</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A.适用对象：在浙江“政采云”平台注册入库，并取得钱塘区政府采购合同的中小企业供应商。</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B.相关信息获取方式：具体合作银行及联系方式详见采购文件。登陆杭州钱塘区管理委员会官网（http://qt.hangzhou.gov.cn） “公告公示”专栏，可查看信用融资政策文件及各相关银行服务方案。</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C.申请方式和步骤：①供应商若有融资意向，需先与钱塘区财政局合作的银行对接，办理相关融资前期手续；②中标后，供应商应与采购单位或者采购代理机构及时联系，告知融资需求；③相关合作银行联系并审核供应商及相关中标信息，办理相关融资事宜；④采购单位或者采购代理机构在政府采购信息系统录入中标合同信息时，须标注合同为信用融资合同，并选择相应的信用融资合作银行，录入账号信息；⑤采购人应及时将信用融资合同提交财政局备案。</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highlight w:val="none"/>
        </w:rPr>
        <w:t>（5）本项目采购文件公告期限为本公告发布之日起5个工作日。</w:t>
      </w:r>
    </w:p>
    <w:p>
      <w:pPr>
        <w:pStyle w:val="41"/>
        <w:adjustRightInd w:val="0"/>
        <w:snapToGrid w:val="0"/>
        <w:spacing w:beforeAutospacing="0" w:afterAutospacing="0" w:line="360" w:lineRule="auto"/>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b/>
          <w:bCs/>
          <w:color w:val="auto"/>
          <w:sz w:val="24"/>
          <w:szCs w:val="24"/>
          <w:highlight w:val="none"/>
        </w:rPr>
        <w:t>八、对本次采购提出询问、质疑、投诉，请按以下方式联系　　　</w:t>
      </w:r>
      <w:r>
        <w:rPr>
          <w:rFonts w:hint="eastAsia" w:cs="仿宋" w:asciiTheme="majorEastAsia" w:hAnsiTheme="majorEastAsia" w:eastAsiaTheme="majorEastAsia"/>
          <w:color w:val="auto"/>
          <w:sz w:val="24"/>
          <w:szCs w:val="24"/>
          <w:highlight w:val="none"/>
        </w:rPr>
        <w:t>　　　　　　　　　</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1、采购人信息</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名称：杭州市钱塘区农业农村局　　　　　　　　　</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地址：钱塘区河庄街道迎康路28号北五楼</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传真：  / </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color w:val="auto"/>
          <w:sz w:val="24"/>
          <w:szCs w:val="24"/>
          <w:highlight w:val="none"/>
        </w:rPr>
        <w:t>项目联系人（询问）： 曹工  　　　　　　　</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项目联系方式（询问）：</w:t>
      </w:r>
      <w:r>
        <w:rPr>
          <w:rFonts w:cs="仿宋" w:asciiTheme="majorEastAsia" w:hAnsiTheme="majorEastAsia" w:eastAsiaTheme="majorEastAsia"/>
          <w:color w:val="auto"/>
          <w:sz w:val="24"/>
          <w:szCs w:val="24"/>
          <w:highlight w:val="none"/>
        </w:rPr>
        <w:t xml:space="preserve"> 0571-82988281</w:t>
      </w:r>
      <w:r>
        <w:rPr>
          <w:rFonts w:hint="eastAsia" w:cs="仿宋" w:asciiTheme="majorEastAsia" w:hAnsiTheme="majorEastAsia" w:eastAsiaTheme="majorEastAsia"/>
          <w:color w:val="auto"/>
          <w:sz w:val="24"/>
          <w:szCs w:val="24"/>
          <w:highlight w:val="none"/>
        </w:rPr>
        <w:t xml:space="preserve"> </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质疑联系人：  卜工</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质疑联系方式：</w:t>
      </w:r>
      <w:r>
        <w:rPr>
          <w:rFonts w:cs="仿宋" w:asciiTheme="majorEastAsia" w:hAnsiTheme="majorEastAsia" w:eastAsiaTheme="majorEastAsia"/>
          <w:color w:val="auto"/>
          <w:sz w:val="24"/>
          <w:szCs w:val="24"/>
          <w:highlight w:val="none"/>
        </w:rPr>
        <w:t xml:space="preserve"> 0571-82988286</w:t>
      </w:r>
      <w:r>
        <w:rPr>
          <w:rFonts w:hint="eastAsia" w:cs="仿宋" w:asciiTheme="majorEastAsia" w:hAnsiTheme="majorEastAsia" w:eastAsiaTheme="majorEastAsia"/>
          <w:color w:val="auto"/>
          <w:sz w:val="24"/>
          <w:szCs w:val="24"/>
          <w:highlight w:val="none"/>
        </w:rPr>
        <w:t>　</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2.采购代理机构信息</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名称：</w:t>
      </w:r>
      <w:r>
        <w:rPr>
          <w:rFonts w:hint="eastAsia" w:cs="仿宋" w:asciiTheme="majorEastAsia" w:hAnsiTheme="majorEastAsia" w:eastAsiaTheme="majorEastAsia"/>
          <w:b/>
          <w:bCs/>
          <w:color w:val="auto"/>
          <w:sz w:val="24"/>
          <w:szCs w:val="24"/>
          <w:highlight w:val="none"/>
        </w:rPr>
        <w:t>浙江元正工程管理有限公司</w:t>
      </w:r>
      <w:r>
        <w:rPr>
          <w:rFonts w:hint="eastAsia" w:cs="仿宋" w:asciiTheme="majorEastAsia" w:hAnsiTheme="majorEastAsia" w:eastAsiaTheme="majorEastAsia"/>
          <w:color w:val="auto"/>
          <w:sz w:val="24"/>
          <w:szCs w:val="24"/>
          <w:highlight w:val="none"/>
        </w:rPr>
        <w:t> 　　　　　　　　　　　</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cs="Calibri" w:asciiTheme="majorEastAsia" w:hAnsiTheme="majorEastAsia" w:eastAsiaTheme="majorEastAsia"/>
          <w:color w:val="auto"/>
          <w:sz w:val="24"/>
          <w:szCs w:val="24"/>
          <w:highlight w:val="none"/>
        </w:rPr>
        <w:t> </w:t>
      </w:r>
      <w:r>
        <w:rPr>
          <w:rFonts w:hint="eastAsia" w:cs="仿宋" w:asciiTheme="majorEastAsia" w:hAnsiTheme="majorEastAsia" w:eastAsiaTheme="majorEastAsia"/>
          <w:color w:val="auto"/>
          <w:sz w:val="24"/>
          <w:szCs w:val="24"/>
          <w:highlight w:val="none"/>
        </w:rPr>
        <w:t xml:space="preserve">  地    址：杭州市江干区创智绿谷发展中心1幢503室</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    传    真：/</w:t>
      </w:r>
    </w:p>
    <w:p>
      <w:pPr>
        <w:pStyle w:val="41"/>
        <w:adjustRightInd w:val="0"/>
        <w:snapToGrid w:val="0"/>
        <w:spacing w:beforeAutospacing="0" w:afterAutospacing="0" w:line="360" w:lineRule="auto"/>
        <w:ind w:firstLine="480" w:firstLineChars="200"/>
        <w:rPr>
          <w:rFonts w:hint="eastAsia" w:cs="仿宋" w:asciiTheme="majorEastAsia" w:hAnsiTheme="majorEastAsia" w:eastAsiaTheme="majorEastAsia"/>
          <w:color w:val="auto"/>
          <w:sz w:val="24"/>
          <w:szCs w:val="24"/>
          <w:highlight w:val="none"/>
          <w:lang w:eastAsia="zh-CN"/>
        </w:rPr>
      </w:pPr>
      <w:r>
        <w:rPr>
          <w:rFonts w:hint="eastAsia" w:cs="仿宋" w:asciiTheme="majorEastAsia" w:hAnsiTheme="majorEastAsia" w:eastAsiaTheme="majorEastAsia"/>
          <w:color w:val="auto"/>
          <w:sz w:val="24"/>
          <w:szCs w:val="24"/>
          <w:highlight w:val="none"/>
        </w:rPr>
        <w:t xml:space="preserve">    项目联系人（询问）：</w:t>
      </w:r>
      <w:r>
        <w:rPr>
          <w:rFonts w:hint="eastAsia" w:cs="仿宋" w:asciiTheme="majorEastAsia" w:hAnsiTheme="majorEastAsia" w:eastAsiaTheme="majorEastAsia"/>
          <w:color w:val="auto"/>
          <w:sz w:val="24"/>
          <w:szCs w:val="24"/>
          <w:highlight w:val="none"/>
          <w:lang w:eastAsia="zh-CN"/>
        </w:rPr>
        <w:t>陈工</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    项目联系方式（询问）：13675825548</w:t>
      </w:r>
    </w:p>
    <w:p>
      <w:pPr>
        <w:pStyle w:val="41"/>
        <w:adjustRightInd w:val="0"/>
        <w:snapToGrid w:val="0"/>
        <w:spacing w:beforeAutospacing="0" w:afterAutospacing="0"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    质疑联系人：</w:t>
      </w:r>
      <w:r>
        <w:rPr>
          <w:rFonts w:hint="eastAsia" w:cs="仿宋" w:asciiTheme="majorEastAsia" w:hAnsiTheme="majorEastAsia" w:eastAsiaTheme="majorEastAsia"/>
          <w:color w:val="auto"/>
          <w:sz w:val="24"/>
          <w:szCs w:val="24"/>
          <w:highlight w:val="none"/>
          <w:lang w:eastAsia="zh-CN"/>
        </w:rPr>
        <w:t>蔡</w:t>
      </w:r>
      <w:r>
        <w:rPr>
          <w:rFonts w:hint="eastAsia" w:cs="仿宋" w:asciiTheme="majorEastAsia" w:hAnsiTheme="majorEastAsia" w:eastAsiaTheme="majorEastAsia"/>
          <w:color w:val="auto"/>
          <w:sz w:val="24"/>
          <w:szCs w:val="24"/>
          <w:highlight w:val="none"/>
        </w:rPr>
        <w:t>工</w:t>
      </w:r>
    </w:p>
    <w:p>
      <w:pPr>
        <w:pStyle w:val="41"/>
        <w:adjustRightInd w:val="0"/>
        <w:snapToGrid w:val="0"/>
        <w:spacing w:beforeAutospacing="0" w:afterAutospacing="0" w:line="360" w:lineRule="auto"/>
        <w:ind w:firstLine="960" w:firstLineChars="4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质疑联系方式：18966485291</w:t>
      </w:r>
    </w:p>
    <w:p>
      <w:pPr>
        <w:pStyle w:val="41"/>
        <w:adjustRightInd w:val="0"/>
        <w:snapToGrid w:val="0"/>
        <w:spacing w:beforeAutospacing="0" w:afterAutospacing="0" w:line="360" w:lineRule="auto"/>
        <w:ind w:firstLine="48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3.同级政府采购监督管理部门</w:t>
      </w:r>
    </w:p>
    <w:p>
      <w:pPr>
        <w:pStyle w:val="41"/>
        <w:adjustRightInd w:val="0"/>
        <w:snapToGrid w:val="0"/>
        <w:spacing w:beforeAutospacing="0" w:afterAutospacing="0" w:line="360" w:lineRule="auto"/>
        <w:rPr>
          <w:rFonts w:cs="仿宋" w:asciiTheme="majorEastAsia" w:hAnsiTheme="majorEastAsia" w:eastAsiaTheme="majorEastAsia"/>
          <w:color w:val="auto"/>
          <w:sz w:val="24"/>
          <w:szCs w:val="24"/>
          <w:highlight w:val="none"/>
        </w:rPr>
      </w:pPr>
      <w:r>
        <w:rPr>
          <w:rFonts w:cs="Calibri" w:asciiTheme="majorEastAsia" w:hAnsiTheme="majorEastAsia" w:eastAsiaTheme="majorEastAsia"/>
          <w:color w:val="auto"/>
          <w:sz w:val="24"/>
          <w:szCs w:val="24"/>
          <w:highlight w:val="none"/>
        </w:rPr>
        <w:t> </w:t>
      </w:r>
      <w:r>
        <w:rPr>
          <w:rFonts w:hint="eastAsia" w:cs="仿宋" w:asciiTheme="majorEastAsia" w:hAnsiTheme="majorEastAsia" w:eastAsiaTheme="majorEastAsia"/>
          <w:color w:val="auto"/>
          <w:sz w:val="24"/>
          <w:szCs w:val="24"/>
          <w:highlight w:val="none"/>
        </w:rPr>
        <w:t xml:space="preserve">     名称：杭州市钱塘区财政局</w:t>
      </w:r>
    </w:p>
    <w:p>
      <w:pPr>
        <w:pStyle w:val="41"/>
        <w:adjustRightInd w:val="0"/>
        <w:snapToGrid w:val="0"/>
        <w:spacing w:beforeAutospacing="0" w:afterAutospacing="0" w:line="360" w:lineRule="auto"/>
        <w:ind w:firstLine="960" w:firstLineChars="4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地址：杭州市钱塘区青六北路499号钱塘中心5号楼             </w:t>
      </w:r>
    </w:p>
    <w:p>
      <w:pPr>
        <w:pStyle w:val="41"/>
        <w:adjustRightInd w:val="0"/>
        <w:snapToGrid w:val="0"/>
        <w:spacing w:beforeAutospacing="0" w:afterAutospacing="0" w:line="360" w:lineRule="auto"/>
        <w:ind w:firstLine="960" w:firstLineChars="4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传真：0571-89535550      </w:t>
      </w:r>
    </w:p>
    <w:p>
      <w:pPr>
        <w:pStyle w:val="41"/>
        <w:adjustRightInd w:val="0"/>
        <w:snapToGrid w:val="0"/>
        <w:spacing w:beforeAutospacing="0" w:afterAutospacing="0" w:line="360" w:lineRule="auto"/>
        <w:ind w:firstLine="960" w:firstLineChars="4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联系人 ：任女士      </w:t>
      </w:r>
    </w:p>
    <w:p>
      <w:pPr>
        <w:pStyle w:val="41"/>
        <w:adjustRightInd w:val="0"/>
        <w:snapToGrid w:val="0"/>
        <w:spacing w:beforeAutospacing="0" w:afterAutospacing="0" w:line="360" w:lineRule="auto"/>
        <w:ind w:firstLine="960" w:firstLineChars="4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监督投诉电话：0571-89535530  </w:t>
      </w:r>
    </w:p>
    <w:p>
      <w:pPr>
        <w:pStyle w:val="41"/>
        <w:adjustRightInd w:val="0"/>
        <w:snapToGrid w:val="0"/>
        <w:spacing w:beforeAutospacing="0" w:afterAutospacing="0" w:line="360" w:lineRule="auto"/>
        <w:rPr>
          <w:rFonts w:cs="仿宋" w:asciiTheme="majorEastAsia" w:hAnsiTheme="majorEastAsia" w:eastAsiaTheme="majorEastAsia"/>
          <w:color w:val="auto"/>
          <w:sz w:val="24"/>
          <w:szCs w:val="24"/>
          <w:highlight w:val="none"/>
        </w:rPr>
      </w:pPr>
    </w:p>
    <w:p>
      <w:pPr>
        <w:widowControl/>
        <w:adjustRightInd w:val="0"/>
        <w:snapToGrid w:val="0"/>
        <w:spacing w:line="360" w:lineRule="auto"/>
        <w:ind w:firstLine="420" w:firstLineChars="200"/>
        <w:jc w:val="left"/>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若对项目采购电子交易系统操作有疑问，可登录政采云（https://www.zcygov.cn/），点击右侧咨询小采，获取采小蜜智能服务管家帮助，或拨打政采云服务热线400-881-7190获取热线服务帮助。</w:t>
      </w:r>
    </w:p>
    <w:p>
      <w:pPr>
        <w:widowControl/>
        <w:adjustRightInd w:val="0"/>
        <w:snapToGrid w:val="0"/>
        <w:spacing w:line="360" w:lineRule="auto"/>
        <w:ind w:firstLine="420" w:firstLineChars="200"/>
        <w:jc w:val="left"/>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CA问题联系电话（人工）：汇信CA 400-888-4636；天谷CA 400-087-8198。</w:t>
      </w:r>
    </w:p>
    <w:p>
      <w:pPr>
        <w:widowControl/>
        <w:tabs>
          <w:tab w:val="left" w:pos="8647"/>
        </w:tabs>
        <w:adjustRightInd w:val="0"/>
        <w:snapToGrid w:val="0"/>
        <w:spacing w:line="360" w:lineRule="auto"/>
        <w:jc w:val="center"/>
        <w:outlineLvl w:val="1"/>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bCs/>
          <w:color w:val="auto"/>
          <w:sz w:val="28"/>
          <w:szCs w:val="21"/>
          <w:highlight w:val="none"/>
        </w:rPr>
        <w:br w:type="page"/>
      </w:r>
      <w:bookmarkStart w:id="2" w:name="_Toc14903"/>
      <w:r>
        <w:rPr>
          <w:rFonts w:hint="eastAsia" w:cs="仿宋" w:asciiTheme="majorEastAsia" w:hAnsiTheme="majorEastAsia" w:eastAsiaTheme="majorEastAsia"/>
          <w:b/>
          <w:color w:val="auto"/>
          <w:sz w:val="30"/>
          <w:szCs w:val="30"/>
          <w:highlight w:val="none"/>
        </w:rPr>
        <w:t>前 附 表</w:t>
      </w:r>
      <w:bookmarkEnd w:id="2"/>
    </w:p>
    <w:tbl>
      <w:tblPr>
        <w:tblStyle w:val="45"/>
        <w:tblW w:w="85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0" w:hRule="atLeast"/>
        </w:trPr>
        <w:tc>
          <w:tcPr>
            <w:tcW w:w="62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noWrap/>
            <w:vAlign w:val="center"/>
          </w:tcPr>
          <w:p>
            <w:pPr>
              <w:adjustRightInd w:val="0"/>
              <w:snapToGrid w:val="0"/>
              <w:spacing w:line="400" w:lineRule="exact"/>
              <w:rPr>
                <w:rFonts w:cs="Arial" w:asciiTheme="majorEastAsia" w:hAnsiTheme="majorEastAsia" w:eastAsiaTheme="majorEastAsia"/>
                <w:b/>
                <w:color w:val="auto"/>
                <w:kern w:val="0"/>
                <w:sz w:val="24"/>
                <w:highlight w:val="none"/>
              </w:rPr>
            </w:pPr>
            <w:r>
              <w:rPr>
                <w:rFonts w:hint="eastAsia" w:cs="仿宋" w:asciiTheme="majorEastAsia" w:hAnsiTheme="majorEastAsia" w:eastAsiaTheme="majorEastAsia"/>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90" w:hRule="atLeast"/>
        </w:trPr>
        <w:tc>
          <w:tcPr>
            <w:tcW w:w="629" w:type="dxa"/>
            <w:tcBorders>
              <w:top w:val="single" w:color="auto" w:sz="4" w:space="0"/>
              <w:left w:val="single" w:color="auto" w:sz="4" w:space="0"/>
              <w:right w:val="single" w:color="auto" w:sz="4"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tc>
        <w:tc>
          <w:tcPr>
            <w:tcW w:w="1843" w:type="dxa"/>
            <w:tcBorders>
              <w:top w:val="single" w:color="000000" w:sz="8" w:space="0"/>
              <w:left w:val="single" w:color="auto" w:sz="4" w:space="0"/>
              <w:right w:val="single" w:color="000000" w:sz="8" w:space="0"/>
            </w:tcBorders>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noWrap/>
            <w:vAlign w:val="center"/>
          </w:tcPr>
          <w:p>
            <w:pPr>
              <w:adjustRightInd w:val="0"/>
              <w:snapToGrid w:val="0"/>
              <w:spacing w:line="400" w:lineRule="exact"/>
              <w:jc w:val="left"/>
              <w:rPr>
                <w:rFonts w:cs="仿宋_GB2312"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有关本项目实施所需的所有费用（含税费）均计入报价。</w:t>
            </w:r>
            <w:r>
              <w:rPr>
                <w:rFonts w:hint="eastAsia" w:cs="仿宋" w:asciiTheme="majorEastAsia" w:hAnsiTheme="majorEastAsia" w:eastAsiaTheme="majorEastAsia"/>
                <w:color w:val="auto"/>
                <w:sz w:val="24"/>
                <w:highlight w:val="none"/>
              </w:rPr>
              <w:t>开标一览表（报价表）是报价的唯一载体</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bCs/>
                <w:color w:val="auto"/>
                <w:kern w:val="0"/>
                <w:sz w:val="24"/>
                <w:highlight w:val="none"/>
                <w:lang w:val="zh-CN"/>
              </w:rPr>
              <w:t>如投标人在政府采购云平台填写的投标报价与投标文件报价文件中开标一览表（报价表）不一致的，以报价文件中开标一览表（报价表）为准。</w:t>
            </w:r>
            <w:r>
              <w:rPr>
                <w:rFonts w:hint="eastAsia" w:cs="仿宋" w:asciiTheme="majorEastAsia" w:hAnsiTheme="majorEastAsia" w:eastAsiaTheme="majorEastAsia"/>
                <w:color w:val="auto"/>
                <w:kern w:val="0"/>
                <w:sz w:val="24"/>
                <w:highlight w:val="none"/>
                <w:lang w:val="zh-CN"/>
              </w:rPr>
              <w:t>投标文件中价格全部采用人民币报价。招标文件未列明，而投标人认为必需的费用也需列入报价。</w:t>
            </w:r>
            <w:r>
              <w:rPr>
                <w:rFonts w:hint="eastAsia" w:cs="仿宋" w:asciiTheme="majorEastAsia" w:hAnsiTheme="majorEastAsia" w:eastAsiaTheme="majorEastAsia"/>
                <w:bCs/>
                <w:color w:val="auto"/>
                <w:kern w:val="0"/>
                <w:sz w:val="24"/>
                <w:highlight w:val="none"/>
                <w:lang w:val="zh-CN"/>
              </w:rPr>
              <w:t>提醒：验收时检测费用由采购人承担，不包含在投标总价中</w:t>
            </w:r>
            <w:r>
              <w:rPr>
                <w:rFonts w:hint="eastAsia" w:cs="仿宋_GB2312" w:asciiTheme="majorEastAsia" w:hAnsiTheme="majorEastAsia" w:eastAsiaTheme="majorEastAsia"/>
                <w:b/>
                <w:color w:val="auto"/>
                <w:kern w:val="0"/>
                <w:sz w:val="24"/>
                <w:highlight w:val="none"/>
                <w:lang w:val="zh-CN"/>
              </w:rPr>
              <w:t>。</w:t>
            </w:r>
          </w:p>
          <w:p>
            <w:pPr>
              <w:adjustRightInd w:val="0"/>
              <w:snapToGrid w:val="0"/>
              <w:spacing w:line="400" w:lineRule="exact"/>
              <w:jc w:val="left"/>
              <w:rPr>
                <w:rFonts w:cs="仿宋_GB2312" w:asciiTheme="majorEastAsia" w:hAnsiTheme="majorEastAsia" w:eastAsiaTheme="majorEastAsia"/>
                <w:b/>
                <w:color w:val="auto"/>
                <w:kern w:val="0"/>
                <w:sz w:val="24"/>
                <w:highlight w:val="none"/>
                <w:lang w:val="zh-CN"/>
              </w:rPr>
            </w:pPr>
            <w:r>
              <w:rPr>
                <w:rFonts w:hint="eastAsia" w:cs="仿宋_GB2312" w:asciiTheme="majorEastAsia" w:hAnsiTheme="majorEastAsia" w:eastAsiaTheme="majorEastAsia"/>
                <w:b/>
                <w:color w:val="auto"/>
                <w:kern w:val="0"/>
                <w:sz w:val="24"/>
                <w:highlight w:val="none"/>
                <w:lang w:val="zh-CN"/>
              </w:rPr>
              <w:t>投标报价出现下列情形的，投标无效：</w:t>
            </w:r>
          </w:p>
          <w:p>
            <w:pPr>
              <w:numPr>
                <w:ilvl w:val="0"/>
                <w:numId w:val="1"/>
              </w:numPr>
              <w:adjustRightInd w:val="0"/>
              <w:snapToGrid w:val="0"/>
              <w:spacing w:line="400" w:lineRule="exact"/>
              <w:jc w:val="left"/>
              <w:rPr>
                <w:rFonts w:cs="仿宋_GB2312" w:asciiTheme="majorEastAsia" w:hAnsiTheme="majorEastAsia" w:eastAsiaTheme="majorEastAsia"/>
                <w:b/>
                <w:color w:val="auto"/>
                <w:kern w:val="0"/>
                <w:sz w:val="24"/>
                <w:highlight w:val="none"/>
                <w:lang w:val="zh-CN"/>
              </w:rPr>
            </w:pPr>
            <w:r>
              <w:rPr>
                <w:rFonts w:hint="eastAsia" w:cs="仿宋_GB2312" w:asciiTheme="majorEastAsia" w:hAnsiTheme="majorEastAsia" w:eastAsiaTheme="majorEastAsia"/>
                <w:b/>
                <w:color w:val="auto"/>
                <w:kern w:val="0"/>
                <w:sz w:val="24"/>
                <w:highlight w:val="none"/>
                <w:lang w:val="zh-CN"/>
              </w:rPr>
              <w:t>投标文件出现不是唯一的、有选择性投标报价的；</w:t>
            </w:r>
          </w:p>
          <w:p>
            <w:pPr>
              <w:numPr>
                <w:ilvl w:val="0"/>
                <w:numId w:val="1"/>
              </w:numPr>
              <w:adjustRightInd w:val="0"/>
              <w:snapToGrid w:val="0"/>
              <w:spacing w:line="400" w:lineRule="exact"/>
              <w:jc w:val="left"/>
              <w:rPr>
                <w:rFonts w:asciiTheme="majorEastAsia" w:hAnsiTheme="majorEastAsia" w:eastAsiaTheme="majorEastAsia"/>
                <w:b/>
                <w:color w:val="auto"/>
                <w:kern w:val="0"/>
                <w:sz w:val="24"/>
                <w:highlight w:val="none"/>
                <w:lang w:val="zh-CN"/>
              </w:rPr>
            </w:pPr>
            <w:r>
              <w:rPr>
                <w:rFonts w:hint="eastAsia" w:cs="仿宋_GB2312" w:asciiTheme="majorEastAsia" w:hAnsiTheme="majorEastAsia" w:eastAsiaTheme="majorEastAsia"/>
                <w:b/>
                <w:color w:val="auto"/>
                <w:kern w:val="0"/>
                <w:sz w:val="24"/>
                <w:highlight w:val="none"/>
                <w:lang w:val="zh-CN"/>
              </w:rPr>
              <w:t>投标报价超过招标文件中规定的预算金额或者最高限价的</w:t>
            </w:r>
            <w:r>
              <w:rPr>
                <w:rFonts w:asciiTheme="majorEastAsia" w:hAnsiTheme="majorEastAsia" w:eastAsiaTheme="majorEastAsia"/>
                <w:b/>
                <w:color w:val="auto"/>
                <w:kern w:val="0"/>
                <w:sz w:val="24"/>
                <w:highlight w:val="none"/>
                <w:lang w:val="zh-CN"/>
              </w:rPr>
              <w:t>;</w:t>
            </w:r>
          </w:p>
          <w:p>
            <w:pPr>
              <w:numPr>
                <w:ilvl w:val="0"/>
                <w:numId w:val="1"/>
              </w:numPr>
              <w:adjustRightInd w:val="0"/>
              <w:snapToGrid w:val="0"/>
              <w:spacing w:line="400" w:lineRule="exact"/>
              <w:rPr>
                <w:rFonts w:cs="Arial" w:asciiTheme="majorEastAsia" w:hAnsiTheme="majorEastAsia" w:eastAsiaTheme="majorEastAsia"/>
                <w:b/>
                <w:color w:val="auto"/>
                <w:kern w:val="0"/>
                <w:sz w:val="24"/>
                <w:highlight w:val="none"/>
              </w:rPr>
            </w:pPr>
            <w:r>
              <w:rPr>
                <w:rFonts w:hint="eastAsia" w:cs="Arial" w:asciiTheme="majorEastAsia" w:hAnsiTheme="majorEastAsia" w:eastAsiaTheme="majorEastAsia"/>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p>
          <w:p>
            <w:pPr>
              <w:adjustRightInd w:val="0"/>
              <w:snapToGrid w:val="0"/>
              <w:rPr>
                <w:rFonts w:asciiTheme="majorEastAsia" w:hAnsiTheme="majorEastAsia" w:eastAsiaTheme="majorEastAsia"/>
                <w:color w:val="auto"/>
                <w:highlight w:val="none"/>
              </w:rPr>
            </w:pPr>
            <w:r>
              <w:rPr>
                <w:rFonts w:hint="eastAsia" w:cs="Arial" w:asciiTheme="majorEastAsia" w:hAnsiTheme="majorEastAsia" w:eastAsiaTheme="majorEastAsia"/>
                <w:b/>
                <w:color w:val="auto"/>
                <w:kern w:val="0"/>
                <w:sz w:val="24"/>
                <w:highlight w:val="none"/>
              </w:rPr>
              <w:t>投标人对根据修正原则修正后的报价不确认的。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92" w:hRule="atLeast"/>
        </w:trPr>
        <w:tc>
          <w:tcPr>
            <w:tcW w:w="62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noWrap/>
            <w:vAlign w:val="center"/>
          </w:tcPr>
          <w:p>
            <w:pPr>
              <w:adjustRightInd w:val="0"/>
              <w:snapToGrid w:val="0"/>
              <w:spacing w:line="400" w:lineRule="exact"/>
              <w:rPr>
                <w:rFonts w:cs="Arial" w:asciiTheme="majorEastAsia" w:hAnsiTheme="majorEastAsia" w:eastAsiaTheme="majorEastAsia"/>
                <w:color w:val="auto"/>
                <w:kern w:val="0"/>
                <w:sz w:val="24"/>
                <w:highlight w:val="none"/>
              </w:rPr>
            </w:pPr>
            <w:r>
              <w:rPr>
                <w:rFonts w:cs="Arial" w:asciiTheme="majorEastAsia" w:hAnsiTheme="majorEastAsia" w:eastAsiaTheme="majorEastAsia"/>
                <w:color w:val="auto"/>
                <w:kern w:val="0"/>
                <w:sz w:val="24"/>
                <w:highlight w:val="none"/>
              </w:rPr>
              <w:sym w:font="Wingdings" w:char="00FE"/>
            </w:r>
            <w:r>
              <w:rPr>
                <w:rFonts w:hint="eastAsia" w:cs="Arial" w:asciiTheme="majorEastAsia" w:hAnsiTheme="majorEastAsia" w:eastAsiaTheme="majorEastAsia"/>
                <w:color w:val="auto"/>
                <w:kern w:val="0"/>
                <w:sz w:val="24"/>
                <w:highlight w:val="none"/>
              </w:rPr>
              <w:t>本项目不允许采购进口产品。</w:t>
            </w:r>
          </w:p>
          <w:p>
            <w:pPr>
              <w:adjustRightInd w:val="0"/>
              <w:snapToGrid w:val="0"/>
              <w:spacing w:line="400" w:lineRule="exact"/>
              <w:rPr>
                <w:rFonts w:cs="Arial" w:asciiTheme="majorEastAsia" w:hAnsiTheme="majorEastAsia" w:eastAsiaTheme="majorEastAsia"/>
                <w:color w:val="auto"/>
                <w:kern w:val="0"/>
                <w:sz w:val="24"/>
                <w:highlight w:val="none"/>
              </w:rPr>
            </w:pPr>
            <w:r>
              <w:rPr>
                <w:rFonts w:ascii="Segoe UI Symbol" w:hAnsi="Segoe UI Symbol" w:cs="Segoe UI Symbol" w:eastAsiaTheme="majorEastAsia"/>
                <w:color w:val="auto"/>
                <w:kern w:val="0"/>
                <w:sz w:val="24"/>
                <w:highlight w:val="none"/>
              </w:rPr>
              <w:t>☐</w:t>
            </w:r>
            <w:r>
              <w:rPr>
                <w:rFonts w:hint="eastAsia" w:cs="Arial" w:asciiTheme="majorEastAsia" w:hAnsiTheme="majorEastAsia" w:eastAsiaTheme="majorEastAsia"/>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92" w:hRule="atLeast"/>
        </w:trPr>
        <w:tc>
          <w:tcPr>
            <w:tcW w:w="62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noWrap/>
            <w:vAlign w:val="center"/>
          </w:tcPr>
          <w:p>
            <w:pPr>
              <w:adjustRightInd w:val="0"/>
              <w:snapToGrid w:val="0"/>
              <w:spacing w:line="400" w:lineRule="exact"/>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noWrap/>
            <w:vAlign w:val="center"/>
          </w:tcPr>
          <w:p>
            <w:pPr>
              <w:spacing w:line="360" w:lineRule="auto"/>
              <w:rPr>
                <w:rFonts w:ascii="仿宋_GB2312" w:hAnsi="仿宋" w:eastAsia="仿宋_GB2312"/>
                <w:color w:val="auto"/>
                <w:sz w:val="24"/>
                <w:highlight w:val="none"/>
              </w:rPr>
            </w:pPr>
            <w:r>
              <w:rPr>
                <w:rFonts w:ascii="Wingdings" w:hAnsi="Wingdings"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360" w:lineRule="auto"/>
              <w:rPr>
                <w:rFonts w:ascii="仿宋_GB2312" w:hAnsi="仿宋" w:eastAsia="仿宋_GB2312"/>
                <w:color w:val="auto"/>
                <w:sz w:val="24"/>
                <w:highlight w:val="none"/>
              </w:rPr>
            </w:pPr>
            <w:r>
              <w:rPr>
                <w:rFonts w:ascii="Wingdings" w:hAnsi="Wingdings" w:eastAsia="MS Gothic" w:cs="Arial"/>
                <w:color w:val="auto"/>
                <w:kern w:val="0"/>
                <w:sz w:val="24"/>
                <w:highlight w:val="none"/>
              </w:rPr>
              <w:t></w:t>
            </w:r>
            <w:r>
              <w:rPr>
                <w:rFonts w:ascii="仿宋_GB2312" w:hAnsi="仿宋" w:eastAsia="仿宋_GB2312" w:cs="Arial"/>
                <w:color w:val="auto"/>
                <w:kern w:val="0"/>
                <w:sz w:val="24"/>
                <w:highlight w:val="none"/>
              </w:rPr>
              <w:t xml:space="preserve"> B</w:t>
            </w:r>
            <w:r>
              <w:rPr>
                <w:rFonts w:hint="eastAsia" w:ascii="仿宋_GB2312" w:hAnsi="仿宋" w:eastAsia="仿宋_GB2312"/>
                <w:color w:val="auto"/>
                <w:sz w:val="24"/>
                <w:highlight w:val="none"/>
              </w:rPr>
              <w:t>同意大型企业向小微企业、中型企业向小微企业、小微企业向小微企业合理分包。</w:t>
            </w:r>
          </w:p>
          <w:p>
            <w:pPr>
              <w:adjustRightInd w:val="0"/>
              <w:snapToGrid w:val="0"/>
              <w:spacing w:line="400" w:lineRule="exact"/>
              <w:rPr>
                <w:rFonts w:cs="Arial" w:asciiTheme="majorEastAsia" w:hAnsiTheme="majorEastAsia" w:eastAsiaTheme="majorEastAsia"/>
                <w:color w:val="auto"/>
                <w:kern w:val="0"/>
                <w:sz w:val="24"/>
                <w:highlight w:val="none"/>
              </w:rPr>
            </w:pPr>
            <w:r>
              <w:rPr>
                <w:rFonts w:hint="eastAsia"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w:t>
            </w:r>
            <w:r>
              <w:rPr>
                <w:rFonts w:hint="eastAsia" w:ascii="仿宋_GB2312" w:hAnsi="仿宋" w:eastAsia="仿宋_GB2312" w:cs="Arial"/>
                <w:color w:val="auto"/>
                <w:kern w:val="0"/>
                <w:sz w:val="24"/>
                <w:highlight w:val="none"/>
              </w:rPr>
              <w:t>C</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92" w:hRule="atLeast"/>
        </w:trPr>
        <w:tc>
          <w:tcPr>
            <w:tcW w:w="62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noWrap/>
            <w:vAlign w:val="center"/>
          </w:tcPr>
          <w:p>
            <w:pPr>
              <w:adjustRightInd w:val="0"/>
              <w:snapToGrid w:val="0"/>
              <w:spacing w:line="400" w:lineRule="exact"/>
              <w:rPr>
                <w:rFonts w:asciiTheme="majorEastAsia" w:hAnsiTheme="majorEastAsia" w:eastAsiaTheme="majorEastAsia"/>
                <w:color w:val="auto"/>
                <w:sz w:val="24"/>
                <w:highlight w:val="none"/>
              </w:rPr>
            </w:pPr>
            <w:r>
              <w:rPr>
                <w:rFonts w:cs="Arial" w:asciiTheme="majorEastAsia" w:hAnsiTheme="majorEastAsia" w:eastAsiaTheme="majorEastAsia"/>
                <w:color w:val="auto"/>
                <w:kern w:val="0"/>
                <w:sz w:val="24"/>
                <w:highlight w:val="none"/>
              </w:rPr>
              <w:sym w:font="Wingdings" w:char="00FE"/>
            </w:r>
            <w:r>
              <w:rPr>
                <w:rFonts w:cs="Arial" w:asciiTheme="majorEastAsia" w:hAnsiTheme="majorEastAsia" w:eastAsiaTheme="majorEastAsia"/>
                <w:color w:val="auto"/>
                <w:kern w:val="0"/>
                <w:sz w:val="24"/>
                <w:highlight w:val="none"/>
              </w:rPr>
              <w:t>A</w:t>
            </w:r>
            <w:r>
              <w:rPr>
                <w:rFonts w:hint="eastAsia" w:asciiTheme="majorEastAsia" w:hAnsiTheme="majorEastAsia" w:eastAsiaTheme="majorEastAsia"/>
                <w:color w:val="auto"/>
                <w:sz w:val="24"/>
                <w:highlight w:val="none"/>
              </w:rPr>
              <w:t>不组织。</w:t>
            </w:r>
          </w:p>
          <w:p>
            <w:pPr>
              <w:adjustRightInd w:val="0"/>
              <w:snapToGrid w:val="0"/>
              <w:spacing w:line="400" w:lineRule="exact"/>
              <w:rPr>
                <w:rFonts w:cs="Arial" w:asciiTheme="majorEastAsia" w:hAnsiTheme="majorEastAsia" w:eastAsiaTheme="majorEastAsia"/>
                <w:color w:val="auto"/>
                <w:kern w:val="0"/>
                <w:sz w:val="24"/>
                <w:highlight w:val="none"/>
              </w:rPr>
            </w:pPr>
            <w:r>
              <w:rPr>
                <w:rFonts w:ascii="Segoe UI Symbol" w:hAnsi="Segoe UI Symbol" w:cs="Segoe UI Symbol" w:eastAsiaTheme="majorEastAsia"/>
                <w:color w:val="auto"/>
                <w:kern w:val="0"/>
                <w:sz w:val="24"/>
                <w:highlight w:val="none"/>
              </w:rPr>
              <w:t>☐</w:t>
            </w:r>
            <w:r>
              <w:rPr>
                <w:rFonts w:asciiTheme="majorEastAsia" w:hAnsiTheme="majorEastAsia" w:eastAsiaTheme="majorEastAsia"/>
                <w:color w:val="auto"/>
                <w:kern w:val="0"/>
                <w:sz w:val="24"/>
                <w:highlight w:val="none"/>
              </w:rPr>
              <w:t>B组织，</w:t>
            </w:r>
            <w:r>
              <w:rPr>
                <w:rFonts w:hint="eastAsia" w:asciiTheme="majorEastAsia" w:hAnsiTheme="majorEastAsia" w:eastAsiaTheme="majorEastAsia"/>
                <w:color w:val="auto"/>
                <w:sz w:val="24"/>
                <w:highlight w:val="none"/>
              </w:rPr>
              <w:t>时间：</w:t>
            </w:r>
            <w:r>
              <w:rPr>
                <w:rFonts w:hint="eastAsia" w:asciiTheme="majorEastAsia" w:hAnsiTheme="majorEastAsia" w:eastAsiaTheme="majorEastAsia"/>
                <w:color w:val="auto"/>
                <w:sz w:val="24"/>
                <w:highlight w:val="none"/>
                <w:u w:val="single"/>
              </w:rPr>
              <w:t>/</w:t>
            </w:r>
            <w:r>
              <w:rPr>
                <w:rFonts w:asciiTheme="majorEastAsia" w:hAnsiTheme="majorEastAsia" w:eastAsiaTheme="majorEastAsia"/>
                <w:color w:val="auto"/>
                <w:sz w:val="24"/>
                <w:highlight w:val="none"/>
              </w:rPr>
              <w:t>,地点：</w:t>
            </w:r>
            <w:r>
              <w:rPr>
                <w:rFonts w:hint="eastAsia" w:asciiTheme="majorEastAsia" w:hAnsiTheme="majorEastAsia" w:eastAsiaTheme="majorEastAsia"/>
                <w:color w:val="auto"/>
                <w:sz w:val="24"/>
                <w:highlight w:val="none"/>
                <w:u w:val="single"/>
              </w:rPr>
              <w:t>/</w:t>
            </w:r>
            <w:r>
              <w:rPr>
                <w:rFonts w:hint="eastAsia" w:asciiTheme="majorEastAsia" w:hAnsiTheme="majorEastAsia" w:eastAsiaTheme="majorEastAsia"/>
                <w:color w:val="auto"/>
                <w:sz w:val="24"/>
                <w:highlight w:val="none"/>
              </w:rPr>
              <w:t>，联系人：</w:t>
            </w:r>
            <w:r>
              <w:rPr>
                <w:rFonts w:hint="eastAsia" w:asciiTheme="majorEastAsia" w:hAnsiTheme="majorEastAsia" w:eastAsiaTheme="majorEastAsia"/>
                <w:color w:val="auto"/>
                <w:sz w:val="24"/>
                <w:highlight w:val="none"/>
                <w:u w:val="single"/>
              </w:rPr>
              <w:t>/</w:t>
            </w:r>
            <w:r>
              <w:rPr>
                <w:rFonts w:hint="eastAsia" w:asciiTheme="majorEastAsia" w:hAnsiTheme="majorEastAsia" w:eastAsiaTheme="majorEastAsia"/>
                <w:color w:val="auto"/>
                <w:sz w:val="24"/>
                <w:highlight w:val="none"/>
              </w:rPr>
              <w:t>，联系方式：</w:t>
            </w:r>
            <w:r>
              <w:rPr>
                <w:rFonts w:hint="eastAsia" w:asciiTheme="majorEastAsia" w:hAnsiTheme="majorEastAsia" w:eastAsiaTheme="majorEastAsia"/>
                <w:color w:val="auto"/>
                <w:sz w:val="24"/>
                <w:highlight w:val="none"/>
                <w:u w:val="single"/>
              </w:rPr>
              <w:t>/</w:t>
            </w:r>
            <w:r>
              <w:rPr>
                <w:rFonts w:hint="eastAsia" w:asciiTheme="majorEastAsia" w:hAnsiTheme="majorEastAsia" w:eastAsiaTheme="majorEastAsia"/>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92" w:hRule="atLeast"/>
        </w:trPr>
        <w:tc>
          <w:tcPr>
            <w:tcW w:w="62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noWrap/>
            <w:vAlign w:val="center"/>
          </w:tcPr>
          <w:p>
            <w:pPr>
              <w:adjustRightInd w:val="0"/>
              <w:snapToGrid w:val="0"/>
              <w:spacing w:line="400" w:lineRule="exact"/>
              <w:rPr>
                <w:rFonts w:asciiTheme="majorEastAsia" w:hAnsiTheme="majorEastAsia" w:eastAsiaTheme="majorEastAsia"/>
                <w:color w:val="auto"/>
                <w:sz w:val="24"/>
                <w:highlight w:val="none"/>
              </w:rPr>
            </w:pPr>
            <w:r>
              <w:rPr>
                <w:rFonts w:cs="Arial" w:asciiTheme="majorEastAsia" w:hAnsiTheme="majorEastAsia" w:eastAsiaTheme="majorEastAsia"/>
                <w:color w:val="auto"/>
                <w:kern w:val="0"/>
                <w:sz w:val="24"/>
                <w:highlight w:val="none"/>
              </w:rPr>
              <w:sym w:font="Wingdings" w:char="00FE"/>
            </w:r>
            <w:r>
              <w:rPr>
                <w:rFonts w:cs="Arial" w:asciiTheme="majorEastAsia" w:hAnsiTheme="majorEastAsia" w:eastAsiaTheme="majorEastAsia"/>
                <w:color w:val="auto"/>
                <w:kern w:val="0"/>
                <w:sz w:val="24"/>
                <w:highlight w:val="none"/>
              </w:rPr>
              <w:t>A</w:t>
            </w:r>
            <w:r>
              <w:rPr>
                <w:rFonts w:hint="eastAsia" w:asciiTheme="majorEastAsia" w:hAnsiTheme="majorEastAsia" w:eastAsiaTheme="majorEastAsia"/>
                <w:color w:val="auto"/>
                <w:sz w:val="24"/>
                <w:highlight w:val="none"/>
              </w:rPr>
              <w:t>不要求提供。</w:t>
            </w:r>
          </w:p>
          <w:p>
            <w:pPr>
              <w:adjustRightInd w:val="0"/>
              <w:snapToGrid w:val="0"/>
              <w:spacing w:line="400" w:lineRule="exact"/>
              <w:rPr>
                <w:rFonts w:asciiTheme="majorEastAsia" w:hAnsiTheme="majorEastAsia" w:eastAsiaTheme="majorEastAsia"/>
                <w:color w:val="auto"/>
                <w:kern w:val="0"/>
                <w:sz w:val="24"/>
                <w:highlight w:val="none"/>
              </w:rPr>
            </w:pPr>
            <w:r>
              <w:rPr>
                <w:rFonts w:cs="Arial" w:asciiTheme="majorEastAsia" w:hAnsiTheme="majorEastAsia" w:eastAsiaTheme="majorEastAsia"/>
                <w:color w:val="auto"/>
                <w:kern w:val="0"/>
                <w:sz w:val="24"/>
                <w:highlight w:val="none"/>
              </w:rPr>
              <w:sym w:font="Wingdings" w:char="00A8"/>
            </w:r>
            <w:r>
              <w:rPr>
                <w:rFonts w:asciiTheme="majorEastAsia" w:hAnsiTheme="majorEastAsia" w:eastAsiaTheme="majorEastAsia"/>
                <w:color w:val="auto"/>
                <w:kern w:val="0"/>
                <w:sz w:val="24"/>
                <w:highlight w:val="none"/>
              </w:rPr>
              <w:t>B</w:t>
            </w:r>
            <w:r>
              <w:rPr>
                <w:rFonts w:hint="eastAsia" w:asciiTheme="majorEastAsia" w:hAnsiTheme="majorEastAsia" w:eastAsiaTheme="majorEastAsia"/>
                <w:color w:val="auto"/>
                <w:kern w:val="0"/>
                <w:sz w:val="24"/>
                <w:highlight w:val="none"/>
              </w:rPr>
              <w:t>要求提供，</w:t>
            </w:r>
          </w:p>
          <w:p>
            <w:pPr>
              <w:numPr>
                <w:ilvl w:val="0"/>
                <w:numId w:val="2"/>
              </w:numPr>
              <w:adjustRightInd w:val="0"/>
              <w:snapToGrid w:val="0"/>
              <w:spacing w:line="400" w:lineRule="exact"/>
              <w:rPr>
                <w:rFonts w:asciiTheme="majorEastAsia" w:hAnsiTheme="majorEastAsia" w:eastAsiaTheme="majorEastAsia"/>
                <w:color w:val="auto"/>
                <w:kern w:val="0"/>
                <w:sz w:val="24"/>
                <w:highlight w:val="none"/>
              </w:rPr>
            </w:pPr>
            <w:r>
              <w:rPr>
                <w:rFonts w:hint="eastAsia" w:asciiTheme="majorEastAsia" w:hAnsiTheme="majorEastAsia" w:eastAsiaTheme="majorEastAsia"/>
                <w:snapToGrid w:val="0"/>
                <w:color w:val="auto"/>
                <w:kern w:val="28"/>
                <w:sz w:val="24"/>
                <w:highlight w:val="none"/>
              </w:rPr>
              <w:t>样品：</w:t>
            </w:r>
            <w:r>
              <w:rPr>
                <w:rFonts w:hint="eastAsia" w:asciiTheme="majorEastAsia" w:hAnsiTheme="majorEastAsia" w:eastAsiaTheme="majorEastAsia"/>
                <w:snapToGrid w:val="0"/>
                <w:color w:val="auto"/>
                <w:kern w:val="28"/>
                <w:sz w:val="24"/>
                <w:highlight w:val="none"/>
                <w:u w:val="single"/>
              </w:rPr>
              <w:t xml:space="preserve">  /  </w:t>
            </w:r>
            <w:r>
              <w:rPr>
                <w:rFonts w:hint="eastAsia" w:asciiTheme="majorEastAsia" w:hAnsiTheme="majorEastAsia" w:eastAsiaTheme="majorEastAsia"/>
                <w:snapToGrid w:val="0"/>
                <w:color w:val="auto"/>
                <w:kern w:val="28"/>
                <w:sz w:val="24"/>
                <w:highlight w:val="none"/>
              </w:rPr>
              <w:t>；</w:t>
            </w:r>
          </w:p>
          <w:p>
            <w:pPr>
              <w:numPr>
                <w:ilvl w:val="0"/>
                <w:numId w:val="2"/>
              </w:numPr>
              <w:adjustRightInd w:val="0"/>
              <w:snapToGrid w:val="0"/>
              <w:spacing w:line="400" w:lineRule="exact"/>
              <w:rPr>
                <w:rFonts w:asciiTheme="majorEastAsia" w:hAnsiTheme="majorEastAsia" w:eastAsiaTheme="majorEastAsia"/>
                <w:color w:val="auto"/>
                <w:kern w:val="0"/>
                <w:sz w:val="24"/>
                <w:highlight w:val="none"/>
              </w:rPr>
            </w:pPr>
            <w:r>
              <w:rPr>
                <w:rFonts w:hint="eastAsia" w:asciiTheme="majorEastAsia" w:hAnsiTheme="majorEastAsia" w:eastAsiaTheme="majorEastAsia"/>
                <w:snapToGrid w:val="0"/>
                <w:color w:val="auto"/>
                <w:kern w:val="28"/>
                <w:sz w:val="24"/>
                <w:highlight w:val="none"/>
              </w:rPr>
              <w:t>样品制作的标准和要求：</w:t>
            </w:r>
            <w:r>
              <w:rPr>
                <w:rFonts w:hint="eastAsia" w:asciiTheme="majorEastAsia" w:hAnsiTheme="majorEastAsia" w:eastAsiaTheme="majorEastAsia"/>
                <w:snapToGrid w:val="0"/>
                <w:color w:val="auto"/>
                <w:kern w:val="28"/>
                <w:sz w:val="24"/>
                <w:highlight w:val="none"/>
                <w:u w:val="single"/>
              </w:rPr>
              <w:t>/</w:t>
            </w:r>
            <w:r>
              <w:rPr>
                <w:rFonts w:hint="eastAsia" w:asciiTheme="majorEastAsia" w:hAnsiTheme="majorEastAsia" w:eastAsiaTheme="majorEastAsia"/>
                <w:color w:val="auto"/>
                <w:kern w:val="0"/>
                <w:sz w:val="24"/>
                <w:highlight w:val="none"/>
              </w:rPr>
              <w:t>；</w:t>
            </w:r>
          </w:p>
          <w:p>
            <w:pPr>
              <w:numPr>
                <w:ilvl w:val="0"/>
                <w:numId w:val="2"/>
              </w:numPr>
              <w:adjustRightInd w:val="0"/>
              <w:snapToGrid w:val="0"/>
              <w:spacing w:line="400" w:lineRule="exact"/>
              <w:rPr>
                <w:rFonts w:asciiTheme="majorEastAsia" w:hAnsiTheme="majorEastAsia" w:eastAsiaTheme="majorEastAsia"/>
                <w:color w:val="auto"/>
                <w:kern w:val="0"/>
                <w:sz w:val="24"/>
                <w:highlight w:val="none"/>
              </w:rPr>
            </w:pPr>
            <w:r>
              <w:rPr>
                <w:rFonts w:asciiTheme="majorEastAsia" w:hAnsiTheme="majorEastAsia" w:eastAsiaTheme="majorEastAsia"/>
                <w:color w:val="auto"/>
                <w:kern w:val="0"/>
                <w:sz w:val="24"/>
                <w:highlight w:val="none"/>
              </w:rPr>
              <w:t>样品的评审方法以及评审标准</w:t>
            </w:r>
            <w:r>
              <w:rPr>
                <w:rFonts w:hint="eastAsia" w:asciiTheme="majorEastAsia" w:hAnsiTheme="majorEastAsia" w:eastAsiaTheme="majorEastAsia"/>
                <w:snapToGrid w:val="0"/>
                <w:color w:val="auto"/>
                <w:kern w:val="28"/>
                <w:sz w:val="24"/>
                <w:highlight w:val="none"/>
              </w:rPr>
              <w:t>：详见</w:t>
            </w:r>
            <w:r>
              <w:rPr>
                <w:rFonts w:hint="eastAsia" w:asciiTheme="majorEastAsia" w:hAnsiTheme="majorEastAsia" w:eastAsiaTheme="majorEastAsia"/>
                <w:color w:val="auto"/>
                <w:sz w:val="24"/>
                <w:highlight w:val="none"/>
                <w:u w:val="single"/>
              </w:rPr>
              <w:t>/</w:t>
            </w:r>
            <w:r>
              <w:rPr>
                <w:rFonts w:hint="eastAsia" w:asciiTheme="majorEastAsia" w:hAnsiTheme="majorEastAsia" w:eastAsiaTheme="majorEastAsia"/>
                <w:color w:val="auto"/>
                <w:kern w:val="0"/>
                <w:sz w:val="24"/>
                <w:highlight w:val="none"/>
              </w:rPr>
              <w:t>；</w:t>
            </w:r>
          </w:p>
          <w:p>
            <w:pPr>
              <w:numPr>
                <w:ilvl w:val="0"/>
                <w:numId w:val="2"/>
              </w:numPr>
              <w:adjustRightInd w:val="0"/>
              <w:snapToGrid w:val="0"/>
              <w:spacing w:line="400" w:lineRule="exact"/>
              <w:rPr>
                <w:rFonts w:asciiTheme="majorEastAsia" w:hAnsiTheme="majorEastAsia" w:eastAsiaTheme="majorEastAsia"/>
                <w:color w:val="auto"/>
                <w:kern w:val="0"/>
                <w:sz w:val="24"/>
                <w:highlight w:val="none"/>
              </w:rPr>
            </w:pPr>
            <w:r>
              <w:rPr>
                <w:rFonts w:asciiTheme="majorEastAsia" w:hAnsiTheme="majorEastAsia" w:eastAsiaTheme="majorEastAsia"/>
                <w:color w:val="auto"/>
                <w:kern w:val="0"/>
                <w:sz w:val="24"/>
                <w:highlight w:val="none"/>
              </w:rPr>
              <w:t>是否需要随样品提交检测报告</w:t>
            </w:r>
            <w:r>
              <w:rPr>
                <w:rFonts w:hint="eastAsia" w:asciiTheme="majorEastAsia" w:hAnsiTheme="majorEastAsia" w:eastAsiaTheme="majorEastAsia"/>
                <w:color w:val="auto"/>
                <w:kern w:val="0"/>
                <w:sz w:val="24"/>
                <w:highlight w:val="none"/>
              </w:rPr>
              <w:t>：</w:t>
            </w:r>
            <w:r>
              <w:rPr>
                <w:rFonts w:cs="Arial" w:asciiTheme="majorEastAsia" w:hAnsiTheme="majorEastAsia" w:eastAsiaTheme="majorEastAsia"/>
                <w:color w:val="auto"/>
                <w:kern w:val="0"/>
                <w:sz w:val="24"/>
                <w:highlight w:val="none"/>
              </w:rPr>
              <w:sym w:font="Wingdings" w:char="00A8"/>
            </w:r>
            <w:r>
              <w:rPr>
                <w:rFonts w:asciiTheme="majorEastAsia" w:hAnsiTheme="majorEastAsia" w:eastAsiaTheme="majorEastAsia"/>
                <w:color w:val="auto"/>
                <w:kern w:val="0"/>
                <w:sz w:val="24"/>
                <w:highlight w:val="none"/>
              </w:rPr>
              <w:t>否；</w:t>
            </w:r>
            <w:r>
              <w:rPr>
                <w:rFonts w:cs="Arial" w:asciiTheme="majorEastAsia" w:hAnsiTheme="majorEastAsia" w:eastAsiaTheme="majorEastAsia"/>
                <w:color w:val="auto"/>
                <w:kern w:val="0"/>
                <w:sz w:val="24"/>
                <w:highlight w:val="none"/>
              </w:rPr>
              <w:sym w:font="Wingdings" w:char="00A8"/>
            </w:r>
            <w:r>
              <w:rPr>
                <w:rFonts w:asciiTheme="majorEastAsia" w:hAnsiTheme="majorEastAsia" w:eastAsiaTheme="majorEastAsia"/>
                <w:color w:val="auto"/>
                <w:kern w:val="0"/>
                <w:sz w:val="24"/>
                <w:highlight w:val="none"/>
              </w:rPr>
              <w:t>是，检测机构的要求</w:t>
            </w:r>
            <w:r>
              <w:rPr>
                <w:rFonts w:hint="eastAsia" w:asciiTheme="majorEastAsia" w:hAnsiTheme="majorEastAsia" w:eastAsiaTheme="majorEastAsia"/>
                <w:color w:val="auto"/>
                <w:sz w:val="24"/>
                <w:highlight w:val="none"/>
              </w:rPr>
              <w:t>：</w:t>
            </w:r>
            <w:r>
              <w:rPr>
                <w:rFonts w:hint="eastAsia" w:asciiTheme="majorEastAsia" w:hAnsiTheme="majorEastAsia" w:eastAsiaTheme="majorEastAsia"/>
                <w:color w:val="auto"/>
                <w:sz w:val="24"/>
                <w:highlight w:val="none"/>
                <w:u w:val="single"/>
              </w:rPr>
              <w:t xml:space="preserve"> /  </w:t>
            </w:r>
            <w:r>
              <w:rPr>
                <w:rFonts w:hint="eastAsia" w:asciiTheme="majorEastAsia" w:hAnsiTheme="majorEastAsia" w:eastAsiaTheme="majorEastAsia"/>
                <w:color w:val="auto"/>
                <w:kern w:val="0"/>
                <w:sz w:val="24"/>
                <w:highlight w:val="none"/>
              </w:rPr>
              <w:t>；检测内容</w:t>
            </w:r>
            <w:r>
              <w:rPr>
                <w:rFonts w:hint="eastAsia" w:asciiTheme="majorEastAsia" w:hAnsiTheme="majorEastAsia" w:eastAsiaTheme="majorEastAsia"/>
                <w:color w:val="auto"/>
                <w:sz w:val="24"/>
                <w:highlight w:val="none"/>
              </w:rPr>
              <w:t>：</w:t>
            </w:r>
            <w:r>
              <w:rPr>
                <w:rFonts w:hint="eastAsia" w:asciiTheme="majorEastAsia" w:hAnsiTheme="majorEastAsia" w:eastAsiaTheme="majorEastAsia"/>
                <w:color w:val="auto"/>
                <w:sz w:val="24"/>
                <w:highlight w:val="none"/>
                <w:u w:val="single"/>
              </w:rPr>
              <w:t xml:space="preserve">  /  </w:t>
            </w:r>
            <w:r>
              <w:rPr>
                <w:rFonts w:hint="eastAsia" w:asciiTheme="majorEastAsia" w:hAnsiTheme="majorEastAsia" w:eastAsiaTheme="majorEastAsia"/>
                <w:color w:val="auto"/>
                <w:kern w:val="0"/>
                <w:sz w:val="24"/>
                <w:highlight w:val="none"/>
              </w:rPr>
              <w:t>。</w:t>
            </w:r>
          </w:p>
          <w:p>
            <w:pPr>
              <w:numPr>
                <w:ilvl w:val="0"/>
                <w:numId w:val="2"/>
              </w:numPr>
              <w:adjustRightInd w:val="0"/>
              <w:snapToGrid w:val="0"/>
              <w:spacing w:line="400" w:lineRule="exact"/>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提供样品的时间：</w:t>
            </w:r>
            <w:r>
              <w:rPr>
                <w:rFonts w:hint="eastAsia" w:asciiTheme="majorEastAsia" w:hAnsiTheme="majorEastAsia" w:eastAsiaTheme="majorEastAsia"/>
                <w:color w:val="auto"/>
                <w:sz w:val="24"/>
                <w:highlight w:val="none"/>
                <w:u w:val="single"/>
              </w:rPr>
              <w:t xml:space="preserve">  /  </w:t>
            </w:r>
            <w:r>
              <w:rPr>
                <w:rFonts w:hint="eastAsia" w:asciiTheme="majorEastAsia" w:hAnsiTheme="majorEastAsia" w:eastAsiaTheme="majorEastAsia"/>
                <w:color w:val="auto"/>
                <w:kern w:val="0"/>
                <w:sz w:val="24"/>
                <w:highlight w:val="none"/>
              </w:rPr>
              <w:t>；地点：</w:t>
            </w:r>
            <w:r>
              <w:rPr>
                <w:rFonts w:hint="eastAsia" w:asciiTheme="majorEastAsia" w:hAnsiTheme="majorEastAsia" w:eastAsiaTheme="majorEastAsia"/>
                <w:color w:val="auto"/>
                <w:sz w:val="24"/>
                <w:highlight w:val="none"/>
                <w:u w:val="single"/>
              </w:rPr>
              <w:t xml:space="preserve">  /  </w:t>
            </w:r>
            <w:r>
              <w:rPr>
                <w:rFonts w:hint="eastAsia" w:asciiTheme="majorEastAsia" w:hAnsiTheme="majorEastAsia" w:eastAsiaTheme="majorEastAsia"/>
                <w:color w:val="auto"/>
                <w:kern w:val="0"/>
                <w:sz w:val="24"/>
                <w:highlight w:val="none"/>
              </w:rPr>
              <w:t>；联系人</w:t>
            </w:r>
            <w:r>
              <w:rPr>
                <w:rFonts w:hint="eastAsia" w:asciiTheme="majorEastAsia" w:hAnsiTheme="majorEastAsia" w:eastAsiaTheme="majorEastAsia"/>
                <w:color w:val="auto"/>
                <w:sz w:val="24"/>
                <w:highlight w:val="none"/>
              </w:rPr>
              <w:t>：</w:t>
            </w:r>
            <w:r>
              <w:rPr>
                <w:rFonts w:hint="eastAsia" w:asciiTheme="majorEastAsia" w:hAnsiTheme="majorEastAsia" w:eastAsiaTheme="majorEastAsia"/>
                <w:color w:val="auto"/>
                <w:sz w:val="24"/>
                <w:highlight w:val="none"/>
                <w:u w:val="single"/>
              </w:rPr>
              <w:t xml:space="preserve"> /  </w:t>
            </w:r>
            <w:r>
              <w:rPr>
                <w:rFonts w:hint="eastAsia" w:asciiTheme="majorEastAsia" w:hAnsiTheme="majorEastAsia" w:eastAsiaTheme="majorEastAsia"/>
                <w:color w:val="auto"/>
                <w:sz w:val="24"/>
                <w:highlight w:val="none"/>
              </w:rPr>
              <w:t>，</w:t>
            </w:r>
            <w:r>
              <w:rPr>
                <w:rFonts w:hint="eastAsia" w:asciiTheme="majorEastAsia" w:hAnsiTheme="majorEastAsia" w:eastAsiaTheme="majorEastAsia"/>
                <w:color w:val="auto"/>
                <w:kern w:val="28"/>
                <w:sz w:val="24"/>
                <w:highlight w:val="none"/>
              </w:rPr>
              <w:t>联系电话：</w:t>
            </w:r>
            <w:r>
              <w:rPr>
                <w:rFonts w:hint="eastAsia" w:asciiTheme="majorEastAsia" w:hAnsiTheme="majorEastAsia" w:eastAsiaTheme="majorEastAsia"/>
                <w:color w:val="auto"/>
                <w:sz w:val="24"/>
                <w:highlight w:val="none"/>
                <w:u w:val="single"/>
              </w:rPr>
              <w:t xml:space="preserve">  /  </w:t>
            </w:r>
            <w:r>
              <w:rPr>
                <w:rFonts w:hint="eastAsia" w:asciiTheme="majorEastAsia" w:hAnsiTheme="majorEastAsia" w:eastAsiaTheme="majorEastAsia"/>
                <w:color w:val="auto"/>
                <w:sz w:val="24"/>
                <w:highlight w:val="none"/>
              </w:rPr>
              <w:t>。请投标人在上述时间内提供样品并按规定位置安装完毕。超过截止时间的，采购人或采购代理机构将不予接收，并将清场并封闭样品现场。</w:t>
            </w:r>
          </w:p>
          <w:p>
            <w:pPr>
              <w:numPr>
                <w:ilvl w:val="0"/>
                <w:numId w:val="2"/>
              </w:numPr>
              <w:adjustRightInd w:val="0"/>
              <w:snapToGrid w:val="0"/>
              <w:spacing w:line="400" w:lineRule="exact"/>
              <w:rPr>
                <w:rFonts w:asciiTheme="majorEastAsia" w:hAnsiTheme="majorEastAsia" w:eastAsiaTheme="majorEastAsia"/>
                <w:color w:val="auto"/>
                <w:highlight w:val="none"/>
              </w:rPr>
            </w:pPr>
            <w:r>
              <w:rPr>
                <w:rFonts w:asciiTheme="majorEastAsia" w:hAnsiTheme="majorEastAsia" w:eastAsiaTheme="majorEastAsia"/>
                <w:color w:val="auto"/>
                <w:sz w:val="24"/>
                <w:highlight w:val="none"/>
              </w:rPr>
              <w:t>采购活动结束后，对于未中标人提供的样品，</w:t>
            </w:r>
            <w:r>
              <w:rPr>
                <w:rFonts w:hint="eastAsia" w:asciiTheme="majorEastAsia" w:hAnsiTheme="majorEastAsia" w:eastAsiaTheme="majorEastAsia"/>
                <w:color w:val="auto"/>
                <w:sz w:val="24"/>
                <w:highlight w:val="none"/>
              </w:rPr>
              <w:t>采购人、采购机构将通知</w:t>
            </w:r>
            <w:r>
              <w:rPr>
                <w:rFonts w:asciiTheme="majorEastAsia" w:hAnsiTheme="majorEastAsia" w:eastAsiaTheme="majorEastAsia"/>
                <w:color w:val="auto"/>
                <w:sz w:val="24"/>
                <w:highlight w:val="none"/>
              </w:rPr>
              <w:t>未中标人</w:t>
            </w:r>
            <w:r>
              <w:rPr>
                <w:rFonts w:hint="eastAsia" w:asciiTheme="majorEastAsia" w:hAnsiTheme="majorEastAsia" w:eastAsiaTheme="majorEastAsia"/>
                <w:color w:val="auto"/>
                <w:sz w:val="24"/>
                <w:highlight w:val="none"/>
              </w:rPr>
              <w:t>在规定的时间内取回，逾期未取回的，采购人、采购机构不负保管义务</w:t>
            </w:r>
            <w:r>
              <w:rPr>
                <w:rFonts w:asciiTheme="majorEastAsia" w:hAnsiTheme="majorEastAsia" w:eastAsiaTheme="majorEastAsia"/>
                <w:color w:val="auto"/>
                <w:sz w:val="24"/>
                <w:highlight w:val="none"/>
              </w:rPr>
              <w:t>；对于中标人提供的样品，</w:t>
            </w:r>
            <w:r>
              <w:rPr>
                <w:rFonts w:hint="eastAsia" w:asciiTheme="majorEastAsia" w:hAnsiTheme="majorEastAsia" w:eastAsiaTheme="majorEastAsia"/>
                <w:color w:val="auto"/>
                <w:sz w:val="24"/>
                <w:highlight w:val="none"/>
              </w:rPr>
              <w:t>采购人将进</w:t>
            </w:r>
            <w:r>
              <w:rPr>
                <w:rFonts w:asciiTheme="majorEastAsia" w:hAnsiTheme="majorEastAsia" w:eastAsiaTheme="majorEastAsia"/>
                <w:color w:val="auto"/>
                <w:sz w:val="24"/>
                <w:highlight w:val="none"/>
              </w:rPr>
              <w:t>行保管、封存，并作为履约验收的参考。</w:t>
            </w:r>
          </w:p>
          <w:p>
            <w:pPr>
              <w:numPr>
                <w:ilvl w:val="0"/>
                <w:numId w:val="2"/>
              </w:numPr>
              <w:adjustRightInd w:val="0"/>
              <w:snapToGrid w:val="0"/>
              <w:spacing w:line="400" w:lineRule="exact"/>
              <w:rPr>
                <w:rFonts w:cs="Arial" w:asciiTheme="majorEastAsia" w:hAnsiTheme="majorEastAsia" w:eastAsiaTheme="majorEastAsia"/>
                <w:color w:val="auto"/>
                <w:kern w:val="0"/>
                <w:sz w:val="24"/>
                <w:highlight w:val="none"/>
              </w:rPr>
            </w:pPr>
            <w:r>
              <w:rPr>
                <w:rFonts w:asciiTheme="majorEastAsia" w:hAnsiTheme="majorEastAsia" w:eastAsiaTheme="majorEastAsia"/>
                <w:color w:val="auto"/>
                <w:sz w:val="24"/>
                <w:highlight w:val="none"/>
              </w:rPr>
              <w:t>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92" w:hRule="atLeast"/>
        </w:trPr>
        <w:tc>
          <w:tcPr>
            <w:tcW w:w="62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noWrap/>
            <w:vAlign w:val="center"/>
          </w:tcPr>
          <w:p>
            <w:pPr>
              <w:adjustRightInd w:val="0"/>
              <w:snapToGrid w:val="0"/>
              <w:spacing w:line="400" w:lineRule="exact"/>
              <w:rPr>
                <w:rFonts w:asciiTheme="majorEastAsia" w:hAnsiTheme="majorEastAsia" w:eastAsiaTheme="majorEastAsia"/>
                <w:color w:val="auto"/>
                <w:sz w:val="24"/>
                <w:highlight w:val="none"/>
              </w:rPr>
            </w:pPr>
            <w:r>
              <w:rPr>
                <w:rFonts w:cs="Arial" w:asciiTheme="majorEastAsia" w:hAnsiTheme="majorEastAsia" w:eastAsiaTheme="majorEastAsia"/>
                <w:color w:val="auto"/>
                <w:kern w:val="0"/>
                <w:sz w:val="24"/>
                <w:highlight w:val="none"/>
              </w:rPr>
              <w:sym w:font="Wingdings" w:char="00FE"/>
            </w:r>
            <w:r>
              <w:rPr>
                <w:rFonts w:cs="Arial" w:asciiTheme="majorEastAsia" w:hAnsiTheme="majorEastAsia" w:eastAsiaTheme="majorEastAsia"/>
                <w:color w:val="auto"/>
                <w:kern w:val="0"/>
                <w:sz w:val="24"/>
                <w:highlight w:val="none"/>
              </w:rPr>
              <w:t>A</w:t>
            </w:r>
            <w:r>
              <w:rPr>
                <w:rFonts w:hint="eastAsia" w:asciiTheme="majorEastAsia" w:hAnsiTheme="majorEastAsia" w:eastAsiaTheme="majorEastAsia"/>
                <w:color w:val="auto"/>
                <w:sz w:val="24"/>
                <w:highlight w:val="none"/>
              </w:rPr>
              <w:t>不组织。</w:t>
            </w:r>
          </w:p>
          <w:p>
            <w:pPr>
              <w:adjustRightInd w:val="0"/>
              <w:snapToGrid w:val="0"/>
              <w:spacing w:line="400" w:lineRule="exact"/>
              <w:rPr>
                <w:rFonts w:asciiTheme="majorEastAsia" w:hAnsiTheme="majorEastAsia" w:eastAsiaTheme="majorEastAsia"/>
                <w:color w:val="auto"/>
                <w:kern w:val="0"/>
                <w:sz w:val="24"/>
                <w:highlight w:val="none"/>
              </w:rPr>
            </w:pPr>
            <w:r>
              <w:rPr>
                <w:rFonts w:cs="Arial" w:asciiTheme="majorEastAsia" w:hAnsiTheme="majorEastAsia" w:eastAsiaTheme="majorEastAsia"/>
                <w:color w:val="auto"/>
                <w:kern w:val="0"/>
                <w:sz w:val="24"/>
                <w:highlight w:val="none"/>
              </w:rPr>
              <w:sym w:font="Wingdings" w:char="00A8"/>
            </w:r>
            <w:r>
              <w:rPr>
                <w:rFonts w:asciiTheme="majorEastAsia" w:hAnsiTheme="majorEastAsia" w:eastAsiaTheme="majorEastAsia"/>
                <w:color w:val="auto"/>
                <w:kern w:val="0"/>
                <w:sz w:val="24"/>
                <w:highlight w:val="none"/>
              </w:rPr>
              <w:t>B组织。</w:t>
            </w:r>
          </w:p>
          <w:p>
            <w:pPr>
              <w:adjustRightInd w:val="0"/>
              <w:snapToGrid w:val="0"/>
              <w:spacing w:line="40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rPr>
        <w:tc>
          <w:tcPr>
            <w:tcW w:w="629" w:type="dxa"/>
            <w:vMerge w:val="restart"/>
            <w:tcBorders>
              <w:top w:val="single" w:color="auto" w:sz="4" w:space="0"/>
              <w:left w:val="single" w:color="auto" w:sz="4" w:space="0"/>
              <w:right w:val="single" w:color="auto" w:sz="4"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w:t>
            </w:r>
          </w:p>
        </w:tc>
        <w:tc>
          <w:tcPr>
            <w:tcW w:w="1843" w:type="dxa"/>
            <w:vMerge w:val="restart"/>
            <w:tcBorders>
              <w:top w:val="single" w:color="000000" w:sz="8" w:space="0"/>
              <w:left w:val="single" w:color="auto" w:sz="4" w:space="0"/>
              <w:right w:val="single" w:color="000000" w:sz="8" w:space="0"/>
            </w:tcBorders>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noWrap/>
            <w:vAlign w:val="center"/>
          </w:tcPr>
          <w:p>
            <w:pPr>
              <w:adjustRightInd w:val="0"/>
              <w:snapToGrid w:val="0"/>
              <w:spacing w:line="40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w:t>
            </w:r>
            <w:r>
              <w:rPr>
                <w:rFonts w:asciiTheme="majorEastAsia" w:hAnsiTheme="majorEastAsia" w:eastAsiaTheme="majorEastAsia"/>
                <w:color w:val="auto"/>
                <w:sz w:val="24"/>
                <w:highlight w:val="none"/>
              </w:rPr>
              <w:t>1）资格证明文件：见招标文件第二部分11.1。</w:t>
            </w:r>
          </w:p>
          <w:p>
            <w:pPr>
              <w:adjustRightInd w:val="0"/>
              <w:snapToGrid w:val="0"/>
              <w:spacing w:line="400" w:lineRule="exact"/>
              <w:rPr>
                <w:rFonts w:cs="仿宋" w:asciiTheme="majorEastAsia" w:hAnsiTheme="majorEastAsia" w:eastAsiaTheme="majorEastAsia"/>
                <w:snapToGrid w:val="0"/>
                <w:color w:val="auto"/>
                <w:kern w:val="0"/>
                <w:szCs w:val="21"/>
                <w:highlight w:val="none"/>
              </w:rPr>
            </w:pPr>
            <w:r>
              <w:rPr>
                <w:rFonts w:hint="eastAsia" w:asciiTheme="majorEastAsia" w:hAnsiTheme="majorEastAsia" w:eastAsiaTheme="majorEastAsia"/>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 w:hRule="atLeast"/>
        </w:trPr>
        <w:tc>
          <w:tcPr>
            <w:tcW w:w="629" w:type="dxa"/>
            <w:vMerge w:val="continue"/>
            <w:tcBorders>
              <w:left w:val="single" w:color="auto" w:sz="4" w:space="0"/>
              <w:bottom w:val="single" w:color="auto" w:sz="4" w:space="0"/>
              <w:right w:val="single" w:color="auto" w:sz="4"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p>
        </w:tc>
        <w:tc>
          <w:tcPr>
            <w:tcW w:w="1843" w:type="dxa"/>
            <w:vMerge w:val="continue"/>
            <w:tcBorders>
              <w:left w:val="single" w:color="auto" w:sz="4" w:space="0"/>
              <w:bottom w:val="single" w:color="000000" w:sz="8" w:space="0"/>
              <w:right w:val="single" w:color="000000" w:sz="8" w:space="0"/>
            </w:tcBorders>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noWrap/>
            <w:vAlign w:val="center"/>
          </w:tcPr>
          <w:p>
            <w:pPr>
              <w:adjustRightInd w:val="0"/>
              <w:snapToGrid w:val="0"/>
              <w:spacing w:line="400" w:lineRule="exact"/>
              <w:rPr>
                <w:rFonts w:cs="仿宋"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w:t>
            </w:r>
            <w:r>
              <w:rPr>
                <w:rFonts w:asciiTheme="majorEastAsia" w:hAnsiTheme="majorEastAsia" w:eastAsiaTheme="majorEastAsia"/>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 w:hRule="atLeast"/>
        </w:trPr>
        <w:tc>
          <w:tcPr>
            <w:tcW w:w="629" w:type="dxa"/>
            <w:vMerge w:val="restart"/>
            <w:tcBorders>
              <w:left w:val="single" w:color="auto" w:sz="4" w:space="0"/>
              <w:right w:val="single" w:color="auto" w:sz="4"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w:t>
            </w:r>
          </w:p>
        </w:tc>
        <w:tc>
          <w:tcPr>
            <w:tcW w:w="1843" w:type="dxa"/>
            <w:vMerge w:val="restart"/>
            <w:tcBorders>
              <w:left w:val="single" w:color="auto" w:sz="4" w:space="0"/>
              <w:right w:val="single" w:color="000000" w:sz="8" w:space="0"/>
            </w:tcBorders>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采购标的对应的中小企业划分标准所属行业</w:t>
            </w:r>
          </w:p>
        </w:tc>
        <w:tc>
          <w:tcPr>
            <w:tcW w:w="6095" w:type="dxa"/>
            <w:tcBorders>
              <w:top w:val="single" w:color="auto" w:sz="4" w:space="0"/>
              <w:left w:val="single" w:color="000000" w:sz="2" w:space="0"/>
              <w:bottom w:val="single" w:color="000000" w:sz="8" w:space="0"/>
              <w:right w:val="single" w:color="000000" w:sz="8" w:space="0"/>
            </w:tcBorders>
            <w:noWrap/>
            <w:vAlign w:val="center"/>
          </w:tcPr>
          <w:p>
            <w:pPr>
              <w:adjustRightInd w:val="0"/>
              <w:snapToGrid w:val="0"/>
              <w:spacing w:line="400" w:lineRule="exact"/>
              <w:rPr>
                <w:rFonts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标的为： 十二工段以南500米的监测断面水质提升和十八工段闸口监测断面水质提升项目，属于 其他未列明行业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 w:hRule="atLeast"/>
        </w:trPr>
        <w:tc>
          <w:tcPr>
            <w:tcW w:w="629" w:type="dxa"/>
            <w:vMerge w:val="continue"/>
            <w:tcBorders>
              <w:left w:val="single" w:color="auto" w:sz="4" w:space="0"/>
              <w:bottom w:val="single" w:color="auto" w:sz="4" w:space="0"/>
              <w:right w:val="single" w:color="auto" w:sz="4"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p>
        </w:tc>
        <w:tc>
          <w:tcPr>
            <w:tcW w:w="1843" w:type="dxa"/>
            <w:vMerge w:val="continue"/>
            <w:tcBorders>
              <w:left w:val="single" w:color="auto" w:sz="4" w:space="0"/>
              <w:bottom w:val="single" w:color="000000" w:sz="8" w:space="0"/>
              <w:right w:val="single" w:color="000000" w:sz="8" w:space="0"/>
            </w:tcBorders>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noWrap/>
            <w:vAlign w:val="center"/>
          </w:tcPr>
          <w:p>
            <w:pPr>
              <w:adjustRightInd w:val="0"/>
              <w:snapToGrid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（1）投标人填写中小企业声明函时，标的为</w:t>
            </w:r>
            <w:r>
              <w:rPr>
                <w:rFonts w:hint="eastAsia" w:cs="仿宋" w:asciiTheme="majorEastAsia" w:hAnsiTheme="majorEastAsia" w:eastAsiaTheme="majorEastAsia"/>
                <w:b/>
                <w:bCs/>
                <w:color w:val="auto"/>
                <w:kern w:val="0"/>
                <w:sz w:val="24"/>
                <w:highlight w:val="none"/>
                <w:u w:val="single"/>
              </w:rPr>
              <w:t>十二工段以南500米的监测断面水质提升和十八工段闸口监测断面水质提升项目</w:t>
            </w:r>
            <w:r>
              <w:rPr>
                <w:rFonts w:hint="eastAsia" w:cs="仿宋" w:asciiTheme="majorEastAsia" w:hAnsiTheme="majorEastAsia" w:eastAsiaTheme="majorEastAsia"/>
                <w:color w:val="auto"/>
                <w:kern w:val="0"/>
                <w:sz w:val="24"/>
                <w:highlight w:val="none"/>
              </w:rPr>
              <w:t>，所属行业为</w:t>
            </w:r>
            <w:r>
              <w:rPr>
                <w:rFonts w:hint="eastAsia" w:cs="仿宋" w:asciiTheme="majorEastAsia" w:hAnsiTheme="majorEastAsia" w:eastAsiaTheme="majorEastAsia"/>
                <w:b/>
                <w:bCs/>
                <w:color w:val="auto"/>
                <w:kern w:val="0"/>
                <w:sz w:val="24"/>
                <w:highlight w:val="none"/>
                <w:u w:val="single"/>
              </w:rPr>
              <w:t>其他未列明行业</w:t>
            </w:r>
            <w:r>
              <w:rPr>
                <w:rFonts w:hint="eastAsia" w:cs="仿宋" w:asciiTheme="majorEastAsia" w:hAnsiTheme="majorEastAsia" w:eastAsiaTheme="majorEastAsia"/>
                <w:color w:val="auto"/>
                <w:kern w:val="0"/>
                <w:sz w:val="24"/>
                <w:highlight w:val="none"/>
              </w:rPr>
              <w:t>；</w:t>
            </w:r>
          </w:p>
          <w:p>
            <w:pPr>
              <w:adjustRightInd w:val="0"/>
              <w:snapToGrid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（2）从业人员、营业收入、资产总额填报上一年度数据，无上一年度数据的新成立企业可不填报；</w:t>
            </w:r>
          </w:p>
          <w:p>
            <w:pPr>
              <w:adjustRightInd w:val="0"/>
              <w:snapToGrid w:val="0"/>
              <w:spacing w:line="400" w:lineRule="exact"/>
              <w:rPr>
                <w:rFonts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（3）中型企业、小型企业、微型企业等3种企业类型，结合以上数据，依据《中小企业划型标准规定》（工信部联企业〔2011〕300号）确定的</w:t>
            </w:r>
            <w:r>
              <w:rPr>
                <w:rFonts w:hint="eastAsia" w:cs="仿宋" w:asciiTheme="majorEastAsia" w:hAnsiTheme="majorEastAsia" w:eastAsiaTheme="majorEastAsia"/>
                <w:b/>
                <w:bCs/>
                <w:color w:val="auto"/>
                <w:kern w:val="0"/>
                <w:sz w:val="24"/>
                <w:highlight w:val="none"/>
              </w:rPr>
              <w:t>其他未列明行业</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kern w:val="0"/>
                <w:sz w:val="24"/>
                <w:highlight w:val="none"/>
                <w:u w:val="single"/>
              </w:rPr>
              <w:t>填写时应明确是</w:t>
            </w:r>
            <w:r>
              <w:rPr>
                <w:rFonts w:hint="eastAsia" w:cs="仿宋" w:asciiTheme="majorEastAsia" w:hAnsiTheme="majorEastAsia" w:eastAsiaTheme="majorEastAsia"/>
                <w:b/>
                <w:bCs/>
                <w:color w:val="auto"/>
                <w:kern w:val="0"/>
                <w:sz w:val="24"/>
                <w:highlight w:val="none"/>
                <w:u w:val="single"/>
                <w:lang w:eastAsia="zh-CN"/>
              </w:rPr>
              <w:t>中型或</w:t>
            </w:r>
            <w:r>
              <w:rPr>
                <w:rFonts w:hint="eastAsia" w:cs="仿宋" w:asciiTheme="majorEastAsia" w:hAnsiTheme="majorEastAsia" w:eastAsiaTheme="majorEastAsia"/>
                <w:b/>
                <w:bCs/>
                <w:color w:val="auto"/>
                <w:kern w:val="0"/>
                <w:sz w:val="24"/>
                <w:highlight w:val="none"/>
                <w:u w:val="single"/>
              </w:rPr>
              <w:t>小型或微型</w:t>
            </w:r>
            <w:r>
              <w:rPr>
                <w:rFonts w:hint="eastAsia" w:cs="仿宋" w:asciiTheme="majorEastAsia" w:hAnsiTheme="majorEastAsia" w:eastAsiaTheme="majorEastAsia"/>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 w:hRule="atLeast"/>
        </w:trPr>
        <w:tc>
          <w:tcPr>
            <w:tcW w:w="629" w:type="dxa"/>
            <w:tcBorders>
              <w:left w:val="single" w:color="auto" w:sz="4" w:space="0"/>
              <w:bottom w:val="single" w:color="auto" w:sz="4" w:space="0"/>
              <w:right w:val="single" w:color="auto" w:sz="4"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r>
              <w:rPr>
                <w:rFonts w:cs="仿宋" w:asciiTheme="majorEastAsia" w:hAnsiTheme="majorEastAsia" w:eastAsiaTheme="majorEastAsia"/>
                <w:color w:val="auto"/>
                <w:sz w:val="24"/>
                <w:highlight w:val="none"/>
              </w:rPr>
              <w:t>10</w:t>
            </w:r>
          </w:p>
        </w:tc>
        <w:tc>
          <w:tcPr>
            <w:tcW w:w="1843" w:type="dxa"/>
            <w:tcBorders>
              <w:left w:val="single" w:color="auto" w:sz="4" w:space="0"/>
              <w:bottom w:val="single" w:color="000000" w:sz="8" w:space="0"/>
              <w:right w:val="single" w:color="000000" w:sz="8" w:space="0"/>
            </w:tcBorders>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节能产品、环境标志产品</w:t>
            </w:r>
          </w:p>
        </w:tc>
        <w:tc>
          <w:tcPr>
            <w:tcW w:w="6095" w:type="dxa"/>
            <w:tcBorders>
              <w:top w:val="single" w:color="auto" w:sz="4" w:space="0"/>
              <w:left w:val="single" w:color="000000" w:sz="2" w:space="0"/>
              <w:bottom w:val="single" w:color="000000" w:sz="8" w:space="0"/>
              <w:right w:val="single" w:color="000000" w:sz="8" w:space="0"/>
            </w:tcBorders>
            <w:noWrap/>
            <w:vAlign w:val="center"/>
          </w:tcPr>
          <w:p>
            <w:pPr>
              <w:pStyle w:val="18"/>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本项目采购节能产品、环境标志产品要求：</w:t>
            </w:r>
          </w:p>
          <w:p>
            <w:pPr>
              <w:pStyle w:val="18"/>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sym w:font="Wingdings" w:char="00FE"/>
            </w:r>
            <w:r>
              <w:rPr>
                <w:rFonts w:hint="eastAsia" w:cs="仿宋" w:asciiTheme="majorEastAsia" w:hAnsiTheme="majorEastAsia" w:eastAsiaTheme="majorEastAsia"/>
                <w:color w:val="auto"/>
                <w:kern w:val="0"/>
                <w:sz w:val="24"/>
                <w:highlight w:val="none"/>
              </w:rPr>
              <w:t>A无</w:t>
            </w:r>
          </w:p>
          <w:p>
            <w:pPr>
              <w:pStyle w:val="18"/>
              <w:rPr>
                <w:rFonts w:cs="仿宋" w:asciiTheme="majorEastAsia" w:hAnsiTheme="majorEastAsia" w:eastAsiaTheme="majorEastAsia"/>
                <w:color w:val="auto"/>
                <w:kern w:val="0"/>
                <w:sz w:val="24"/>
                <w:highlight w:val="none"/>
              </w:rPr>
            </w:pPr>
            <w:r>
              <w:rPr>
                <w:rFonts w:ascii="Segoe UI Symbol" w:hAnsi="Segoe UI Symbol" w:cs="Segoe UI Symbol" w:eastAsiaTheme="majorEastAsia"/>
                <w:snapToGrid w:val="0"/>
                <w:color w:val="auto"/>
                <w:kern w:val="0"/>
                <w:sz w:val="24"/>
                <w:highlight w:val="none"/>
              </w:rPr>
              <w:t>☐</w:t>
            </w:r>
            <w:r>
              <w:rPr>
                <w:rFonts w:hint="eastAsia" w:cs="仿宋" w:asciiTheme="majorEastAsia" w:hAnsiTheme="majorEastAsia" w:eastAsiaTheme="majorEastAsia"/>
                <w:color w:val="auto"/>
                <w:kern w:val="0"/>
                <w:sz w:val="24"/>
                <w:highlight w:val="none"/>
              </w:rPr>
              <w:t>B 政府</w:t>
            </w:r>
            <w:r>
              <w:rPr>
                <w:rFonts w:hint="eastAsia" w:cs="仿宋" w:asciiTheme="majorEastAsia" w:hAnsiTheme="majorEastAsia" w:eastAsiaTheme="majorEastAsia"/>
                <w:color w:val="auto"/>
                <w:sz w:val="24"/>
                <w:highlight w:val="none"/>
              </w:rPr>
              <w:t>强制采购节能产品</w:t>
            </w:r>
            <w:r>
              <w:rPr>
                <w:rFonts w:hint="eastAsia" w:cs="仿宋" w:asciiTheme="majorEastAsia" w:hAnsiTheme="majorEastAsia" w:eastAsiaTheme="majorEastAsia"/>
                <w:color w:val="auto"/>
                <w:kern w:val="0"/>
                <w:sz w:val="24"/>
                <w:highlight w:val="none"/>
              </w:rPr>
              <w:t>：</w:t>
            </w:r>
          </w:p>
          <w:p>
            <w:pPr>
              <w:pStyle w:val="18"/>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w:t>
            </w:r>
          </w:p>
          <w:p>
            <w:pPr>
              <w:pStyle w:val="18"/>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p>
            <w:pPr>
              <w:pStyle w:val="18"/>
              <w:rPr>
                <w:rFonts w:cs="仿宋" w:asciiTheme="majorEastAsia" w:hAnsiTheme="majorEastAsia" w:eastAsiaTheme="majorEastAsia"/>
                <w:color w:val="auto"/>
                <w:kern w:val="0"/>
                <w:sz w:val="24"/>
                <w:highlight w:val="none"/>
              </w:rPr>
            </w:pPr>
            <w:r>
              <w:rPr>
                <w:rFonts w:ascii="Segoe UI Symbol" w:hAnsi="Segoe UI Symbol" w:cs="Segoe UI Symbol" w:eastAsiaTheme="majorEastAsia"/>
                <w:snapToGrid w:val="0"/>
                <w:color w:val="auto"/>
                <w:kern w:val="0"/>
                <w:sz w:val="24"/>
                <w:highlight w:val="none"/>
              </w:rPr>
              <w:t>☐</w:t>
            </w:r>
            <w:r>
              <w:rPr>
                <w:rFonts w:hint="eastAsia" w:cs="仿宋" w:asciiTheme="majorEastAsia" w:hAnsiTheme="majorEastAsia" w:eastAsiaTheme="majorEastAsia"/>
                <w:color w:val="auto"/>
                <w:kern w:val="0"/>
                <w:sz w:val="24"/>
                <w:highlight w:val="none"/>
              </w:rPr>
              <w:t xml:space="preserve">C </w:t>
            </w:r>
            <w:r>
              <w:rPr>
                <w:rFonts w:hint="eastAsia" w:cs="仿宋" w:asciiTheme="majorEastAsia" w:hAnsiTheme="majorEastAsia" w:eastAsiaTheme="majorEastAsia"/>
                <w:color w:val="auto"/>
                <w:sz w:val="24"/>
                <w:highlight w:val="none"/>
              </w:rPr>
              <w:t>政府优先采购节能产品</w:t>
            </w:r>
            <w:r>
              <w:rPr>
                <w:rFonts w:hint="eastAsia" w:cs="仿宋" w:asciiTheme="majorEastAsia" w:hAnsiTheme="majorEastAsia" w:eastAsiaTheme="majorEastAsia"/>
                <w:color w:val="auto"/>
                <w:kern w:val="0"/>
                <w:sz w:val="24"/>
                <w:highlight w:val="none"/>
              </w:rPr>
              <w:t>：</w:t>
            </w:r>
          </w:p>
          <w:p>
            <w:pPr>
              <w:pStyle w:val="18"/>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kern w:val="0"/>
                <w:sz w:val="24"/>
                <w:highlight w:val="none"/>
              </w:rPr>
              <w:t>（1）</w:t>
            </w:r>
            <w:r>
              <w:rPr>
                <w:rFonts w:hint="eastAsia" w:cs="仿宋" w:asciiTheme="majorEastAsia" w:hAnsiTheme="majorEastAsia" w:eastAsiaTheme="majorEastAsia"/>
                <w:color w:val="auto"/>
                <w:sz w:val="24"/>
                <w:highlight w:val="none"/>
              </w:rPr>
              <w:t>；</w:t>
            </w:r>
          </w:p>
          <w:p>
            <w:pPr>
              <w:pStyle w:val="18"/>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p>
            <w:pPr>
              <w:pStyle w:val="18"/>
              <w:rPr>
                <w:rFonts w:cs="仿宋" w:asciiTheme="majorEastAsia" w:hAnsiTheme="majorEastAsia" w:eastAsiaTheme="majorEastAsia"/>
                <w:color w:val="auto"/>
                <w:kern w:val="0"/>
                <w:sz w:val="24"/>
                <w:highlight w:val="none"/>
              </w:rPr>
            </w:pPr>
            <w:r>
              <w:rPr>
                <w:rFonts w:ascii="Segoe UI Symbol" w:hAnsi="Segoe UI Symbol" w:cs="Segoe UI Symbol" w:eastAsiaTheme="majorEastAsia"/>
                <w:color w:val="auto"/>
                <w:kern w:val="0"/>
                <w:sz w:val="24"/>
                <w:highlight w:val="none"/>
              </w:rPr>
              <w:t>☐</w:t>
            </w:r>
            <w:r>
              <w:rPr>
                <w:rFonts w:hint="eastAsia" w:cs="仿宋" w:asciiTheme="majorEastAsia" w:hAnsiTheme="majorEastAsia" w:eastAsiaTheme="majorEastAsia"/>
                <w:color w:val="auto"/>
                <w:kern w:val="0"/>
                <w:sz w:val="24"/>
                <w:highlight w:val="none"/>
              </w:rPr>
              <w:t xml:space="preserve">D </w:t>
            </w:r>
            <w:r>
              <w:rPr>
                <w:rFonts w:hint="eastAsia" w:cs="仿宋" w:asciiTheme="majorEastAsia" w:hAnsiTheme="majorEastAsia" w:eastAsiaTheme="majorEastAsia"/>
                <w:color w:val="auto"/>
                <w:sz w:val="24"/>
                <w:highlight w:val="none"/>
              </w:rPr>
              <w:t>政府优先采购环境标志产品</w:t>
            </w:r>
            <w:r>
              <w:rPr>
                <w:rFonts w:hint="eastAsia" w:cs="仿宋" w:asciiTheme="majorEastAsia" w:hAnsiTheme="majorEastAsia" w:eastAsiaTheme="majorEastAsia"/>
                <w:color w:val="auto"/>
                <w:kern w:val="0"/>
                <w:sz w:val="24"/>
                <w:highlight w:val="none"/>
              </w:rPr>
              <w:t>：</w:t>
            </w:r>
          </w:p>
          <w:p>
            <w:pPr>
              <w:pStyle w:val="18"/>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（1）</w:t>
            </w:r>
            <w:r>
              <w:rPr>
                <w:rFonts w:hint="eastAsia" w:cs="仿宋" w:asciiTheme="majorEastAsia" w:hAnsiTheme="majorEastAsia" w:eastAsiaTheme="majorEastAsia"/>
                <w:color w:val="auto"/>
                <w:sz w:val="24"/>
                <w:highlight w:val="none"/>
              </w:rPr>
              <w:t>；</w:t>
            </w:r>
          </w:p>
          <w:p>
            <w:pPr>
              <w:pStyle w:val="18"/>
              <w:rPr>
                <w:rFonts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rPr>
        <w:tc>
          <w:tcPr>
            <w:tcW w:w="629" w:type="dxa"/>
            <w:vMerge w:val="restart"/>
            <w:tcBorders>
              <w:top w:val="single" w:color="auto" w:sz="4" w:space="0"/>
              <w:left w:val="single" w:color="auto" w:sz="4" w:space="0"/>
              <w:right w:val="single" w:color="auto" w:sz="4"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w:t>
            </w:r>
          </w:p>
        </w:tc>
        <w:tc>
          <w:tcPr>
            <w:tcW w:w="1843" w:type="dxa"/>
            <w:vMerge w:val="restart"/>
            <w:tcBorders>
              <w:top w:val="single" w:color="000000" w:sz="8" w:space="0"/>
              <w:left w:val="single" w:color="auto" w:sz="4" w:space="0"/>
              <w:right w:val="single" w:color="000000" w:sz="8" w:space="0"/>
            </w:tcBorders>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中小企业信用融资</w:t>
            </w:r>
          </w:p>
        </w:tc>
        <w:tc>
          <w:tcPr>
            <w:tcW w:w="6095" w:type="dxa"/>
            <w:tcBorders>
              <w:top w:val="single" w:color="000000" w:sz="8" w:space="0"/>
              <w:left w:val="single" w:color="000000" w:sz="2" w:space="0"/>
              <w:bottom w:val="single" w:color="000000" w:sz="8" w:space="0"/>
              <w:right w:val="single" w:color="000000" w:sz="8" w:space="0"/>
            </w:tcBorders>
            <w:noWrap/>
            <w:vAlign w:val="center"/>
          </w:tcPr>
          <w:p>
            <w:pPr>
              <w:adjustRightInd w:val="0"/>
              <w:snapToGrid w:val="0"/>
              <w:spacing w:line="40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为支持和促进中小企业发展，进一步发挥政府采购政策功能，根据《杭州市政府采购支持中小企业信用融资管理办法》和《关于钱塘区政府采购支持中小企业信用融资有关事项的通知》，供应商若有融资意向，详见本采购文件尾页《关于钱塘区政府采购支持中小企业信用融资相关事项通知》，或登录杭州钱塘区管理委员会官网查看信用融资相关政策及各相关银行服务方案、联系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rPr>
        <w:tc>
          <w:tcPr>
            <w:tcW w:w="629" w:type="dxa"/>
            <w:vMerge w:val="continue"/>
            <w:tcBorders>
              <w:left w:val="single" w:color="auto" w:sz="4" w:space="0"/>
              <w:bottom w:val="single" w:color="auto" w:sz="4" w:space="0"/>
              <w:right w:val="single" w:color="auto" w:sz="4"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p>
        </w:tc>
        <w:tc>
          <w:tcPr>
            <w:tcW w:w="1843" w:type="dxa"/>
            <w:vMerge w:val="continue"/>
            <w:tcBorders>
              <w:left w:val="single" w:color="auto" w:sz="4" w:space="0"/>
              <w:bottom w:val="single" w:color="000000" w:sz="8" w:space="0"/>
              <w:right w:val="single" w:color="000000" w:sz="8" w:space="0"/>
            </w:tcBorders>
            <w:noWrap/>
            <w:vAlign w:val="center"/>
          </w:tcPr>
          <w:p>
            <w:pPr>
              <w:adjustRightInd w:val="0"/>
              <w:snapToGrid w:val="0"/>
              <w:spacing w:line="400" w:lineRule="exact"/>
              <w:ind w:firstLine="482" w:firstLineChars="200"/>
              <w:rPr>
                <w:rFonts w:cs="仿宋" w:asciiTheme="majorEastAsia" w:hAnsiTheme="majorEastAsia" w:eastAsiaTheme="majorEastAsia"/>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noWrap/>
            <w:vAlign w:val="center"/>
          </w:tcPr>
          <w:p>
            <w:pPr>
              <w:adjustRightInd w:val="0"/>
              <w:snapToGrid w:val="0"/>
              <w:spacing w:line="40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000000" w:sz="8" w:space="0"/>
              <w:bottom w:val="single" w:color="auto" w:sz="4" w:space="0"/>
              <w:right w:val="single" w:color="000000" w:sz="2"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noWrap/>
            <w:vAlign w:val="center"/>
          </w:tcPr>
          <w:p>
            <w:pPr>
              <w:adjustRightInd w:val="0"/>
              <w:snapToGrid w:val="0"/>
              <w:spacing w:line="400" w:lineRule="exact"/>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noWrap/>
            <w:vAlign w:val="center"/>
          </w:tcPr>
          <w:p>
            <w:pPr>
              <w:adjustRightInd w:val="0"/>
              <w:snapToGrid w:val="0"/>
              <w:spacing w:line="400" w:lineRule="exact"/>
              <w:jc w:val="left"/>
              <w:rPr>
                <w:rFonts w:cs="仿宋" w:asciiTheme="majorEastAsia" w:hAnsiTheme="majorEastAsia" w:eastAsiaTheme="majorEastAsia"/>
                <w:snapToGrid w:val="0"/>
                <w:color w:val="auto"/>
                <w:kern w:val="28"/>
                <w:sz w:val="24"/>
                <w:highlight w:val="none"/>
              </w:rPr>
            </w:pPr>
            <w:r>
              <w:rPr>
                <w:rFonts w:hint="eastAsia" w:cs="仿宋" w:asciiTheme="majorEastAsia" w:hAnsiTheme="majorEastAsia" w:eastAsiaTheme="majorEastAsia"/>
                <w:snapToGrid w:val="0"/>
                <w:color w:val="auto"/>
                <w:kern w:val="28"/>
                <w:sz w:val="24"/>
                <w:highlight w:val="none"/>
              </w:rPr>
              <w:t>备份投标文件送达地点：</w:t>
            </w:r>
            <w:r>
              <w:rPr>
                <w:rFonts w:hint="eastAsia" w:cs="仿宋" w:asciiTheme="majorEastAsia" w:hAnsiTheme="majorEastAsia" w:eastAsiaTheme="majorEastAsia"/>
                <w:snapToGrid w:val="0"/>
                <w:color w:val="auto"/>
                <w:kern w:val="28"/>
                <w:sz w:val="24"/>
                <w:highlight w:val="none"/>
                <w:u w:val="single"/>
              </w:rPr>
              <w:t xml:space="preserve"> </w:t>
            </w:r>
            <w:r>
              <w:rPr>
                <w:rFonts w:hint="eastAsia" w:cs="仿宋" w:asciiTheme="majorEastAsia" w:hAnsiTheme="majorEastAsia" w:eastAsiaTheme="majorEastAsia"/>
                <w:b/>
                <w:bCs/>
                <w:snapToGrid w:val="0"/>
                <w:color w:val="auto"/>
                <w:kern w:val="28"/>
                <w:sz w:val="24"/>
                <w:highlight w:val="none"/>
                <w:u w:val="single"/>
              </w:rPr>
              <w:t>杭州市江干区创智绿谷发展中心1幢503室</w:t>
            </w:r>
            <w:r>
              <w:rPr>
                <w:rFonts w:hint="eastAsia" w:cs="仿宋" w:asciiTheme="majorEastAsia" w:hAnsiTheme="majorEastAsia" w:eastAsiaTheme="majorEastAsia"/>
                <w:snapToGrid w:val="0"/>
                <w:color w:val="auto"/>
                <w:kern w:val="28"/>
                <w:sz w:val="24"/>
                <w:highlight w:val="none"/>
                <w:u w:val="single"/>
              </w:rPr>
              <w:t xml:space="preserve"> </w:t>
            </w:r>
            <w:r>
              <w:rPr>
                <w:rFonts w:hint="eastAsia" w:cs="仿宋" w:asciiTheme="majorEastAsia" w:hAnsiTheme="majorEastAsia" w:eastAsiaTheme="majorEastAsia"/>
                <w:snapToGrid w:val="0"/>
                <w:color w:val="auto"/>
                <w:kern w:val="28"/>
                <w:sz w:val="24"/>
                <w:highlight w:val="none"/>
              </w:rPr>
              <w:t xml:space="preserve"> ；</w:t>
            </w:r>
          </w:p>
          <w:p>
            <w:pPr>
              <w:adjustRightInd w:val="0"/>
              <w:snapToGrid w:val="0"/>
              <w:spacing w:line="400" w:lineRule="exact"/>
              <w:jc w:val="left"/>
              <w:rPr>
                <w:rFonts w:cs="仿宋" w:asciiTheme="majorEastAsia" w:hAnsiTheme="majorEastAsia" w:eastAsiaTheme="majorEastAsia"/>
                <w:snapToGrid w:val="0"/>
                <w:color w:val="auto"/>
                <w:kern w:val="28"/>
                <w:sz w:val="24"/>
                <w:highlight w:val="none"/>
              </w:rPr>
            </w:pPr>
            <w:r>
              <w:rPr>
                <w:rFonts w:hint="eastAsia" w:cs="仿宋" w:asciiTheme="majorEastAsia" w:hAnsiTheme="majorEastAsia" w:eastAsiaTheme="majorEastAsia"/>
                <w:snapToGrid w:val="0"/>
                <w:color w:val="auto"/>
                <w:kern w:val="28"/>
                <w:sz w:val="24"/>
                <w:highlight w:val="none"/>
              </w:rPr>
              <w:t xml:space="preserve">备份投标文件签收人员联系电话： </w:t>
            </w:r>
            <w:r>
              <w:rPr>
                <w:rFonts w:hint="eastAsia" w:cs="仿宋" w:asciiTheme="majorEastAsia" w:hAnsiTheme="majorEastAsia" w:eastAsiaTheme="majorEastAsia"/>
                <w:snapToGrid w:val="0"/>
                <w:color w:val="auto"/>
                <w:kern w:val="28"/>
                <w:sz w:val="24"/>
                <w:highlight w:val="none"/>
                <w:u w:val="single"/>
              </w:rPr>
              <w:t>陈工，</w:t>
            </w:r>
            <w:r>
              <w:rPr>
                <w:rFonts w:cs="仿宋" w:asciiTheme="majorEastAsia" w:hAnsiTheme="majorEastAsia" w:eastAsiaTheme="majorEastAsia"/>
                <w:snapToGrid w:val="0"/>
                <w:color w:val="auto"/>
                <w:kern w:val="28"/>
                <w:sz w:val="24"/>
                <w:highlight w:val="none"/>
                <w:u w:val="single"/>
              </w:rPr>
              <w:t>13675825548</w:t>
            </w:r>
            <w:r>
              <w:rPr>
                <w:rFonts w:hint="eastAsia" w:cs="仿宋" w:asciiTheme="majorEastAsia" w:hAnsiTheme="majorEastAsia" w:eastAsiaTheme="majorEastAsia"/>
                <w:snapToGrid w:val="0"/>
                <w:color w:val="auto"/>
                <w:kern w:val="28"/>
                <w:sz w:val="24"/>
                <w:highlight w:val="none"/>
                <w:u w:val="single"/>
              </w:rPr>
              <w:t xml:space="preserve"> </w:t>
            </w:r>
            <w:r>
              <w:rPr>
                <w:rFonts w:hint="eastAsia" w:cs="仿宋" w:asciiTheme="majorEastAsia" w:hAnsiTheme="majorEastAsia" w:eastAsiaTheme="majorEastAsia"/>
                <w:snapToGrid w:val="0"/>
                <w:color w:val="auto"/>
                <w:kern w:val="28"/>
                <w:sz w:val="24"/>
                <w:highlight w:val="none"/>
              </w:rPr>
              <w:t xml:space="preserve">  。</w:t>
            </w:r>
          </w:p>
          <w:p>
            <w:pPr>
              <w:adjustRightInd w:val="0"/>
              <w:snapToGrid w:val="0"/>
              <w:spacing w:line="400" w:lineRule="exact"/>
              <w:jc w:val="left"/>
              <w:rPr>
                <w:rFonts w:cs="仿宋" w:asciiTheme="majorEastAsia" w:hAnsiTheme="majorEastAsia" w:eastAsiaTheme="majorEastAsia"/>
                <w:b/>
                <w:bCs/>
                <w:snapToGrid w:val="0"/>
                <w:color w:val="auto"/>
                <w:kern w:val="28"/>
                <w:sz w:val="24"/>
                <w:highlight w:val="none"/>
              </w:rPr>
            </w:pPr>
            <w:r>
              <w:rPr>
                <w:rFonts w:hint="eastAsia" w:cs="仿宋" w:asciiTheme="majorEastAsia" w:hAnsiTheme="majorEastAsia" w:eastAsiaTheme="majorEastAsia"/>
                <w:b/>
                <w:bCs/>
                <w:snapToGrid w:val="0"/>
                <w:color w:val="auto"/>
                <w:kern w:val="28"/>
                <w:sz w:val="24"/>
                <w:highlight w:val="none"/>
              </w:rPr>
              <w:t>采购人、采购机构不强制或变相强制投标人提交备份投标文件。</w:t>
            </w:r>
          </w:p>
          <w:p>
            <w:pPr>
              <w:adjustRightInd w:val="0"/>
              <w:snapToGrid w:val="0"/>
              <w:spacing w:line="400" w:lineRule="exact"/>
              <w:jc w:val="left"/>
              <w:rPr>
                <w:rFonts w:asciiTheme="majorEastAsia" w:hAnsiTheme="majorEastAsia" w:eastAsiaTheme="majorEastAsia"/>
                <w:color w:val="auto"/>
                <w:highlight w:val="none"/>
              </w:rPr>
            </w:pPr>
            <w:r>
              <w:rPr>
                <w:rFonts w:hint="eastAsia" w:cs="仿宋" w:asciiTheme="majorEastAsia" w:hAnsiTheme="majorEastAsia" w:eastAsiaTheme="majorEastAsia"/>
                <w:snapToGrid w:val="0"/>
                <w:color w:val="auto"/>
                <w:kern w:val="28"/>
                <w:sz w:val="24"/>
                <w:highlight w:val="none"/>
              </w:rPr>
              <w:t>本项目开标地点与代理机构办公地点并非同一处。投标人递交备份文件等资料时应注意时间。也可在开标当天投标截止时间之前递交给代理机构经办人员。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w:t>
            </w:r>
          </w:p>
        </w:tc>
        <w:tc>
          <w:tcPr>
            <w:tcW w:w="1843" w:type="dxa"/>
            <w:tcBorders>
              <w:top w:val="single" w:color="000000" w:sz="8" w:space="0"/>
              <w:left w:val="single" w:color="000000" w:sz="2" w:space="0"/>
              <w:bottom w:val="single" w:color="000000" w:sz="8" w:space="0"/>
              <w:right w:val="single" w:color="000000" w:sz="8" w:space="0"/>
            </w:tcBorders>
            <w:noWrap/>
            <w:vAlign w:val="center"/>
          </w:tcPr>
          <w:p>
            <w:pPr>
              <w:adjustRightInd w:val="0"/>
              <w:snapToGrid w:val="0"/>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采购代理服务费</w:t>
            </w:r>
          </w:p>
        </w:tc>
        <w:tc>
          <w:tcPr>
            <w:tcW w:w="6095" w:type="dxa"/>
            <w:tcBorders>
              <w:top w:val="single" w:color="000000" w:sz="8" w:space="0"/>
              <w:left w:val="single" w:color="000000" w:sz="2" w:space="0"/>
              <w:bottom w:val="single" w:color="000000" w:sz="8" w:space="0"/>
              <w:right w:val="single" w:color="000000" w:sz="8" w:space="0"/>
            </w:tcBorders>
            <w:noWrap/>
            <w:vAlign w:val="center"/>
          </w:tcPr>
          <w:p>
            <w:pPr>
              <w:spacing w:line="360" w:lineRule="auto"/>
              <w:jc w:val="left"/>
              <w:rPr>
                <w:rFonts w:ascii="宋体" w:hAnsi="宋体" w:cs="宋体"/>
                <w:bCs/>
                <w:color w:val="auto"/>
                <w:kern w:val="0"/>
                <w:sz w:val="24"/>
                <w:highlight w:val="none"/>
              </w:rPr>
            </w:pPr>
            <w:r>
              <w:rPr>
                <w:rFonts w:hint="eastAsia" w:ascii="宋体" w:hAnsi="宋体" w:cs="宋体"/>
                <w:bCs/>
                <w:color w:val="auto"/>
                <w:kern w:val="0"/>
                <w:sz w:val="24"/>
                <w:highlight w:val="none"/>
              </w:rPr>
              <w:t>本项目的采购代理服务费由中标供应商支付。（专家费由采购人支付）</w:t>
            </w:r>
          </w:p>
          <w:p>
            <w:pPr>
              <w:spacing w:line="360" w:lineRule="auto"/>
              <w:jc w:val="left"/>
              <w:rPr>
                <w:rFonts w:ascii="宋体" w:hAnsi="宋体" w:cs="宋体"/>
                <w:bCs/>
                <w:color w:val="auto"/>
                <w:kern w:val="0"/>
                <w:sz w:val="24"/>
                <w:highlight w:val="none"/>
              </w:rPr>
            </w:pPr>
            <w:r>
              <w:rPr>
                <w:rFonts w:hint="eastAsia" w:ascii="宋体" w:hAnsi="宋体" w:cs="宋体"/>
                <w:bCs/>
                <w:color w:val="auto"/>
                <w:kern w:val="0"/>
                <w:sz w:val="24"/>
                <w:highlight w:val="none"/>
              </w:rPr>
              <w:t>根据发改办价格[2003]857号《关于招标代理服务收费有关问题的通知》，每标段中标方须向招标代理机构缴纳中标服务费，标准和规定如下；</w:t>
            </w:r>
          </w:p>
          <w:p>
            <w:pPr>
              <w:spacing w:line="360" w:lineRule="auto"/>
              <w:jc w:val="left"/>
              <w:rPr>
                <w:rFonts w:ascii="宋体" w:hAnsi="宋体" w:cs="宋体"/>
                <w:bCs/>
                <w:color w:val="auto"/>
                <w:kern w:val="0"/>
                <w:sz w:val="24"/>
                <w:highlight w:val="none"/>
              </w:rPr>
            </w:pPr>
            <w:r>
              <w:rPr>
                <w:rFonts w:hint="eastAsia" w:ascii="宋体" w:hAnsi="宋体" w:cs="宋体"/>
                <w:bCs/>
                <w:color w:val="auto"/>
                <w:kern w:val="0"/>
                <w:sz w:val="24"/>
                <w:highlight w:val="none"/>
              </w:rPr>
              <w:t>（1）以中标通知书中确定的中标总金额作为收费的计算基数；</w:t>
            </w:r>
          </w:p>
          <w:p>
            <w:pPr>
              <w:pStyle w:val="24"/>
              <w:adjustRightInd w:val="0"/>
              <w:snapToGrid w:val="0"/>
              <w:rPr>
                <w:rFonts w:cs="仿宋" w:asciiTheme="majorEastAsia" w:hAnsiTheme="majorEastAsia" w:eastAsiaTheme="majorEastAsia"/>
                <w:color w:val="auto"/>
                <w:highlight w:val="none"/>
              </w:rPr>
            </w:pPr>
            <w:r>
              <w:rPr>
                <w:rFonts w:hint="eastAsia" w:ascii="宋体" w:hAnsi="宋体" w:eastAsia="宋体" w:cs="宋体"/>
                <w:bCs/>
                <w:color w:val="auto"/>
                <w:kern w:val="0"/>
                <w:sz w:val="24"/>
                <w:highlight w:val="none"/>
              </w:rPr>
              <w:t>（</w:t>
            </w:r>
            <w:r>
              <w:rPr>
                <w:rFonts w:hint="eastAsia" w:ascii="宋体" w:hAnsi="宋体" w:cs="宋体"/>
                <w:bCs/>
                <w:color w:val="auto"/>
                <w:kern w:val="0"/>
                <w:sz w:val="24"/>
                <w:highlight w:val="none"/>
              </w:rPr>
              <w:t>2</w:t>
            </w:r>
            <w:r>
              <w:rPr>
                <w:rFonts w:hint="eastAsia" w:ascii="宋体" w:hAnsi="宋体" w:eastAsia="宋体" w:cs="宋体"/>
                <w:bCs/>
                <w:color w:val="auto"/>
                <w:kern w:val="0"/>
                <w:sz w:val="24"/>
                <w:highlight w:val="none"/>
              </w:rPr>
              <w:t>）中标服务费金额的收取，每标段按照国家发改价格</w:t>
            </w:r>
            <w:r>
              <w:rPr>
                <w:rFonts w:hint="eastAsia" w:ascii="宋体" w:hAnsi="宋体" w:cs="宋体"/>
                <w:bCs/>
                <w:color w:val="auto"/>
                <w:kern w:val="0"/>
                <w:sz w:val="24"/>
                <w:highlight w:val="none"/>
              </w:rPr>
              <w:t>[2011]534</w:t>
            </w:r>
            <w:r>
              <w:rPr>
                <w:rFonts w:hint="eastAsia" w:ascii="宋体" w:hAnsi="宋体" w:eastAsia="宋体" w:cs="宋体"/>
                <w:bCs/>
                <w:color w:val="auto"/>
                <w:kern w:val="0"/>
                <w:sz w:val="24"/>
                <w:highlight w:val="none"/>
              </w:rPr>
              <w:t>号文服务类标准*</w:t>
            </w:r>
            <w:r>
              <w:rPr>
                <w:rFonts w:ascii="宋体" w:hAnsi="宋体" w:eastAsia="宋体" w:cs="宋体"/>
                <w:bCs/>
                <w:color w:val="auto"/>
                <w:kern w:val="0"/>
                <w:sz w:val="24"/>
                <w:highlight w:val="none"/>
              </w:rPr>
              <w:t>68.9%</w:t>
            </w:r>
            <w:r>
              <w:rPr>
                <w:rFonts w:hint="eastAsia" w:ascii="宋体" w:hAnsi="宋体" w:eastAsia="宋体" w:cs="宋体"/>
                <w:bCs/>
                <w:color w:val="auto"/>
                <w:kern w:val="0"/>
                <w:sz w:val="24"/>
                <w:highlight w:val="none"/>
              </w:rPr>
              <w:t>向中标人收取。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94" w:hRule="atLeast"/>
        </w:trPr>
        <w:tc>
          <w:tcPr>
            <w:tcW w:w="629" w:type="dxa"/>
            <w:vMerge w:val="restart"/>
            <w:tcBorders>
              <w:top w:val="single" w:color="auto" w:sz="4" w:space="0"/>
              <w:left w:val="single" w:color="000000" w:sz="8" w:space="0"/>
              <w:bottom w:val="single" w:color="auto" w:sz="4" w:space="0"/>
              <w:right w:val="single" w:color="000000" w:sz="2"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w:t>
            </w:r>
          </w:p>
          <w:p>
            <w:pPr>
              <w:adjustRightInd w:val="0"/>
              <w:snapToGrid w:val="0"/>
              <w:spacing w:line="400" w:lineRule="exact"/>
              <w:jc w:val="center"/>
              <w:rPr>
                <w:rFonts w:cs="仿宋" w:asciiTheme="majorEastAsia" w:hAnsiTheme="majorEastAsia" w:eastAsiaTheme="majorEastAsia"/>
                <w:color w:val="auto"/>
                <w:sz w:val="24"/>
                <w:highlight w:val="none"/>
              </w:rPr>
            </w:pPr>
          </w:p>
        </w:tc>
        <w:tc>
          <w:tcPr>
            <w:tcW w:w="1843" w:type="dxa"/>
            <w:vMerge w:val="restart"/>
            <w:tcBorders>
              <w:top w:val="single" w:color="000000" w:sz="8" w:space="0"/>
              <w:left w:val="single" w:color="000000" w:sz="2" w:space="0"/>
              <w:bottom w:val="single" w:color="000000" w:sz="8" w:space="0"/>
              <w:right w:val="single" w:color="000000" w:sz="8" w:space="0"/>
            </w:tcBorders>
            <w:noWrap/>
            <w:vAlign w:val="center"/>
          </w:tcPr>
          <w:p>
            <w:pPr>
              <w:adjustRightInd w:val="0"/>
              <w:snapToGrid w:val="0"/>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联合体投标说明</w:t>
            </w:r>
          </w:p>
          <w:p>
            <w:pPr>
              <w:adjustRightInd w:val="0"/>
              <w:snapToGrid w:val="0"/>
              <w:jc w:val="center"/>
              <w:rPr>
                <w:rFonts w:cs="仿宋" w:asciiTheme="majorEastAsia" w:hAnsiTheme="majorEastAsia" w:eastAsiaTheme="majorEastAsia"/>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noWrap/>
            <w:vAlign w:val="center"/>
          </w:tcPr>
          <w:p>
            <w:pPr>
              <w:pStyle w:val="24"/>
              <w:adjustRightInd w:val="0"/>
              <w:snapToGrid w:val="0"/>
              <w:spacing w:line="400" w:lineRule="exact"/>
              <w:rPr>
                <w:rFonts w:cs="仿宋" w:asciiTheme="majorEastAsia" w:hAnsiTheme="majorEastAsia" w:eastAsiaTheme="majorEastAsia"/>
                <w:color w:val="auto"/>
                <w:kern w:val="28"/>
                <w:sz w:val="24"/>
                <w:szCs w:val="24"/>
                <w:highlight w:val="none"/>
              </w:rPr>
            </w:pPr>
            <w:r>
              <w:rPr>
                <w:rFonts w:hint="eastAsia" w:cs="仿宋" w:asciiTheme="majorEastAsia" w:hAnsiTheme="majorEastAsia" w:eastAsiaTheme="majorEastAsia"/>
                <w:color w:val="auto"/>
                <w:kern w:val="28"/>
                <w:sz w:val="24"/>
                <w:szCs w:val="24"/>
                <w:highlight w:val="none"/>
              </w:rPr>
              <w:t>业绩证明材料</w:t>
            </w:r>
          </w:p>
          <w:p>
            <w:pPr>
              <w:pStyle w:val="24"/>
              <w:adjustRightInd w:val="0"/>
              <w:snapToGrid w:val="0"/>
              <w:spacing w:line="400" w:lineRule="exact"/>
              <w:rPr>
                <w:rFonts w:cs="仿宋" w:asciiTheme="majorEastAsia" w:hAnsiTheme="majorEastAsia" w:eastAsiaTheme="majorEastAsia"/>
                <w:color w:val="auto"/>
                <w:kern w:val="28"/>
                <w:sz w:val="24"/>
                <w:szCs w:val="24"/>
                <w:highlight w:val="none"/>
              </w:rPr>
            </w:pPr>
            <w:r>
              <w:rPr>
                <w:rFonts w:ascii="Segoe UI Symbol" w:hAnsi="Segoe UI Symbol" w:cs="Segoe UI Symbol" w:eastAsiaTheme="majorEastAsia"/>
                <w:color w:val="auto"/>
                <w:kern w:val="28"/>
                <w:sz w:val="24"/>
                <w:szCs w:val="24"/>
                <w:highlight w:val="none"/>
              </w:rPr>
              <w:t>☐</w:t>
            </w:r>
            <w:r>
              <w:rPr>
                <w:rFonts w:hint="eastAsia" w:ascii="宋体" w:hAnsi="宋体" w:eastAsia="宋体" w:cs="宋体"/>
                <w:color w:val="auto"/>
                <w:kern w:val="28"/>
                <w:sz w:val="24"/>
                <w:szCs w:val="24"/>
                <w:highlight w:val="none"/>
              </w:rPr>
              <w:t>联合体投标的，按联合体协议约定的分工内容出具相应的业绩证明材料。承担相同工作的各方或工作内容存在部</w:t>
            </w:r>
            <w:r>
              <w:rPr>
                <w:rFonts w:hint="eastAsia" w:cs="仿宋" w:asciiTheme="majorEastAsia" w:hAnsiTheme="majorEastAsia" w:eastAsiaTheme="majorEastAsia"/>
                <w:color w:val="auto"/>
                <w:kern w:val="28"/>
                <w:sz w:val="24"/>
                <w:szCs w:val="24"/>
                <w:highlight w:val="none"/>
              </w:rPr>
              <w:t xml:space="preserve"> 分相同的，业绩数量以提供材料较少的一方为准。</w:t>
            </w:r>
          </w:p>
          <w:p>
            <w:pPr>
              <w:pStyle w:val="24"/>
              <w:adjustRightInd w:val="0"/>
              <w:snapToGrid w:val="0"/>
              <w:spacing w:line="400" w:lineRule="exact"/>
              <w:rPr>
                <w:rFonts w:cs="仿宋" w:asciiTheme="majorEastAsia" w:hAnsiTheme="majorEastAsia" w:eastAsiaTheme="majorEastAsia"/>
                <w:color w:val="auto"/>
                <w:kern w:val="28"/>
                <w:sz w:val="24"/>
                <w:szCs w:val="24"/>
                <w:highlight w:val="none"/>
              </w:rPr>
            </w:pPr>
            <w:r>
              <w:rPr>
                <w:rFonts w:hint="eastAsia" w:cs="仿宋" w:asciiTheme="majorEastAsia" w:hAnsiTheme="majorEastAsia" w:eastAsiaTheme="majorEastAsia"/>
                <w:color w:val="auto"/>
                <w:kern w:val="28"/>
                <w:sz w:val="24"/>
                <w:szCs w:val="24"/>
                <w:highlight w:val="none"/>
              </w:rPr>
              <w:sym w:font="Wingdings" w:char="00FE"/>
            </w:r>
            <w:r>
              <w:rPr>
                <w:rFonts w:hint="eastAsia" w:cs="仿宋" w:asciiTheme="majorEastAsia" w:hAnsiTheme="majorEastAsia" w:eastAsiaTheme="majorEastAsia"/>
                <w:color w:val="auto"/>
                <w:kern w:val="28"/>
                <w:sz w:val="24"/>
                <w:szCs w:val="24"/>
                <w:highlight w:val="none"/>
              </w:rPr>
              <w:t>联合体投标的，由联合体牵头方出具相应的业绩证明材料。</w:t>
            </w:r>
          </w:p>
          <w:p>
            <w:pPr>
              <w:pStyle w:val="24"/>
              <w:adjustRightInd w:val="0"/>
              <w:snapToGrid w:val="0"/>
              <w:rPr>
                <w:rFonts w:cs="仿宋" w:asciiTheme="majorEastAsia" w:hAnsiTheme="majorEastAsia" w:eastAsiaTheme="majorEastAsia"/>
                <w:snapToGrid w:val="0"/>
                <w:color w:val="auto"/>
                <w:kern w:val="0"/>
                <w:sz w:val="24"/>
                <w:szCs w:val="24"/>
                <w:highlight w:val="none"/>
              </w:rPr>
            </w:pPr>
            <w:r>
              <w:rPr>
                <w:rFonts w:ascii="Segoe UI Symbol" w:hAnsi="Segoe UI Symbol" w:cs="Segoe UI Symbol" w:eastAsiaTheme="majorEastAsia"/>
                <w:color w:val="auto"/>
                <w:kern w:val="28"/>
                <w:sz w:val="24"/>
                <w:szCs w:val="24"/>
                <w:highlight w:val="none"/>
              </w:rPr>
              <w:t>☐</w:t>
            </w:r>
            <w:r>
              <w:rPr>
                <w:rFonts w:hint="eastAsia" w:ascii="宋体" w:hAnsi="宋体" w:eastAsia="宋体" w:cs="宋体"/>
                <w:color w:val="auto"/>
                <w:kern w:val="28"/>
                <w:sz w:val="24"/>
                <w:szCs w:val="24"/>
                <w:highlight w:val="none"/>
              </w:rPr>
              <w:t>其他规定：</w:t>
            </w:r>
            <w:r>
              <w:rPr>
                <w:rFonts w:hint="eastAsia" w:cs="仿宋" w:asciiTheme="majorEastAsia" w:hAnsiTheme="majorEastAsia" w:eastAsiaTheme="majorEastAsia"/>
                <w:color w:val="auto"/>
                <w:kern w:val="28"/>
                <w:sz w:val="24"/>
                <w:szCs w:val="24"/>
                <w:highlight w:val="none"/>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94" w:hRule="atLeast"/>
        </w:trPr>
        <w:tc>
          <w:tcPr>
            <w:tcW w:w="629" w:type="dxa"/>
            <w:vMerge w:val="continue"/>
            <w:tcBorders>
              <w:top w:val="single" w:color="auto" w:sz="4" w:space="0"/>
              <w:left w:val="single" w:color="000000" w:sz="8" w:space="0"/>
              <w:bottom w:val="single" w:color="auto" w:sz="4" w:space="0"/>
              <w:right w:val="single" w:color="000000" w:sz="2" w:space="0"/>
            </w:tcBorders>
            <w:noWrap/>
            <w:vAlign w:val="center"/>
          </w:tcPr>
          <w:p>
            <w:pPr>
              <w:adjustRightInd w:val="0"/>
              <w:snapToGrid w:val="0"/>
              <w:spacing w:line="400" w:lineRule="exact"/>
              <w:jc w:val="center"/>
              <w:rPr>
                <w:rFonts w:cs="仿宋" w:asciiTheme="majorEastAsia" w:hAnsiTheme="majorEastAsia" w:eastAsiaTheme="majorEastAsia"/>
                <w:color w:val="auto"/>
                <w:sz w:val="24"/>
                <w:highlight w:val="none"/>
              </w:rPr>
            </w:pPr>
          </w:p>
        </w:tc>
        <w:tc>
          <w:tcPr>
            <w:tcW w:w="1843" w:type="dxa"/>
            <w:vMerge w:val="continue"/>
            <w:tcBorders>
              <w:top w:val="single" w:color="000000" w:sz="8" w:space="0"/>
              <w:left w:val="single" w:color="000000" w:sz="2" w:space="0"/>
              <w:bottom w:val="single" w:color="000000" w:sz="8" w:space="0"/>
              <w:right w:val="single" w:color="000000" w:sz="8" w:space="0"/>
            </w:tcBorders>
            <w:noWrap/>
            <w:vAlign w:val="center"/>
          </w:tcPr>
          <w:p>
            <w:pPr>
              <w:adjustRightInd w:val="0"/>
              <w:snapToGrid w:val="0"/>
              <w:jc w:val="center"/>
              <w:rPr>
                <w:rFonts w:cs="仿宋" w:asciiTheme="majorEastAsia" w:hAnsiTheme="majorEastAsia" w:eastAsiaTheme="majorEastAsia"/>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noWrap/>
            <w:vAlign w:val="center"/>
          </w:tcPr>
          <w:p>
            <w:pPr>
              <w:pStyle w:val="24"/>
              <w:adjustRightInd w:val="0"/>
              <w:snapToGrid w:val="0"/>
              <w:spacing w:line="400" w:lineRule="exact"/>
              <w:rPr>
                <w:rFonts w:cs="仿宋" w:asciiTheme="majorEastAsia" w:hAnsiTheme="majorEastAsia" w:eastAsiaTheme="majorEastAsia"/>
                <w:color w:val="auto"/>
                <w:kern w:val="28"/>
                <w:sz w:val="24"/>
                <w:szCs w:val="24"/>
                <w:highlight w:val="none"/>
              </w:rPr>
            </w:pPr>
            <w:r>
              <w:rPr>
                <w:rFonts w:hint="eastAsia" w:cs="仿宋" w:asciiTheme="majorEastAsia" w:hAnsiTheme="majorEastAsia" w:eastAsiaTheme="majorEastAsia"/>
                <w:color w:val="auto"/>
                <w:kern w:val="28"/>
                <w:sz w:val="24"/>
                <w:szCs w:val="24"/>
                <w:highlight w:val="none"/>
              </w:rPr>
              <w:t>其他资信证明材料</w:t>
            </w:r>
          </w:p>
          <w:p>
            <w:pPr>
              <w:pStyle w:val="24"/>
              <w:adjustRightInd w:val="0"/>
              <w:snapToGrid w:val="0"/>
              <w:spacing w:line="400" w:lineRule="exact"/>
              <w:rPr>
                <w:rFonts w:cs="仿宋" w:asciiTheme="majorEastAsia" w:hAnsiTheme="majorEastAsia" w:eastAsiaTheme="majorEastAsia"/>
                <w:color w:val="auto"/>
                <w:kern w:val="28"/>
                <w:sz w:val="24"/>
                <w:szCs w:val="24"/>
                <w:highlight w:val="none"/>
              </w:rPr>
            </w:pPr>
            <w:r>
              <w:rPr>
                <w:rFonts w:ascii="Segoe UI Symbol" w:hAnsi="Segoe UI Symbol" w:cs="Segoe UI Symbol" w:eastAsiaTheme="majorEastAsia"/>
                <w:color w:val="auto"/>
                <w:kern w:val="28"/>
                <w:sz w:val="24"/>
                <w:szCs w:val="24"/>
                <w:highlight w:val="none"/>
              </w:rPr>
              <w:t>☐</w:t>
            </w:r>
            <w:r>
              <w:rPr>
                <w:rFonts w:hint="eastAsia" w:ascii="宋体" w:hAnsi="宋体" w:eastAsia="宋体" w:cs="宋体"/>
                <w:color w:val="auto"/>
                <w:kern w:val="28"/>
                <w:sz w:val="24"/>
                <w:szCs w:val="24"/>
                <w:highlight w:val="none"/>
              </w:rPr>
              <w:t>联合体投标的，联合体各方均需按招标文件第四部分评标标准要求提供资信证明文件，否则视为不符合相关要求。</w:t>
            </w:r>
          </w:p>
          <w:p>
            <w:pPr>
              <w:pStyle w:val="24"/>
              <w:adjustRightInd w:val="0"/>
              <w:snapToGrid w:val="0"/>
              <w:spacing w:line="400" w:lineRule="exact"/>
              <w:rPr>
                <w:rFonts w:cs="仿宋" w:asciiTheme="majorEastAsia" w:hAnsiTheme="majorEastAsia" w:eastAsiaTheme="majorEastAsia"/>
                <w:color w:val="auto"/>
                <w:kern w:val="28"/>
                <w:sz w:val="24"/>
                <w:szCs w:val="24"/>
                <w:highlight w:val="none"/>
              </w:rPr>
            </w:pPr>
            <w:r>
              <w:rPr>
                <w:rFonts w:hint="eastAsia" w:cs="仿宋" w:asciiTheme="majorEastAsia" w:hAnsiTheme="majorEastAsia" w:eastAsiaTheme="majorEastAsia"/>
                <w:color w:val="auto"/>
                <w:kern w:val="28"/>
                <w:sz w:val="24"/>
                <w:szCs w:val="24"/>
                <w:highlight w:val="none"/>
              </w:rPr>
              <w:sym w:font="Wingdings" w:char="00FE"/>
            </w:r>
            <w:r>
              <w:rPr>
                <w:rFonts w:hint="eastAsia" w:cs="仿宋" w:asciiTheme="majorEastAsia" w:hAnsiTheme="majorEastAsia" w:eastAsiaTheme="majorEastAsia"/>
                <w:color w:val="auto"/>
                <w:kern w:val="28"/>
                <w:sz w:val="24"/>
                <w:szCs w:val="24"/>
                <w:highlight w:val="none"/>
              </w:rPr>
              <w:t>联合体投标的，联合体牵头方或者联合体成员根据分工按招标文件第四部分评标标准要求提供资信证明文件的，视为符合了相关要求。</w:t>
            </w:r>
          </w:p>
          <w:p>
            <w:pPr>
              <w:pStyle w:val="24"/>
              <w:adjustRightInd w:val="0"/>
              <w:snapToGrid w:val="0"/>
              <w:rPr>
                <w:rFonts w:cs="仿宋" w:asciiTheme="majorEastAsia" w:hAnsiTheme="majorEastAsia" w:eastAsiaTheme="majorEastAsia"/>
                <w:snapToGrid w:val="0"/>
                <w:color w:val="auto"/>
                <w:kern w:val="0"/>
                <w:sz w:val="24"/>
                <w:szCs w:val="24"/>
                <w:highlight w:val="none"/>
              </w:rPr>
            </w:pPr>
            <w:r>
              <w:rPr>
                <w:rFonts w:ascii="Segoe UI Symbol" w:hAnsi="Segoe UI Symbol" w:cs="Segoe UI Symbol" w:eastAsiaTheme="majorEastAsia"/>
                <w:color w:val="auto"/>
                <w:kern w:val="28"/>
                <w:sz w:val="24"/>
                <w:szCs w:val="24"/>
                <w:highlight w:val="none"/>
              </w:rPr>
              <w:t>☐</w:t>
            </w:r>
            <w:r>
              <w:rPr>
                <w:rFonts w:hint="eastAsia" w:ascii="宋体" w:hAnsi="宋体" w:eastAsia="宋体" w:cs="宋体"/>
                <w:color w:val="auto"/>
                <w:kern w:val="28"/>
                <w:sz w:val="24"/>
                <w:szCs w:val="24"/>
                <w:highlight w:val="none"/>
              </w:rPr>
              <w:t>其他规定：</w:t>
            </w:r>
            <w:r>
              <w:rPr>
                <w:rFonts w:hint="eastAsia" w:cs="仿宋" w:asciiTheme="majorEastAsia" w:hAnsiTheme="majorEastAsia" w:eastAsiaTheme="majorEastAsia"/>
                <w:color w:val="auto"/>
                <w:kern w:val="28"/>
                <w:sz w:val="24"/>
                <w:szCs w:val="24"/>
                <w:highlight w:val="none"/>
                <w:u w:val="single"/>
              </w:rPr>
              <w:t xml:space="preserve">         /        </w:t>
            </w:r>
          </w:p>
        </w:tc>
      </w:tr>
    </w:tbl>
    <w:p>
      <w:pPr>
        <w:widowControl/>
        <w:adjustRightInd w:val="0"/>
        <w:snapToGrid w:val="0"/>
        <w:spacing w:line="360" w:lineRule="auto"/>
        <w:ind w:firstLine="420" w:firstLineChars="200"/>
        <w:jc w:val="left"/>
        <w:rPr>
          <w:rFonts w:cs="仿宋" w:asciiTheme="majorEastAsia" w:hAnsiTheme="majorEastAsia" w:eastAsiaTheme="majorEastAsia"/>
          <w:color w:val="auto"/>
          <w:kern w:val="0"/>
          <w:szCs w:val="21"/>
          <w:highlight w:val="none"/>
        </w:rPr>
      </w:pPr>
    </w:p>
    <w:p>
      <w:pPr>
        <w:rPr>
          <w:rFonts w:cs="仿宋" w:asciiTheme="majorEastAsia" w:hAnsiTheme="majorEastAsia" w:eastAsiaTheme="majorEastAsia"/>
          <w:color w:val="auto"/>
          <w:szCs w:val="21"/>
          <w:highlight w:val="none"/>
        </w:rPr>
      </w:pPr>
    </w:p>
    <w:p>
      <w:pPr>
        <w:adjustRightInd w:val="0"/>
        <w:snapToGrid w:val="0"/>
        <w:spacing w:beforeLines="50" w:afterLines="50" w:line="360" w:lineRule="auto"/>
        <w:jc w:val="center"/>
        <w:outlineLvl w:val="0"/>
        <w:rPr>
          <w:rFonts w:cs="仿宋" w:asciiTheme="majorEastAsia" w:hAnsiTheme="majorEastAsia" w:eastAsiaTheme="majorEastAsia"/>
          <w:color w:val="auto"/>
          <w:szCs w:val="21"/>
          <w:highlight w:val="none"/>
        </w:rPr>
      </w:pPr>
      <w:bookmarkStart w:id="3" w:name="_Toc240450076"/>
      <w:bookmarkStart w:id="4" w:name="_Toc251566649"/>
      <w:r>
        <w:rPr>
          <w:rFonts w:hint="eastAsia" w:cs="仿宋" w:asciiTheme="majorEastAsia" w:hAnsiTheme="majorEastAsia" w:eastAsiaTheme="majorEastAsia"/>
          <w:color w:val="auto"/>
          <w:szCs w:val="21"/>
          <w:highlight w:val="none"/>
        </w:rPr>
        <w:br w:type="page"/>
      </w:r>
      <w:bookmarkStart w:id="5" w:name="_Toc15783"/>
      <w:bookmarkStart w:id="6" w:name="_Toc2187"/>
      <w:r>
        <w:rPr>
          <w:rFonts w:hint="eastAsia" w:cs="仿宋" w:asciiTheme="majorEastAsia" w:hAnsiTheme="majorEastAsia" w:eastAsiaTheme="majorEastAsia"/>
          <w:b/>
          <w:color w:val="auto"/>
          <w:sz w:val="30"/>
          <w:szCs w:val="30"/>
          <w:highlight w:val="none"/>
        </w:rPr>
        <w:t>第二部分  投标须知</w:t>
      </w:r>
      <w:bookmarkEnd w:id="3"/>
      <w:bookmarkEnd w:id="4"/>
      <w:bookmarkEnd w:id="5"/>
      <w:bookmarkEnd w:id="6"/>
    </w:p>
    <w:p>
      <w:pPr>
        <w:spacing w:line="360" w:lineRule="auto"/>
        <w:jc w:val="center"/>
        <w:outlineLvl w:val="1"/>
        <w:rPr>
          <w:rFonts w:cs="仿宋_GB2312" w:asciiTheme="majorEastAsia" w:hAnsiTheme="majorEastAsia" w:eastAsiaTheme="majorEastAsia"/>
          <w:b/>
          <w:color w:val="auto"/>
          <w:sz w:val="32"/>
          <w:szCs w:val="20"/>
          <w:highlight w:val="none"/>
        </w:rPr>
      </w:pPr>
      <w:bookmarkStart w:id="7" w:name="_Toc5875"/>
      <w:bookmarkStart w:id="8" w:name="_Toc29733"/>
      <w:bookmarkStart w:id="9" w:name="_Toc3993"/>
      <w:r>
        <w:rPr>
          <w:rFonts w:hint="eastAsia" w:cs="仿宋_GB2312" w:asciiTheme="majorEastAsia" w:hAnsiTheme="majorEastAsia" w:eastAsiaTheme="majorEastAsia"/>
          <w:b/>
          <w:color w:val="auto"/>
          <w:sz w:val="32"/>
          <w:szCs w:val="20"/>
          <w:highlight w:val="none"/>
        </w:rPr>
        <w:t>一、总则</w:t>
      </w:r>
      <w:bookmarkEnd w:id="7"/>
      <w:bookmarkEnd w:id="8"/>
      <w:bookmarkEnd w:id="9"/>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适用范围</w:t>
      </w:r>
    </w:p>
    <w:p>
      <w:pPr>
        <w:snapToGrid w:val="0"/>
        <w:spacing w:line="360" w:lineRule="auto"/>
        <w:ind w:firstLine="480" w:firstLineChars="200"/>
        <w:jc w:val="left"/>
        <w:rPr>
          <w:rFonts w:asciiTheme="majorEastAsia" w:hAnsiTheme="majorEastAsia" w:eastAsiaTheme="majorEastAsia"/>
          <w:color w:val="auto"/>
          <w:highlight w:val="none"/>
        </w:rPr>
      </w:pPr>
      <w:r>
        <w:rPr>
          <w:rFonts w:hint="eastAsia" w:asciiTheme="majorEastAsia" w:hAnsiTheme="majorEastAsia" w:eastAsiaTheme="majorEastAsia"/>
          <w:color w:val="auto"/>
          <w:sz w:val="24"/>
          <w:highlight w:val="none"/>
        </w:rPr>
        <w:t>本招标文件适用于该项目的招标、投标、开标、资格审查及信用信息查询、评标、定标、合同、验收等行为（法律、法规另有规定的，从其规定）。</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asciiTheme="majorEastAsia" w:hAnsiTheme="majorEastAsia" w:eastAsiaTheme="majorEastAsia"/>
          <w:b/>
          <w:color w:val="auto"/>
          <w:sz w:val="24"/>
          <w:highlight w:val="none"/>
        </w:rPr>
        <w:t>定义</w:t>
      </w:r>
    </w:p>
    <w:p>
      <w:pPr>
        <w:numPr>
          <w:ilvl w:val="1"/>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“采购人”系指招标公告中载明的本项目的采购人。</w:t>
      </w:r>
    </w:p>
    <w:p>
      <w:pPr>
        <w:numPr>
          <w:ilvl w:val="1"/>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“采购代理机构”系指招标公告中载明的本项目的采购代理机构。</w:t>
      </w:r>
    </w:p>
    <w:p>
      <w:pPr>
        <w:numPr>
          <w:ilvl w:val="1"/>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“投标人”系指是指响应招标、参加投标竞争的法人、其他组织或者自然人。</w:t>
      </w:r>
    </w:p>
    <w:p>
      <w:pPr>
        <w:numPr>
          <w:ilvl w:val="1"/>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“负责人”系指法人企业的法定负责人，或其他组织为法律、行政法规规定代表单位行使职权的主要负责人，或自然人本人。</w:t>
      </w:r>
    </w:p>
    <w:p>
      <w:pPr>
        <w:numPr>
          <w:ilvl w:val="1"/>
          <w:numId w:val="3"/>
        </w:numPr>
        <w:spacing w:line="360" w:lineRule="auto"/>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“电子签名”系指数据电文中以电子形式所含、所附用于识别签名人身份并表明签名人认可其中内容的数据；</w:t>
      </w:r>
      <w:r>
        <w:rPr>
          <w:rFonts w:hint="eastAsia" w:asciiTheme="majorEastAsia" w:hAnsiTheme="majorEastAsia" w:eastAsiaTheme="majorEastAsia"/>
          <w:color w:val="auto"/>
          <w:sz w:val="24"/>
          <w:highlight w:val="none"/>
        </w:rPr>
        <w:t>“公章”系指单位法定名称章。因特殊原因需要使用冠以法定名称的业务专用章的，投标时须提供《业务专用章使用说明函》（附件</w:t>
      </w:r>
      <w:r>
        <w:rPr>
          <w:rFonts w:asciiTheme="majorEastAsia" w:hAnsiTheme="majorEastAsia" w:eastAsiaTheme="majorEastAsia"/>
          <w:color w:val="auto"/>
          <w:sz w:val="24"/>
          <w:highlight w:val="none"/>
        </w:rPr>
        <w:t>4）</w:t>
      </w:r>
      <w:r>
        <w:rPr>
          <w:rFonts w:hint="eastAsia" w:asciiTheme="majorEastAsia" w:hAnsiTheme="majorEastAsia" w:eastAsiaTheme="majorEastAsia"/>
          <w:color w:val="auto"/>
          <w:sz w:val="24"/>
          <w:highlight w:val="none"/>
        </w:rPr>
        <w:t>。</w:t>
      </w:r>
    </w:p>
    <w:p>
      <w:pPr>
        <w:numPr>
          <w:ilvl w:val="1"/>
          <w:numId w:val="3"/>
        </w:numPr>
        <w:spacing w:line="360" w:lineRule="auto"/>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“电子交易平台”是指本项目政府采购活动所依托的政府采购云平台（https://www.zcygov.cn/）。</w:t>
      </w:r>
    </w:p>
    <w:p>
      <w:pPr>
        <w:numPr>
          <w:ilvl w:val="1"/>
          <w:numId w:val="3"/>
        </w:numPr>
        <w:spacing w:line="360" w:lineRule="auto"/>
        <w:rPr>
          <w:rFonts w:asciiTheme="majorEastAsia" w:hAnsiTheme="majorEastAsia" w:eastAsiaTheme="majorEastAsia"/>
          <w:b/>
          <w:color w:val="auto"/>
          <w:sz w:val="24"/>
          <w:highlight w:val="none"/>
        </w:rPr>
      </w:pPr>
      <w:r>
        <w:rPr>
          <w:rFonts w:hint="eastAsia" w:asciiTheme="majorEastAsia" w:hAnsiTheme="majorEastAsia" w:eastAsiaTheme="majorEastAsia"/>
          <w:color w:val="auto"/>
          <w:sz w:val="24"/>
          <w:highlight w:val="none"/>
        </w:rPr>
        <w:t>“▲” 系指实质性要求条款，“★”系关键技术指标，“</w:t>
      </w:r>
      <w:r>
        <w:rPr>
          <w:rFonts w:hint="eastAsia" w:cs="仿宋" w:asciiTheme="majorEastAsia" w:hAnsiTheme="majorEastAsia" w:eastAsiaTheme="majorEastAsia"/>
          <w:color w:val="auto"/>
          <w:kern w:val="28"/>
          <w:sz w:val="24"/>
          <w:highlight w:val="none"/>
        </w:rPr>
        <w:sym w:font="Wingdings" w:char="00FE"/>
      </w:r>
      <w:r>
        <w:rPr>
          <w:rFonts w:hint="eastAsia" w:asciiTheme="majorEastAsia" w:hAnsiTheme="majorEastAsia" w:eastAsiaTheme="majorEastAsia"/>
          <w:color w:val="auto"/>
          <w:sz w:val="24"/>
          <w:highlight w:val="none"/>
        </w:rPr>
        <w:t>” 系指适用本项目的要求，“</w:t>
      </w:r>
      <w:r>
        <w:rPr>
          <w:rFonts w:ascii="Segoe UI Symbol" w:hAnsi="Segoe UI Symbol" w:cs="Segoe UI Symbol" w:eastAsiaTheme="majorEastAsia"/>
          <w:color w:val="auto"/>
          <w:sz w:val="24"/>
          <w:highlight w:val="none"/>
        </w:rPr>
        <w:t>☐</w:t>
      </w:r>
      <w:r>
        <w:rPr>
          <w:rFonts w:hint="eastAsia" w:ascii="宋体" w:hAnsi="宋体" w:cs="宋体"/>
          <w:color w:val="auto"/>
          <w:sz w:val="24"/>
          <w:highlight w:val="none"/>
        </w:rPr>
        <w:t>”</w:t>
      </w:r>
      <w:r>
        <w:rPr>
          <w:rFonts w:hint="eastAsia" w:asciiTheme="majorEastAsia" w:hAnsiTheme="majorEastAsia" w:eastAsiaTheme="majorEastAsia"/>
          <w:color w:val="auto"/>
          <w:sz w:val="24"/>
          <w:highlight w:val="none"/>
        </w:rPr>
        <w:t xml:space="preserve"> 系指不适用本项目的要求。</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采购项目需要落实的政府采购政策</w:t>
      </w:r>
    </w:p>
    <w:p>
      <w:pPr>
        <w:numPr>
          <w:ilvl w:val="1"/>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pPr>
        <w:numPr>
          <w:ilvl w:val="1"/>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支持绿色发展</w:t>
      </w:r>
    </w:p>
    <w:p>
      <w:pPr>
        <w:numPr>
          <w:ilvl w:val="2"/>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360" w:lineRule="auto"/>
        <w:ind w:firstLine="480" w:firstLineChars="200"/>
        <w:rPr>
          <w:rFonts w:asciiTheme="majorEastAsia" w:hAnsiTheme="majorEastAsia" w:eastAsiaTheme="majorEastAsia"/>
          <w:b/>
          <w:color w:val="auto"/>
          <w:sz w:val="24"/>
          <w:highlight w:val="none"/>
        </w:rPr>
      </w:pPr>
      <w:r>
        <w:rPr>
          <w:rFonts w:asciiTheme="majorEastAsia" w:hAnsiTheme="majorEastAsia" w:eastAsiaTheme="majorEastAsia"/>
          <w:color w:val="auto"/>
          <w:sz w:val="24"/>
          <w:highlight w:val="none"/>
        </w:rPr>
        <w:t>▲</w:t>
      </w:r>
      <w:r>
        <w:rPr>
          <w:rFonts w:hint="eastAsia" w:asciiTheme="majorEastAsia" w:hAnsiTheme="majorEastAsia" w:eastAsiaTheme="majorEastAsia"/>
          <w:b/>
          <w:color w:val="auto"/>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numPr>
          <w:ilvl w:val="2"/>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纳入政府采购管理的修缮、装修类项目采购建材的，鼓励采购单位将绿色建材性能、指标等作为实质性条件纳入采购文件和合同，具体性能指标要求参考相关绿色建材政府采购需求标准。</w:t>
      </w:r>
    </w:p>
    <w:p>
      <w:pPr>
        <w:numPr>
          <w:ilvl w:val="2"/>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pPr>
        <w:numPr>
          <w:ilvl w:val="1"/>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支持中小企业发展</w:t>
      </w:r>
    </w:p>
    <w:p>
      <w:pPr>
        <w:numPr>
          <w:ilvl w:val="2"/>
          <w:numId w:val="3"/>
        </w:numPr>
        <w:spacing w:line="360" w:lineRule="auto"/>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840" w:firstLineChars="350"/>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符合中小企业划分标准的个体工商户，在政府采购活动中视同中小企业。</w:t>
      </w:r>
    </w:p>
    <w:p>
      <w:pPr>
        <w:numPr>
          <w:ilvl w:val="2"/>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在政府采购活动中，投标人提供的服务符合下列情形的，享受中小企业扶持政策：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cs="宋体" w:asciiTheme="majorEastAsia" w:hAnsiTheme="majorEastAsia" w:eastAsiaTheme="majorEastAsia"/>
          <w:color w:val="auto"/>
          <w:kern w:val="0"/>
          <w:sz w:val="24"/>
          <w:highlight w:val="none"/>
        </w:rPr>
      </w:pPr>
      <w:r>
        <w:rPr>
          <w:rFonts w:hint="eastAsia" w:cs="宋体" w:asciiTheme="majorEastAsia" w:hAnsiTheme="majorEastAsia" w:eastAsiaTheme="majorEastAsia"/>
          <w:color w:val="auto"/>
          <w:kern w:val="0"/>
          <w:sz w:val="24"/>
          <w:highlight w:val="none"/>
        </w:rPr>
        <w:t>以联合体形式参加政府采购活动，联合体各方均为中小企业的，联合体视同中小企业。其中，联合体各方均为小微企业的，联合体视同小微企业。</w:t>
      </w:r>
    </w:p>
    <w:p>
      <w:pPr>
        <w:numPr>
          <w:ilvl w:val="2"/>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对于未预留份额专门面向中小企业的政府采购服务项目，以及预留份额政府采购服务项目中的非预留部分标项，对小型和微型企业的投标报价给予</w:t>
      </w:r>
      <w:r>
        <w:rPr>
          <w:rFonts w:hint="eastAsia" w:asciiTheme="majorEastAsia" w:hAnsiTheme="majorEastAsia" w:eastAsiaTheme="majorEastAsia"/>
          <w:b/>
          <w:bCs/>
          <w:color w:val="auto"/>
          <w:sz w:val="24"/>
          <w:highlight w:val="none"/>
        </w:rPr>
        <w:t>10%-20%</w:t>
      </w:r>
      <w:r>
        <w:rPr>
          <w:rFonts w:hint="eastAsia" w:asciiTheme="majorEastAsia" w:hAnsiTheme="majorEastAsia" w:eastAsiaTheme="majorEastAsia"/>
          <w:color w:val="auto"/>
          <w:sz w:val="24"/>
          <w:highlight w:val="none"/>
        </w:rPr>
        <w:t>的扣除，用扣除后的价格参与评审。接受大中型企业与小微企业组成联合体或者允许大中型企业向一家或者多家小微企业分包的政府服务项目，对于联合协议或者分包意向协议约定小微企业的合同份额占到合同总金额30%以上的，对联合体或者大中型企业的报价给予</w:t>
      </w:r>
      <w:r>
        <w:rPr>
          <w:rFonts w:hint="eastAsia" w:asciiTheme="majorEastAsia" w:hAnsiTheme="majorEastAsia" w:eastAsiaTheme="majorEastAsia"/>
          <w:b/>
          <w:bCs/>
          <w:color w:val="auto"/>
          <w:sz w:val="24"/>
          <w:highlight w:val="none"/>
        </w:rPr>
        <w:t>4%-6%</w:t>
      </w:r>
      <w:r>
        <w:rPr>
          <w:rFonts w:hint="eastAsia" w:asciiTheme="majorEastAsia" w:hAnsiTheme="majorEastAsia" w:eastAsiaTheme="majorEastAsia"/>
          <w:color w:val="auto"/>
          <w:sz w:val="24"/>
          <w:highlight w:val="none"/>
        </w:rPr>
        <w:t>的扣除，用扣除后的价格参加评审。组成联合体或者接受分包的小微企业与联合体内其他企业、分包企业之间存在直接控股、管理关系的，不享受价格扣除优惠政策。</w:t>
      </w:r>
    </w:p>
    <w:p>
      <w:pPr>
        <w:numPr>
          <w:ilvl w:val="2"/>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符合《关于促进残疾人就业政府采购政策的通知》（财库〔2017〕141号）规定的条件并提供《残疾人福利性单位声明函》（附件1）的残疾人福利性单位视同小型、微型企业；</w:t>
      </w:r>
    </w:p>
    <w:p>
      <w:pPr>
        <w:numPr>
          <w:ilvl w:val="2"/>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numPr>
          <w:ilvl w:val="2"/>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numPr>
          <w:ilvl w:val="2"/>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中小企业享受扶持政策获得政府采购合同的，小微企业不得将合同分包给大中型企业，中型企业不得将合同分包给大型企业。</w:t>
      </w:r>
    </w:p>
    <w:p>
      <w:pPr>
        <w:numPr>
          <w:ilvl w:val="1"/>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支持创新发展</w:t>
      </w:r>
    </w:p>
    <w:p>
      <w:pPr>
        <w:numPr>
          <w:ilvl w:val="2"/>
          <w:numId w:val="3"/>
        </w:numPr>
        <w:spacing w:line="360" w:lineRule="auto"/>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采购人优先采购被认定</w:t>
      </w:r>
      <w:r>
        <w:rPr>
          <w:rFonts w:hint="eastAsia" w:asciiTheme="majorEastAsia" w:hAnsiTheme="majorEastAsia" w:eastAsiaTheme="majorEastAsia"/>
          <w:color w:val="auto"/>
          <w:sz w:val="24"/>
          <w:highlight w:val="none"/>
        </w:rPr>
        <w:t>为首台套产品和“制造精品”的自主创新产品。</w:t>
      </w:r>
    </w:p>
    <w:p>
      <w:pPr>
        <w:numPr>
          <w:ilvl w:val="2"/>
          <w:numId w:val="3"/>
        </w:num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numPr>
          <w:ilvl w:val="1"/>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平等对待内外资企业和符合条件的破产重整企业</w:t>
      </w:r>
    </w:p>
    <w:p>
      <w:pPr>
        <w:spacing w:line="360" w:lineRule="auto"/>
        <w:ind w:firstLine="480" w:firstLineChars="200"/>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平等对待内外资企业和符合条件的破产重整企业，切实保障企业公平竞争，平等维护企业的合法利益。</w:t>
      </w:r>
    </w:p>
    <w:p>
      <w:pPr>
        <w:numPr>
          <w:ilvl w:val="1"/>
          <w:numId w:val="3"/>
        </w:numPr>
        <w:spacing w:line="360" w:lineRule="auto"/>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中小企业信用融资：为支持和促进中小企业发展，进一步发挥政府采购政策功能，根据《杭州市政府采购支持中小企业信用融资管理办法》和《关于钱塘区政府采购支持中小企业信用融资有关事项的通知》，供应商若有融资意向，详见本采购文件尾页《关于钱塘区政府采购支持中小企业信用融资相关事项通知》，或登录杭州钱塘区管理委员会官网查看信用融资相关政策及各相关银行服务方案、联系方式。</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询问、质疑、投诉</w:t>
      </w:r>
    </w:p>
    <w:p>
      <w:pPr>
        <w:numPr>
          <w:ilvl w:val="1"/>
          <w:numId w:val="3"/>
        </w:numPr>
        <w:tabs>
          <w:tab w:val="left" w:pos="21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numPr>
          <w:ilvl w:val="1"/>
          <w:numId w:val="3"/>
        </w:numPr>
        <w:tabs>
          <w:tab w:val="left" w:pos="21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供应商询问</w:t>
      </w:r>
    </w:p>
    <w:p>
      <w:pPr>
        <w:autoSpaceDE w:val="0"/>
        <w:autoSpaceDN w:val="0"/>
        <w:spacing w:line="360" w:lineRule="auto"/>
        <w:ind w:firstLine="480" w:firstLineChars="200"/>
        <w:jc w:val="left"/>
        <w:rPr>
          <w:rFonts w:cs="微软雅黑" w:asciiTheme="majorEastAsia" w:hAnsiTheme="majorEastAsia" w:eastAsiaTheme="majorEastAsia"/>
          <w:color w:val="auto"/>
          <w:kern w:val="0"/>
          <w:sz w:val="24"/>
          <w:highlight w:val="none"/>
          <w:lang w:val="zh-CN"/>
        </w:rPr>
      </w:pPr>
      <w:r>
        <w:rPr>
          <w:rFonts w:hint="eastAsia" w:cs="微软雅黑" w:asciiTheme="majorEastAsia" w:hAnsiTheme="majorEastAsia" w:eastAsiaTheme="majorEastAsia"/>
          <w:color w:val="auto"/>
          <w:kern w:val="0"/>
          <w:sz w:val="24"/>
          <w:highlight w:val="none"/>
          <w:lang w:val="zh-CN"/>
        </w:rPr>
        <w:t>供应商对政府采购活动事项有疑问的，可以提出询问，采购人或者采购代理机构应当在</w:t>
      </w:r>
      <w:r>
        <w:rPr>
          <w:rFonts w:cs="微软雅黑" w:asciiTheme="majorEastAsia" w:hAnsiTheme="majorEastAsia" w:eastAsiaTheme="majorEastAsia"/>
          <w:color w:val="auto"/>
          <w:kern w:val="0"/>
          <w:sz w:val="24"/>
          <w:highlight w:val="none"/>
          <w:lang w:val="zh-CN"/>
        </w:rPr>
        <w:t>3个工作日内对供应</w:t>
      </w:r>
      <w:r>
        <w:rPr>
          <w:rFonts w:hint="eastAsia" w:cs="微软雅黑" w:asciiTheme="majorEastAsia" w:hAnsiTheme="majorEastAsia" w:eastAsiaTheme="majorEastAsia"/>
          <w:color w:val="auto"/>
          <w:kern w:val="0"/>
          <w:sz w:val="24"/>
          <w:highlight w:val="none"/>
          <w:lang w:val="zh-CN"/>
        </w:rPr>
        <w:t>商依法提出的询问作出答复，但答复的内容不得涉及商业秘密。供应商提出的询问超出采购人对采购代理机构委托授权范围的，采购代理机构应当告知供应商向采购人提出。</w:t>
      </w:r>
    </w:p>
    <w:p>
      <w:pPr>
        <w:numPr>
          <w:ilvl w:val="1"/>
          <w:numId w:val="3"/>
        </w:numPr>
        <w:tabs>
          <w:tab w:val="left" w:pos="21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供应商质疑</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提出质疑的供应商应当是参与所质疑项目采购活动的供应商。潜在供应商已依法获取其可质疑的招标文件的，可以对该文件提出质疑。</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numPr>
          <w:ilvl w:val="3"/>
          <w:numId w:val="3"/>
        </w:numPr>
        <w:tabs>
          <w:tab w:val="left" w:pos="210"/>
          <w:tab w:val="left" w:pos="1050"/>
        </w:tabs>
        <w:snapToGrid w:val="0"/>
        <w:spacing w:line="360" w:lineRule="auto"/>
        <w:ind w:left="1050" w:hanging="1050"/>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对招标文件提出质疑的，质疑期限为供应商获得招标文件之日或者招标文件公告期限届满之日起计算。</w:t>
      </w:r>
    </w:p>
    <w:p>
      <w:pPr>
        <w:numPr>
          <w:ilvl w:val="3"/>
          <w:numId w:val="3"/>
        </w:numPr>
        <w:tabs>
          <w:tab w:val="left" w:pos="210"/>
          <w:tab w:val="left" w:pos="1050"/>
        </w:tabs>
        <w:snapToGrid w:val="0"/>
        <w:spacing w:line="360" w:lineRule="auto"/>
        <w:ind w:left="1050" w:hanging="1050"/>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对采购过程提出质疑的，质疑期限为各采购程序环节结束之日起计算。</w:t>
      </w:r>
    </w:p>
    <w:p>
      <w:pPr>
        <w:numPr>
          <w:ilvl w:val="3"/>
          <w:numId w:val="3"/>
        </w:numPr>
        <w:tabs>
          <w:tab w:val="left" w:pos="210"/>
          <w:tab w:val="left" w:pos="1050"/>
        </w:tabs>
        <w:snapToGrid w:val="0"/>
        <w:spacing w:line="360" w:lineRule="auto"/>
        <w:ind w:left="1050" w:hanging="1050"/>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对采购结果提出质疑的，质疑期限自采购结果公告期限届满之日起计算。</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供应商提出质疑应当提交质疑函和必要的证明材料。质疑函应当包括下列内容：</w:t>
      </w:r>
    </w:p>
    <w:p>
      <w:pPr>
        <w:numPr>
          <w:ilvl w:val="3"/>
          <w:numId w:val="3"/>
        </w:numPr>
        <w:tabs>
          <w:tab w:val="left" w:pos="210"/>
          <w:tab w:val="left" w:pos="1050"/>
        </w:tabs>
        <w:snapToGrid w:val="0"/>
        <w:spacing w:line="360" w:lineRule="auto"/>
        <w:ind w:hanging="210"/>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供应商的姓名或者名称、地址、邮编、联系人及联系电话；</w:t>
      </w:r>
    </w:p>
    <w:p>
      <w:pPr>
        <w:numPr>
          <w:ilvl w:val="3"/>
          <w:numId w:val="3"/>
        </w:numPr>
        <w:tabs>
          <w:tab w:val="left" w:pos="210"/>
          <w:tab w:val="left" w:pos="1050"/>
        </w:tabs>
        <w:snapToGrid w:val="0"/>
        <w:spacing w:line="360" w:lineRule="auto"/>
        <w:ind w:hanging="210"/>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质疑项目的名称、编号；</w:t>
      </w:r>
    </w:p>
    <w:p>
      <w:pPr>
        <w:numPr>
          <w:ilvl w:val="3"/>
          <w:numId w:val="3"/>
        </w:numPr>
        <w:tabs>
          <w:tab w:val="left" w:pos="210"/>
          <w:tab w:val="left" w:pos="1050"/>
        </w:tabs>
        <w:snapToGrid w:val="0"/>
        <w:spacing w:line="360" w:lineRule="auto"/>
        <w:ind w:hanging="210"/>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具体、明确的质疑事项和与质疑事项相关的请求；</w:t>
      </w:r>
    </w:p>
    <w:p>
      <w:pPr>
        <w:numPr>
          <w:ilvl w:val="3"/>
          <w:numId w:val="3"/>
        </w:numPr>
        <w:tabs>
          <w:tab w:val="left" w:pos="210"/>
          <w:tab w:val="left" w:pos="1050"/>
        </w:tabs>
        <w:snapToGrid w:val="0"/>
        <w:spacing w:line="360" w:lineRule="auto"/>
        <w:ind w:hanging="210"/>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事实依据；</w:t>
      </w:r>
    </w:p>
    <w:p>
      <w:pPr>
        <w:numPr>
          <w:ilvl w:val="3"/>
          <w:numId w:val="3"/>
        </w:numPr>
        <w:tabs>
          <w:tab w:val="left" w:pos="210"/>
          <w:tab w:val="left" w:pos="1050"/>
        </w:tabs>
        <w:snapToGrid w:val="0"/>
        <w:spacing w:line="360" w:lineRule="auto"/>
        <w:ind w:hanging="210"/>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必要的法律依据；</w:t>
      </w:r>
    </w:p>
    <w:p>
      <w:pPr>
        <w:numPr>
          <w:ilvl w:val="3"/>
          <w:numId w:val="3"/>
        </w:numPr>
        <w:tabs>
          <w:tab w:val="left" w:pos="210"/>
          <w:tab w:val="left" w:pos="1050"/>
        </w:tabs>
        <w:snapToGrid w:val="0"/>
        <w:spacing w:line="360" w:lineRule="auto"/>
        <w:ind w:hanging="210"/>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提出质疑的日期。</w:t>
      </w:r>
    </w:p>
    <w:p>
      <w:pPr>
        <w:tabs>
          <w:tab w:val="left" w:pos="210"/>
        </w:tabs>
        <w:snapToGrid w:val="0"/>
        <w:spacing w:line="360" w:lineRule="auto"/>
        <w:ind w:firstLine="480" w:firstLineChars="200"/>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供应商提交的质疑函需一式三份。供应商为自然人的，应当由本人签字；供应商为法人或者其他组织的，应当由法定代表人、主要负责人，或者其授权代表签字或者盖章，并加盖公章。</w:t>
      </w:r>
    </w:p>
    <w:p>
      <w:pPr>
        <w:tabs>
          <w:tab w:val="left" w:pos="210"/>
        </w:tabs>
        <w:snapToGrid w:val="0"/>
        <w:spacing w:line="360" w:lineRule="auto"/>
        <w:ind w:firstLine="480" w:firstLineChars="200"/>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质疑函范本及制作说明详见附件2。</w:t>
      </w:r>
    </w:p>
    <w:p>
      <w:pPr>
        <w:numPr>
          <w:ilvl w:val="2"/>
          <w:numId w:val="3"/>
        </w:numPr>
        <w:tabs>
          <w:tab w:val="left" w:pos="210"/>
          <w:tab w:val="left" w:pos="84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对同一采购程序环节的质疑，供应商须在法定质疑期内一次性提出。</w:t>
      </w:r>
    </w:p>
    <w:p>
      <w:pPr>
        <w:numPr>
          <w:ilvl w:val="2"/>
          <w:numId w:val="3"/>
        </w:numPr>
        <w:tabs>
          <w:tab w:val="left" w:pos="210"/>
          <w:tab w:val="left" w:pos="84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询问或者质疑事项可能影响采购结果的，采购人应当暂停签订合同，已经签订合同的，应当中止履行合同。</w:t>
      </w:r>
    </w:p>
    <w:p>
      <w:pPr>
        <w:numPr>
          <w:ilvl w:val="1"/>
          <w:numId w:val="3"/>
        </w:numPr>
        <w:tabs>
          <w:tab w:val="left" w:pos="21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供应商投诉</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质疑供应商对采购人、采购代理机构的答复不满意或者采购人、采购代理机构未在规定的时间内作出答复的，可以在答复期满后十五个工作日内向同级政府采购监督管理部门提出投诉。</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供应商投诉的事项不得超出已质疑事项的范围，基于质疑答复内容提出的投诉事项除外。</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供应商投诉应当有明确的请求和必要的证明材料。</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以联合体形式参加政府采购活动的，其投诉应当由组成联合体的所有供应商共同提出。</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浙江省本级、杭州市本级、拱墅区、富阳区政府采购项目投诉材料可寄送浙江省政府采购行政裁决服务中心（杭州），地址：杭州市上城区四季青街道新业路市民之家G03办公室，收件人：朱女士，电话：15121014815。</w:t>
      </w:r>
    </w:p>
    <w:p>
      <w:pPr>
        <w:tabs>
          <w:tab w:val="left" w:pos="210"/>
        </w:tabs>
        <w:snapToGrid w:val="0"/>
        <w:spacing w:line="360" w:lineRule="auto"/>
        <w:ind w:firstLine="480" w:firstLineChars="200"/>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投诉书范本及制作说明详见附件3。</w:t>
      </w:r>
    </w:p>
    <w:p>
      <w:pPr>
        <w:rPr>
          <w:rFonts w:asciiTheme="majorEastAsia" w:hAnsiTheme="majorEastAsia" w:eastAsiaTheme="majorEastAsia"/>
          <w:color w:val="auto"/>
          <w:highlight w:val="none"/>
        </w:rPr>
      </w:pPr>
    </w:p>
    <w:p>
      <w:pPr>
        <w:spacing w:line="360" w:lineRule="auto"/>
        <w:jc w:val="center"/>
        <w:outlineLvl w:val="1"/>
        <w:rPr>
          <w:rFonts w:cs="仿宋_GB2312" w:asciiTheme="majorEastAsia" w:hAnsiTheme="majorEastAsia" w:eastAsiaTheme="majorEastAsia"/>
          <w:b/>
          <w:color w:val="auto"/>
          <w:sz w:val="32"/>
          <w:szCs w:val="20"/>
          <w:highlight w:val="none"/>
        </w:rPr>
      </w:pPr>
      <w:bookmarkStart w:id="10" w:name="_Toc14473"/>
      <w:bookmarkStart w:id="11" w:name="_Toc27887"/>
      <w:bookmarkStart w:id="12" w:name="_Toc30065"/>
      <w:r>
        <w:rPr>
          <w:rFonts w:hint="eastAsia" w:cs="仿宋_GB2312" w:asciiTheme="majorEastAsia" w:hAnsiTheme="majorEastAsia" w:eastAsiaTheme="majorEastAsia"/>
          <w:b/>
          <w:color w:val="auto"/>
          <w:sz w:val="32"/>
          <w:szCs w:val="20"/>
          <w:highlight w:val="none"/>
        </w:rPr>
        <w:t>二、招标文件的构成、澄清、修改</w:t>
      </w:r>
      <w:bookmarkEnd w:id="10"/>
      <w:bookmarkEnd w:id="11"/>
      <w:bookmarkEnd w:id="12"/>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招标文件的构成</w:t>
      </w:r>
    </w:p>
    <w:p>
      <w:pPr>
        <w:numPr>
          <w:ilvl w:val="1"/>
          <w:numId w:val="3"/>
        </w:numPr>
        <w:tabs>
          <w:tab w:val="left" w:pos="21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招标文件包括下列文件及附件：</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招标公告；</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投标人须知；</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采购需求；</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评标办法；</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拟签订的合同文本；</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应提交的有关格式范例。</w:t>
      </w:r>
    </w:p>
    <w:p>
      <w:pPr>
        <w:numPr>
          <w:ilvl w:val="1"/>
          <w:numId w:val="3"/>
        </w:numPr>
        <w:tabs>
          <w:tab w:val="left" w:pos="21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与本项目有关的澄清或者修改的内容为招标文件的组成部分。</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招标文件的澄清、修改</w:t>
      </w:r>
    </w:p>
    <w:p>
      <w:pPr>
        <w:numPr>
          <w:ilvl w:val="1"/>
          <w:numId w:val="3"/>
        </w:numPr>
        <w:tabs>
          <w:tab w:val="left" w:pos="21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已获取招标文件的潜在投标人，若有问题需要澄清，应于投标截止时间前，以书面形式向采购代理机构提出。</w:t>
      </w:r>
    </w:p>
    <w:p>
      <w:pPr>
        <w:numPr>
          <w:ilvl w:val="1"/>
          <w:numId w:val="3"/>
        </w:numPr>
        <w:tabs>
          <w:tab w:val="left" w:pos="21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rPr>
          <w:rFonts w:asciiTheme="majorEastAsia" w:hAnsiTheme="majorEastAsia" w:eastAsiaTheme="majorEastAsia"/>
          <w:color w:val="auto"/>
          <w:highlight w:val="none"/>
        </w:rPr>
      </w:pPr>
      <w:r>
        <w:rPr>
          <w:rFonts w:asciiTheme="majorEastAsia" w:hAnsiTheme="majorEastAsia" w:eastAsiaTheme="majorEastAsia"/>
          <w:color w:val="auto"/>
          <w:highlight w:val="none"/>
        </w:rPr>
        <w:t xml:space="preserve">    </w:t>
      </w:r>
    </w:p>
    <w:p>
      <w:pPr>
        <w:spacing w:line="360" w:lineRule="auto"/>
        <w:jc w:val="center"/>
        <w:outlineLvl w:val="1"/>
        <w:rPr>
          <w:rFonts w:cs="仿宋_GB2312" w:asciiTheme="majorEastAsia" w:hAnsiTheme="majorEastAsia" w:eastAsiaTheme="majorEastAsia"/>
          <w:b/>
          <w:color w:val="auto"/>
          <w:sz w:val="30"/>
          <w:szCs w:val="20"/>
          <w:highlight w:val="none"/>
        </w:rPr>
      </w:pPr>
      <w:bookmarkStart w:id="13" w:name="_Toc25644"/>
      <w:bookmarkStart w:id="14" w:name="_Toc10627"/>
      <w:bookmarkStart w:id="15" w:name="_Toc8085"/>
      <w:r>
        <w:rPr>
          <w:rFonts w:hint="eastAsia" w:cs="仿宋_GB2312" w:asciiTheme="majorEastAsia" w:hAnsiTheme="majorEastAsia" w:eastAsiaTheme="majorEastAsia"/>
          <w:b/>
          <w:color w:val="auto"/>
          <w:sz w:val="30"/>
          <w:szCs w:val="20"/>
          <w:highlight w:val="none"/>
        </w:rPr>
        <w:t>三、投标</w:t>
      </w:r>
      <w:bookmarkEnd w:id="13"/>
      <w:bookmarkEnd w:id="14"/>
      <w:bookmarkEnd w:id="15"/>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招标文件的获取</w:t>
      </w:r>
    </w:p>
    <w:p>
      <w:pPr>
        <w:spacing w:line="360" w:lineRule="auto"/>
        <w:ind w:firstLine="420"/>
        <w:rPr>
          <w:rFonts w:cs="仿宋_GB2312" w:asciiTheme="majorEastAsia" w:hAnsiTheme="majorEastAsia" w:eastAsiaTheme="majorEastAsia"/>
          <w:snapToGrid w:val="0"/>
          <w:color w:val="auto"/>
          <w:kern w:val="28"/>
          <w:sz w:val="24"/>
          <w:highlight w:val="none"/>
        </w:rPr>
      </w:pPr>
      <w:r>
        <w:rPr>
          <w:rFonts w:hint="eastAsia" w:cs="仿宋_GB2312" w:asciiTheme="majorEastAsia" w:hAnsiTheme="majorEastAsia" w:eastAsiaTheme="majorEastAsia"/>
          <w:snapToGrid w:val="0"/>
          <w:color w:val="auto"/>
          <w:kern w:val="28"/>
          <w:sz w:val="24"/>
          <w:highlight w:val="none"/>
        </w:rPr>
        <w:t>详见招标公告中获取招标文件的时间期限、地点、方式及招标文件售价。</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开标前答疑会或现场考察</w:t>
      </w:r>
    </w:p>
    <w:p>
      <w:pPr>
        <w:pStyle w:val="24"/>
        <w:spacing w:line="360" w:lineRule="auto"/>
        <w:ind w:firstLine="420"/>
        <w:rPr>
          <w:rFonts w:asciiTheme="majorEastAsia" w:hAnsiTheme="majorEastAsia" w:eastAsiaTheme="majorEastAsia"/>
          <w:color w:val="auto"/>
          <w:sz w:val="24"/>
          <w:szCs w:val="24"/>
          <w:highlight w:val="none"/>
        </w:rPr>
      </w:pPr>
      <w:r>
        <w:rPr>
          <w:rFonts w:hint="eastAsia" w:asciiTheme="majorEastAsia" w:hAnsiTheme="majorEastAsia" w:eastAsiaTheme="majorEastAsia"/>
          <w:color w:val="auto"/>
          <w:sz w:val="24"/>
          <w:szCs w:val="24"/>
          <w:highlight w:val="none"/>
        </w:rPr>
        <w:t>采购人组织潜在投标人现场考察或者召开开标前答疑会的，潜在投标人按第二部分投标人须知前附表的规定参加现场考察或者开标前答疑会。</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投标保证金</w:t>
      </w:r>
    </w:p>
    <w:p>
      <w:pPr>
        <w:pStyle w:val="11"/>
        <w:spacing w:line="360" w:lineRule="auto"/>
        <w:ind w:firstLine="470" w:firstLineChars="196"/>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本项目不需缴纳投标保证金。</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投标文件的语言</w:t>
      </w:r>
    </w:p>
    <w:p>
      <w:pPr>
        <w:autoSpaceDE w:val="0"/>
        <w:autoSpaceDN w:val="0"/>
        <w:spacing w:line="360" w:lineRule="auto"/>
        <w:ind w:firstLine="480" w:firstLineChars="200"/>
        <w:rPr>
          <w:rFonts w:cs="仿宋_GB2312" w:asciiTheme="majorEastAsia" w:hAnsiTheme="majorEastAsia" w:eastAsiaTheme="majorEastAsia"/>
          <w:color w:val="auto"/>
          <w:sz w:val="24"/>
          <w:highlight w:val="none"/>
          <w:lang w:val="zh-CN"/>
        </w:rPr>
      </w:pPr>
      <w:r>
        <w:rPr>
          <w:rFonts w:hint="eastAsia" w:cs="仿宋_GB2312" w:asciiTheme="majorEastAsia" w:hAnsiTheme="majorEastAsia" w:eastAsiaTheme="majorEastAsia"/>
          <w:color w:val="auto"/>
          <w:sz w:val="24"/>
          <w:highlight w:val="none"/>
        </w:rPr>
        <w:t>投标文件及投标人与采购有关的来往通知、函件和文件均应使用中文。</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投标文件的组成</w:t>
      </w:r>
    </w:p>
    <w:p>
      <w:pPr>
        <w:numPr>
          <w:ilvl w:val="1"/>
          <w:numId w:val="3"/>
        </w:numPr>
        <w:tabs>
          <w:tab w:val="left" w:pos="210"/>
          <w:tab w:val="left" w:pos="630"/>
          <w:tab w:val="left" w:pos="840"/>
        </w:tabs>
        <w:snapToGrid w:val="0"/>
        <w:spacing w:line="360" w:lineRule="auto"/>
        <w:jc w:val="left"/>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资格文件：</w:t>
      </w:r>
    </w:p>
    <w:p>
      <w:pPr>
        <w:numPr>
          <w:ilvl w:val="2"/>
          <w:numId w:val="3"/>
        </w:numPr>
        <w:tabs>
          <w:tab w:val="left" w:pos="210"/>
          <w:tab w:val="left" w:pos="630"/>
          <w:tab w:val="left" w:pos="8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符合参加政府采购活动应当具备的一般条件的承诺函；</w:t>
      </w:r>
    </w:p>
    <w:p>
      <w:pPr>
        <w:numPr>
          <w:ilvl w:val="2"/>
          <w:numId w:val="3"/>
        </w:numPr>
        <w:tabs>
          <w:tab w:val="left" w:pos="210"/>
          <w:tab w:val="left" w:pos="630"/>
          <w:tab w:val="left" w:pos="8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联合协议；（如果有）</w:t>
      </w:r>
    </w:p>
    <w:p>
      <w:pPr>
        <w:numPr>
          <w:ilvl w:val="2"/>
          <w:numId w:val="3"/>
        </w:numPr>
        <w:tabs>
          <w:tab w:val="left" w:pos="210"/>
          <w:tab w:val="left" w:pos="630"/>
          <w:tab w:val="left" w:pos="8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落实政府采购政策需满足的资格要求；（本项目专门面向</w:t>
      </w:r>
      <w:r>
        <w:rPr>
          <w:rFonts w:hint="eastAsia" w:asciiTheme="majorEastAsia" w:hAnsiTheme="majorEastAsia" w:eastAsiaTheme="majorEastAsia"/>
          <w:bCs/>
          <w:color w:val="auto"/>
          <w:sz w:val="24"/>
          <w:highlight w:val="none"/>
          <w:lang w:eastAsia="zh-CN"/>
        </w:rPr>
        <w:t>中</w:t>
      </w:r>
      <w:r>
        <w:rPr>
          <w:rFonts w:hint="eastAsia" w:asciiTheme="majorEastAsia" w:hAnsiTheme="majorEastAsia" w:eastAsiaTheme="majorEastAsia"/>
          <w:bCs/>
          <w:color w:val="auto"/>
          <w:sz w:val="24"/>
          <w:highlight w:val="none"/>
        </w:rPr>
        <w:t>小微企业）</w:t>
      </w:r>
    </w:p>
    <w:p>
      <w:pPr>
        <w:numPr>
          <w:ilvl w:val="2"/>
          <w:numId w:val="3"/>
        </w:numPr>
        <w:tabs>
          <w:tab w:val="left" w:pos="210"/>
          <w:tab w:val="left" w:pos="630"/>
          <w:tab w:val="left" w:pos="8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本项目的特定资格要求。</w:t>
      </w:r>
    </w:p>
    <w:p>
      <w:pPr>
        <w:numPr>
          <w:ilvl w:val="1"/>
          <w:numId w:val="3"/>
        </w:numPr>
        <w:tabs>
          <w:tab w:val="left" w:pos="210"/>
          <w:tab w:val="left" w:pos="630"/>
          <w:tab w:val="left" w:pos="840"/>
        </w:tabs>
        <w:snapToGrid w:val="0"/>
        <w:spacing w:line="360" w:lineRule="auto"/>
        <w:jc w:val="left"/>
        <w:rPr>
          <w:rFonts w:asciiTheme="majorEastAsia" w:hAnsiTheme="majorEastAsia" w:eastAsiaTheme="majorEastAsia"/>
          <w:b/>
          <w:color w:val="auto"/>
          <w:sz w:val="24"/>
          <w:highlight w:val="none"/>
          <w:lang w:val="zh-CN"/>
        </w:rPr>
      </w:pPr>
      <w:r>
        <w:rPr>
          <w:rFonts w:hint="eastAsia" w:asciiTheme="majorEastAsia" w:hAnsiTheme="majorEastAsia" w:eastAsiaTheme="majorEastAsia"/>
          <w:b/>
          <w:color w:val="auto"/>
          <w:sz w:val="24"/>
          <w:highlight w:val="none"/>
        </w:rPr>
        <w:t>商务技术</w:t>
      </w:r>
      <w:r>
        <w:rPr>
          <w:rFonts w:hint="eastAsia" w:asciiTheme="majorEastAsia" w:hAnsiTheme="majorEastAsia" w:eastAsiaTheme="majorEastAsia"/>
          <w:b/>
          <w:color w:val="auto"/>
          <w:sz w:val="24"/>
          <w:highlight w:val="none"/>
          <w:lang w:val="zh-CN"/>
        </w:rPr>
        <w:t>文件：</w:t>
      </w:r>
    </w:p>
    <w:p>
      <w:pPr>
        <w:numPr>
          <w:ilvl w:val="2"/>
          <w:numId w:val="3"/>
        </w:numPr>
        <w:tabs>
          <w:tab w:val="left" w:pos="210"/>
          <w:tab w:val="left" w:pos="630"/>
          <w:tab w:val="left" w:pos="8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投标函；</w:t>
      </w:r>
      <w:r>
        <w:rPr>
          <w:rFonts w:hint="eastAsia" w:asciiTheme="majorEastAsia" w:hAnsiTheme="majorEastAsia" w:eastAsiaTheme="majorEastAsia"/>
          <w:bCs/>
          <w:color w:val="auto"/>
          <w:sz w:val="24"/>
          <w:highlight w:val="none"/>
          <w:lang w:val="zh-CN"/>
        </w:rPr>
        <w:t xml:space="preserve"> </w:t>
      </w:r>
    </w:p>
    <w:p>
      <w:pPr>
        <w:numPr>
          <w:ilvl w:val="2"/>
          <w:numId w:val="3"/>
        </w:numPr>
        <w:tabs>
          <w:tab w:val="left" w:pos="210"/>
          <w:tab w:val="left" w:pos="630"/>
          <w:tab w:val="left" w:pos="8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授权委托书或法定代表人（单位负责人、自然人本人）身份证明；</w:t>
      </w:r>
    </w:p>
    <w:p>
      <w:pPr>
        <w:numPr>
          <w:ilvl w:val="2"/>
          <w:numId w:val="3"/>
        </w:numPr>
        <w:tabs>
          <w:tab w:val="left" w:pos="210"/>
          <w:tab w:val="left" w:pos="630"/>
          <w:tab w:val="left" w:pos="8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分包意向协议（如果有）；</w:t>
      </w:r>
    </w:p>
    <w:p>
      <w:pPr>
        <w:numPr>
          <w:ilvl w:val="2"/>
          <w:numId w:val="3"/>
        </w:numPr>
        <w:tabs>
          <w:tab w:val="left" w:pos="210"/>
          <w:tab w:val="left" w:pos="630"/>
          <w:tab w:val="left" w:pos="8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符合性审查资料；</w:t>
      </w:r>
    </w:p>
    <w:p>
      <w:pPr>
        <w:numPr>
          <w:ilvl w:val="2"/>
          <w:numId w:val="3"/>
        </w:numPr>
        <w:tabs>
          <w:tab w:val="left" w:pos="210"/>
          <w:tab w:val="left" w:pos="630"/>
          <w:tab w:val="left" w:pos="8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评标标准相应的商务技术资料；</w:t>
      </w:r>
    </w:p>
    <w:p>
      <w:pPr>
        <w:numPr>
          <w:ilvl w:val="2"/>
          <w:numId w:val="3"/>
        </w:numPr>
        <w:tabs>
          <w:tab w:val="left" w:pos="210"/>
          <w:tab w:val="left" w:pos="630"/>
          <w:tab w:val="left" w:pos="8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投标标的清单；</w:t>
      </w:r>
    </w:p>
    <w:p>
      <w:pPr>
        <w:numPr>
          <w:ilvl w:val="2"/>
          <w:numId w:val="3"/>
        </w:numPr>
        <w:tabs>
          <w:tab w:val="left" w:pos="210"/>
          <w:tab w:val="left" w:pos="630"/>
          <w:tab w:val="left" w:pos="8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商务技术偏离表；</w:t>
      </w:r>
    </w:p>
    <w:p>
      <w:pPr>
        <w:numPr>
          <w:ilvl w:val="2"/>
          <w:numId w:val="3"/>
        </w:numPr>
        <w:tabs>
          <w:tab w:val="left" w:pos="210"/>
          <w:tab w:val="left" w:pos="630"/>
          <w:tab w:val="left" w:pos="84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政府采购供应商廉洁自律承诺书。</w:t>
      </w:r>
    </w:p>
    <w:p>
      <w:pPr>
        <w:numPr>
          <w:ilvl w:val="1"/>
          <w:numId w:val="3"/>
        </w:numPr>
        <w:tabs>
          <w:tab w:val="left" w:pos="210"/>
          <w:tab w:val="left" w:pos="630"/>
          <w:tab w:val="left" w:pos="840"/>
        </w:tabs>
        <w:snapToGrid w:val="0"/>
        <w:spacing w:line="360" w:lineRule="auto"/>
        <w:jc w:val="left"/>
        <w:rPr>
          <w:rFonts w:asciiTheme="majorEastAsia" w:hAnsiTheme="majorEastAsia" w:eastAsiaTheme="majorEastAsia"/>
          <w:b/>
          <w:color w:val="auto"/>
          <w:sz w:val="24"/>
          <w:highlight w:val="none"/>
          <w:lang w:val="zh-CN"/>
        </w:rPr>
      </w:pPr>
      <w:r>
        <w:rPr>
          <w:rFonts w:hint="eastAsia" w:asciiTheme="majorEastAsia" w:hAnsiTheme="majorEastAsia" w:eastAsiaTheme="majorEastAsia"/>
          <w:b/>
          <w:color w:val="auto"/>
          <w:sz w:val="24"/>
          <w:highlight w:val="none"/>
        </w:rPr>
        <w:t xml:space="preserve">报价文件： </w:t>
      </w:r>
    </w:p>
    <w:p>
      <w:pPr>
        <w:numPr>
          <w:ilvl w:val="2"/>
          <w:numId w:val="3"/>
        </w:numPr>
        <w:tabs>
          <w:tab w:val="left" w:pos="210"/>
          <w:tab w:val="left" w:pos="630"/>
          <w:tab w:val="left" w:pos="8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开标一览表（报价表）；</w:t>
      </w:r>
    </w:p>
    <w:p>
      <w:pPr>
        <w:numPr>
          <w:ilvl w:val="2"/>
          <w:numId w:val="3"/>
        </w:numPr>
        <w:tabs>
          <w:tab w:val="left" w:pos="210"/>
          <w:tab w:val="left" w:pos="630"/>
          <w:tab w:val="left" w:pos="8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投标报价明细表。（自拟）</w:t>
      </w:r>
    </w:p>
    <w:p>
      <w:pPr>
        <w:spacing w:line="360" w:lineRule="auto"/>
        <w:ind w:firstLine="482" w:firstLineChars="200"/>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投标文件含有采购人不能接受的附加条件的，投标无效；</w:t>
      </w:r>
    </w:p>
    <w:p>
      <w:pPr>
        <w:spacing w:line="360" w:lineRule="auto"/>
        <w:ind w:firstLine="482" w:firstLineChars="200"/>
        <w:rPr>
          <w:rFonts w:cs="仿宋_GB2312" w:asciiTheme="majorEastAsia" w:hAnsiTheme="majorEastAsia" w:eastAsiaTheme="majorEastAsia"/>
          <w:b/>
          <w:color w:val="auto"/>
          <w:sz w:val="24"/>
          <w:szCs w:val="21"/>
          <w:highlight w:val="none"/>
        </w:rPr>
      </w:pPr>
      <w:r>
        <w:rPr>
          <w:rFonts w:hint="eastAsia" w:asciiTheme="majorEastAsia" w:hAnsiTheme="majorEastAsia" w:eastAsiaTheme="majorEastAsia"/>
          <w:b/>
          <w:color w:val="auto"/>
          <w:sz w:val="24"/>
          <w:highlight w:val="none"/>
        </w:rPr>
        <w:t>投标人提供虚假材料投标的，投标无效。</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投标文件的编制</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投标人进行电子投标应安装客户端软件—“政采云电子交易客户端”，并按照招标文件和电子交易平台的要求编制并加密投标文件。投标人未按规定加密的投标文件，电子交易平台将拒收并提示。</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使用“政采云电子交易客户端”需要提前申领CA数字证书，申领流程请自行前往“浙江政府采购网-下载专区-电子交易客户端-CA驱动和申领流程”进行查阅。</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投标文件的签署、盖章</w:t>
      </w:r>
    </w:p>
    <w:p>
      <w:pPr>
        <w:numPr>
          <w:ilvl w:val="1"/>
          <w:numId w:val="3"/>
        </w:numPr>
        <w:tabs>
          <w:tab w:val="left" w:pos="210"/>
          <w:tab w:val="left" w:pos="6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投标文件按照招标文件第六部分格式要求进行签署、盖章。</w:t>
      </w:r>
    </w:p>
    <w:p>
      <w:pPr>
        <w:pStyle w:val="113"/>
        <w:snapToGrid w:val="0"/>
        <w:ind w:firstLine="482"/>
        <w:rPr>
          <w:rFonts w:cs="仿宋_GB2312" w:asciiTheme="majorEastAsia" w:hAnsiTheme="majorEastAsia" w:eastAsiaTheme="majorEastAsia"/>
          <w:b/>
          <w:color w:val="auto"/>
          <w:highlight w:val="none"/>
        </w:rPr>
      </w:pPr>
      <w:r>
        <w:rPr>
          <w:rFonts w:hint="eastAsia" w:asciiTheme="majorEastAsia" w:hAnsiTheme="majorEastAsia" w:eastAsiaTheme="majorEastAsia"/>
          <w:b/>
          <w:color w:val="auto"/>
          <w:highlight w:val="none"/>
        </w:rPr>
        <w:t>▲</w:t>
      </w:r>
      <w:r>
        <w:rPr>
          <w:rFonts w:hint="eastAsia" w:cs="仿宋_GB2312" w:asciiTheme="majorEastAsia" w:hAnsiTheme="majorEastAsia" w:eastAsiaTheme="majorEastAsia"/>
          <w:b/>
          <w:color w:val="auto"/>
          <w:highlight w:val="none"/>
        </w:rPr>
        <w:t>投标人的投标文件未按照招标文件要求签署、盖章的，其投标无效</w:t>
      </w:r>
      <w:r>
        <w:rPr>
          <w:rFonts w:hint="eastAsia" w:cs="仿宋_GB2312" w:asciiTheme="majorEastAsia" w:hAnsiTheme="majorEastAsia" w:eastAsiaTheme="majorEastAsia"/>
          <w:color w:val="auto"/>
          <w:szCs w:val="24"/>
          <w:highlight w:val="none"/>
        </w:rPr>
        <w:t>。</w:t>
      </w:r>
    </w:p>
    <w:p>
      <w:pPr>
        <w:numPr>
          <w:ilvl w:val="1"/>
          <w:numId w:val="3"/>
        </w:numPr>
        <w:tabs>
          <w:tab w:val="left" w:pos="210"/>
          <w:tab w:val="left" w:pos="640"/>
        </w:tabs>
        <w:snapToGrid w:val="0"/>
        <w:spacing w:line="360" w:lineRule="auto"/>
        <w:ind w:left="627" w:hanging="627"/>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为确保网上操作合法、有效和安全，投标人应当在投标截止时间前完成在“政府采购云平台”的身份认证，确保在电子投标过程中能够对相关数据电文进行加密和使用电子签名。</w:t>
      </w:r>
    </w:p>
    <w:p>
      <w:pPr>
        <w:numPr>
          <w:ilvl w:val="1"/>
          <w:numId w:val="3"/>
        </w:numPr>
        <w:tabs>
          <w:tab w:val="left" w:pos="210"/>
          <w:tab w:val="left" w:pos="640"/>
        </w:tabs>
        <w:snapToGrid w:val="0"/>
        <w:spacing w:line="360" w:lineRule="auto"/>
        <w:ind w:left="627" w:hanging="627"/>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招标文件对投标文件签署、盖章的要求适用于电子签名。</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投标文件的提交、补充、修改、撤回</w:t>
      </w:r>
    </w:p>
    <w:p>
      <w:pPr>
        <w:numPr>
          <w:ilvl w:val="1"/>
          <w:numId w:val="3"/>
        </w:numPr>
        <w:tabs>
          <w:tab w:val="left" w:pos="210"/>
          <w:tab w:val="left" w:pos="640"/>
        </w:tabs>
        <w:snapToGrid w:val="0"/>
        <w:spacing w:line="360" w:lineRule="auto"/>
        <w:ind w:left="627" w:hanging="627"/>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numPr>
          <w:ilvl w:val="1"/>
          <w:numId w:val="3"/>
        </w:numPr>
        <w:tabs>
          <w:tab w:val="left" w:pos="210"/>
          <w:tab w:val="left" w:pos="6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电子交易平台收到投标文件，将妥善保存并即时向供应商发出确认回执通知。在投标截止时间前，除供应商补充、修改或者撤回投标文件外，任何单位和个人不得解密或提取投标文件。</w:t>
      </w:r>
    </w:p>
    <w:p>
      <w:pPr>
        <w:numPr>
          <w:ilvl w:val="1"/>
          <w:numId w:val="3"/>
        </w:numPr>
        <w:tabs>
          <w:tab w:val="left" w:pos="210"/>
          <w:tab w:val="left" w:pos="6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备份投标文件</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投标人在电子交易平台传输递交投标文件后，还可以在投标截止时间前直接提交或者以邮政快递方式递交备份投标文件1份，</w:t>
      </w:r>
      <w:r>
        <w:rPr>
          <w:rFonts w:hint="eastAsia" w:asciiTheme="majorEastAsia" w:hAnsiTheme="majorEastAsia" w:eastAsiaTheme="majorEastAsia"/>
          <w:b/>
          <w:color w:val="auto"/>
          <w:sz w:val="24"/>
          <w:highlight w:val="none"/>
        </w:rPr>
        <w:t>但采购人、采购代理机构不强制或变相强制投标人提交备份投标文件</w:t>
      </w:r>
      <w:r>
        <w:rPr>
          <w:rFonts w:hint="eastAsia" w:asciiTheme="majorEastAsia" w:hAnsiTheme="majorEastAsia" w:eastAsiaTheme="majorEastAsia"/>
          <w:bCs/>
          <w:color w:val="auto"/>
          <w:sz w:val="24"/>
          <w:highlight w:val="none"/>
        </w:rPr>
        <w:t>。</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备份投标文件须在“政采云投标客户端”制作生成，并储存在DVD光盘或U盘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Theme="majorEastAsia" w:hAnsiTheme="majorEastAsia" w:eastAsiaTheme="majorEastAsia"/>
          <w:b/>
          <w:color w:val="auto"/>
          <w:sz w:val="24"/>
          <w:highlight w:val="none"/>
        </w:rPr>
        <w:t>不符合上述制作、存储、密封规定的备份投标文件将被视为无效或者被拒绝接收。</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直接提交备份投标文件的，投标人应于投标截止时间前在招标公告中载明的开标地点将备份投标文件提交给采购代理机构，</w:t>
      </w:r>
      <w:r>
        <w:rPr>
          <w:rFonts w:hint="eastAsia" w:asciiTheme="majorEastAsia" w:hAnsiTheme="majorEastAsia" w:eastAsiaTheme="majorEastAsia"/>
          <w:b/>
          <w:color w:val="auto"/>
          <w:sz w:val="24"/>
          <w:highlight w:val="none"/>
        </w:rPr>
        <w:t>采购代理机构将拒绝接受逾期送达的备份投标文件</w:t>
      </w:r>
      <w:r>
        <w:rPr>
          <w:rFonts w:hint="eastAsia" w:asciiTheme="majorEastAsia" w:hAnsiTheme="majorEastAsia" w:eastAsiaTheme="majorEastAsia"/>
          <w:bCs/>
          <w:color w:val="auto"/>
          <w:sz w:val="24"/>
          <w:highlight w:val="none"/>
        </w:rPr>
        <w:t>。</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投标人仅提交备份投标文件，未在电子交易平台传输递交投标文件的，投标无效。</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投标文件的无效处理</w:t>
      </w:r>
    </w:p>
    <w:p>
      <w:pPr>
        <w:pStyle w:val="2"/>
        <w:ind w:firstLine="360" w:firstLineChars="150"/>
        <w:rPr>
          <w:rFonts w:cs="仿宋_GB2312" w:asciiTheme="majorEastAsia" w:hAnsiTheme="majorEastAsia" w:eastAsiaTheme="majorEastAsia"/>
          <w:color w:val="auto"/>
          <w:szCs w:val="21"/>
          <w:highlight w:val="none"/>
        </w:rPr>
      </w:pPr>
      <w:r>
        <w:rPr>
          <w:rFonts w:hint="eastAsia" w:cs="仿宋_GB2312" w:asciiTheme="majorEastAsia" w:hAnsiTheme="majorEastAsia" w:eastAsiaTheme="majorEastAsia"/>
          <w:color w:val="auto"/>
          <w:szCs w:val="21"/>
          <w:highlight w:val="none"/>
        </w:rPr>
        <w:t>有招标文件第四部分</w:t>
      </w:r>
      <w:r>
        <w:rPr>
          <w:rFonts w:hint="eastAsia" w:asciiTheme="majorEastAsia" w:hAnsiTheme="majorEastAsia" w:eastAsiaTheme="majorEastAsia"/>
          <w:color w:val="auto"/>
          <w:highlight w:val="none"/>
        </w:rPr>
        <w:t>第4.2</w:t>
      </w:r>
      <w:r>
        <w:rPr>
          <w:rFonts w:asciiTheme="majorEastAsia" w:hAnsiTheme="majorEastAsia" w:eastAsiaTheme="majorEastAsia"/>
          <w:color w:val="auto"/>
          <w:highlight w:val="none"/>
        </w:rPr>
        <w:t>项规定</w:t>
      </w:r>
      <w:r>
        <w:rPr>
          <w:rFonts w:hint="eastAsia" w:cs="仿宋_GB2312" w:asciiTheme="majorEastAsia" w:hAnsiTheme="majorEastAsia" w:eastAsiaTheme="majorEastAsia"/>
          <w:color w:val="auto"/>
          <w:szCs w:val="21"/>
          <w:highlight w:val="none"/>
        </w:rPr>
        <w:t>的情形之一的，投标无效：</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投标有效期</w:t>
      </w:r>
    </w:p>
    <w:p>
      <w:pPr>
        <w:numPr>
          <w:ilvl w:val="1"/>
          <w:numId w:val="3"/>
        </w:numPr>
        <w:tabs>
          <w:tab w:val="left" w:pos="210"/>
          <w:tab w:val="left" w:pos="64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投标有效期为从提交投标文件的截止之日起90天。</w:t>
      </w:r>
    </w:p>
    <w:p>
      <w:pPr>
        <w:spacing w:line="360" w:lineRule="auto"/>
        <w:ind w:firstLine="480" w:firstLineChars="200"/>
        <w:rPr>
          <w:rFonts w:cs="仿宋_GB2312" w:asciiTheme="majorEastAsia" w:hAnsiTheme="majorEastAsia" w:eastAsiaTheme="majorEastAsia"/>
          <w:b/>
          <w:color w:val="auto"/>
          <w:sz w:val="24"/>
          <w:szCs w:val="21"/>
          <w:highlight w:val="none"/>
        </w:rPr>
      </w:pPr>
      <w:r>
        <w:rPr>
          <w:rFonts w:cs="仿宋_GB2312" w:asciiTheme="majorEastAsia" w:hAnsiTheme="majorEastAsia" w:eastAsiaTheme="majorEastAsia"/>
          <w:color w:val="auto"/>
          <w:sz w:val="24"/>
          <w:szCs w:val="20"/>
          <w:highlight w:val="none"/>
        </w:rPr>
        <w:t>▲</w:t>
      </w:r>
      <w:r>
        <w:rPr>
          <w:rFonts w:hint="eastAsia" w:cs="仿宋_GB2312" w:asciiTheme="majorEastAsia" w:hAnsiTheme="majorEastAsia" w:eastAsiaTheme="majorEastAsia"/>
          <w:b/>
          <w:color w:val="auto"/>
          <w:sz w:val="24"/>
          <w:szCs w:val="20"/>
          <w:highlight w:val="none"/>
        </w:rPr>
        <w:t>投标人的投标文件中承</w:t>
      </w:r>
      <w:r>
        <w:rPr>
          <w:rFonts w:hint="eastAsia" w:cs="仿宋_GB2312" w:asciiTheme="majorEastAsia" w:hAnsiTheme="majorEastAsia" w:eastAsiaTheme="majorEastAsia"/>
          <w:b/>
          <w:color w:val="auto"/>
          <w:sz w:val="24"/>
          <w:szCs w:val="21"/>
          <w:highlight w:val="none"/>
        </w:rPr>
        <w:t>诺的投标有效期少于招标文件中载明的投标有效期的，投标无效。</w:t>
      </w:r>
    </w:p>
    <w:p>
      <w:pPr>
        <w:numPr>
          <w:ilvl w:val="1"/>
          <w:numId w:val="3"/>
        </w:numPr>
        <w:tabs>
          <w:tab w:val="left" w:pos="210"/>
          <w:tab w:val="left" w:pos="640"/>
        </w:tabs>
        <w:snapToGrid w:val="0"/>
        <w:spacing w:line="360" w:lineRule="auto"/>
        <w:ind w:left="627" w:hanging="627"/>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投标文件合格投递后，自投标截止日期起，在投标有效期内有效。</w:t>
      </w:r>
    </w:p>
    <w:p>
      <w:pPr>
        <w:numPr>
          <w:ilvl w:val="1"/>
          <w:numId w:val="3"/>
        </w:numPr>
        <w:tabs>
          <w:tab w:val="left" w:pos="210"/>
          <w:tab w:val="left" w:pos="640"/>
        </w:tabs>
        <w:snapToGrid w:val="0"/>
        <w:spacing w:line="360" w:lineRule="auto"/>
        <w:ind w:left="627" w:hanging="627"/>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在原定投标有效期满之前，如果出现特殊情况，采购代理机构可以以书面形式通知投标人延长投标有效期。投标人同意延长的，不得要求或被允许修改其投标文件，投标人拒绝延长的，其投标无效。</w:t>
      </w:r>
    </w:p>
    <w:p>
      <w:pPr>
        <w:pStyle w:val="113"/>
        <w:ind w:firstLine="643"/>
        <w:rPr>
          <w:rFonts w:cs="仿宋_GB2312" w:asciiTheme="majorEastAsia" w:hAnsiTheme="majorEastAsia" w:eastAsiaTheme="majorEastAsia"/>
          <w:b/>
          <w:color w:val="auto"/>
          <w:sz w:val="32"/>
          <w:highlight w:val="none"/>
        </w:rPr>
      </w:pPr>
    </w:p>
    <w:p>
      <w:pPr>
        <w:spacing w:line="360" w:lineRule="auto"/>
        <w:jc w:val="center"/>
        <w:outlineLvl w:val="1"/>
        <w:rPr>
          <w:rFonts w:cs="仿宋_GB2312" w:asciiTheme="majorEastAsia" w:hAnsiTheme="majorEastAsia" w:eastAsiaTheme="majorEastAsia"/>
          <w:b/>
          <w:color w:val="auto"/>
          <w:sz w:val="30"/>
          <w:szCs w:val="20"/>
          <w:highlight w:val="none"/>
        </w:rPr>
      </w:pPr>
      <w:bookmarkStart w:id="16" w:name="_Toc25497"/>
      <w:bookmarkStart w:id="17" w:name="_Toc533"/>
      <w:bookmarkStart w:id="18" w:name="_Toc3728"/>
      <w:r>
        <w:rPr>
          <w:rFonts w:hint="eastAsia" w:cs="仿宋_GB2312" w:asciiTheme="majorEastAsia" w:hAnsiTheme="majorEastAsia" w:eastAsiaTheme="majorEastAsia"/>
          <w:b/>
          <w:color w:val="auto"/>
          <w:sz w:val="30"/>
          <w:szCs w:val="20"/>
          <w:highlight w:val="none"/>
        </w:rPr>
        <w:t>四、开标、资格审查与信用信息查询</w:t>
      </w:r>
      <w:bookmarkEnd w:id="16"/>
      <w:bookmarkEnd w:id="17"/>
      <w:bookmarkEnd w:id="18"/>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 xml:space="preserve">开标 </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采购代理机构按照招标文件规定的时间通过电子交易平台组织开标，所有投标人均应当准时在线参加。投标人不足3家的，不得开标。</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开标时，电子交易平台按开标时间自动提取所有投标文件。采购代理机构依托电子交易平台发起开始解密指令，投标人按照平台提示和招标文件的规定在半小时内完成在线解密。</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投标文件未按时解密，投标人提供了备份投标文件的，以备份投标文件作为依据，否则视为投标文件撤回。投标文件已按时解密的，备份投标文件自动失效。</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资格审查</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开标后，采购人或采购代理机构将依法对投标人的资格进行审查。</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采购人或采购代理机构依据法律法规和招标文件的规定，对投标人的基本资格条件、特定资格条件进行审查。</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投标人未按照招标文件要求提供与基本资格条件、特定资格条件相应的有效资格证明材料的，视为投标人不具备招标文件中规定的资格要求，其投标无效。</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对未通过资格审查的投标人，采购人或采购代理机构告知其未通过的原因。</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合格投标人不足3家的，不再评标。</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信用信息查询</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信用信息查询渠道及截止时间：采购代理机构将通过“信用中国”网站(www.creditchina.gov.cn)、中国政府采购网(www.ccgp.gov.cn)渠道查询投标人投标截止时间当天的信用记录。</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信用信息查询记录和证据留存的具体方式：现场查询的投标人的信用记录、查询结果经确认后将与采购文件一起存档。</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信用信息的使用规则：经查询列入失信被执行人名单、重大税收违法案件当事人名单、政府采购严重违法失信行为记录名单的投标人将被拒绝参与政府采购活动。</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napToGrid w:val="0"/>
        <w:spacing w:line="360" w:lineRule="auto"/>
        <w:jc w:val="center"/>
        <w:outlineLvl w:val="1"/>
        <w:rPr>
          <w:rFonts w:cs="仿宋_GB2312" w:asciiTheme="majorEastAsia" w:hAnsiTheme="majorEastAsia" w:eastAsiaTheme="majorEastAsia"/>
          <w:b/>
          <w:color w:val="auto"/>
          <w:sz w:val="36"/>
          <w:szCs w:val="36"/>
          <w:highlight w:val="none"/>
        </w:rPr>
      </w:pPr>
      <w:bookmarkStart w:id="19" w:name="_Toc19433"/>
      <w:bookmarkStart w:id="20" w:name="_Toc22552"/>
      <w:bookmarkStart w:id="21" w:name="_Toc7171"/>
      <w:r>
        <w:rPr>
          <w:rFonts w:hint="eastAsia" w:cs="仿宋_GB2312" w:asciiTheme="majorEastAsia" w:hAnsiTheme="majorEastAsia" w:eastAsiaTheme="majorEastAsia"/>
          <w:b/>
          <w:color w:val="auto"/>
          <w:sz w:val="36"/>
          <w:szCs w:val="36"/>
          <w:highlight w:val="none"/>
        </w:rPr>
        <w:t>五、评标</w:t>
      </w:r>
      <w:bookmarkEnd w:id="19"/>
      <w:bookmarkEnd w:id="20"/>
      <w:bookmarkEnd w:id="21"/>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评标</w:t>
      </w:r>
    </w:p>
    <w:p>
      <w:pPr>
        <w:spacing w:line="360" w:lineRule="auto"/>
        <w:ind w:firstLine="480" w:firstLineChars="20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cs="仿宋_GB2312" w:asciiTheme="majorEastAsia" w:hAnsiTheme="majorEastAsia" w:eastAsiaTheme="majorEastAsia"/>
          <w:b/>
          <w:color w:val="auto"/>
          <w:sz w:val="24"/>
          <w:highlight w:val="none"/>
        </w:rPr>
        <w:t>详见招标文件第四部分评标办法。</w:t>
      </w:r>
    </w:p>
    <w:p>
      <w:pPr>
        <w:snapToGrid w:val="0"/>
        <w:spacing w:line="360" w:lineRule="auto"/>
        <w:jc w:val="center"/>
        <w:outlineLvl w:val="1"/>
        <w:rPr>
          <w:rFonts w:cs="仿宋_GB2312" w:asciiTheme="majorEastAsia" w:hAnsiTheme="majorEastAsia" w:eastAsiaTheme="majorEastAsia"/>
          <w:b/>
          <w:color w:val="auto"/>
          <w:sz w:val="36"/>
          <w:szCs w:val="36"/>
          <w:highlight w:val="none"/>
        </w:rPr>
      </w:pPr>
      <w:bookmarkStart w:id="22" w:name="_Toc20749"/>
      <w:bookmarkStart w:id="23" w:name="_Toc7518"/>
      <w:bookmarkStart w:id="24" w:name="_Toc31668"/>
      <w:r>
        <w:rPr>
          <w:rFonts w:hint="eastAsia" w:cs="仿宋_GB2312" w:asciiTheme="majorEastAsia" w:hAnsiTheme="majorEastAsia" w:eastAsiaTheme="majorEastAsia"/>
          <w:b/>
          <w:color w:val="auto"/>
          <w:sz w:val="36"/>
          <w:szCs w:val="36"/>
          <w:highlight w:val="none"/>
        </w:rPr>
        <w:t>六、定</w:t>
      </w:r>
      <w:r>
        <w:rPr>
          <w:rFonts w:cs="仿宋_GB2312" w:asciiTheme="majorEastAsia" w:hAnsiTheme="majorEastAsia" w:eastAsiaTheme="majorEastAsia"/>
          <w:b/>
          <w:color w:val="auto"/>
          <w:sz w:val="36"/>
          <w:szCs w:val="36"/>
          <w:highlight w:val="none"/>
        </w:rPr>
        <w:t xml:space="preserve"> </w:t>
      </w:r>
      <w:r>
        <w:rPr>
          <w:rFonts w:hint="eastAsia" w:cs="仿宋_GB2312" w:asciiTheme="majorEastAsia" w:hAnsiTheme="majorEastAsia" w:eastAsiaTheme="majorEastAsia"/>
          <w:b/>
          <w:color w:val="auto"/>
          <w:sz w:val="36"/>
          <w:szCs w:val="36"/>
          <w:highlight w:val="none"/>
        </w:rPr>
        <w:t>标</w:t>
      </w:r>
      <w:bookmarkEnd w:id="22"/>
      <w:bookmarkEnd w:id="23"/>
      <w:bookmarkEnd w:id="24"/>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确定中标供应商</w:t>
      </w:r>
    </w:p>
    <w:p>
      <w:pPr>
        <w:pStyle w:val="113"/>
        <w:snapToGrid w:val="0"/>
        <w:ind w:firstLine="420" w:firstLineChars="175"/>
        <w:rPr>
          <w:rFonts w:cs="仿宋_GB2312" w:asciiTheme="majorEastAsia" w:hAnsiTheme="majorEastAsia" w:eastAsiaTheme="majorEastAsia"/>
          <w:b/>
          <w:color w:val="auto"/>
          <w:szCs w:val="24"/>
          <w:highlight w:val="none"/>
        </w:rPr>
      </w:pPr>
      <w:r>
        <w:rPr>
          <w:rFonts w:hint="eastAsia" w:cs="仿宋_GB2312" w:asciiTheme="majorEastAsia" w:hAnsiTheme="majorEastAsia" w:eastAsiaTheme="majorEastAsia"/>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中标通知与中标结果公告</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自中标人确定之日起2个工作日内，采购代理机构通过电子交易平台向中标人发出中标通知书，同时编制发布采购结果公告。采购代理机构也可以以纸质形式进行中标通知。</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中标结果公告内容包括采购人及其委托的采购代理机构的名称、地址、联系方式，项目名称和项目编号，中标人名称、地址和中标金额，主要中标标的的名称、规格型号、数量、单价、服务要求，开标记录、未中标情况说明、中标公告期限以及评审专家名单、评分汇总及明细。</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公告期限为1个工作日。</w:t>
      </w:r>
    </w:p>
    <w:p>
      <w:pPr>
        <w:rPr>
          <w:rFonts w:asciiTheme="majorEastAsia" w:hAnsiTheme="majorEastAsia" w:eastAsiaTheme="majorEastAsia"/>
          <w:color w:val="auto"/>
          <w:highlight w:val="none"/>
        </w:rPr>
      </w:pPr>
    </w:p>
    <w:p>
      <w:pPr>
        <w:snapToGrid w:val="0"/>
        <w:spacing w:line="360" w:lineRule="auto"/>
        <w:jc w:val="center"/>
        <w:outlineLvl w:val="1"/>
        <w:rPr>
          <w:rFonts w:cs="仿宋_GB2312" w:asciiTheme="majorEastAsia" w:hAnsiTheme="majorEastAsia" w:eastAsiaTheme="majorEastAsia"/>
          <w:b/>
          <w:color w:val="auto"/>
          <w:sz w:val="36"/>
          <w:szCs w:val="36"/>
          <w:highlight w:val="none"/>
        </w:rPr>
      </w:pPr>
      <w:bookmarkStart w:id="25" w:name="_Toc16906"/>
      <w:bookmarkStart w:id="26" w:name="_Toc12684"/>
      <w:r>
        <w:rPr>
          <w:rFonts w:hint="eastAsia" w:cs="仿宋_GB2312" w:asciiTheme="majorEastAsia" w:hAnsiTheme="majorEastAsia" w:eastAsiaTheme="majorEastAsia"/>
          <w:b/>
          <w:color w:val="auto"/>
          <w:sz w:val="36"/>
          <w:szCs w:val="36"/>
          <w:highlight w:val="none"/>
        </w:rPr>
        <w:t>七、合同授予</w:t>
      </w:r>
      <w:bookmarkEnd w:id="25"/>
      <w:bookmarkEnd w:id="26"/>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合同授予</w:t>
      </w:r>
    </w:p>
    <w:p>
      <w:pPr>
        <w:widowControl/>
        <w:shd w:val="clear" w:color="auto" w:fill="FFFFFF"/>
        <w:spacing w:line="360" w:lineRule="auto"/>
        <w:ind w:firstLine="420"/>
        <w:jc w:val="left"/>
        <w:rPr>
          <w:rFonts w:cs="仿宋_GB2312" w:asciiTheme="majorEastAsia" w:hAnsiTheme="majorEastAsia" w:eastAsiaTheme="majorEastAsia"/>
          <w:b/>
          <w:color w:val="auto"/>
          <w:highlight w:val="none"/>
        </w:rPr>
      </w:pPr>
      <w:r>
        <w:rPr>
          <w:rFonts w:hint="eastAsia" w:cs="仿宋_GB2312" w:asciiTheme="majorEastAsia" w:hAnsiTheme="majorEastAsia" w:eastAsiaTheme="majorEastAsia"/>
          <w:color w:val="auto"/>
          <w:sz w:val="24"/>
          <w:highlight w:val="none"/>
        </w:rPr>
        <w:t>合同主要条款详见第五部分拟签订的合同文本。</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合同的签订</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lang w:val="zh-CN"/>
        </w:rPr>
        <w:t>中标人按规定的日期、时间、地点，由法定代表人或其授权代表与采购人代表签订合同。如中标人为联合体的，由联合体成员各方法定代表人或其授权代表与采购人代表签订合同。</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如签订合同并生效后，供应商无故拒绝或延期，除按照合同条款处理外，列入不良行为记录一次，并给予通报。</w:t>
      </w:r>
    </w:p>
    <w:p>
      <w:pPr>
        <w:numPr>
          <w:ilvl w:val="1"/>
          <w:numId w:val="3"/>
        </w:numPr>
        <w:tabs>
          <w:tab w:val="left" w:pos="210"/>
          <w:tab w:val="left" w:pos="640"/>
        </w:tabs>
        <w:snapToGrid w:val="0"/>
        <w:spacing w:line="360" w:lineRule="auto"/>
        <w:ind w:left="629" w:hanging="629"/>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中标供应商拒绝与采购人签订合同的，采购人可以按照评审报告推荐的中标或者成交候选人名单排序，确定下一候选人为中标供应商，也可以重新开展政府采购活动。</w:t>
      </w:r>
    </w:p>
    <w:p>
      <w:pPr>
        <w:numPr>
          <w:ilvl w:val="1"/>
          <w:numId w:val="3"/>
        </w:numPr>
        <w:tabs>
          <w:tab w:val="left" w:pos="210"/>
          <w:tab w:val="left" w:pos="640"/>
        </w:tabs>
        <w:snapToGrid w:val="0"/>
        <w:spacing w:line="360" w:lineRule="auto"/>
        <w:ind w:left="629" w:hanging="629"/>
        <w:jc w:val="left"/>
        <w:rPr>
          <w:rFonts w:cs="仿宋_GB2312" w:asciiTheme="majorEastAsia" w:hAnsiTheme="majorEastAsia" w:eastAsiaTheme="majorEastAsia"/>
          <w:b/>
          <w:color w:val="auto"/>
          <w:highlight w:val="none"/>
        </w:rPr>
      </w:pPr>
      <w:r>
        <w:rPr>
          <w:rFonts w:hint="eastAsia" w:asciiTheme="majorEastAsia" w:hAnsiTheme="majorEastAsia" w:eastAsiaTheme="majorEastAsia"/>
          <w:bCs/>
          <w:color w:val="auto"/>
          <w:sz w:val="24"/>
          <w:highlight w:val="none"/>
          <w:lang w:val="zh-CN"/>
        </w:rPr>
        <w:t>采购合同由采购人与中标供应商根据招标文件、投标文件等内容通过政府采购电子交易平台在线签订，自动备案。</w:t>
      </w:r>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履约保证金</w:t>
      </w:r>
    </w:p>
    <w:p>
      <w:pPr>
        <w:numPr>
          <w:ilvl w:val="1"/>
          <w:numId w:val="3"/>
        </w:numPr>
        <w:tabs>
          <w:tab w:val="left" w:pos="210"/>
          <w:tab w:val="left" w:pos="640"/>
        </w:tabs>
        <w:snapToGrid w:val="0"/>
        <w:spacing w:line="360" w:lineRule="auto"/>
        <w:ind w:left="627" w:hanging="627"/>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拟签订的合同文本要求中标供应商提交履约保证金的，供应商应当以支票、汇票、本票或者金融机构、担保机构出具的保函等非现金形式提交。履约保证金的数额不得超过政府采购合同金额的</w:t>
      </w:r>
      <w:r>
        <w:rPr>
          <w:rFonts w:hint="eastAsia" w:asciiTheme="majorEastAsia" w:hAnsiTheme="majorEastAsia" w:eastAsiaTheme="majorEastAsia"/>
          <w:bCs/>
          <w:color w:val="auto"/>
          <w:sz w:val="24"/>
          <w:highlight w:val="none"/>
        </w:rPr>
        <w:t>1.0</w:t>
      </w:r>
      <w:r>
        <w:rPr>
          <w:rFonts w:hint="eastAsia" w:asciiTheme="majorEastAsia" w:hAnsiTheme="majorEastAsia" w:eastAsiaTheme="majorEastAsia"/>
          <w:bCs/>
          <w:color w:val="auto"/>
          <w:sz w:val="24"/>
          <w:highlight w:val="none"/>
          <w:lang w:val="zh-CN"/>
        </w:rPr>
        <w:t>%。鼓励和支持供应商以银行、保险公司出具的保函形式提供履约保证金。采购人不得拒收履约保函，项目验收结束后应及时退还，延迟退还的，应当按照合同约定和法律规定承担相应的赔偿责任。</w:t>
      </w:r>
    </w:p>
    <w:p>
      <w:pPr>
        <w:numPr>
          <w:ilvl w:val="1"/>
          <w:numId w:val="3"/>
        </w:numPr>
        <w:tabs>
          <w:tab w:val="left" w:pos="210"/>
          <w:tab w:val="left" w:pos="640"/>
        </w:tabs>
        <w:snapToGrid w:val="0"/>
        <w:spacing w:line="360" w:lineRule="auto"/>
        <w:ind w:left="627" w:hanging="627"/>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供应商</w:t>
      </w:r>
      <w:r>
        <w:rPr>
          <w:rFonts w:hint="eastAsia" w:asciiTheme="majorEastAsia" w:hAnsiTheme="majorEastAsia" w:eastAsiaTheme="majorEastAsia"/>
          <w:bCs/>
          <w:color w:val="auto"/>
          <w:sz w:val="24"/>
          <w:highlight w:val="none"/>
        </w:rPr>
        <w:t>可</w:t>
      </w:r>
      <w:r>
        <w:rPr>
          <w:rFonts w:hint="eastAsia" w:asciiTheme="majorEastAsia" w:hAnsiTheme="majorEastAsia" w:eastAsiaTheme="majorEastAsia"/>
          <w:bCs/>
          <w:color w:val="auto"/>
          <w:sz w:val="24"/>
          <w:highlight w:val="none"/>
          <w:lang w:val="zh-CN"/>
        </w:rPr>
        <w:t>登录政采云平台-【金融服务】—【我的项目】—【已备案合同】以保函形式提供：</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供应商在合同列表选择需要投保的合同，点击【保函推荐】。</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lang w:val="zh-CN"/>
        </w:rPr>
        <w:t>在弹框里查看推荐的保函产品，供应商自行选择保函产品，点击【立即申请】。</w:t>
      </w:r>
    </w:p>
    <w:p>
      <w:pPr>
        <w:numPr>
          <w:ilvl w:val="2"/>
          <w:numId w:val="3"/>
        </w:numPr>
        <w:tabs>
          <w:tab w:val="left" w:pos="210"/>
        </w:tabs>
        <w:snapToGrid w:val="0"/>
        <w:spacing w:line="360" w:lineRule="auto"/>
        <w:jc w:val="lef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lang w:val="zh-CN"/>
        </w:rPr>
        <w:t>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cs="仿宋_GB2312" w:asciiTheme="majorEastAsia" w:hAnsiTheme="majorEastAsia" w:eastAsiaTheme="majorEastAsia"/>
          <w:b/>
          <w:color w:val="auto"/>
          <w:sz w:val="32"/>
          <w:highlight w:val="none"/>
        </w:rPr>
      </w:pPr>
    </w:p>
    <w:p>
      <w:pPr>
        <w:snapToGrid w:val="0"/>
        <w:spacing w:line="360" w:lineRule="auto"/>
        <w:jc w:val="center"/>
        <w:outlineLvl w:val="1"/>
        <w:rPr>
          <w:rFonts w:cs="仿宋_GB2312" w:asciiTheme="majorEastAsia" w:hAnsiTheme="majorEastAsia" w:eastAsiaTheme="majorEastAsia"/>
          <w:b/>
          <w:color w:val="auto"/>
          <w:sz w:val="36"/>
          <w:szCs w:val="36"/>
          <w:highlight w:val="none"/>
        </w:rPr>
      </w:pPr>
      <w:bookmarkStart w:id="27" w:name="_Toc1544"/>
      <w:bookmarkStart w:id="28" w:name="_Toc23347"/>
      <w:bookmarkStart w:id="29" w:name="_Toc16710"/>
      <w:r>
        <w:rPr>
          <w:rFonts w:hint="eastAsia" w:cs="仿宋_GB2312" w:asciiTheme="majorEastAsia" w:hAnsiTheme="majorEastAsia" w:eastAsiaTheme="majorEastAsia"/>
          <w:b/>
          <w:color w:val="auto"/>
          <w:sz w:val="36"/>
          <w:szCs w:val="36"/>
          <w:highlight w:val="none"/>
        </w:rPr>
        <w:t>八、电子交易活动的中止</w:t>
      </w:r>
      <w:bookmarkEnd w:id="27"/>
      <w:bookmarkEnd w:id="28"/>
      <w:bookmarkEnd w:id="29"/>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电子交易活动的中止</w:t>
      </w:r>
    </w:p>
    <w:p>
      <w:pPr>
        <w:pStyle w:val="113"/>
        <w:snapToGrid w:val="0"/>
        <w:ind w:firstLine="480"/>
        <w:rPr>
          <w:rFonts w:cs="仿宋_GB2312"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采购过程中出现以下情形，导致电子交易平台无法正常运行，或者无法保证电子交易的公平、公正和安全时，采购代理机构可中止电子交易活动：</w:t>
      </w:r>
    </w:p>
    <w:p>
      <w:pPr>
        <w:numPr>
          <w:ilvl w:val="1"/>
          <w:numId w:val="3"/>
        </w:numPr>
        <w:tabs>
          <w:tab w:val="left" w:pos="210"/>
          <w:tab w:val="left" w:pos="640"/>
        </w:tabs>
        <w:snapToGrid w:val="0"/>
        <w:spacing w:line="360" w:lineRule="auto"/>
        <w:ind w:left="627" w:hanging="627"/>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 xml:space="preserve">电子交易平台发生故障而无法登录访问的； </w:t>
      </w:r>
    </w:p>
    <w:p>
      <w:pPr>
        <w:numPr>
          <w:ilvl w:val="1"/>
          <w:numId w:val="3"/>
        </w:numPr>
        <w:tabs>
          <w:tab w:val="left" w:pos="210"/>
          <w:tab w:val="left" w:pos="640"/>
        </w:tabs>
        <w:snapToGrid w:val="0"/>
        <w:spacing w:line="360" w:lineRule="auto"/>
        <w:ind w:left="627" w:hanging="627"/>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电子交易平台应用或数据库出现错误，不能进行正常操作的；</w:t>
      </w:r>
    </w:p>
    <w:p>
      <w:pPr>
        <w:numPr>
          <w:ilvl w:val="1"/>
          <w:numId w:val="3"/>
        </w:numPr>
        <w:tabs>
          <w:tab w:val="left" w:pos="210"/>
          <w:tab w:val="left" w:pos="640"/>
        </w:tabs>
        <w:snapToGrid w:val="0"/>
        <w:spacing w:line="360" w:lineRule="auto"/>
        <w:ind w:left="627" w:hanging="627"/>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电子交易平台发现严重安全漏洞，有潜在泄密危险的；</w:t>
      </w:r>
    </w:p>
    <w:p>
      <w:pPr>
        <w:numPr>
          <w:ilvl w:val="1"/>
          <w:numId w:val="3"/>
        </w:numPr>
        <w:tabs>
          <w:tab w:val="left" w:pos="210"/>
          <w:tab w:val="left" w:pos="640"/>
        </w:tabs>
        <w:snapToGrid w:val="0"/>
        <w:spacing w:line="360" w:lineRule="auto"/>
        <w:ind w:left="627" w:hanging="627"/>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 xml:space="preserve">病毒发作导致不能进行正常操作的； </w:t>
      </w:r>
    </w:p>
    <w:p>
      <w:pPr>
        <w:numPr>
          <w:ilvl w:val="1"/>
          <w:numId w:val="3"/>
        </w:numPr>
        <w:tabs>
          <w:tab w:val="left" w:pos="210"/>
          <w:tab w:val="left" w:pos="640"/>
        </w:tabs>
        <w:snapToGrid w:val="0"/>
        <w:spacing w:line="360" w:lineRule="auto"/>
        <w:ind w:left="627" w:hanging="627"/>
        <w:jc w:val="left"/>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其他无法保证电子交易的公平、公正和安全的情况。</w:t>
      </w:r>
    </w:p>
    <w:p>
      <w:pPr>
        <w:numPr>
          <w:ilvl w:val="0"/>
          <w:numId w:val="3"/>
        </w:numPr>
        <w:tabs>
          <w:tab w:val="left" w:pos="210"/>
        </w:tabs>
        <w:snapToGrid w:val="0"/>
        <w:spacing w:line="360" w:lineRule="auto"/>
        <w:ind w:left="403" w:hanging="403"/>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Theme="majorEastAsia" w:hAnsiTheme="majorEastAsia" w:eastAsiaTheme="majorEastAsia"/>
          <w:color w:val="auto"/>
          <w:sz w:val="24"/>
          <w:highlight w:val="none"/>
        </w:rPr>
      </w:pPr>
    </w:p>
    <w:p>
      <w:pPr>
        <w:snapToGrid w:val="0"/>
        <w:spacing w:line="360" w:lineRule="auto"/>
        <w:jc w:val="center"/>
        <w:outlineLvl w:val="1"/>
        <w:rPr>
          <w:rFonts w:cs="仿宋_GB2312" w:asciiTheme="majorEastAsia" w:hAnsiTheme="majorEastAsia" w:eastAsiaTheme="majorEastAsia"/>
          <w:b/>
          <w:color w:val="auto"/>
          <w:sz w:val="36"/>
          <w:szCs w:val="36"/>
          <w:highlight w:val="none"/>
        </w:rPr>
      </w:pPr>
      <w:bookmarkStart w:id="30" w:name="_Toc24279"/>
      <w:bookmarkStart w:id="31" w:name="_Toc1106"/>
      <w:bookmarkStart w:id="32" w:name="_Toc27801"/>
      <w:r>
        <w:rPr>
          <w:rFonts w:hint="eastAsia" w:cs="仿宋_GB2312" w:asciiTheme="majorEastAsia" w:hAnsiTheme="majorEastAsia" w:eastAsiaTheme="majorEastAsia"/>
          <w:b/>
          <w:color w:val="auto"/>
          <w:sz w:val="36"/>
          <w:szCs w:val="36"/>
          <w:highlight w:val="none"/>
        </w:rPr>
        <w:t>九、验收</w:t>
      </w:r>
      <w:bookmarkEnd w:id="30"/>
      <w:bookmarkEnd w:id="31"/>
      <w:bookmarkEnd w:id="32"/>
    </w:p>
    <w:p>
      <w:pPr>
        <w:numPr>
          <w:ilvl w:val="0"/>
          <w:numId w:val="3"/>
        </w:numPr>
        <w:tabs>
          <w:tab w:val="left" w:pos="210"/>
        </w:tabs>
        <w:snapToGrid w:val="0"/>
        <w:spacing w:line="360" w:lineRule="auto"/>
        <w:jc w:val="left"/>
        <w:outlineLvl w:val="2"/>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验收</w:t>
      </w:r>
    </w:p>
    <w:p>
      <w:pPr>
        <w:numPr>
          <w:ilvl w:val="1"/>
          <w:numId w:val="3"/>
        </w:numPr>
        <w:tabs>
          <w:tab w:val="left" w:pos="210"/>
          <w:tab w:val="left" w:pos="640"/>
        </w:tabs>
        <w:snapToGrid w:val="0"/>
        <w:spacing w:line="360" w:lineRule="auto"/>
        <w:ind w:left="627" w:hanging="627"/>
        <w:jc w:val="left"/>
        <w:outlineLvl w:val="2"/>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numPr>
          <w:ilvl w:val="1"/>
          <w:numId w:val="3"/>
        </w:numPr>
        <w:tabs>
          <w:tab w:val="left" w:pos="210"/>
          <w:tab w:val="left" w:pos="640"/>
        </w:tabs>
        <w:snapToGrid w:val="0"/>
        <w:spacing w:line="360" w:lineRule="auto"/>
        <w:ind w:left="627" w:hanging="627"/>
        <w:jc w:val="left"/>
        <w:outlineLvl w:val="2"/>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采购人可以邀请参加本项目的其他投标人或者第三方机构参与验收。参与验收的投标人或者第三方机构的意见作为验收书的参考资料一并存档。</w:t>
      </w:r>
    </w:p>
    <w:p>
      <w:pPr>
        <w:numPr>
          <w:ilvl w:val="1"/>
          <w:numId w:val="3"/>
        </w:numPr>
        <w:tabs>
          <w:tab w:val="left" w:pos="210"/>
          <w:tab w:val="left" w:pos="640"/>
        </w:tabs>
        <w:snapToGrid w:val="0"/>
        <w:spacing w:line="360" w:lineRule="auto"/>
        <w:ind w:left="627" w:hanging="627"/>
        <w:jc w:val="left"/>
        <w:outlineLvl w:val="2"/>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numPr>
          <w:ilvl w:val="1"/>
          <w:numId w:val="3"/>
        </w:numPr>
        <w:tabs>
          <w:tab w:val="left" w:pos="210"/>
          <w:tab w:val="left" w:pos="640"/>
        </w:tabs>
        <w:snapToGrid w:val="0"/>
        <w:spacing w:line="360" w:lineRule="auto"/>
        <w:ind w:left="627" w:hanging="627"/>
        <w:jc w:val="left"/>
        <w:outlineLvl w:val="2"/>
        <w:rPr>
          <w:rFonts w:asciiTheme="majorEastAsia" w:hAnsiTheme="majorEastAsia" w:eastAsiaTheme="majorEastAsia"/>
          <w:bCs/>
          <w:color w:val="auto"/>
          <w:sz w:val="24"/>
          <w:highlight w:val="none"/>
          <w:lang w:val="zh-CN"/>
        </w:rPr>
      </w:pPr>
      <w:r>
        <w:rPr>
          <w:rFonts w:hint="eastAsia" w:asciiTheme="majorEastAsia" w:hAnsiTheme="majorEastAsia" w:eastAsiaTheme="majorEastAsia"/>
          <w:bCs/>
          <w:color w:val="auto"/>
          <w:sz w:val="24"/>
          <w:highlight w:val="none"/>
          <w:lang w:val="zh-CN"/>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18"/>
        <w:rPr>
          <w:rFonts w:cs="仿宋" w:asciiTheme="majorEastAsia" w:hAnsiTheme="majorEastAsia" w:eastAsiaTheme="majorEastAsia"/>
          <w:color w:val="auto"/>
          <w:highlight w:val="none"/>
        </w:rPr>
      </w:pPr>
    </w:p>
    <w:p>
      <w:pPr>
        <w:adjustRightInd w:val="0"/>
        <w:snapToGrid w:val="0"/>
        <w:spacing w:beforeLines="50" w:afterLines="50" w:line="360" w:lineRule="auto"/>
        <w:jc w:val="center"/>
        <w:outlineLvl w:val="0"/>
        <w:rPr>
          <w:rFonts w:cs="仿宋" w:asciiTheme="majorEastAsia" w:hAnsiTheme="majorEastAsia" w:eastAsiaTheme="majorEastAsia"/>
          <w:color w:val="auto"/>
          <w:sz w:val="36"/>
          <w:highlight w:val="none"/>
        </w:rPr>
      </w:pPr>
      <w:r>
        <w:rPr>
          <w:rFonts w:hint="eastAsia" w:cs="仿宋" w:asciiTheme="majorEastAsia" w:hAnsiTheme="majorEastAsia" w:eastAsiaTheme="majorEastAsia"/>
          <w:b/>
          <w:bCs/>
          <w:color w:val="auto"/>
          <w:sz w:val="28"/>
          <w:szCs w:val="21"/>
          <w:highlight w:val="none"/>
        </w:rPr>
        <w:br w:type="page"/>
      </w:r>
      <w:bookmarkStart w:id="33" w:name="_Toc31190"/>
      <w:bookmarkStart w:id="34" w:name="_Toc242012796"/>
      <w:bookmarkStart w:id="35" w:name="_Toc83616202"/>
      <w:bookmarkStart w:id="36" w:name="_Toc30869"/>
      <w:r>
        <w:rPr>
          <w:rFonts w:hint="eastAsia" w:cs="仿宋" w:asciiTheme="majorEastAsia" w:hAnsiTheme="majorEastAsia" w:eastAsiaTheme="majorEastAsia"/>
          <w:b/>
          <w:color w:val="auto"/>
          <w:sz w:val="30"/>
          <w:szCs w:val="30"/>
          <w:highlight w:val="none"/>
        </w:rPr>
        <w:t>第三部分</w:t>
      </w:r>
      <w:bookmarkEnd w:id="33"/>
      <w:bookmarkEnd w:id="34"/>
      <w:bookmarkEnd w:id="35"/>
      <w:r>
        <w:rPr>
          <w:rFonts w:hint="eastAsia" w:cs="仿宋" w:asciiTheme="majorEastAsia" w:hAnsiTheme="majorEastAsia" w:eastAsiaTheme="majorEastAsia"/>
          <w:b/>
          <w:color w:val="auto"/>
          <w:sz w:val="30"/>
          <w:szCs w:val="30"/>
          <w:highlight w:val="none"/>
        </w:rPr>
        <w:t xml:space="preserve">  采购需求</w:t>
      </w:r>
      <w:bookmarkEnd w:id="36"/>
    </w:p>
    <w:p>
      <w:pPr>
        <w:pStyle w:val="4"/>
        <w:spacing w:before="120" w:after="120" w:line="360" w:lineRule="auto"/>
        <w:rPr>
          <w:rFonts w:cs="仿宋" w:asciiTheme="majorEastAsia" w:hAnsiTheme="majorEastAsia" w:eastAsiaTheme="majorEastAsia"/>
          <w:color w:val="auto"/>
          <w:sz w:val="24"/>
          <w:szCs w:val="24"/>
          <w:highlight w:val="none"/>
        </w:rPr>
      </w:pPr>
      <w:bookmarkStart w:id="37" w:name="_Toc22655"/>
      <w:bookmarkStart w:id="38" w:name="_Toc418846105"/>
      <w:bookmarkStart w:id="39" w:name="_Toc2569"/>
      <w:bookmarkStart w:id="40" w:name="_Toc30857"/>
      <w:bookmarkStart w:id="41" w:name="_Toc5161"/>
      <w:bookmarkStart w:id="42" w:name="_Toc306304665"/>
      <w:bookmarkStart w:id="43" w:name="_Toc12471"/>
      <w:bookmarkStart w:id="44" w:name="_Toc203558307"/>
      <w:bookmarkStart w:id="45" w:name="_Toc194983818"/>
      <w:bookmarkStart w:id="46" w:name="_Toc342633574"/>
      <w:r>
        <w:rPr>
          <w:rFonts w:hint="eastAsia" w:cs="仿宋" w:asciiTheme="majorEastAsia" w:hAnsiTheme="majorEastAsia" w:eastAsiaTheme="majorEastAsia"/>
          <w:color w:val="auto"/>
          <w:sz w:val="24"/>
          <w:szCs w:val="24"/>
          <w:highlight w:val="none"/>
        </w:rPr>
        <w:t>一、项目概况</w:t>
      </w:r>
      <w:bookmarkEnd w:id="37"/>
      <w:bookmarkEnd w:id="38"/>
      <w:bookmarkEnd w:id="39"/>
      <w:bookmarkEnd w:id="40"/>
      <w:bookmarkEnd w:id="41"/>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1、项目名称：十二工段以南500米的监测断面水质提升和十八工段闸口监测断面水质提升项目</w:t>
      </w:r>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2、项目地点：按采购人指定地点。</w:t>
      </w:r>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3、实施期限：整体服务期为2年。具体时间根据采购人要求安排。</w:t>
      </w:r>
    </w:p>
    <w:p>
      <w:pPr>
        <w:pStyle w:val="4"/>
        <w:spacing w:before="120" w:after="120" w:line="360" w:lineRule="auto"/>
        <w:rPr>
          <w:rFonts w:cs="仿宋" w:asciiTheme="majorEastAsia" w:hAnsiTheme="majorEastAsia" w:eastAsiaTheme="majorEastAsia"/>
          <w:color w:val="auto"/>
          <w:sz w:val="24"/>
          <w:szCs w:val="24"/>
          <w:highlight w:val="none"/>
        </w:rPr>
      </w:pPr>
      <w:bookmarkStart w:id="47" w:name="_Toc6499"/>
      <w:bookmarkStart w:id="48" w:name="_Toc5012"/>
      <w:bookmarkStart w:id="49" w:name="_Toc6550"/>
      <w:r>
        <w:rPr>
          <w:rFonts w:hint="eastAsia" w:cs="仿宋" w:asciiTheme="majorEastAsia" w:hAnsiTheme="majorEastAsia" w:eastAsiaTheme="majorEastAsia"/>
          <w:color w:val="auto"/>
          <w:sz w:val="24"/>
          <w:szCs w:val="24"/>
          <w:highlight w:val="none"/>
        </w:rPr>
        <w:t>二</w:t>
      </w:r>
      <w:bookmarkEnd w:id="47"/>
      <w:r>
        <w:rPr>
          <w:rFonts w:hint="eastAsia" w:cs="仿宋" w:asciiTheme="majorEastAsia" w:hAnsiTheme="majorEastAsia" w:eastAsiaTheme="majorEastAsia"/>
          <w:color w:val="auto"/>
          <w:sz w:val="24"/>
          <w:szCs w:val="24"/>
          <w:highlight w:val="none"/>
        </w:rPr>
        <w:t>、</w:t>
      </w:r>
      <w:bookmarkEnd w:id="48"/>
      <w:bookmarkEnd w:id="49"/>
      <w:r>
        <w:rPr>
          <w:rFonts w:hint="eastAsia" w:cs="仿宋_GB2312" w:asciiTheme="minorEastAsia" w:hAnsiTheme="minorEastAsia" w:eastAsiaTheme="minorEastAsia"/>
          <w:color w:val="auto"/>
          <w:sz w:val="24"/>
          <w:highlight w:val="none"/>
        </w:rPr>
        <w:t>十二工段以南500米的监测断面水质提升</w:t>
      </w:r>
      <w:r>
        <w:rPr>
          <w:rFonts w:hint="eastAsia" w:cs="仿宋" w:asciiTheme="majorEastAsia" w:hAnsiTheme="majorEastAsia" w:eastAsiaTheme="majorEastAsia"/>
          <w:color w:val="auto"/>
          <w:sz w:val="24"/>
          <w:szCs w:val="24"/>
          <w:highlight w:val="none"/>
        </w:rPr>
        <w:t>需求</w:t>
      </w:r>
    </w:p>
    <w:p>
      <w:pPr>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1、项目背景</w:t>
      </w:r>
    </w:p>
    <w:p>
      <w:pPr>
        <w:spacing w:line="360" w:lineRule="auto"/>
        <w:ind w:firstLine="480" w:firstLineChars="200"/>
        <w:jc w:val="left"/>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rPr>
        <w:t>本项目位于钱塘区东部，靠近钱塘江，项目沿线存在工业和畜禽养殖企业、农村、农田、水产养殖区域等，目前沿线工业和畜禽养殖企业污水已经全部纳管，但仍有部分农村生活污水、农田种植污染水体及水产养殖污染水体排入沿线河道，水质逐年变差，部分段有异味，给周边百姓生活带来一定困扰，生活环境质量受到了严重的影响</w:t>
      </w:r>
      <w:r>
        <w:rPr>
          <w:rFonts w:hint="eastAsia" w:cs="仿宋_GB2312" w:asciiTheme="minorEastAsia" w:hAnsiTheme="minorEastAsia" w:eastAsiaTheme="minorEastAsia"/>
          <w:color w:val="auto"/>
          <w:sz w:val="24"/>
          <w:highlight w:val="none"/>
          <w:lang w:eastAsia="zh-CN"/>
        </w:rPr>
        <w:t>。</w:t>
      </w:r>
    </w:p>
    <w:p>
      <w:pPr>
        <w:pStyle w:val="5"/>
        <w:rPr>
          <w:rFonts w:hint="eastAsia"/>
          <w:color w:val="auto"/>
          <w:highlight w:val="none"/>
          <w:lang w:eastAsia="zh-CN"/>
        </w:rPr>
      </w:pPr>
      <w:r>
        <w:rPr>
          <w:rFonts w:cs="仿宋_GB2312" w:asciiTheme="minorEastAsia" w:hAnsiTheme="minorEastAsia" w:eastAsiaTheme="minorEastAsia"/>
          <w:color w:val="auto"/>
          <w:sz w:val="24"/>
          <w:highlight w:val="none"/>
        </w:rPr>
        <w:drawing>
          <wp:anchor distT="0" distB="0" distL="0" distR="0" simplePos="0" relativeHeight="251666432" behindDoc="1" locked="0" layoutInCell="1" allowOverlap="1">
            <wp:simplePos x="0" y="0"/>
            <wp:positionH relativeFrom="column">
              <wp:posOffset>1795145</wp:posOffset>
            </wp:positionH>
            <wp:positionV relativeFrom="paragraph">
              <wp:posOffset>-1487170</wp:posOffset>
            </wp:positionV>
            <wp:extent cx="1958975" cy="5413375"/>
            <wp:effectExtent l="0" t="0" r="15875" b="3175"/>
            <wp:wrapTight wrapText="bothSides">
              <wp:wrapPolygon>
                <wp:start x="21600" y="0"/>
                <wp:lineTo x="175" y="0"/>
                <wp:lineTo x="175" y="21511"/>
                <wp:lineTo x="21600" y="21511"/>
                <wp:lineTo x="21600" y="0"/>
              </wp:wrapPolygon>
            </wp:wrapTight>
            <wp:docPr id="267625634" name="图片 26762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25634" name="图片 267625634"/>
                    <pic:cNvPicPr>
                      <a:picLocks noChangeAspect="1"/>
                    </pic:cNvPicPr>
                  </pic:nvPicPr>
                  <pic:blipFill>
                    <a:blip r:embed="rId14" cstate="print"/>
                    <a:stretch>
                      <a:fillRect/>
                    </a:stretch>
                  </pic:blipFill>
                  <pic:spPr>
                    <a:xfrm rot="16200000">
                      <a:off x="0" y="0"/>
                      <a:ext cx="1958975" cy="5413375"/>
                    </a:xfrm>
                    <a:prstGeom prst="rect">
                      <a:avLst/>
                    </a:prstGeom>
                  </pic:spPr>
                </pic:pic>
              </a:graphicData>
            </a:graphic>
          </wp:anchor>
        </w:drawing>
      </w:r>
    </w:p>
    <w:p>
      <w:pPr>
        <w:spacing w:line="360" w:lineRule="auto"/>
        <w:ind w:firstLine="480" w:firstLineChars="200"/>
        <w:jc w:val="center"/>
        <w:rPr>
          <w:rFonts w:cs="仿宋_GB2312" w:asciiTheme="minorEastAsia" w:hAnsiTheme="minorEastAsia" w:eastAsiaTheme="minorEastAsia"/>
          <w:color w:val="auto"/>
          <w:sz w:val="24"/>
          <w:highlight w:val="none"/>
        </w:rPr>
      </w:pPr>
    </w:p>
    <w:p>
      <w:pPr>
        <w:spacing w:line="360" w:lineRule="auto"/>
        <w:ind w:firstLine="480" w:firstLineChars="200"/>
        <w:jc w:val="left"/>
        <w:rPr>
          <w:rFonts w:cs="仿宋_GB2312" w:asciiTheme="minorEastAsia" w:hAnsiTheme="minorEastAsia" w:eastAsiaTheme="minorEastAsia"/>
          <w:color w:val="auto"/>
          <w:sz w:val="24"/>
          <w:highlight w:val="none"/>
        </w:rPr>
      </w:pPr>
      <w:r>
        <w:rPr>
          <w:rFonts w:cs="仿宋_GB2312" w:asciiTheme="minorEastAsia" w:hAnsiTheme="minorEastAsia" w:eastAsiaTheme="minorEastAsia"/>
          <w:color w:val="auto"/>
          <w:sz w:val="24"/>
          <w:highlight w:val="none"/>
        </w:rPr>
        <w:t>2</w:t>
      </w:r>
      <w:r>
        <w:rPr>
          <w:rFonts w:hint="eastAsia" w:cs="仿宋_GB2312" w:asciiTheme="minorEastAsia" w:hAnsiTheme="minorEastAsia" w:eastAsiaTheme="minorEastAsia"/>
          <w:color w:val="auto"/>
          <w:sz w:val="24"/>
          <w:highlight w:val="none"/>
        </w:rPr>
        <w:t>、项目范围</w:t>
      </w:r>
    </w:p>
    <w:p>
      <w:pPr>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十二工段以南500米的监测断面水质提升主要对十二工段以南500米的监测断面1km范围内河道进行生态治理，主要采取充氧曝气、水生植物种植、建立柔性多孔生态基、除磷滤料及投加生态修复剂的治理措施</w:t>
      </w:r>
    </w:p>
    <w:p>
      <w:pPr>
        <w:pStyle w:val="18"/>
        <w:spacing w:line="360" w:lineRule="auto"/>
        <w:ind w:firstLine="480" w:firstLineChars="2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3、现状污染物情况</w:t>
      </w:r>
    </w:p>
    <w:p>
      <w:pPr>
        <w:pStyle w:val="19"/>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农田种植污染</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十工段直河（5.2万亩南横河-北新河）段：</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本段西岸无农田种植污染源输入；东岸农田种植面积108.79万m2，污染物排放量为COD24.09t/a、氨氮4.82t/a、总磷0.08t/a。</w:t>
      </w:r>
    </w:p>
    <w:p>
      <w:pPr>
        <w:spacing w:line="360" w:lineRule="auto"/>
        <w:ind w:firstLine="480" w:firstLineChars="200"/>
        <w:jc w:val="left"/>
        <w:rPr>
          <w:rFonts w:cs="仿宋_GB2312" w:asciiTheme="minorEastAsia" w:hAnsiTheme="minorEastAsia" w:eastAsiaTheme="minorEastAsia"/>
          <w:color w:val="auto"/>
          <w:sz w:val="24"/>
          <w:highlight w:val="none"/>
        </w:rPr>
      </w:pPr>
    </w:p>
    <w:p>
      <w:pPr>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w:t>
      </w:r>
      <w:r>
        <w:rPr>
          <w:rFonts w:cs="仿宋_GB2312" w:asciiTheme="minorEastAsia" w:hAnsiTheme="minorEastAsia" w:eastAsiaTheme="minorEastAsia"/>
          <w:color w:val="auto"/>
          <w:sz w:val="24"/>
          <w:highlight w:val="none"/>
        </w:rPr>
        <w:t>.2</w:t>
      </w:r>
      <w:r>
        <w:rPr>
          <w:rFonts w:hint="eastAsia" w:cs="仿宋_GB2312" w:asciiTheme="minorEastAsia" w:hAnsiTheme="minorEastAsia" w:eastAsiaTheme="minorEastAsia"/>
          <w:color w:val="auto"/>
          <w:sz w:val="24"/>
          <w:highlight w:val="none"/>
        </w:rPr>
        <w:t>、水产养殖污染</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西岸无水产养殖污染源输入；</w:t>
      </w:r>
    </w:p>
    <w:p>
      <w:pPr>
        <w:pStyle w:val="18"/>
        <w:spacing w:line="360" w:lineRule="auto"/>
        <w:ind w:firstLine="480" w:firstLineChars="20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东岸水产养殖面积66.97万m2，污染物排放量为COD11.12t/a、氨氮0.23t/a、总磷0.03t/a。</w:t>
      </w:r>
    </w:p>
    <w:p>
      <w:pPr>
        <w:spacing w:line="360" w:lineRule="auto"/>
        <w:ind w:firstLine="480" w:firstLineChars="200"/>
        <w:jc w:val="left"/>
        <w:rPr>
          <w:rFonts w:cs="仿宋_GB2312" w:asciiTheme="minorEastAsia" w:hAnsiTheme="minorEastAsia" w:eastAsiaTheme="minorEastAsia"/>
          <w:color w:val="auto"/>
          <w:sz w:val="24"/>
          <w:highlight w:val="none"/>
        </w:rPr>
      </w:pPr>
    </w:p>
    <w:p>
      <w:pPr>
        <w:spacing w:line="360" w:lineRule="auto"/>
        <w:ind w:firstLine="480" w:firstLineChars="200"/>
        <w:jc w:val="left"/>
        <w:rPr>
          <w:rFonts w:asciiTheme="minorEastAsia" w:hAnsiTheme="minorEastAsia" w:eastAsiaTheme="minorEastAsia"/>
          <w:color w:val="auto"/>
          <w:sz w:val="24"/>
          <w:highlight w:val="none"/>
        </w:rPr>
      </w:pPr>
      <w:r>
        <w:rPr>
          <w:rFonts w:cs="仿宋_GB2312" w:asciiTheme="minorEastAsia" w:hAnsiTheme="minorEastAsia" w:eastAsiaTheme="minorEastAsia"/>
          <w:color w:val="auto"/>
          <w:sz w:val="24"/>
          <w:highlight w:val="none"/>
        </w:rPr>
        <w:drawing>
          <wp:anchor distT="0" distB="0" distL="0" distR="0" simplePos="0" relativeHeight="251665408" behindDoc="0" locked="0" layoutInCell="1" allowOverlap="1">
            <wp:simplePos x="0" y="0"/>
            <wp:positionH relativeFrom="column">
              <wp:posOffset>1122680</wp:posOffset>
            </wp:positionH>
            <wp:positionV relativeFrom="paragraph">
              <wp:posOffset>-621030</wp:posOffset>
            </wp:positionV>
            <wp:extent cx="2877820" cy="5413375"/>
            <wp:effectExtent l="8572" t="0" r="7303" b="7302"/>
            <wp:wrapTopAndBottom/>
            <wp:docPr id="416566523" name="图片 41656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66523" name="图片 416566523"/>
                    <pic:cNvPicPr>
                      <a:picLocks noChangeAspect="1"/>
                    </pic:cNvPicPr>
                  </pic:nvPicPr>
                  <pic:blipFill>
                    <a:blip r:embed="rId15" cstate="print"/>
                    <a:stretch>
                      <a:fillRect/>
                    </a:stretch>
                  </pic:blipFill>
                  <pic:spPr>
                    <a:xfrm rot="16200000">
                      <a:off x="0" y="0"/>
                      <a:ext cx="2879501" cy="5416454"/>
                    </a:xfrm>
                    <a:prstGeom prst="rect">
                      <a:avLst/>
                    </a:prstGeom>
                  </pic:spPr>
                </pic:pic>
              </a:graphicData>
            </a:graphic>
          </wp:anchor>
        </w:drawing>
      </w:r>
      <w:r>
        <w:rPr>
          <w:rFonts w:asciiTheme="minorEastAsia" w:hAnsiTheme="minorEastAsia" w:eastAsiaTheme="minorEastAsia"/>
          <w:color w:val="auto"/>
          <w:sz w:val="24"/>
          <w:highlight w:val="none"/>
        </w:rPr>
        <w:t>3.3</w:t>
      </w:r>
      <w:r>
        <w:rPr>
          <w:rFonts w:hint="eastAsia" w:asciiTheme="minorEastAsia" w:hAnsiTheme="minorEastAsia" w:eastAsiaTheme="minorEastAsia"/>
          <w:color w:val="auto"/>
          <w:sz w:val="24"/>
          <w:highlight w:val="none"/>
        </w:rPr>
        <w:t>、现状问题总结</w:t>
      </w:r>
    </w:p>
    <w:p>
      <w:pPr>
        <w:pStyle w:val="18"/>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3.3.1</w:t>
      </w:r>
      <w:r>
        <w:rPr>
          <w:rFonts w:hint="eastAsia" w:asciiTheme="minorEastAsia" w:hAnsiTheme="minorEastAsia" w:eastAsiaTheme="minorEastAsia"/>
          <w:color w:val="auto"/>
          <w:sz w:val="24"/>
          <w:highlight w:val="none"/>
        </w:rPr>
        <w:t>、十二工段以南500米监测断面水体受总磷、氨氮的污染严重；</w:t>
      </w:r>
    </w:p>
    <w:p>
      <w:pPr>
        <w:pStyle w:val="18"/>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3.3.2</w:t>
      </w:r>
      <w:r>
        <w:rPr>
          <w:rFonts w:hint="eastAsia" w:asciiTheme="minorEastAsia" w:hAnsiTheme="minorEastAsia" w:eastAsiaTheme="minorEastAsia"/>
          <w:color w:val="auto"/>
          <w:sz w:val="24"/>
          <w:highlight w:val="none"/>
        </w:rPr>
        <w:t>十二工段以南500米监测断面水体生态系统失衡，水体透明度低，水体自净能力较差，水质不达标；</w:t>
      </w:r>
    </w:p>
    <w:p>
      <w:pPr>
        <w:pStyle w:val="18"/>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3.3.3</w:t>
      </w:r>
      <w:r>
        <w:rPr>
          <w:rFonts w:hint="eastAsia" w:asciiTheme="minorEastAsia" w:hAnsiTheme="minorEastAsia" w:eastAsiaTheme="minorEastAsia"/>
          <w:color w:val="auto"/>
          <w:sz w:val="24"/>
          <w:highlight w:val="none"/>
        </w:rPr>
        <w:t>十二工段以南500米监测断面水体溶解氧不足；</w:t>
      </w:r>
    </w:p>
    <w:p>
      <w:pPr>
        <w:pStyle w:val="18"/>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3.3.4</w:t>
      </w:r>
      <w:r>
        <w:rPr>
          <w:rFonts w:hint="eastAsia" w:asciiTheme="minorEastAsia" w:hAnsiTheme="minorEastAsia" w:eastAsiaTheme="minorEastAsia"/>
          <w:color w:val="auto"/>
          <w:sz w:val="24"/>
          <w:highlight w:val="none"/>
        </w:rPr>
        <w:t>十二工段以南500米监测断面整体景观较差。</w:t>
      </w:r>
    </w:p>
    <w:p>
      <w:pPr>
        <w:pStyle w:val="19"/>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3.4</w:t>
      </w:r>
      <w:r>
        <w:rPr>
          <w:rFonts w:hint="eastAsia" w:asciiTheme="minorEastAsia" w:hAnsiTheme="minorEastAsia" w:eastAsiaTheme="minorEastAsia"/>
          <w:color w:val="auto"/>
          <w:sz w:val="24"/>
          <w:highlight w:val="none"/>
        </w:rPr>
        <w:t>、历史水质分析</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从十二工段以南500米监测断面的历史监测数据可以看出，自2021年~2022年年均水质不能稳定达到V类水质标准，部分月份水质存在劣V类水质情况，超标因子主要为氨氮和总磷。根据2021年1月~2022年12月十二工段以南500米监测断面各月份水质监测数据统计，III类水质月份占12%；IV类水质月份占25%；V类水质月份占42%；劣V类水质月份占21%。</w:t>
      </w:r>
    </w:p>
    <w:p>
      <w:pPr>
        <w:pStyle w:val="19"/>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4、水生态修复方案基本原理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生态修复既是水环境治理的有效手段，又是水环境治理的最终目的。</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水生态恢复自净的关键问题：生态平衡，实现水域生态系统中生产者（水生植物）、消费者（鱼类等）、分解者（微生物）合理配置。</w:t>
      </w:r>
    </w:p>
    <w:p>
      <w:pPr>
        <w:pStyle w:val="18"/>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drawing>
          <wp:inline distT="0" distB="0" distL="0" distR="0">
            <wp:extent cx="5257800" cy="3240405"/>
            <wp:effectExtent l="0" t="0" r="0" b="0"/>
            <wp:docPr id="637182582" name="图片 63718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82582" name="图片 637182582"/>
                    <pic:cNvPicPr>
                      <a:picLocks noChangeAspect="1"/>
                    </pic:cNvPicPr>
                  </pic:nvPicPr>
                  <pic:blipFill>
                    <a:blip r:embed="rId16" cstate="print"/>
                    <a:stretch>
                      <a:fillRect/>
                    </a:stretch>
                  </pic:blipFill>
                  <pic:spPr>
                    <a:xfrm>
                      <a:off x="0" y="0"/>
                      <a:ext cx="5261332" cy="3242688"/>
                    </a:xfrm>
                    <a:prstGeom prst="rect">
                      <a:avLst/>
                    </a:prstGeom>
                  </pic:spPr>
                </pic:pic>
              </a:graphicData>
            </a:graphic>
          </wp:inline>
        </w:drawing>
      </w:r>
    </w:p>
    <w:p>
      <w:pPr>
        <w:pStyle w:val="19"/>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drawing>
          <wp:inline distT="0" distB="0" distL="0" distR="0">
            <wp:extent cx="5507990" cy="3772535"/>
            <wp:effectExtent l="0" t="0" r="0" b="0"/>
            <wp:docPr id="1429501796" name="图片 1429501796"/>
            <wp:cNvGraphicFramePr/>
            <a:graphic xmlns:a="http://schemas.openxmlformats.org/drawingml/2006/main">
              <a:graphicData uri="http://schemas.openxmlformats.org/drawingml/2006/picture">
                <pic:pic xmlns:pic="http://schemas.openxmlformats.org/drawingml/2006/picture">
                  <pic:nvPicPr>
                    <pic:cNvPr id="1429501796" name="图片 1429501796"/>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507990" cy="3772535"/>
                    </a:xfrm>
                    <a:prstGeom prst="rect">
                      <a:avLst/>
                    </a:prstGeom>
                    <a:noFill/>
                    <a:ln>
                      <a:noFill/>
                    </a:ln>
                  </pic:spPr>
                </pic:pic>
              </a:graphicData>
            </a:graphic>
          </wp:inline>
        </w:drawing>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基于本项目存在的水质差、生态系统失衡等主要问题，本着以“维护良好水质、增加水体生态经济效益”为目标，以“生态、服务，净化，利用”为最终目标，采用生态修复为主，其他手段为辅，从前期工程、强化预处理、水生态系统构建和水动力改善等方面开展水环境治理。</w:t>
      </w:r>
    </w:p>
    <w:p>
      <w:pPr>
        <w:pStyle w:val="18"/>
        <w:spacing w:line="360" w:lineRule="auto"/>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5、水生态修复方案技术目标</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实施项目生态修复，改善周边水环境质量；</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构建水生态系统，提高项目水体生态自净能力，提升水体感观。</w:t>
      </w:r>
    </w:p>
    <w:p>
      <w:pPr>
        <w:pStyle w:val="19"/>
        <w:spacing w:line="360" w:lineRule="auto"/>
        <w:ind w:firstLine="480" w:firstLineChars="200"/>
        <w:rPr>
          <w:rFonts w:asciiTheme="minorEastAsia" w:hAnsiTheme="minorEastAsia" w:eastAsiaTheme="minorEastAsia"/>
          <w:b/>
          <w:bCs/>
          <w:color w:val="auto"/>
          <w:sz w:val="24"/>
          <w:highlight w:val="none"/>
        </w:rPr>
      </w:pPr>
      <w:r>
        <w:rPr>
          <w:rFonts w:asciiTheme="minorEastAsia" w:hAnsiTheme="minorEastAsia" w:eastAsiaTheme="minorEastAsia"/>
          <w:color w:val="auto"/>
          <w:sz w:val="24"/>
          <w:highlight w:val="none"/>
        </w:rPr>
        <w:t>5.3</w:t>
      </w:r>
      <w:r>
        <w:rPr>
          <w:rFonts w:hint="eastAsia" w:asciiTheme="minorEastAsia" w:hAnsiTheme="minorEastAsia" w:eastAsiaTheme="minorEastAsia"/>
          <w:color w:val="auto"/>
          <w:sz w:val="24"/>
          <w:highlight w:val="none"/>
        </w:rPr>
        <w:t>水体主要营养盐指标COD</w:t>
      </w:r>
      <w:r>
        <w:rPr>
          <w:rFonts w:hint="eastAsia" w:asciiTheme="minorEastAsia" w:hAnsiTheme="minorEastAsia" w:eastAsiaTheme="minorEastAsia"/>
          <w:color w:val="auto"/>
          <w:sz w:val="24"/>
          <w:highlight w:val="none"/>
          <w:vertAlign w:val="subscript"/>
        </w:rPr>
        <w:t>Mn</w:t>
      </w:r>
      <w:r>
        <w:rPr>
          <w:rFonts w:hint="eastAsia" w:asciiTheme="minorEastAsia" w:hAnsiTheme="minorEastAsia" w:eastAsiaTheme="minorEastAsia"/>
          <w:color w:val="auto"/>
          <w:sz w:val="24"/>
          <w:highlight w:val="none"/>
        </w:rPr>
        <w:t>、NH</w:t>
      </w:r>
      <w:r>
        <w:rPr>
          <w:rFonts w:hint="eastAsia" w:asciiTheme="minorEastAsia" w:hAnsiTheme="minorEastAsia" w:eastAsiaTheme="minorEastAsia"/>
          <w:color w:val="auto"/>
          <w:sz w:val="24"/>
          <w:highlight w:val="none"/>
          <w:vertAlign w:val="subscript"/>
        </w:rPr>
        <w:t>3</w:t>
      </w:r>
      <w:r>
        <w:rPr>
          <w:rFonts w:hint="eastAsia" w:asciiTheme="minorEastAsia" w:hAnsiTheme="minorEastAsia" w:eastAsiaTheme="minorEastAsia"/>
          <w:color w:val="auto"/>
          <w:sz w:val="24"/>
          <w:highlight w:val="none"/>
        </w:rPr>
        <w:t>-N、TP、DO值等满足《地表水环境质量标准》（GB3838-2002）</w:t>
      </w:r>
      <w:r>
        <w:rPr>
          <w:rFonts w:hint="eastAsia" w:asciiTheme="minorEastAsia" w:hAnsiTheme="minorEastAsia" w:eastAsiaTheme="minorEastAsia"/>
          <w:b/>
          <w:bCs/>
          <w:color w:val="auto"/>
          <w:sz w:val="24"/>
          <w:highlight w:val="none"/>
        </w:rPr>
        <w:t>IV类标准.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水色: 无黑臭、无蓝绿藻爆发，非雨季无“泥黄色混浊态”.</w:t>
      </w:r>
    </w:p>
    <w:p>
      <w:pPr>
        <w:pStyle w:val="18"/>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5.5</w:t>
      </w:r>
      <w:r>
        <w:rPr>
          <w:rFonts w:hint="eastAsia" w:asciiTheme="minorEastAsia" w:hAnsiTheme="minorEastAsia" w:eastAsiaTheme="minorEastAsia"/>
          <w:color w:val="auto"/>
          <w:sz w:val="24"/>
          <w:highlight w:val="none"/>
        </w:rPr>
        <w:t>水味：无恶臭味、无腥臭味等，水体散发自然的河流气息</w:t>
      </w:r>
    </w:p>
    <w:p>
      <w:pPr>
        <w:pStyle w:val="19"/>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.6</w:t>
      </w:r>
      <w:r>
        <w:rPr>
          <w:rFonts w:hint="eastAsia" w:asciiTheme="minorEastAsia" w:hAnsiTheme="minorEastAsia" w:eastAsiaTheme="minorEastAsia"/>
          <w:color w:val="auto"/>
          <w:sz w:val="24"/>
          <w:highlight w:val="none"/>
        </w:rPr>
        <w:t>水草覆盖：生态系统构建后，沉水植物覆盖率高，水生植物保持四季常绿，显著提升水体景观；</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.7</w:t>
      </w:r>
      <w:r>
        <w:rPr>
          <w:rFonts w:hint="eastAsia" w:asciiTheme="minorEastAsia" w:hAnsiTheme="minorEastAsia" w:eastAsiaTheme="minorEastAsia"/>
          <w:color w:val="auto"/>
          <w:sz w:val="24"/>
          <w:highlight w:val="none"/>
        </w:rPr>
        <w:t>、系统稳定性：水体实施生态修复和构建后，能形成长效自净功能，长久保持健康的生态系统和良好的水质。</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6、水质提升范围、措施</w:t>
      </w:r>
    </w:p>
    <w:p>
      <w:pPr>
        <w:pStyle w:val="19"/>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本次提升范围水域面积约45000㎡，水生植种植范围为4500㎡</w:t>
      </w:r>
    </w:p>
    <w:p>
      <w:pPr>
        <w:spacing w:line="360" w:lineRule="auto"/>
        <w:ind w:firstLine="480" w:firstLineChars="200"/>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drawing>
          <wp:inline distT="0" distB="0" distL="0" distR="0">
            <wp:extent cx="2134235" cy="4978400"/>
            <wp:effectExtent l="6668" t="0" r="6032" b="6033"/>
            <wp:docPr id="412357572" name="图片 41235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57572" name="图片 412357572"/>
                    <pic:cNvPicPr>
                      <a:picLocks noChangeAspect="1"/>
                    </pic:cNvPicPr>
                  </pic:nvPicPr>
                  <pic:blipFill>
                    <a:blip r:embed="rId18" cstate="print"/>
                    <a:srcRect l="31879" r="29343"/>
                    <a:stretch>
                      <a:fillRect/>
                    </a:stretch>
                  </pic:blipFill>
                  <pic:spPr>
                    <a:xfrm rot="16200000">
                      <a:off x="0" y="0"/>
                      <a:ext cx="2137380" cy="4985550"/>
                    </a:xfrm>
                    <a:prstGeom prst="rect">
                      <a:avLst/>
                    </a:prstGeom>
                    <a:noFill/>
                    <a:ln w="9525">
                      <a:noFill/>
                    </a:ln>
                  </pic:spPr>
                </pic:pic>
              </a:graphicData>
            </a:graphic>
          </wp:inline>
        </w:drawing>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种植</w:t>
      </w:r>
      <w:r>
        <w:rPr>
          <w:rFonts w:hint="eastAsia" w:asciiTheme="minorEastAsia" w:hAnsiTheme="minorEastAsia" w:eastAsiaTheme="minorEastAsia"/>
          <w:b/>
          <w:bCs/>
          <w:color w:val="auto"/>
          <w:sz w:val="24"/>
          <w:highlight w:val="none"/>
        </w:rPr>
        <w:t>沉水植物</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沉水植物能直接吸收水体中的TN、TP，减少风浪对水体和底泥的扰动，固定底泥、控制内源污染，大面积水生植物区域可抑制藻类的生长。配置水生植物时，按照以下原则进行植物选择：</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Ø 具有良好的生态适应力和生态构建功能；</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Ø 耐污能力和抗寒能力强；</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Ø 抗病虫害能力强；</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Ø 选用本地乡土物种；</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Ø 根系发达，对底质有固定作用</w:t>
      </w:r>
    </w:p>
    <w:p>
      <w:pPr>
        <w:pStyle w:val="19"/>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水质在线检测</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为及时了解河道水质情况，在河道重要断面设置水质在线监测设备：9项监测指标：PH值、溶解氧、氨氮、总氮、总磷、CODmn、电导率、水温、浊度。</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曝气充氧措施</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1、充氧曝气设施以提水式曝气（喷泉式）为主；</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、曝气设施的水柱喷射高度不宜超过1米；</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.3、充氧曝气设施采用间隔布置，相邻设施间距可在300~500米；</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.4、汛期来临前应提前进行加固或拆卸保护。</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.5</w:t>
      </w:r>
      <w:r>
        <w:rPr>
          <w:rFonts w:hint="eastAsia" w:asciiTheme="minorEastAsia" w:hAnsiTheme="minorEastAsia" w:eastAsiaTheme="minorEastAsia"/>
          <w:b/>
          <w:bCs/>
          <w:color w:val="auto"/>
          <w:sz w:val="24"/>
          <w:highlight w:val="none"/>
        </w:rPr>
        <w:t>除磷滤料措施</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除磷滤料采用镀锌钢网筐均匀地放置在河道内，在河底打桩固定。除磷滤料均匀的放置在河底，有利于水体和滤料充分接触；且放置在河岸两侧的滤料距离河岸0.5米，并低于水面0.5米，滤料和河岸之间为河水，因此河水能够进入除磷滤料内部，和除磷滤料能够充分接触并释放出Ca2+和OH-，与磷充分结合生成磷酸盐。</w:t>
      </w:r>
    </w:p>
    <w:p>
      <w:pPr>
        <w:pStyle w:val="19"/>
        <w:spacing w:line="360"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drawing>
          <wp:inline distT="0" distB="0" distL="0" distR="0">
            <wp:extent cx="2999105" cy="5414645"/>
            <wp:effectExtent l="0" t="7620" r="3175" b="3175"/>
            <wp:docPr id="609820124" name="图片 60982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20124" name="图片 609820124"/>
                    <pic:cNvPicPr>
                      <a:picLocks noChangeAspect="1"/>
                    </pic:cNvPicPr>
                  </pic:nvPicPr>
                  <pic:blipFill>
                    <a:blip r:embed="rId18" cstate="print"/>
                    <a:srcRect l="31879" r="29343"/>
                    <a:stretch>
                      <a:fillRect/>
                    </a:stretch>
                  </pic:blipFill>
                  <pic:spPr>
                    <a:xfrm rot="16200000">
                      <a:off x="0" y="0"/>
                      <a:ext cx="2999105" cy="5414645"/>
                    </a:xfrm>
                    <a:prstGeom prst="rect">
                      <a:avLst/>
                    </a:prstGeom>
                    <a:noFill/>
                    <a:ln w="9525">
                      <a:noFill/>
                    </a:ln>
                  </pic:spPr>
                </pic:pic>
              </a:graphicData>
            </a:graphic>
          </wp:inline>
        </w:drawing>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.6</w:t>
      </w:r>
      <w:r>
        <w:rPr>
          <w:rFonts w:hint="eastAsia" w:asciiTheme="minorEastAsia" w:hAnsiTheme="minorEastAsia" w:eastAsiaTheme="minorEastAsia"/>
          <w:color w:val="auto"/>
          <w:sz w:val="24"/>
          <w:highlight w:val="none"/>
        </w:rPr>
        <w:t>行洪排涝措施</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根据现场踏勘实际情况，水位浮动较大，即浮岛浮床位置整体向河道中心建设</w:t>
      </w:r>
    </w:p>
    <w:p>
      <w:pPr>
        <w:pStyle w:val="19"/>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7、日常运营管理</w:t>
      </w:r>
    </w:p>
    <w:p>
      <w:pPr>
        <w:pStyle w:val="19"/>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良好的日常运营管养可维持综合治理效果的长效优质呈现；及时发现事故苗头，及时处理，防止不良态势蔓延，有效避免紧急状况的发生</w:t>
      </w:r>
    </w:p>
    <w:p>
      <w:pPr>
        <w:pStyle w:val="19"/>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8、预计完成项目所需清单</w:t>
      </w:r>
    </w:p>
    <w:tbl>
      <w:tblPr>
        <w:tblStyle w:val="45"/>
        <w:tblW w:w="9667" w:type="dxa"/>
        <w:tblInd w:w="0" w:type="dxa"/>
        <w:tblLayout w:type="autofit"/>
        <w:tblCellMar>
          <w:top w:w="0" w:type="dxa"/>
          <w:left w:w="0" w:type="dxa"/>
          <w:bottom w:w="0" w:type="dxa"/>
          <w:right w:w="0" w:type="dxa"/>
        </w:tblCellMar>
      </w:tblPr>
      <w:tblGrid>
        <w:gridCol w:w="724"/>
        <w:gridCol w:w="1848"/>
        <w:gridCol w:w="567"/>
        <w:gridCol w:w="709"/>
        <w:gridCol w:w="5819"/>
      </w:tblGrid>
      <w:tr>
        <w:tblPrEx>
          <w:tblCellMar>
            <w:top w:w="0" w:type="dxa"/>
            <w:left w:w="0" w:type="dxa"/>
            <w:bottom w:w="0" w:type="dxa"/>
            <w:right w:w="0" w:type="dxa"/>
          </w:tblCellMar>
        </w:tblPrEx>
        <w:trPr>
          <w:trHeight w:val="267"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序号</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工程或费用名称</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规模</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单位</w:t>
            </w:r>
          </w:p>
        </w:tc>
        <w:tc>
          <w:tcPr>
            <w:tcW w:w="581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备注</w:t>
            </w:r>
          </w:p>
        </w:tc>
      </w:tr>
      <w:tr>
        <w:tblPrEx>
          <w:tblCellMar>
            <w:top w:w="0" w:type="dxa"/>
            <w:left w:w="0" w:type="dxa"/>
            <w:bottom w:w="0" w:type="dxa"/>
            <w:right w:w="0" w:type="dxa"/>
          </w:tblCellMar>
        </w:tblPrEx>
        <w:trPr>
          <w:trHeight w:val="31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1</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充氧曝气设备</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4</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套</w:t>
            </w:r>
          </w:p>
        </w:tc>
        <w:tc>
          <w:tcPr>
            <w:tcW w:w="581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含</w:t>
            </w:r>
            <w:r>
              <w:rPr>
                <w:color w:val="auto"/>
                <w:highlight w:val="none"/>
              </w:rPr>
              <w:t>2.2kw增氧泵、喷头、固定装置</w:t>
            </w:r>
          </w:p>
        </w:tc>
      </w:tr>
      <w:tr>
        <w:tblPrEx>
          <w:tblCellMar>
            <w:top w:w="0" w:type="dxa"/>
            <w:left w:w="0" w:type="dxa"/>
            <w:bottom w:w="0" w:type="dxa"/>
            <w:right w:w="0" w:type="dxa"/>
          </w:tblCellMar>
        </w:tblPrEx>
        <w:trPr>
          <w:trHeight w:val="312"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2</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水生植物种植</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4500</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m</w:t>
            </w:r>
            <w:r>
              <w:rPr>
                <w:color w:val="auto"/>
                <w:highlight w:val="none"/>
                <w:vertAlign w:val="superscript"/>
              </w:rPr>
              <w:t>2</w:t>
            </w:r>
          </w:p>
        </w:tc>
        <w:tc>
          <w:tcPr>
            <w:tcW w:w="581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含挺水植物（美人蕉、鸢尾、菖蒲等）和沉水植物（苦草、黑藻等）</w:t>
            </w:r>
          </w:p>
        </w:tc>
      </w:tr>
      <w:tr>
        <w:tblPrEx>
          <w:tblCellMar>
            <w:top w:w="0" w:type="dxa"/>
            <w:left w:w="0" w:type="dxa"/>
            <w:bottom w:w="0" w:type="dxa"/>
            <w:right w:w="0" w:type="dxa"/>
          </w:tblCellMar>
        </w:tblPrEx>
        <w:trPr>
          <w:trHeight w:val="55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3</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微生物在线工厂</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4</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台</w:t>
            </w:r>
          </w:p>
        </w:tc>
        <w:tc>
          <w:tcPr>
            <w:tcW w:w="581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含微生物发酵系统（包括发酵罐控制系统、灭菌系统等）、投加系统等</w:t>
            </w:r>
          </w:p>
        </w:tc>
      </w:tr>
      <w:tr>
        <w:tblPrEx>
          <w:tblCellMar>
            <w:top w:w="0" w:type="dxa"/>
            <w:left w:w="0" w:type="dxa"/>
            <w:bottom w:w="0" w:type="dxa"/>
            <w:right w:w="0" w:type="dxa"/>
          </w:tblCellMar>
        </w:tblPrEx>
        <w:trPr>
          <w:trHeight w:val="55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4</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柔性多孔生态基</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52</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帘</w:t>
            </w:r>
          </w:p>
        </w:tc>
        <w:tc>
          <w:tcPr>
            <w:tcW w:w="581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降解水体中有机物和氨氮</w:t>
            </w:r>
          </w:p>
        </w:tc>
      </w:tr>
      <w:tr>
        <w:tblPrEx>
          <w:tblCellMar>
            <w:top w:w="0" w:type="dxa"/>
            <w:left w:w="0" w:type="dxa"/>
            <w:bottom w:w="0" w:type="dxa"/>
            <w:right w:w="0" w:type="dxa"/>
          </w:tblCellMar>
        </w:tblPrEx>
        <w:trPr>
          <w:trHeight w:val="31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5</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生态修复剂</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200</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kg</w:t>
            </w:r>
          </w:p>
        </w:tc>
        <w:tc>
          <w:tcPr>
            <w:tcW w:w="581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主要成分为高效络合剂、增效剂、吸附剂、表面活性剂、氧化剂、高铁聚物等，水剂，有效成分≥10%</w:t>
            </w:r>
          </w:p>
        </w:tc>
      </w:tr>
      <w:tr>
        <w:tblPrEx>
          <w:tblCellMar>
            <w:top w:w="0" w:type="dxa"/>
            <w:left w:w="0" w:type="dxa"/>
            <w:bottom w:w="0" w:type="dxa"/>
            <w:right w:w="0" w:type="dxa"/>
          </w:tblCellMar>
        </w:tblPrEx>
        <w:trPr>
          <w:trHeight w:val="787"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6</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除磷滤料</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50</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m</w:t>
            </w:r>
            <w:r>
              <w:rPr>
                <w:color w:val="auto"/>
                <w:highlight w:val="none"/>
                <w:vertAlign w:val="superscript"/>
              </w:rPr>
              <w:t>3</w:t>
            </w:r>
          </w:p>
        </w:tc>
        <w:tc>
          <w:tcPr>
            <w:tcW w:w="581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多孔材料，有效含量30%，含网筐及桩基</w:t>
            </w:r>
          </w:p>
        </w:tc>
      </w:tr>
      <w:tr>
        <w:tblPrEx>
          <w:tblCellMar>
            <w:top w:w="0" w:type="dxa"/>
            <w:left w:w="0" w:type="dxa"/>
            <w:bottom w:w="0" w:type="dxa"/>
            <w:right w:w="0" w:type="dxa"/>
          </w:tblCellMar>
        </w:tblPrEx>
        <w:trPr>
          <w:trHeight w:val="31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7</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水质在线监测</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点位</w:t>
            </w:r>
          </w:p>
        </w:tc>
        <w:tc>
          <w:tcPr>
            <w:tcW w:w="581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含系统及设备，</w:t>
            </w:r>
            <w:r>
              <w:rPr>
                <w:color w:val="auto"/>
                <w:highlight w:val="none"/>
              </w:rPr>
              <w:t>9项监测指标：PH值、溶解氧、氨氮、总氮、总磷、CODmn、电导率、水温、浊度。</w:t>
            </w:r>
          </w:p>
        </w:tc>
      </w:tr>
      <w:tr>
        <w:tblPrEx>
          <w:tblCellMar>
            <w:top w:w="0" w:type="dxa"/>
            <w:left w:w="0" w:type="dxa"/>
            <w:bottom w:w="0" w:type="dxa"/>
            <w:right w:w="0" w:type="dxa"/>
          </w:tblCellMar>
        </w:tblPrEx>
        <w:trPr>
          <w:trHeight w:val="31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1</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水质保障服务</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24</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次</w:t>
            </w:r>
          </w:p>
        </w:tc>
        <w:tc>
          <w:tcPr>
            <w:tcW w:w="581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断面水质检测，断面水质提升服务</w:t>
            </w:r>
          </w:p>
        </w:tc>
      </w:tr>
      <w:tr>
        <w:tblPrEx>
          <w:tblCellMar>
            <w:top w:w="0" w:type="dxa"/>
            <w:left w:w="0" w:type="dxa"/>
            <w:bottom w:w="0" w:type="dxa"/>
            <w:right w:w="0" w:type="dxa"/>
          </w:tblCellMar>
        </w:tblPrEx>
        <w:trPr>
          <w:trHeight w:val="31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1</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水生植物运维</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4500</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m</w:t>
            </w:r>
            <w:r>
              <w:rPr>
                <w:color w:val="auto"/>
                <w:highlight w:val="none"/>
                <w:vertAlign w:val="superscript"/>
              </w:rPr>
              <w:t>2</w:t>
            </w:r>
          </w:p>
        </w:tc>
        <w:tc>
          <w:tcPr>
            <w:tcW w:w="581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浮床：DN50PE管框架、DN50PE弯头、尼龙网、DN25镀锌钢管</w:t>
            </w:r>
          </w:p>
          <w:p>
            <w:pPr>
              <w:pStyle w:val="18"/>
              <w:rPr>
                <w:color w:val="auto"/>
                <w:highlight w:val="none"/>
              </w:rPr>
            </w:pPr>
            <w:r>
              <w:rPr>
                <w:rFonts w:hint="eastAsia"/>
                <w:color w:val="auto"/>
                <w:highlight w:val="none"/>
              </w:rPr>
              <w:t>浮岛：DN50PE管框架、DN50PE弯头、30*30cm浮块、DN25镀锌钢管等</w:t>
            </w:r>
          </w:p>
        </w:tc>
      </w:tr>
      <w:tr>
        <w:tblPrEx>
          <w:tblCellMar>
            <w:top w:w="0" w:type="dxa"/>
            <w:left w:w="0" w:type="dxa"/>
            <w:bottom w:w="0" w:type="dxa"/>
            <w:right w:w="0" w:type="dxa"/>
          </w:tblCellMar>
        </w:tblPrEx>
        <w:trPr>
          <w:trHeight w:val="1024"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2</w:t>
            </w:r>
          </w:p>
        </w:tc>
        <w:tc>
          <w:tcPr>
            <w:tcW w:w="184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设备运维</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color w:val="auto"/>
                <w:highlight w:val="none"/>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项</w:t>
            </w:r>
          </w:p>
        </w:tc>
        <w:tc>
          <w:tcPr>
            <w:tcW w:w="581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18"/>
              <w:rPr>
                <w:color w:val="auto"/>
                <w:highlight w:val="none"/>
              </w:rPr>
            </w:pPr>
            <w:r>
              <w:rPr>
                <w:rFonts w:hint="eastAsia"/>
                <w:color w:val="auto"/>
                <w:highlight w:val="none"/>
              </w:rPr>
              <w:t>微生物在线工厂、在线监测设备及喷泉维护</w:t>
            </w:r>
          </w:p>
        </w:tc>
      </w:tr>
    </w:tbl>
    <w:p>
      <w:pPr>
        <w:pStyle w:val="18"/>
        <w:rPr>
          <w:color w:val="auto"/>
          <w:highlight w:val="none"/>
        </w:rPr>
      </w:pPr>
    </w:p>
    <w:p>
      <w:pPr>
        <w:pStyle w:val="4"/>
        <w:spacing w:before="120" w:after="120" w:line="360" w:lineRule="auto"/>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三、</w:t>
      </w:r>
      <w:r>
        <w:rPr>
          <w:rFonts w:hint="eastAsia" w:cs="仿宋_GB2312" w:asciiTheme="minorEastAsia" w:hAnsiTheme="minorEastAsia" w:eastAsiaTheme="minorEastAsia"/>
          <w:color w:val="auto"/>
          <w:sz w:val="24"/>
          <w:highlight w:val="none"/>
        </w:rPr>
        <w:t>十八工段闸口监测断面水质提升</w:t>
      </w:r>
      <w:r>
        <w:rPr>
          <w:rFonts w:hint="eastAsia" w:cs="仿宋" w:asciiTheme="majorEastAsia" w:hAnsiTheme="majorEastAsia" w:eastAsiaTheme="majorEastAsia"/>
          <w:color w:val="auto"/>
          <w:sz w:val="24"/>
          <w:szCs w:val="24"/>
          <w:highlight w:val="none"/>
        </w:rPr>
        <w:t>需求</w:t>
      </w:r>
    </w:p>
    <w:p>
      <w:pPr>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1、项目背景</w:t>
      </w:r>
    </w:p>
    <w:p>
      <w:pPr>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位于钱塘区东部，靠近钱塘江，项目沿线存在工业和畜禽养殖企业、农村、农田、水产养殖区域等，目前沿线工业和畜禽养殖企业污水已经全部纳管，但仍有部分农村生活污水、农田种植污染水体及水产养殖污染水体排入沿线河道，水质逐年变差，部分段有异味，给周边百姓生活带来一定困扰，生活环境质量受到了严重的影响。</w:t>
      </w:r>
    </w:p>
    <w:p>
      <w:pPr>
        <w:spacing w:line="360" w:lineRule="auto"/>
        <w:ind w:firstLine="480" w:firstLineChars="200"/>
        <w:jc w:val="left"/>
        <w:rPr>
          <w:rFonts w:cs="仿宋_GB2312" w:asciiTheme="minorEastAsia" w:hAnsiTheme="minorEastAsia" w:eastAsiaTheme="minorEastAsia"/>
          <w:color w:val="auto"/>
          <w:sz w:val="24"/>
          <w:highlight w:val="none"/>
        </w:rPr>
      </w:pPr>
      <w:r>
        <w:rPr>
          <w:rFonts w:cs="仿宋_GB2312" w:asciiTheme="minorEastAsia" w:hAnsiTheme="minorEastAsia" w:eastAsiaTheme="minorEastAsia"/>
          <w:color w:val="auto"/>
          <w:sz w:val="24"/>
          <w:highlight w:val="none"/>
        </w:rPr>
        <w:t>2</w:t>
      </w:r>
      <w:r>
        <w:rPr>
          <w:rFonts w:hint="eastAsia" w:cs="仿宋_GB2312" w:asciiTheme="minorEastAsia" w:hAnsiTheme="minorEastAsia" w:eastAsiaTheme="minorEastAsia"/>
          <w:color w:val="auto"/>
          <w:sz w:val="24"/>
          <w:highlight w:val="none"/>
        </w:rPr>
        <w:t>、项目范围</w:t>
      </w:r>
    </w:p>
    <w:p>
      <w:pPr>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主要对十八工段闸口监测断面1km范围内河道进行生态治理，主要采取充氧曝气、水生植物种植、建立柔性多孔生态基、除磷滤料及投加生态修复剂的治理措施</w:t>
      </w:r>
    </w:p>
    <w:p>
      <w:pPr>
        <w:pStyle w:val="18"/>
        <w:spacing w:line="360" w:lineRule="auto"/>
        <w:ind w:firstLine="480" w:firstLineChars="2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3、现状污染物情况</w:t>
      </w:r>
    </w:p>
    <w:p>
      <w:pPr>
        <w:pStyle w:val="19"/>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农田种植污染</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（1）围垦段干流：</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北岸农田种植面积37.86万m2，污染物排放量为COD8.38t/a、氨氮1.68t/a、总磷0.03t/a；南岸农田种植面积100.37万m2，污染物排放量为COD22.22t/a、氨氮4.44t/a、总磷0.08t/a。</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（2）围垦段支流：</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农田种植污染的支流是5.2万亩西直河，农田种植面积33.90万m2，污染物排放量为COD7.51t/a、氨氮1.50t/a、总磷0.03t/a。</w:t>
      </w:r>
    </w:p>
    <w:p>
      <w:pPr>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drawing>
          <wp:inline distT="0" distB="0" distL="0" distR="0">
            <wp:extent cx="5414010" cy="3006725"/>
            <wp:effectExtent l="0" t="0" r="0" b="3175"/>
            <wp:docPr id="924366732" name="图片 92436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66732" name="图片 924366732"/>
                    <pic:cNvPicPr>
                      <a:picLocks noChangeAspect="1"/>
                    </pic:cNvPicPr>
                  </pic:nvPicPr>
                  <pic:blipFill>
                    <a:blip r:embed="rId19" cstate="print"/>
                    <a:stretch>
                      <a:fillRect/>
                    </a:stretch>
                  </pic:blipFill>
                  <pic:spPr>
                    <a:xfrm>
                      <a:off x="0" y="0"/>
                      <a:ext cx="5414400" cy="3006908"/>
                    </a:xfrm>
                    <a:prstGeom prst="rect">
                      <a:avLst/>
                    </a:prstGeom>
                  </pic:spPr>
                </pic:pic>
              </a:graphicData>
            </a:graphic>
          </wp:inline>
        </w:drawing>
      </w:r>
    </w:p>
    <w:p>
      <w:pPr>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w:t>
      </w:r>
      <w:r>
        <w:rPr>
          <w:rFonts w:cs="仿宋_GB2312" w:asciiTheme="minorEastAsia" w:hAnsiTheme="minorEastAsia" w:eastAsiaTheme="minorEastAsia"/>
          <w:color w:val="auto"/>
          <w:sz w:val="24"/>
          <w:highlight w:val="none"/>
        </w:rPr>
        <w:t>.2</w:t>
      </w:r>
      <w:r>
        <w:rPr>
          <w:rFonts w:hint="eastAsia" w:cs="仿宋_GB2312" w:asciiTheme="minorEastAsia" w:hAnsiTheme="minorEastAsia" w:eastAsiaTheme="minorEastAsia"/>
          <w:color w:val="auto"/>
          <w:sz w:val="24"/>
          <w:highlight w:val="none"/>
        </w:rPr>
        <w:t>、水产养殖污染</w:t>
      </w:r>
    </w:p>
    <w:p>
      <w:pPr>
        <w:pStyle w:val="18"/>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（1）围垦段干流：</w:t>
      </w:r>
    </w:p>
    <w:p>
      <w:pPr>
        <w:pStyle w:val="18"/>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北岸水产养殖面积107.12万m2，污染物排放量为COD17.79t/a、氨氮0.37t/a、总磷0.05t/a；</w:t>
      </w:r>
    </w:p>
    <w:p>
      <w:pPr>
        <w:pStyle w:val="18"/>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南岸水产养殖面积150.89万m2，污染物排放量为COD25.05t/a、氨氮0.53t/a、总磷0.08t/a。</w:t>
      </w:r>
    </w:p>
    <w:p>
      <w:pPr>
        <w:pStyle w:val="18"/>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（2）围垦段支流：</w:t>
      </w:r>
    </w:p>
    <w:p>
      <w:pPr>
        <w:pStyle w:val="18"/>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5.2万亩西直河水产养殖面积85.16万m2，污染物排放量为COD14.14t/a、氨氮0.30t/a、总磷0.04t/a。</w:t>
      </w:r>
    </w:p>
    <w:p>
      <w:pPr>
        <w:pStyle w:val="18"/>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5.2万亩中心直河水产养殖面积75.15万m2，污染物排放量为COD12.48t/a、氨氮0.26t/a、总磷0.04t/a。</w:t>
      </w:r>
    </w:p>
    <w:p>
      <w:pPr>
        <w:pStyle w:val="18"/>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5.2万亩东直河水产养殖面积36.02万m2，污染物排放量为COD5.98t/a、氨氮0.13t/a、总磷0.02t/a。</w:t>
      </w:r>
    </w:p>
    <w:p>
      <w:pPr>
        <w:pStyle w:val="18"/>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1.9万亩沿塘河水产养殖面积87.34万m2，污染物排放量为COD14.50t/a、氨氮0.0.30t/a、总磷0.04t/a。</w:t>
      </w:r>
    </w:p>
    <w:p>
      <w:pPr>
        <w:spacing w:line="360" w:lineRule="auto"/>
        <w:ind w:firstLine="480" w:firstLineChars="200"/>
        <w:jc w:val="left"/>
        <w:rPr>
          <w:rFonts w:cs="仿宋_GB2312" w:asciiTheme="minorEastAsia" w:hAnsiTheme="minorEastAsia" w:eastAsiaTheme="minorEastAsia"/>
          <w:color w:val="auto"/>
          <w:sz w:val="24"/>
          <w:highlight w:val="none"/>
        </w:rPr>
      </w:pPr>
      <w:r>
        <w:rPr>
          <w:rFonts w:cs="仿宋_GB2312" w:asciiTheme="minorEastAsia" w:hAnsiTheme="minorEastAsia" w:eastAsiaTheme="minorEastAsia"/>
          <w:color w:val="auto"/>
          <w:sz w:val="24"/>
          <w:highlight w:val="none"/>
        </w:rPr>
        <w:drawing>
          <wp:inline distT="0" distB="0" distL="0" distR="0">
            <wp:extent cx="5414010" cy="3040380"/>
            <wp:effectExtent l="0" t="0" r="0" b="7620"/>
            <wp:docPr id="1385326891" name="图片 138532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26891" name="图片 1385326891"/>
                    <pic:cNvPicPr>
                      <a:picLocks noChangeAspect="1"/>
                    </pic:cNvPicPr>
                  </pic:nvPicPr>
                  <pic:blipFill>
                    <a:blip r:embed="rId20" cstate="print"/>
                    <a:stretch>
                      <a:fillRect/>
                    </a:stretch>
                  </pic:blipFill>
                  <pic:spPr>
                    <a:xfrm>
                      <a:off x="0" y="0"/>
                      <a:ext cx="5414400" cy="3040696"/>
                    </a:xfrm>
                    <a:prstGeom prst="rect">
                      <a:avLst/>
                    </a:prstGeom>
                  </pic:spPr>
                </pic:pic>
              </a:graphicData>
            </a:graphic>
          </wp:inline>
        </w:drawing>
      </w:r>
    </w:p>
    <w:p>
      <w:pPr>
        <w:spacing w:line="360" w:lineRule="auto"/>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3.3</w:t>
      </w:r>
      <w:r>
        <w:rPr>
          <w:rFonts w:hint="eastAsia" w:asciiTheme="minorEastAsia" w:hAnsiTheme="minorEastAsia" w:eastAsiaTheme="minorEastAsia"/>
          <w:color w:val="auto"/>
          <w:sz w:val="24"/>
          <w:highlight w:val="none"/>
        </w:rPr>
        <w:t>、工业和畜禽养殖企业排水</w:t>
      </w:r>
    </w:p>
    <w:p>
      <w:pPr>
        <w:pStyle w:val="18"/>
        <w:spacing w:line="360" w:lineRule="auto"/>
        <w:ind w:firstLine="420" w:firstLineChars="200"/>
        <w:rPr>
          <w:rFonts w:asciiTheme="minorEastAsia" w:hAnsiTheme="minorEastAsia" w:eastAsiaTheme="minorEastAsia"/>
          <w:color w:val="auto"/>
          <w:sz w:val="24"/>
          <w:highlight w:val="none"/>
        </w:rPr>
      </w:pPr>
      <w:r>
        <w:rPr>
          <w:color w:val="auto"/>
          <w:highlight w:val="none"/>
        </w:rPr>
        <w:drawing>
          <wp:inline distT="0" distB="0" distL="0" distR="0">
            <wp:extent cx="4972050" cy="2781300"/>
            <wp:effectExtent l="0" t="0" r="0" b="0"/>
            <wp:docPr id="1661600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00893" name="图片 1"/>
                    <pic:cNvPicPr>
                      <a:picLocks noChangeAspect="1"/>
                    </pic:cNvPicPr>
                  </pic:nvPicPr>
                  <pic:blipFill>
                    <a:blip r:embed="rId21" cstate="print"/>
                    <a:stretch>
                      <a:fillRect/>
                    </a:stretch>
                  </pic:blipFill>
                  <pic:spPr>
                    <a:xfrm>
                      <a:off x="0" y="0"/>
                      <a:ext cx="4972050" cy="2781300"/>
                    </a:xfrm>
                    <a:prstGeom prst="rect">
                      <a:avLst/>
                    </a:prstGeom>
                  </pic:spPr>
                </pic:pic>
              </a:graphicData>
            </a:graphic>
          </wp:inline>
        </w:drawing>
      </w:r>
    </w:p>
    <w:p>
      <w:pPr>
        <w:pStyle w:val="19"/>
        <w:rPr>
          <w:color w:val="auto"/>
          <w:highlight w:val="none"/>
        </w:rPr>
      </w:pPr>
      <w:r>
        <w:rPr>
          <w:color w:val="auto"/>
          <w:highlight w:val="none"/>
        </w:rPr>
        <w:drawing>
          <wp:inline distT="0" distB="0" distL="0" distR="0">
            <wp:extent cx="4977130" cy="2565400"/>
            <wp:effectExtent l="0" t="0" r="0" b="6350"/>
            <wp:docPr id="1790088257" name="图片 179008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88257" name="图片 1790088257"/>
                    <pic:cNvPicPr>
                      <a:picLocks noChangeAspect="1"/>
                    </pic:cNvPicPr>
                  </pic:nvPicPr>
                  <pic:blipFill>
                    <a:blip r:embed="rId22" cstate="print"/>
                    <a:stretch>
                      <a:fillRect/>
                    </a:stretch>
                  </pic:blipFill>
                  <pic:spPr>
                    <a:xfrm>
                      <a:off x="0" y="0"/>
                      <a:ext cx="4984737" cy="2569191"/>
                    </a:xfrm>
                    <a:prstGeom prst="rect">
                      <a:avLst/>
                    </a:prstGeom>
                  </pic:spPr>
                </pic:pic>
              </a:graphicData>
            </a:graphic>
          </wp:inline>
        </w:drawing>
      </w:r>
    </w:p>
    <w:p>
      <w:pPr>
        <w:pStyle w:val="19"/>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3.4</w:t>
      </w:r>
      <w:r>
        <w:rPr>
          <w:rFonts w:hint="eastAsia" w:asciiTheme="minorEastAsia" w:hAnsiTheme="minorEastAsia" w:eastAsiaTheme="minorEastAsia"/>
          <w:color w:val="auto"/>
          <w:sz w:val="24"/>
          <w:highlight w:val="none"/>
        </w:rPr>
        <w:t>、历史水质分析</w:t>
      </w:r>
    </w:p>
    <w:p>
      <w:pPr>
        <w:pStyle w:val="19"/>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从十八工段闸口监测断面的历史监测数据可以看出，自2021年~2022年年均水质不能稳定达到V类水质标准，部分月份水质存在劣V类水质情况，超标因子主要为氨氮和总磷。根据2021年1月~2022年12月十八工段闸口闸口监测断面各月份水质监测数据统计，III类水质月份占8%；IV类水质月份占29%；V类水质月份占46%；劣V类水质月份占17%。</w:t>
      </w:r>
    </w:p>
    <w:p>
      <w:pPr>
        <w:pStyle w:val="19"/>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、现状问题总结</w:t>
      </w:r>
    </w:p>
    <w:p>
      <w:pPr>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3.5.</w:t>
      </w:r>
      <w:r>
        <w:rPr>
          <w:rFonts w:hint="eastAsia" w:asciiTheme="minorEastAsia" w:hAnsiTheme="minorEastAsia" w:eastAsiaTheme="minorEastAsia"/>
          <w:color w:val="auto"/>
          <w:sz w:val="24"/>
          <w:highlight w:val="none"/>
        </w:rPr>
        <w:t>1、十八工段闸口监测断面水体受总磷、氨氮的污染严重；</w:t>
      </w:r>
    </w:p>
    <w:p>
      <w:pPr>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3.5.</w:t>
      </w:r>
      <w:r>
        <w:rPr>
          <w:rFonts w:hint="eastAsia" w:asciiTheme="minorEastAsia" w:hAnsiTheme="minorEastAsia" w:eastAsiaTheme="minorEastAsia"/>
          <w:color w:val="auto"/>
          <w:sz w:val="24"/>
          <w:highlight w:val="none"/>
        </w:rPr>
        <w:t>2、十八工段闸口监测断面水体生态系统失衡，水体透明度低，水体自净能力较差，水质不达标；</w:t>
      </w:r>
    </w:p>
    <w:p>
      <w:pPr>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3.5.</w:t>
      </w:r>
      <w:r>
        <w:rPr>
          <w:rFonts w:hint="eastAsia" w:asciiTheme="minorEastAsia" w:hAnsiTheme="minorEastAsia" w:eastAsiaTheme="minorEastAsia"/>
          <w:color w:val="auto"/>
          <w:sz w:val="24"/>
          <w:highlight w:val="none"/>
        </w:rPr>
        <w:t>3、十八工段闸口监测断面水体溶解氧不足；</w:t>
      </w:r>
    </w:p>
    <w:p>
      <w:pPr>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3.5.</w:t>
      </w:r>
      <w:r>
        <w:rPr>
          <w:rFonts w:hint="eastAsia" w:asciiTheme="minorEastAsia" w:hAnsiTheme="minorEastAsia" w:eastAsiaTheme="minorEastAsia"/>
          <w:color w:val="auto"/>
          <w:sz w:val="24"/>
          <w:highlight w:val="none"/>
        </w:rPr>
        <w:t>4、十八工段闸口监测断面整体景观较差。</w:t>
      </w:r>
    </w:p>
    <w:p>
      <w:pPr>
        <w:pStyle w:val="19"/>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4、水生态修复方案基本原理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生态修复既是水环境治理的有效手段，又是水环境治理的最终目的。</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水生态恢复自净的关键问题：生态平衡，实现水域生态系统中生产者（水生植物）、消费者（鱼类等）、分解者（微生物）合理配置。</w:t>
      </w:r>
    </w:p>
    <w:p>
      <w:pPr>
        <w:pStyle w:val="18"/>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drawing>
          <wp:inline distT="0" distB="0" distL="0" distR="0">
            <wp:extent cx="5257800" cy="3240405"/>
            <wp:effectExtent l="0" t="0" r="0" b="0"/>
            <wp:docPr id="1448360388" name="图片 144836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60388" name="图片 1448360388"/>
                    <pic:cNvPicPr>
                      <a:picLocks noChangeAspect="1"/>
                    </pic:cNvPicPr>
                  </pic:nvPicPr>
                  <pic:blipFill>
                    <a:blip r:embed="rId16" cstate="print"/>
                    <a:stretch>
                      <a:fillRect/>
                    </a:stretch>
                  </pic:blipFill>
                  <pic:spPr>
                    <a:xfrm>
                      <a:off x="0" y="0"/>
                      <a:ext cx="5261332" cy="3242688"/>
                    </a:xfrm>
                    <a:prstGeom prst="rect">
                      <a:avLst/>
                    </a:prstGeom>
                  </pic:spPr>
                </pic:pic>
              </a:graphicData>
            </a:graphic>
          </wp:inline>
        </w:drawing>
      </w:r>
    </w:p>
    <w:p>
      <w:pPr>
        <w:pStyle w:val="19"/>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drawing>
          <wp:inline distT="0" distB="0" distL="0" distR="0">
            <wp:extent cx="5507990" cy="3772535"/>
            <wp:effectExtent l="0" t="0" r="0" b="0"/>
            <wp:docPr id="775342273" name="图片 775342273"/>
            <wp:cNvGraphicFramePr/>
            <a:graphic xmlns:a="http://schemas.openxmlformats.org/drawingml/2006/main">
              <a:graphicData uri="http://schemas.openxmlformats.org/drawingml/2006/picture">
                <pic:pic xmlns:pic="http://schemas.openxmlformats.org/drawingml/2006/picture">
                  <pic:nvPicPr>
                    <pic:cNvPr id="775342273" name="图片 775342273"/>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507990" cy="3772535"/>
                    </a:xfrm>
                    <a:prstGeom prst="rect">
                      <a:avLst/>
                    </a:prstGeom>
                    <a:noFill/>
                    <a:ln>
                      <a:noFill/>
                    </a:ln>
                  </pic:spPr>
                </pic:pic>
              </a:graphicData>
            </a:graphic>
          </wp:inline>
        </w:drawing>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基于本项目存在的水质差、生态系统失衡等主要问题，本着以“维护良好水质、增加水体生态经济效益”为目标，以“生态、服务，净化，利用”为最终目标，采用生态修复为主，其他手段为辅，从前期工程、强化预处理、水生态系统构建和水动力改善等方面开展水环境治理。</w:t>
      </w:r>
    </w:p>
    <w:p>
      <w:pPr>
        <w:pStyle w:val="18"/>
        <w:spacing w:line="360" w:lineRule="auto"/>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5、水生态修复方案技术目标</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实施项目生态修复，改善周边水环境质量；</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构建水生态系统，提高项目水体生态自净能力，提升水体感观。</w:t>
      </w:r>
    </w:p>
    <w:p>
      <w:pPr>
        <w:pStyle w:val="19"/>
        <w:spacing w:line="360" w:lineRule="auto"/>
        <w:ind w:firstLine="480" w:firstLineChars="200"/>
        <w:rPr>
          <w:rFonts w:asciiTheme="minorEastAsia" w:hAnsiTheme="minorEastAsia" w:eastAsiaTheme="minorEastAsia"/>
          <w:b/>
          <w:bCs/>
          <w:color w:val="auto"/>
          <w:sz w:val="24"/>
          <w:highlight w:val="none"/>
        </w:rPr>
      </w:pPr>
      <w:r>
        <w:rPr>
          <w:rFonts w:asciiTheme="minorEastAsia" w:hAnsiTheme="minorEastAsia" w:eastAsiaTheme="minorEastAsia"/>
          <w:color w:val="auto"/>
          <w:sz w:val="24"/>
          <w:highlight w:val="none"/>
        </w:rPr>
        <w:t>5.3</w:t>
      </w:r>
      <w:r>
        <w:rPr>
          <w:rFonts w:hint="eastAsia" w:asciiTheme="minorEastAsia" w:hAnsiTheme="minorEastAsia" w:eastAsiaTheme="minorEastAsia"/>
          <w:color w:val="auto"/>
          <w:sz w:val="24"/>
          <w:highlight w:val="none"/>
        </w:rPr>
        <w:t>水体主要营养盐指标COD</w:t>
      </w:r>
      <w:r>
        <w:rPr>
          <w:rFonts w:hint="eastAsia" w:asciiTheme="minorEastAsia" w:hAnsiTheme="minorEastAsia" w:eastAsiaTheme="minorEastAsia"/>
          <w:color w:val="auto"/>
          <w:sz w:val="24"/>
          <w:highlight w:val="none"/>
          <w:vertAlign w:val="subscript"/>
        </w:rPr>
        <w:t>Mn</w:t>
      </w:r>
      <w:r>
        <w:rPr>
          <w:rFonts w:hint="eastAsia" w:asciiTheme="minorEastAsia" w:hAnsiTheme="minorEastAsia" w:eastAsiaTheme="minorEastAsia"/>
          <w:color w:val="auto"/>
          <w:sz w:val="24"/>
          <w:highlight w:val="none"/>
        </w:rPr>
        <w:t>、NH</w:t>
      </w:r>
      <w:r>
        <w:rPr>
          <w:rFonts w:hint="eastAsia" w:asciiTheme="minorEastAsia" w:hAnsiTheme="minorEastAsia" w:eastAsiaTheme="minorEastAsia"/>
          <w:color w:val="auto"/>
          <w:sz w:val="24"/>
          <w:highlight w:val="none"/>
          <w:vertAlign w:val="subscript"/>
        </w:rPr>
        <w:t>3</w:t>
      </w:r>
      <w:r>
        <w:rPr>
          <w:rFonts w:hint="eastAsia" w:asciiTheme="minorEastAsia" w:hAnsiTheme="minorEastAsia" w:eastAsiaTheme="minorEastAsia"/>
          <w:color w:val="auto"/>
          <w:sz w:val="24"/>
          <w:highlight w:val="none"/>
        </w:rPr>
        <w:t>-N、TP、DO值等满足《地表水环境质量标准》（GB3838-2002）</w:t>
      </w:r>
      <w:r>
        <w:rPr>
          <w:rFonts w:hint="eastAsia" w:asciiTheme="minorEastAsia" w:hAnsiTheme="minorEastAsia" w:eastAsiaTheme="minorEastAsia"/>
          <w:b/>
          <w:bCs/>
          <w:color w:val="auto"/>
          <w:sz w:val="24"/>
          <w:highlight w:val="none"/>
        </w:rPr>
        <w:t>IV类标准.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水色: 无黑臭、无蓝绿藻爆发，非雨季无“泥黄色混浊态”.</w:t>
      </w:r>
    </w:p>
    <w:p>
      <w:pPr>
        <w:pStyle w:val="18"/>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5.5</w:t>
      </w:r>
      <w:r>
        <w:rPr>
          <w:rFonts w:hint="eastAsia" w:asciiTheme="minorEastAsia" w:hAnsiTheme="minorEastAsia" w:eastAsiaTheme="minorEastAsia"/>
          <w:color w:val="auto"/>
          <w:sz w:val="24"/>
          <w:highlight w:val="none"/>
        </w:rPr>
        <w:t>水味：无恶臭味、无腥臭味等，水体散发自然的河流气息</w:t>
      </w:r>
    </w:p>
    <w:p>
      <w:pPr>
        <w:pStyle w:val="19"/>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.6</w:t>
      </w:r>
      <w:r>
        <w:rPr>
          <w:rFonts w:hint="eastAsia" w:asciiTheme="minorEastAsia" w:hAnsiTheme="minorEastAsia" w:eastAsiaTheme="minorEastAsia"/>
          <w:color w:val="auto"/>
          <w:sz w:val="24"/>
          <w:highlight w:val="none"/>
        </w:rPr>
        <w:t>水草覆盖：生态系统构建后，沉水植物覆盖率高，水生植物保持四季常绿，显著提升水体景观；</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.7</w:t>
      </w:r>
      <w:r>
        <w:rPr>
          <w:rFonts w:hint="eastAsia" w:asciiTheme="minorEastAsia" w:hAnsiTheme="minorEastAsia" w:eastAsiaTheme="minorEastAsia"/>
          <w:color w:val="auto"/>
          <w:sz w:val="24"/>
          <w:highlight w:val="none"/>
        </w:rPr>
        <w:t>、系统稳定性：水体实施生态修复和构建后，能形成长效自净功能，长久保持健康的生态系统和良好的水质。</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6、水质提升范围、措施</w:t>
      </w:r>
    </w:p>
    <w:p>
      <w:pPr>
        <w:spacing w:line="360" w:lineRule="auto"/>
        <w:ind w:firstLine="480" w:firstLineChars="200"/>
        <w:jc w:val="both"/>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本次提升范围水域面积约40000㎡，水生植种植范围为4000㎡</w:t>
      </w:r>
      <w:r>
        <w:rPr>
          <w:rFonts w:hint="eastAsia" w:asciiTheme="minorEastAsia" w:hAnsiTheme="minorEastAsia" w:eastAsiaTheme="minorEastAsia"/>
          <w:color w:val="auto"/>
          <w:sz w:val="24"/>
          <w:highlight w:val="none"/>
          <w:lang w:eastAsia="zh-CN"/>
        </w:rPr>
        <w:t>。</w:t>
      </w:r>
    </w:p>
    <w:p>
      <w:pPr>
        <w:spacing w:line="360" w:lineRule="auto"/>
        <w:ind w:firstLine="420" w:firstLineChars="200"/>
        <w:jc w:val="both"/>
        <w:rPr>
          <w:rFonts w:asciiTheme="minorEastAsia" w:hAnsiTheme="minorEastAsia" w:eastAsiaTheme="minorEastAsia"/>
          <w:color w:val="auto"/>
          <w:sz w:val="24"/>
          <w:highlight w:val="none"/>
        </w:rPr>
      </w:pPr>
      <w:r>
        <w:rPr>
          <w:color w:val="auto"/>
          <w:highlight w:val="none"/>
        </w:rPr>
        <w:drawing>
          <wp:inline distT="0" distB="0" distL="114300" distR="114300">
            <wp:extent cx="5252085" cy="2973070"/>
            <wp:effectExtent l="0" t="0" r="5715" b="17780"/>
            <wp:docPr id="3" name="图片 -214748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47482594"/>
                    <pic:cNvPicPr>
                      <a:picLocks noChangeAspect="1"/>
                    </pic:cNvPicPr>
                  </pic:nvPicPr>
                  <pic:blipFill>
                    <a:blip r:embed="rId23"/>
                    <a:srcRect l="7396" t="14384" r="15100" b="18234"/>
                    <a:stretch>
                      <a:fillRect/>
                    </a:stretch>
                  </pic:blipFill>
                  <pic:spPr>
                    <a:xfrm>
                      <a:off x="0" y="0"/>
                      <a:ext cx="5252085" cy="2973070"/>
                    </a:xfrm>
                    <a:prstGeom prst="rect">
                      <a:avLst/>
                    </a:prstGeom>
                    <a:noFill/>
                    <a:ln w="9525">
                      <a:noFill/>
                    </a:ln>
                  </pic:spPr>
                </pic:pic>
              </a:graphicData>
            </a:graphic>
          </wp:inline>
        </w:drawing>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种植沉水植物</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沉水植物能直接吸收水体中的TN、TP，减少风浪对水体和底泥的扰动，固定底泥、控制内源污染，大面积水生植物区域可抑制藻类的生长。配置水生植物时，按照以下原则进行植物选择：</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Ø 具有良好的生态适应力和生态构建功能；</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Ø 耐污能力和抗寒能力强；</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Ø 抗病虫害能力强；</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Ø 选用本地乡土物种；</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Ø 根系发达，对底质有固定作用</w:t>
      </w:r>
    </w:p>
    <w:p>
      <w:pPr>
        <w:pStyle w:val="19"/>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水质在线检测</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为及时了解河道水质情况，在河道重要断面设置水质在线监测设备：9项监测指标：PH值、溶解氧、氨氮、总氮、总磷、CODmn、电导率、水温、浊度。</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曝气充氧措施</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1、充氧曝气设施以提水式曝气（喷泉式）为主；</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、曝气设施的水柱喷射高度不宜超过1米；</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.3、充氧曝气设施采用间隔布置，相邻设施间距可在300~500米；</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.4、汛期来临前应提前进行加固或拆卸保护。</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.5</w:t>
      </w:r>
      <w:r>
        <w:rPr>
          <w:rFonts w:hint="eastAsia" w:asciiTheme="minorEastAsia" w:hAnsiTheme="minorEastAsia" w:eastAsiaTheme="minorEastAsia"/>
          <w:b/>
          <w:bCs/>
          <w:color w:val="auto"/>
          <w:sz w:val="24"/>
          <w:highlight w:val="none"/>
        </w:rPr>
        <w:t>除磷滤料措施</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除磷滤料采用镀锌钢网筐均匀地放置在河道内，在河底打桩固定。除磷滤料均匀的放置在河底，有利于水体和滤料充分接触；且放置在河岸两侧的滤料距离河岸0.5米，并低于水面0.5米，滤料和河岸之间为河水，因此河水能够进入除磷滤料内部，和除磷滤料能够充分接触并释放出Ca2+和OH-，与磷充分结合生成磷酸盐。</w:t>
      </w:r>
    </w:p>
    <w:p>
      <w:pPr>
        <w:pStyle w:val="19"/>
        <w:spacing w:line="360" w:lineRule="auto"/>
        <w:jc w:val="both"/>
        <w:rPr>
          <w:rFonts w:asciiTheme="minorEastAsia" w:hAnsiTheme="minorEastAsia" w:eastAsiaTheme="minorEastAsia"/>
          <w:color w:val="auto"/>
          <w:sz w:val="24"/>
          <w:highlight w:val="none"/>
        </w:rPr>
      </w:pPr>
      <w:r>
        <w:rPr>
          <w:color w:val="auto"/>
          <w:highlight w:val="none"/>
        </w:rPr>
        <w:drawing>
          <wp:inline distT="0" distB="0" distL="114300" distR="114300">
            <wp:extent cx="5252085" cy="2973070"/>
            <wp:effectExtent l="0" t="0" r="5715" b="17780"/>
            <wp:docPr id="9" name="图片 -214748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47482594"/>
                    <pic:cNvPicPr>
                      <a:picLocks noChangeAspect="1"/>
                    </pic:cNvPicPr>
                  </pic:nvPicPr>
                  <pic:blipFill>
                    <a:blip r:embed="rId23"/>
                    <a:srcRect l="7396" t="14384" r="15100" b="18234"/>
                    <a:stretch>
                      <a:fillRect/>
                    </a:stretch>
                  </pic:blipFill>
                  <pic:spPr>
                    <a:xfrm>
                      <a:off x="0" y="0"/>
                      <a:ext cx="5252085" cy="2973070"/>
                    </a:xfrm>
                    <a:prstGeom prst="rect">
                      <a:avLst/>
                    </a:prstGeom>
                    <a:noFill/>
                    <a:ln w="9525">
                      <a:noFill/>
                    </a:ln>
                  </pic:spPr>
                </pic:pic>
              </a:graphicData>
            </a:graphic>
          </wp:inline>
        </w:drawing>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.6</w:t>
      </w:r>
      <w:r>
        <w:rPr>
          <w:rFonts w:hint="eastAsia" w:asciiTheme="minorEastAsia" w:hAnsiTheme="minorEastAsia" w:eastAsiaTheme="minorEastAsia"/>
          <w:color w:val="auto"/>
          <w:sz w:val="24"/>
          <w:highlight w:val="none"/>
        </w:rPr>
        <w:t>行洪排涝措施</w:t>
      </w:r>
    </w:p>
    <w:p>
      <w:pPr>
        <w:pStyle w:val="18"/>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根据现场踏勘实际情况，水位浮动较大，即浮岛浮床位置整体向河道中心建设</w:t>
      </w:r>
    </w:p>
    <w:p>
      <w:pPr>
        <w:pStyle w:val="19"/>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7、日常运营管理</w:t>
      </w:r>
    </w:p>
    <w:p>
      <w:pPr>
        <w:pStyle w:val="19"/>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良好的日常运营管养可维持综合治理效果的长效优质呈现；及时发现事故苗头，及时处理，防止不良态势蔓延，有效避免紧急状况的发生</w:t>
      </w:r>
    </w:p>
    <w:p>
      <w:pPr>
        <w:pStyle w:val="1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8、预计完成项目所需清单</w:t>
      </w:r>
    </w:p>
    <w:tbl>
      <w:tblPr>
        <w:tblStyle w:val="45"/>
        <w:tblW w:w="8807" w:type="dxa"/>
        <w:tblInd w:w="0" w:type="dxa"/>
        <w:tblLayout w:type="autofit"/>
        <w:tblCellMar>
          <w:top w:w="0" w:type="dxa"/>
          <w:left w:w="0" w:type="dxa"/>
          <w:bottom w:w="0" w:type="dxa"/>
          <w:right w:w="0" w:type="dxa"/>
        </w:tblCellMar>
      </w:tblPr>
      <w:tblGrid>
        <w:gridCol w:w="508"/>
        <w:gridCol w:w="1639"/>
        <w:gridCol w:w="567"/>
        <w:gridCol w:w="850"/>
        <w:gridCol w:w="5243"/>
      </w:tblGrid>
      <w:tr>
        <w:tblPrEx>
          <w:tblCellMar>
            <w:top w:w="0" w:type="dxa"/>
            <w:left w:w="0" w:type="dxa"/>
            <w:bottom w:w="0" w:type="dxa"/>
            <w:right w:w="0" w:type="dxa"/>
          </w:tblCellMar>
        </w:tblPrEx>
        <w:trPr>
          <w:trHeight w:val="265"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序号</w:t>
            </w:r>
          </w:p>
        </w:tc>
        <w:tc>
          <w:tcPr>
            <w:tcW w:w="163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工程或费用名称</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规模</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单位</w:t>
            </w:r>
          </w:p>
        </w:tc>
        <w:tc>
          <w:tcPr>
            <w:tcW w:w="524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备注</w:t>
            </w:r>
          </w:p>
        </w:tc>
      </w:tr>
      <w:tr>
        <w:tblPrEx>
          <w:tblCellMar>
            <w:top w:w="0" w:type="dxa"/>
            <w:left w:w="0" w:type="dxa"/>
            <w:bottom w:w="0" w:type="dxa"/>
            <w:right w:w="0" w:type="dxa"/>
          </w:tblCellMar>
        </w:tblPrEx>
        <w:trPr>
          <w:trHeight w:val="295"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91"/>
              <w:numPr>
                <w:ilvl w:val="0"/>
                <w:numId w:val="4"/>
              </w:numPr>
              <w:ind w:firstLineChars="0"/>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充氧曝气设备</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color w:val="auto"/>
                <w:highlight w:val="none"/>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套</w:t>
            </w:r>
          </w:p>
        </w:tc>
        <w:tc>
          <w:tcPr>
            <w:tcW w:w="524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含</w:t>
            </w:r>
            <w:r>
              <w:rPr>
                <w:color w:val="auto"/>
                <w:highlight w:val="none"/>
              </w:rPr>
              <w:t>2.2kw增氧泵、喷头、固定装置</w:t>
            </w:r>
          </w:p>
        </w:tc>
      </w:tr>
      <w:tr>
        <w:tblPrEx>
          <w:tblCellMar>
            <w:top w:w="0" w:type="dxa"/>
            <w:left w:w="0" w:type="dxa"/>
            <w:bottom w:w="0" w:type="dxa"/>
            <w:right w:w="0" w:type="dxa"/>
          </w:tblCellMar>
        </w:tblPrEx>
        <w:trPr>
          <w:trHeight w:val="295"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91"/>
              <w:numPr>
                <w:ilvl w:val="0"/>
                <w:numId w:val="4"/>
              </w:numPr>
              <w:ind w:firstLineChars="0"/>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水生植物种植</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color w:val="auto"/>
                <w:highlight w:val="none"/>
              </w:rPr>
              <w:t>4000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color w:val="auto"/>
                <w:highlight w:val="none"/>
              </w:rPr>
              <w:t>m</w:t>
            </w:r>
            <w:r>
              <w:rPr>
                <w:color w:val="auto"/>
                <w:highlight w:val="none"/>
                <w:vertAlign w:val="superscript"/>
              </w:rPr>
              <w:t>2</w:t>
            </w:r>
          </w:p>
        </w:tc>
        <w:tc>
          <w:tcPr>
            <w:tcW w:w="524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含挺水植物（美人蕉、鸢尾、菖蒲等）和沉水植物（苦草、黑藻等）</w:t>
            </w:r>
          </w:p>
        </w:tc>
      </w:tr>
      <w:tr>
        <w:tblPrEx>
          <w:tblCellMar>
            <w:top w:w="0" w:type="dxa"/>
            <w:left w:w="0" w:type="dxa"/>
            <w:bottom w:w="0" w:type="dxa"/>
            <w:right w:w="0" w:type="dxa"/>
          </w:tblCellMar>
        </w:tblPrEx>
        <w:trPr>
          <w:trHeight w:val="521"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91"/>
              <w:numPr>
                <w:ilvl w:val="0"/>
                <w:numId w:val="4"/>
              </w:numPr>
              <w:ind w:firstLineChars="0"/>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微生物在线工厂</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color w:val="auto"/>
                <w:highlight w:val="none"/>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台</w:t>
            </w:r>
          </w:p>
        </w:tc>
        <w:tc>
          <w:tcPr>
            <w:tcW w:w="524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含微生物发酵系统（包括发酵罐控制系统、灭菌系统等）、投加系统等</w:t>
            </w:r>
          </w:p>
        </w:tc>
      </w:tr>
      <w:tr>
        <w:tblPrEx>
          <w:tblCellMar>
            <w:top w:w="0" w:type="dxa"/>
            <w:left w:w="0" w:type="dxa"/>
            <w:bottom w:w="0" w:type="dxa"/>
            <w:right w:w="0" w:type="dxa"/>
          </w:tblCellMar>
        </w:tblPrEx>
        <w:trPr>
          <w:trHeight w:val="685"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91"/>
              <w:numPr>
                <w:ilvl w:val="0"/>
                <w:numId w:val="4"/>
              </w:numPr>
              <w:ind w:firstLineChars="0"/>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柔性多孔生态基</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color w:val="auto"/>
                <w:highlight w:val="none"/>
              </w:rPr>
              <w:t>50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帘</w:t>
            </w:r>
          </w:p>
        </w:tc>
        <w:tc>
          <w:tcPr>
            <w:tcW w:w="524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降解水体中有机物和氨氮</w:t>
            </w:r>
          </w:p>
        </w:tc>
      </w:tr>
      <w:tr>
        <w:tblPrEx>
          <w:tblCellMar>
            <w:top w:w="0" w:type="dxa"/>
            <w:left w:w="0" w:type="dxa"/>
            <w:bottom w:w="0" w:type="dxa"/>
            <w:right w:w="0" w:type="dxa"/>
          </w:tblCellMar>
        </w:tblPrEx>
        <w:trPr>
          <w:trHeight w:val="295"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91"/>
              <w:numPr>
                <w:ilvl w:val="0"/>
                <w:numId w:val="4"/>
              </w:numPr>
              <w:ind w:firstLineChars="0"/>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生态修复剂</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color w:val="auto"/>
                <w:highlight w:val="none"/>
              </w:rPr>
              <w:t>200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color w:val="auto"/>
                <w:highlight w:val="none"/>
              </w:rPr>
              <w:t>kg</w:t>
            </w:r>
          </w:p>
        </w:tc>
        <w:tc>
          <w:tcPr>
            <w:tcW w:w="524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主要成分为高效络合剂、增效剂、吸附剂、表面活性剂、氧化剂、高铁聚物等，水剂，有效成分≥10%</w:t>
            </w:r>
          </w:p>
        </w:tc>
      </w:tr>
      <w:tr>
        <w:tblPrEx>
          <w:tblCellMar>
            <w:top w:w="0" w:type="dxa"/>
            <w:left w:w="0" w:type="dxa"/>
            <w:bottom w:w="0" w:type="dxa"/>
            <w:right w:w="0" w:type="dxa"/>
          </w:tblCellMar>
        </w:tblPrEx>
        <w:trPr>
          <w:trHeight w:val="745"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91"/>
              <w:numPr>
                <w:ilvl w:val="0"/>
                <w:numId w:val="4"/>
              </w:numPr>
              <w:ind w:firstLineChars="0"/>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除磷滤料</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color w:val="auto"/>
                <w:highlight w:val="none"/>
              </w:rPr>
              <w:t>50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color w:val="auto"/>
                <w:highlight w:val="none"/>
              </w:rPr>
              <w:t>m</w:t>
            </w:r>
            <w:r>
              <w:rPr>
                <w:color w:val="auto"/>
                <w:highlight w:val="none"/>
                <w:vertAlign w:val="superscript"/>
              </w:rPr>
              <w:t>3</w:t>
            </w:r>
          </w:p>
        </w:tc>
        <w:tc>
          <w:tcPr>
            <w:tcW w:w="524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多孔材料，有效含量30%，含网筐及桩基</w:t>
            </w:r>
          </w:p>
        </w:tc>
      </w:tr>
      <w:tr>
        <w:tblPrEx>
          <w:tblCellMar>
            <w:top w:w="0" w:type="dxa"/>
            <w:left w:w="0" w:type="dxa"/>
            <w:bottom w:w="0" w:type="dxa"/>
            <w:right w:w="0" w:type="dxa"/>
          </w:tblCellMar>
        </w:tblPrEx>
        <w:trPr>
          <w:trHeight w:val="452"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91"/>
              <w:numPr>
                <w:ilvl w:val="0"/>
                <w:numId w:val="4"/>
              </w:numPr>
              <w:ind w:firstLineChars="0"/>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水质在线监测</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color w:val="auto"/>
                <w:highlight w:val="none"/>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点位</w:t>
            </w:r>
          </w:p>
        </w:tc>
        <w:tc>
          <w:tcPr>
            <w:tcW w:w="524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含系统及设备，</w:t>
            </w:r>
            <w:r>
              <w:rPr>
                <w:color w:val="auto"/>
                <w:highlight w:val="none"/>
              </w:rPr>
              <w:t>9项监测指标：PH值、溶解氧、氨氮、总氮、总磷、CODmn、电导率、水温、浊度。</w:t>
            </w:r>
          </w:p>
        </w:tc>
      </w:tr>
      <w:tr>
        <w:tblPrEx>
          <w:tblCellMar>
            <w:top w:w="0" w:type="dxa"/>
            <w:left w:w="0" w:type="dxa"/>
            <w:bottom w:w="0" w:type="dxa"/>
            <w:right w:w="0" w:type="dxa"/>
          </w:tblCellMar>
        </w:tblPrEx>
        <w:trPr>
          <w:trHeight w:val="295"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91"/>
              <w:numPr>
                <w:ilvl w:val="0"/>
                <w:numId w:val="4"/>
              </w:numPr>
              <w:ind w:firstLineChars="0"/>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水质保障服务</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color w:val="auto"/>
                <w:highlight w:val="none"/>
              </w:rPr>
              <w:t>24</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次</w:t>
            </w:r>
          </w:p>
        </w:tc>
        <w:tc>
          <w:tcPr>
            <w:tcW w:w="524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断面水质检测，断面水质提升服务</w:t>
            </w:r>
          </w:p>
        </w:tc>
      </w:tr>
      <w:tr>
        <w:tblPrEx>
          <w:tblCellMar>
            <w:top w:w="0" w:type="dxa"/>
            <w:left w:w="0" w:type="dxa"/>
            <w:bottom w:w="0" w:type="dxa"/>
            <w:right w:w="0" w:type="dxa"/>
          </w:tblCellMar>
        </w:tblPrEx>
        <w:trPr>
          <w:trHeight w:val="295"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91"/>
              <w:numPr>
                <w:ilvl w:val="0"/>
                <w:numId w:val="4"/>
              </w:numPr>
              <w:ind w:firstLineChars="0"/>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水生植物运维</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color w:val="auto"/>
                <w:highlight w:val="none"/>
              </w:rPr>
              <w:t>4000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color w:val="auto"/>
                <w:highlight w:val="none"/>
              </w:rPr>
              <w:t>m</w:t>
            </w:r>
            <w:r>
              <w:rPr>
                <w:color w:val="auto"/>
                <w:highlight w:val="none"/>
                <w:vertAlign w:val="superscript"/>
              </w:rPr>
              <w:t>2</w:t>
            </w:r>
          </w:p>
        </w:tc>
        <w:tc>
          <w:tcPr>
            <w:tcW w:w="524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浮床：DN50PE管框架、DN50PE弯头、尼龙网、DN25镀锌钢管</w:t>
            </w:r>
          </w:p>
          <w:p>
            <w:pPr>
              <w:rPr>
                <w:color w:val="auto"/>
                <w:highlight w:val="none"/>
              </w:rPr>
            </w:pPr>
            <w:r>
              <w:rPr>
                <w:rFonts w:hint="eastAsia"/>
                <w:color w:val="auto"/>
                <w:highlight w:val="none"/>
              </w:rPr>
              <w:t>浮岛：DN50PE管框架、DN50PE弯头、30*30cm浮块、DN25镀锌钢管等</w:t>
            </w:r>
          </w:p>
        </w:tc>
      </w:tr>
      <w:tr>
        <w:tblPrEx>
          <w:tblCellMar>
            <w:top w:w="0" w:type="dxa"/>
            <w:left w:w="0" w:type="dxa"/>
            <w:bottom w:w="0" w:type="dxa"/>
            <w:right w:w="0" w:type="dxa"/>
          </w:tblCellMar>
        </w:tblPrEx>
        <w:trPr>
          <w:trHeight w:val="970"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91"/>
              <w:numPr>
                <w:ilvl w:val="0"/>
                <w:numId w:val="4"/>
              </w:numPr>
              <w:ind w:firstLineChars="0"/>
              <w:rPr>
                <w:color w:val="auto"/>
                <w:highlight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设备运维</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color w:val="auto"/>
                <w:highlight w:val="none"/>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项</w:t>
            </w:r>
          </w:p>
        </w:tc>
        <w:tc>
          <w:tcPr>
            <w:tcW w:w="524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rPr>
                <w:color w:val="auto"/>
                <w:highlight w:val="none"/>
              </w:rPr>
            </w:pPr>
            <w:r>
              <w:rPr>
                <w:rFonts w:hint="eastAsia"/>
                <w:color w:val="auto"/>
                <w:highlight w:val="none"/>
              </w:rPr>
              <w:t>微生物在线工厂、在线监测设备及喷泉维护</w:t>
            </w:r>
          </w:p>
        </w:tc>
      </w:tr>
    </w:tbl>
    <w:p>
      <w:pPr>
        <w:rPr>
          <w:color w:val="auto"/>
          <w:highlight w:val="none"/>
        </w:rPr>
      </w:pPr>
    </w:p>
    <w:p>
      <w:pPr>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w:t>
      </w:r>
      <w:r>
        <w:rPr>
          <w:rFonts w:hint="eastAsia" w:ascii="宋体" w:hAnsi="宋体" w:cs="宋体"/>
          <w:color w:val="auto"/>
          <w:sz w:val="24"/>
          <w:highlight w:val="none"/>
        </w:rPr>
        <w:t>服务目标要求</w:t>
      </w:r>
    </w:p>
    <w:p>
      <w:pPr>
        <w:snapToGrid w:val="0"/>
        <w:spacing w:line="360" w:lineRule="auto"/>
        <w:ind w:firstLine="480"/>
        <w:rPr>
          <w:rFonts w:ascii="宋体" w:hAns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水质保障期的验收要求：根据杭州市河道水质“三色预警”要求，根据杭州市河道水质“三色预警”要求，每月河道水质指标不得达到红色预警、黄色预警和橙色预警；水质保障有效时间不少于24个月，具体内容详见第4条（杭州市“三色预警”指标要求）及地表水环境质量标准GB3838-2002。</w:t>
      </w:r>
    </w:p>
    <w:p>
      <w:pPr>
        <w:snapToGrid w:val="0"/>
        <w:spacing w:line="360" w:lineRule="auto"/>
        <w:ind w:firstLine="48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、承担行洪排涝任务的河道在排涝行洪期间或其他不可抗力因素导致的水质超标(但三色预警指标不能高于橙色)，投标单位不承担相关责任。但因行洪排涝等因素造成投标方治理设施损坏，投标单位应负责修复。</w:t>
      </w:r>
    </w:p>
    <w:p>
      <w:pPr>
        <w:snapToGrid w:val="0"/>
        <w:spacing w:line="360" w:lineRule="auto"/>
        <w:ind w:firstLine="480"/>
        <w:rPr>
          <w:rFonts w:ascii="宋体" w:hAns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、根据《浙江省水污染防治行动计划》和“五水共治”部署，河道水质月度指标达到V类水以上标准。</w:t>
      </w:r>
    </w:p>
    <w:p>
      <w:pPr>
        <w:snapToGrid w:val="0"/>
        <w:spacing w:line="360" w:lineRule="auto"/>
        <w:ind w:firstLine="48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、杭州市“三色预警”指标要求：</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7"/>
        <w:gridCol w:w="1964"/>
        <w:gridCol w:w="1964"/>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447"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b/>
                <w:color w:val="auto"/>
                <w:sz w:val="24"/>
                <w:highlight w:val="none"/>
              </w:rPr>
              <w:t>特征指标（单位）</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b/>
                <w:color w:val="auto"/>
                <w:sz w:val="24"/>
                <w:highlight w:val="none"/>
              </w:rPr>
              <w:t>红色预警</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b/>
                <w:color w:val="auto"/>
                <w:sz w:val="24"/>
                <w:highlight w:val="none"/>
              </w:rPr>
              <w:t>橙色预警</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b/>
                <w:color w:val="auto"/>
                <w:sz w:val="24"/>
                <w:highlight w:val="none"/>
              </w:rPr>
              <w:t>黄色预警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447"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pH</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&lt;6或&gt;9</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4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highlight w:val="none"/>
              </w:rPr>
            </w:pPr>
            <w:r>
              <w:rPr>
                <w:rFonts w:hint="eastAsia" w:ascii="宋体" w:hAnsi="宋体" w:eastAsia="宋体" w:cs="宋体"/>
                <w:color w:val="auto"/>
                <w:sz w:val="24"/>
                <w:highlight w:val="none"/>
              </w:rPr>
              <w:t>透明度（cm）</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&lt;25</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2447"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高锰酸盐指数（mg/L）</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&gt;15</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447"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氨氮（mg/L）</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&gt;6</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&gt;4且≦6</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&gt;2且≦4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2447"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总磷（mg/L）</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&gt;1.2</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&gt;0.8且≦1.2</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&gt;0.4且≦0.8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447"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溶解氧（mg/L）</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&lt;2.0</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447"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氧化还原电位（mV）</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r>
              <w:rPr>
                <w:rFonts w:hint="eastAsia" w:ascii="宋体" w:hAnsi="宋体" w:eastAsia="宋体" w:cs="宋体"/>
                <w:color w:val="auto"/>
                <w:sz w:val="24"/>
                <w:highlight w:val="none"/>
              </w:rPr>
              <w:t>&lt;50</w:t>
            </w: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p>
        </w:tc>
        <w:tc>
          <w:tcPr>
            <w:tcW w:w="1964" w:type="dxa"/>
            <w:tcBorders>
              <w:top w:val="single" w:color="auto" w:sz="4" w:space="0"/>
              <w:left w:val="single" w:color="auto" w:sz="4" w:space="0"/>
              <w:bottom w:val="single" w:color="auto" w:sz="4" w:space="0"/>
              <w:right w:val="single" w:color="auto" w:sz="4" w:space="0"/>
            </w:tcBorders>
            <w:vAlign w:val="center"/>
          </w:tcPr>
          <w:p>
            <w:pPr>
              <w:ind w:firstLine="2" w:firstLineChars="0"/>
              <w:jc w:val="center"/>
              <w:rPr>
                <w:rFonts w:ascii="宋体" w:hAnsi="宋体" w:cs="宋体"/>
                <w:color w:val="auto"/>
                <w:sz w:val="24"/>
                <w:highlight w:val="none"/>
              </w:rPr>
            </w:pPr>
          </w:p>
        </w:tc>
      </w:tr>
    </w:tbl>
    <w:p>
      <w:pPr>
        <w:snapToGrid w:val="0"/>
        <w:spacing w:line="360" w:lineRule="auto"/>
        <w:ind w:firstLine="48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、水质保障指标要求：</w:t>
      </w:r>
    </w:p>
    <w:p>
      <w:pPr>
        <w:snapToGrid w:val="0"/>
        <w:spacing w:line="360" w:lineRule="auto"/>
        <w:ind w:firstLine="480"/>
        <w:jc w:val="center"/>
        <w:rPr>
          <w:rFonts w:ascii="宋体" w:hAnsi="宋体" w:cs="宋体"/>
          <w:b/>
          <w:bCs/>
          <w:color w:val="auto"/>
          <w:sz w:val="24"/>
          <w:highlight w:val="none"/>
        </w:rPr>
      </w:pPr>
      <w:r>
        <w:rPr>
          <w:rFonts w:hint="eastAsia" w:ascii="宋体" w:hAnsi="宋体" w:cs="宋体"/>
          <w:b/>
          <w:bCs/>
          <w:color w:val="auto"/>
          <w:sz w:val="24"/>
          <w:highlight w:val="none"/>
        </w:rPr>
        <w:t>水质保障目标</w:t>
      </w:r>
    </w:p>
    <w:tbl>
      <w:tblPr>
        <w:tblStyle w:val="45"/>
        <w:tblW w:w="7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6"/>
        <w:gridCol w:w="1608"/>
        <w:gridCol w:w="1608"/>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7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特征指标（单位）</w:t>
            </w:r>
          </w:p>
        </w:tc>
        <w:tc>
          <w:tcPr>
            <w:tcW w:w="160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三类水</w:t>
            </w:r>
          </w:p>
        </w:tc>
        <w:tc>
          <w:tcPr>
            <w:tcW w:w="160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四类水</w:t>
            </w:r>
          </w:p>
        </w:tc>
        <w:tc>
          <w:tcPr>
            <w:tcW w:w="160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五类水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7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pH</w:t>
            </w:r>
          </w:p>
        </w:tc>
        <w:tc>
          <w:tcPr>
            <w:tcW w:w="1609" w:type="dxa"/>
            <w:tcBorders>
              <w:top w:val="single" w:color="auto" w:sz="4" w:space="0"/>
              <w:left w:val="single" w:color="auto" w:sz="4" w:space="0"/>
              <w:bottom w:val="single" w:color="auto" w:sz="4" w:space="0"/>
              <w:right w:val="single" w:color="auto" w:sz="4" w:space="0"/>
            </w:tcBorders>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6-9</w:t>
            </w:r>
          </w:p>
        </w:tc>
        <w:tc>
          <w:tcPr>
            <w:tcW w:w="1609" w:type="dxa"/>
            <w:tcBorders>
              <w:top w:val="single" w:color="auto" w:sz="4" w:space="0"/>
              <w:left w:val="single" w:color="auto" w:sz="4" w:space="0"/>
              <w:bottom w:val="single" w:color="auto" w:sz="4" w:space="0"/>
              <w:right w:val="single" w:color="auto" w:sz="4" w:space="0"/>
            </w:tcBorders>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6-9</w:t>
            </w:r>
          </w:p>
        </w:tc>
        <w:tc>
          <w:tcPr>
            <w:tcW w:w="1609" w:type="dxa"/>
            <w:tcBorders>
              <w:top w:val="single" w:color="auto" w:sz="4" w:space="0"/>
              <w:left w:val="single" w:color="auto" w:sz="4" w:space="0"/>
              <w:bottom w:val="single" w:color="auto" w:sz="4" w:space="0"/>
              <w:right w:val="single" w:color="auto" w:sz="4" w:space="0"/>
            </w:tcBorders>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7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高锰酸盐指数（mg/L）</w:t>
            </w:r>
          </w:p>
        </w:tc>
        <w:tc>
          <w:tcPr>
            <w:tcW w:w="1609" w:type="dxa"/>
            <w:tcBorders>
              <w:top w:val="single" w:color="auto" w:sz="4" w:space="0"/>
              <w:left w:val="single" w:color="auto" w:sz="4" w:space="0"/>
              <w:bottom w:val="single" w:color="auto" w:sz="4" w:space="0"/>
              <w:right w:val="single" w:color="auto" w:sz="4" w:space="0"/>
            </w:tcBorders>
            <w:vAlign w:val="bottom"/>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≤6（含）</w:t>
            </w:r>
          </w:p>
        </w:tc>
        <w:tc>
          <w:tcPr>
            <w:tcW w:w="1609" w:type="dxa"/>
            <w:tcBorders>
              <w:top w:val="single" w:color="auto" w:sz="4" w:space="0"/>
              <w:left w:val="single" w:color="auto" w:sz="4" w:space="0"/>
              <w:bottom w:val="single" w:color="auto" w:sz="4" w:space="0"/>
              <w:right w:val="single" w:color="auto" w:sz="4" w:space="0"/>
            </w:tcBorders>
            <w:vAlign w:val="bottom"/>
          </w:tcPr>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≤10（含）</w:t>
            </w:r>
          </w:p>
        </w:tc>
        <w:tc>
          <w:tcPr>
            <w:tcW w:w="160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7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氨氮（mg/L）</w:t>
            </w:r>
          </w:p>
        </w:tc>
        <w:tc>
          <w:tcPr>
            <w:tcW w:w="1609" w:type="dxa"/>
            <w:tcBorders>
              <w:top w:val="single" w:color="auto" w:sz="4" w:space="0"/>
              <w:left w:val="single" w:color="auto" w:sz="4" w:space="0"/>
              <w:bottom w:val="single" w:color="auto" w:sz="4" w:space="0"/>
              <w:right w:val="single" w:color="auto" w:sz="4" w:space="0"/>
            </w:tcBorders>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≤1.0</w:t>
            </w:r>
          </w:p>
        </w:tc>
        <w:tc>
          <w:tcPr>
            <w:tcW w:w="1609" w:type="dxa"/>
            <w:tcBorders>
              <w:top w:val="single" w:color="auto" w:sz="4" w:space="0"/>
              <w:left w:val="single" w:color="auto" w:sz="4" w:space="0"/>
              <w:bottom w:val="single" w:color="auto" w:sz="4" w:space="0"/>
              <w:right w:val="single" w:color="auto" w:sz="4" w:space="0"/>
            </w:tcBorders>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≤1.5</w:t>
            </w:r>
          </w:p>
        </w:tc>
        <w:tc>
          <w:tcPr>
            <w:tcW w:w="1609" w:type="dxa"/>
            <w:tcBorders>
              <w:top w:val="single" w:color="auto" w:sz="4" w:space="0"/>
              <w:left w:val="single" w:color="auto" w:sz="4" w:space="0"/>
              <w:bottom w:val="single" w:color="auto" w:sz="4" w:space="0"/>
              <w:right w:val="single" w:color="auto" w:sz="4" w:space="0"/>
            </w:tcBorders>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7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总磷（mg/L）</w:t>
            </w:r>
          </w:p>
        </w:tc>
        <w:tc>
          <w:tcPr>
            <w:tcW w:w="1609" w:type="dxa"/>
            <w:tcBorders>
              <w:top w:val="single" w:color="auto" w:sz="4" w:space="0"/>
              <w:left w:val="single" w:color="auto" w:sz="4" w:space="0"/>
              <w:bottom w:val="single" w:color="auto" w:sz="4" w:space="0"/>
              <w:right w:val="single" w:color="auto" w:sz="4" w:space="0"/>
            </w:tcBorders>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≤0.2</w:t>
            </w:r>
          </w:p>
        </w:tc>
        <w:tc>
          <w:tcPr>
            <w:tcW w:w="1609" w:type="dxa"/>
            <w:tcBorders>
              <w:top w:val="single" w:color="auto" w:sz="4" w:space="0"/>
              <w:left w:val="single" w:color="auto" w:sz="4" w:space="0"/>
              <w:bottom w:val="single" w:color="auto" w:sz="4" w:space="0"/>
              <w:right w:val="single" w:color="auto" w:sz="4" w:space="0"/>
            </w:tcBorders>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≤0.3</w:t>
            </w:r>
          </w:p>
        </w:tc>
        <w:tc>
          <w:tcPr>
            <w:tcW w:w="1609" w:type="dxa"/>
            <w:tcBorders>
              <w:top w:val="single" w:color="auto" w:sz="4" w:space="0"/>
              <w:left w:val="single" w:color="auto" w:sz="4" w:space="0"/>
              <w:bottom w:val="single" w:color="auto" w:sz="4" w:space="0"/>
              <w:right w:val="single" w:color="auto" w:sz="4" w:space="0"/>
            </w:tcBorders>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7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溶解氧（mg/L）</w:t>
            </w:r>
          </w:p>
        </w:tc>
        <w:tc>
          <w:tcPr>
            <w:tcW w:w="1609" w:type="dxa"/>
            <w:tcBorders>
              <w:top w:val="single" w:color="auto" w:sz="4" w:space="0"/>
              <w:left w:val="single" w:color="auto" w:sz="4" w:space="0"/>
              <w:bottom w:val="single" w:color="auto" w:sz="4" w:space="0"/>
              <w:right w:val="single" w:color="auto" w:sz="4" w:space="0"/>
            </w:tcBorders>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5.0-6.0</w:t>
            </w:r>
          </w:p>
        </w:tc>
        <w:tc>
          <w:tcPr>
            <w:tcW w:w="1609" w:type="dxa"/>
            <w:tcBorders>
              <w:top w:val="single" w:color="auto" w:sz="4" w:space="0"/>
              <w:left w:val="single" w:color="auto" w:sz="4" w:space="0"/>
              <w:bottom w:val="single" w:color="auto" w:sz="4" w:space="0"/>
              <w:right w:val="single" w:color="auto" w:sz="4" w:space="0"/>
            </w:tcBorders>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3.0-5.0</w:t>
            </w:r>
          </w:p>
        </w:tc>
        <w:tc>
          <w:tcPr>
            <w:tcW w:w="1609" w:type="dxa"/>
            <w:tcBorders>
              <w:top w:val="single" w:color="auto" w:sz="4" w:space="0"/>
              <w:left w:val="single" w:color="auto" w:sz="4" w:space="0"/>
              <w:bottom w:val="single" w:color="auto" w:sz="4" w:space="0"/>
              <w:right w:val="single" w:color="auto" w:sz="4" w:space="0"/>
            </w:tcBorders>
          </w:tcPr>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2.0-3.0</w:t>
            </w:r>
          </w:p>
        </w:tc>
      </w:tr>
    </w:tbl>
    <w:p>
      <w:pPr>
        <w:snapToGrid w:val="0"/>
        <w:spacing w:line="360" w:lineRule="auto"/>
        <w:ind w:firstLine="480"/>
        <w:rPr>
          <w:rFonts w:ascii="宋体" w:hAns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、水生植物养护的具体要求：</w:t>
      </w:r>
    </w:p>
    <w:p>
      <w:pPr>
        <w:snapToGrid w:val="0"/>
        <w:spacing w:line="360" w:lineRule="auto"/>
        <w:ind w:firstLine="480"/>
        <w:rPr>
          <w:rFonts w:ascii="宋体" w:hAns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.1、水生植物养护工作:需要配备专职人员及船只，确保完成该区域内的养护工作。河面作业人员必须穿救生衣，发现不符要求的每次扣200元。</w:t>
      </w:r>
    </w:p>
    <w:p>
      <w:pPr>
        <w:snapToGrid w:val="0"/>
        <w:spacing w:line="360" w:lineRule="auto"/>
        <w:ind w:firstLine="480"/>
        <w:rPr>
          <w:rFonts w:ascii="宋体" w:hAns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.2、原则上达到四季常绿、无杂草、无病虫危害、感观良好。养护区域内的水生植物应确保达到85%以上成活率，若因病虫或自然灾害造成枯死的必须及时进行补种和恢复，否则按每框扣400元。</w:t>
      </w:r>
    </w:p>
    <w:p>
      <w:pPr>
        <w:snapToGrid w:val="0"/>
        <w:spacing w:line="360" w:lineRule="auto"/>
        <w:ind w:firstLine="480"/>
        <w:rPr>
          <w:rFonts w:ascii="宋体" w:hAns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.3、水生植物浮框内白色污染物及革命草等杂草要第一时间清除到位，水生植物及时修剪、枯死枝的清理垃圾等当日清运完毕，不得影响道路交通及环境卫生。如有抄告或举报的，每次扣800元。</w:t>
      </w:r>
    </w:p>
    <w:p>
      <w:pPr>
        <w:snapToGrid w:val="0"/>
        <w:spacing w:line="360" w:lineRule="auto"/>
        <w:ind w:firstLine="480"/>
        <w:rPr>
          <w:rFonts w:ascii="宋体" w:hAns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.4.维护好浮岛，浮框等相关设施。若设施因故造成的损坏，必须无条件及时修复，否则每个扣除800元。</w:t>
      </w:r>
    </w:p>
    <w:p>
      <w:pPr>
        <w:snapToGrid w:val="0"/>
        <w:spacing w:line="360" w:lineRule="auto"/>
        <w:ind w:firstLine="480"/>
        <w:rPr>
          <w:rFonts w:ascii="宋体" w:hAns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排放预处理口</w:t>
      </w:r>
    </w:p>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排放口日常要求无垃圾、无杂物、无淤积，绿化修剪到位，排放口框完好，保洁频次与生态养护频次相间。一旦发现排放口破损日不及时修复到位的每次单个扣除500元。</w:t>
      </w:r>
    </w:p>
    <w:p>
      <w:pPr>
        <w:snapToGrid w:val="0"/>
        <w:spacing w:line="360" w:lineRule="auto"/>
        <w:ind w:firstLine="480"/>
        <w:rPr>
          <w:rFonts w:ascii="宋体" w:hAns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人工增氧设备</w:t>
      </w:r>
    </w:p>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增氧设备要做到日常的保养与维护。增氧设备要确保甲方要求的设备运行时间（7点半一11点半，13点半一17点半)，若发现在规定的运行时间内不运行或未开启的，若出现设备故障等需不及时上报并报备的，每次扣1000元。</w:t>
      </w:r>
    </w:p>
    <w:p>
      <w:pPr>
        <w:snapToGrid w:val="0"/>
        <w:spacing w:line="360" w:lineRule="auto"/>
        <w:ind w:firstLine="480"/>
        <w:rPr>
          <w:rFonts w:ascii="宋体" w:hAns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抗灾应急</w:t>
      </w:r>
    </w:p>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做好安全隐患、抢险救灾、突发事件等情况相应的应急处理预案。</w:t>
      </w:r>
    </w:p>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出现突发性污染水体事件，如沿河污水管网故障溢流、蓝藻、底泥上浮、河面油污。需第一时间进行应急处置，处置不利或造成严重影响的，每次扣2万元。</w:t>
      </w:r>
    </w:p>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出现台风、防汛等:应及时对设施设备进行保护和加固措施，如无法做到有效保护的应及时组织人员对设施进行转移，直至台风过后，水位水流恢复正常后恢复至原位。</w:t>
      </w:r>
    </w:p>
    <w:p>
      <w:pPr>
        <w:snapToGrid w:val="0"/>
        <w:spacing w:line="360" w:lineRule="auto"/>
        <w:ind w:firstLine="480"/>
        <w:rPr>
          <w:rFonts w:ascii="宋体" w:hAns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w:t>
      </w:r>
      <w:r>
        <w:rPr>
          <w:rFonts w:ascii="宋体" w:hAnsi="宋体" w:cs="宋体"/>
          <w:color w:val="auto"/>
          <w:sz w:val="24"/>
          <w:highlight w:val="none"/>
        </w:rPr>
        <w:t>8</w:t>
      </w:r>
      <w:r>
        <w:rPr>
          <w:rFonts w:hint="eastAsia" w:ascii="宋体" w:hAnsi="宋体" w:cs="宋体"/>
          <w:color w:val="auto"/>
          <w:sz w:val="24"/>
          <w:highlight w:val="none"/>
        </w:rPr>
        <w:t>其他</w:t>
      </w:r>
    </w:p>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采购人将严格按上述要求，对中标人定期不定期的进行检查与考核。</w:t>
      </w:r>
    </w:p>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管理方式应文明、礼貌，对进入水生植物及相关设施损坏现象应及时予以制止，遇到严重的破坏绿化行为应及时上报甲方及执法部门。</w:t>
      </w:r>
    </w:p>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建立日常巡查制度,巡查人员对所养护的水生植物每天巡查不少于一次，每天上报自查情况、巡查纪录,发现问题时应及时整改。建立养护管理工作台账。    </w:t>
      </w:r>
    </w:p>
    <w:p>
      <w:pPr>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器具设备要求:养护机械、维护船、运输船、冲锋舟、托运车等工作所涉及到器具由中标人自行解决，水生植物堆放处由中标人自行解决，运输费等一切费用考虑在报价中(设备运行电费由中标人承担)。</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安全生产:施工期间，要规范操作；如发生安全事故，一切责任由中标单位负责，与招标单位无关</w:t>
      </w:r>
      <w:r>
        <w:rPr>
          <w:rFonts w:hint="eastAsia" w:ascii="宋体" w:hAnsi="宋体" w:cs="宋体"/>
          <w:color w:val="auto"/>
          <w:sz w:val="24"/>
          <w:highlight w:val="none"/>
          <w:lang w:eastAsia="zh-CN"/>
        </w:rPr>
        <w:t>。</w:t>
      </w:r>
    </w:p>
    <w:p>
      <w:pPr>
        <w:snapToGrid w:val="0"/>
        <w:spacing w:line="36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本项目为水质提升项目，实施过程中方案均需满足当地环保部门要求。包括实施过程中垃圾处理、污染底泥处置等。若发生环保问题，</w:t>
      </w:r>
      <w:r>
        <w:rPr>
          <w:rFonts w:hint="eastAsia" w:ascii="宋体" w:hAnsi="宋体" w:eastAsia="宋体" w:cs="宋体"/>
          <w:color w:val="auto"/>
          <w:sz w:val="24"/>
          <w:highlight w:val="none"/>
        </w:rPr>
        <w:t>一切责任由中标单位负责</w:t>
      </w:r>
      <w:r>
        <w:rPr>
          <w:rFonts w:hint="eastAsia" w:ascii="宋体" w:hAnsi="宋体" w:eastAsia="宋体" w:cs="宋体"/>
          <w:color w:val="auto"/>
          <w:sz w:val="24"/>
          <w:highlight w:val="none"/>
          <w:lang w:eastAsia="zh-CN"/>
        </w:rPr>
        <w:t>，且发生一次扣款</w:t>
      </w:r>
      <w:r>
        <w:rPr>
          <w:rFonts w:hint="eastAsia" w:ascii="宋体" w:hAnsi="宋体" w:eastAsia="宋体" w:cs="宋体"/>
          <w:color w:val="auto"/>
          <w:sz w:val="24"/>
          <w:highlight w:val="none"/>
          <w:lang w:val="en-US" w:eastAsia="zh-CN"/>
        </w:rPr>
        <w:t>1万元</w:t>
      </w:r>
      <w:r>
        <w:rPr>
          <w:rFonts w:hint="eastAsia" w:ascii="宋体" w:hAnsi="宋体" w:eastAsia="宋体" w:cs="宋体"/>
          <w:color w:val="auto"/>
          <w:sz w:val="24"/>
          <w:highlight w:val="none"/>
          <w:lang w:eastAsia="zh-CN"/>
        </w:rPr>
        <w:t>。</w:t>
      </w:r>
    </w:p>
    <w:p>
      <w:pPr>
        <w:snapToGrid w:val="0"/>
        <w:spacing w:line="36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lang w:eastAsia="zh-CN"/>
        </w:rPr>
        <w:t>售后服务要求</w:t>
      </w:r>
    </w:p>
    <w:p>
      <w:pPr>
        <w:snapToGrid w:val="0"/>
        <w:spacing w:line="36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7.1</w:t>
      </w:r>
      <w:r>
        <w:rPr>
          <w:rFonts w:hint="eastAsia" w:ascii="宋体" w:hAnsi="宋体" w:eastAsia="宋体" w:cs="宋体"/>
          <w:color w:val="auto"/>
          <w:sz w:val="24"/>
          <w:highlight w:val="none"/>
          <w:lang w:eastAsia="zh-CN"/>
        </w:rPr>
        <w:t>质保期：</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年。完成本项目所需设备的质量保修期自安装完成验收合格之日起开始计算。</w:t>
      </w:r>
    </w:p>
    <w:p>
      <w:pPr>
        <w:snapToGrid w:val="0"/>
        <w:spacing w:line="36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7.2</w:t>
      </w:r>
      <w:r>
        <w:rPr>
          <w:rFonts w:hint="eastAsia" w:ascii="宋体" w:hAnsi="宋体" w:eastAsia="宋体" w:cs="宋体"/>
          <w:color w:val="auto"/>
          <w:sz w:val="24"/>
          <w:highlight w:val="none"/>
          <w:lang w:eastAsia="zh-CN"/>
        </w:rPr>
        <w:t>质量保证期内提供免费上门维护、升级服务，供货单位在接到电话后，立即响应，</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小时以内到现场处理，4小时内修复，现场不能修复的，必须采取无偿提供采购物品的备用件或整机等措施，保证采购人的正常使用。</w:t>
      </w:r>
    </w:p>
    <w:p>
      <w:pPr>
        <w:snapToGrid w:val="0"/>
        <w:spacing w:line="36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7.3</w:t>
      </w:r>
      <w:r>
        <w:rPr>
          <w:rFonts w:hint="eastAsia" w:ascii="宋体" w:hAnsi="宋体" w:eastAsia="宋体" w:cs="宋体"/>
          <w:color w:val="auto"/>
          <w:sz w:val="24"/>
          <w:highlight w:val="none"/>
          <w:lang w:eastAsia="zh-CN"/>
        </w:rPr>
        <w:t>供应商应提供技术支持方案，内容由供应商根据实际选择以下要点：服务机构（维保点）的地址、人员状况、维修能力、联系方式、营业执照、公司资质材料、相关案例等。</w:t>
      </w:r>
    </w:p>
    <w:p>
      <w:pPr>
        <w:snapToGrid w:val="0"/>
        <w:spacing w:line="36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7.4</w:t>
      </w:r>
      <w:r>
        <w:rPr>
          <w:rFonts w:hint="eastAsia" w:ascii="宋体" w:hAnsi="宋体" w:eastAsia="宋体" w:cs="宋体"/>
          <w:color w:val="auto"/>
          <w:sz w:val="24"/>
          <w:highlight w:val="none"/>
          <w:lang w:eastAsia="zh-CN"/>
        </w:rPr>
        <w:t>完整准确地表述原厂家的标准售后服务承诺（范围、标准及期限等）、供应商可能增加的服务承诺等。</w:t>
      </w:r>
    </w:p>
    <w:p>
      <w:pPr>
        <w:snapToGrid w:val="0"/>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7.5</w:t>
      </w:r>
      <w:r>
        <w:rPr>
          <w:rFonts w:hint="eastAsia" w:ascii="宋体" w:hAnsi="宋体" w:eastAsia="宋体" w:cs="宋体"/>
          <w:color w:val="auto"/>
          <w:sz w:val="24"/>
          <w:highlight w:val="none"/>
          <w:lang w:eastAsia="zh-CN"/>
        </w:rPr>
        <w:t xml:space="preserve"> 出现突发性污染水体事件，如沿河污水管网故障溢流、蓝藻、底泥上浮、河面油污需</w:t>
      </w:r>
      <w:r>
        <w:rPr>
          <w:rFonts w:hint="eastAsia" w:ascii="宋体" w:hAnsi="宋体" w:eastAsia="宋体" w:cs="宋体"/>
          <w:color w:val="auto"/>
          <w:sz w:val="24"/>
          <w:highlight w:val="none"/>
          <w:lang w:val="en-US" w:eastAsia="zh-CN"/>
        </w:rPr>
        <w:t>1小时内到现场处理。</w:t>
      </w:r>
      <w:r>
        <w:rPr>
          <w:rFonts w:hint="eastAsia" w:ascii="宋体" w:hAnsi="宋体" w:eastAsia="宋体" w:cs="宋体"/>
          <w:color w:val="auto"/>
          <w:sz w:val="24"/>
          <w:highlight w:val="none"/>
          <w:lang w:eastAsia="zh-CN"/>
        </w:rPr>
        <w:t xml:space="preserve"> </w:t>
      </w:r>
    </w:p>
    <w:p>
      <w:pPr>
        <w:pStyle w:val="4"/>
        <w:spacing w:before="120" w:after="120" w:line="360" w:lineRule="auto"/>
        <w:rPr>
          <w:rFonts w:hint="eastAsia" w:ascii="宋体" w:hAnsi="宋体" w:eastAsia="宋体" w:cs="宋体"/>
          <w:b w:val="0"/>
          <w:bCs w:val="0"/>
          <w:color w:val="auto"/>
          <w:kern w:val="2"/>
          <w:sz w:val="24"/>
          <w:szCs w:val="24"/>
          <w:highlight w:val="none"/>
          <w:lang w:val="en-US" w:eastAsia="zh-CN" w:bidi="ar-SA"/>
        </w:rPr>
      </w:pPr>
      <w:bookmarkStart w:id="50" w:name="_Toc23167"/>
      <w:bookmarkStart w:id="51" w:name="_Toc28526"/>
      <w:r>
        <w:rPr>
          <w:rFonts w:hint="eastAsia" w:ascii="宋体" w:hAnsi="宋体" w:eastAsia="宋体" w:cs="宋体"/>
          <w:b w:val="0"/>
          <w:bCs w:val="0"/>
          <w:color w:val="auto"/>
          <w:kern w:val="2"/>
          <w:sz w:val="24"/>
          <w:szCs w:val="24"/>
          <w:highlight w:val="none"/>
          <w:lang w:val="en-US" w:eastAsia="zh-CN" w:bidi="ar-SA"/>
        </w:rPr>
        <w:t>三、商务要求</w:t>
      </w:r>
      <w:bookmarkEnd w:id="50"/>
      <w:bookmarkEnd w:id="51"/>
    </w:p>
    <w:p>
      <w:pPr>
        <w:pStyle w:val="18"/>
        <w:adjustRightInd w:val="0"/>
        <w:snapToGrid w:val="0"/>
        <w:spacing w:line="360" w:lineRule="auto"/>
        <w:ind w:firstLine="482" w:firstLineChars="200"/>
        <w:outlineLvl w:val="2"/>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（一）投标报价</w:t>
      </w:r>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1、本项目采用总价包干方式。</w:t>
      </w:r>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投标人应考虑企业自身实力、经验及项目实施过程中的各种因素，根据采购要求，详细说明所能提供的各项具体服务内容，自主确定每项单价报价，并按服务的内容分别独立报价并提供报价组成与成本分析。</w:t>
      </w:r>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投标人的报价应包括为完成本项服务可能发生的全部费用及投标人的利润和应交纳的税金等（包括人员工资、各种社会保险、人员食宿与交通、办公费等）。投标人对合同内容的费用、质量、安全、文明服务等实行全面承包。</w:t>
      </w:r>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3、中标单位服务人员基本工资最低不得低于杭州市最低工资标准</w:t>
      </w:r>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最低工资不包括下列四项收入（如有）：延长工作时间的工资；中班、夜班、高温、低温、有毒有害等特殊工作环境、条件下的津贴；贴补伙食、住房等支付给劳动者的非货币性收入；法律、法规和国家规定的劳动者福利待遇等]。</w:t>
      </w:r>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4、根据浙江省与杭州市相关文件规定，并结合本项目具体情况缴纳基本社会保险企业承担部分（基本养老保险、基本医疗保险、失业保险、工伤保险、生育保险）。</w:t>
      </w:r>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5、最终金额按实结算。</w:t>
      </w:r>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6、用车费用应包含在总价中。</w:t>
      </w:r>
    </w:p>
    <w:p>
      <w:pPr>
        <w:pStyle w:val="18"/>
        <w:adjustRightInd w:val="0"/>
        <w:snapToGrid w:val="0"/>
        <w:spacing w:line="360" w:lineRule="auto"/>
        <w:ind w:firstLine="482" w:firstLineChars="200"/>
        <w:outlineLvl w:val="2"/>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（二）履约担保</w:t>
      </w:r>
    </w:p>
    <w:p>
      <w:pPr>
        <w:adjustRightInd w:val="0"/>
        <w:snapToGrid w:val="0"/>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1、中标人在合同签订后5个工作日内交纳合同价的</w:t>
      </w:r>
      <w:r>
        <w:rPr>
          <w:rFonts w:cs="仿宋" w:asciiTheme="majorEastAsia" w:hAnsiTheme="majorEastAsia" w:eastAsiaTheme="majorEastAsia"/>
          <w:bCs/>
          <w:color w:val="auto"/>
          <w:sz w:val="24"/>
          <w:highlight w:val="none"/>
        </w:rPr>
        <w:t>/</w:t>
      </w:r>
      <w:r>
        <w:rPr>
          <w:rFonts w:hint="eastAsia" w:cs="仿宋" w:asciiTheme="majorEastAsia" w:hAnsiTheme="majorEastAsia" w:eastAsiaTheme="majorEastAsia"/>
          <w:bCs/>
          <w:color w:val="auto"/>
          <w:sz w:val="24"/>
          <w:highlight w:val="none"/>
        </w:rPr>
        <w:t>%作为本合同的履约保证金。接受以银行、保险公司出具的保函形式提供履约保证。</w:t>
      </w:r>
    </w:p>
    <w:p>
      <w:pPr>
        <w:adjustRightInd w:val="0"/>
        <w:snapToGrid w:val="0"/>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2、服务期结束，中标人履约保证金无息退回。（如有违约，则扣除相应款项后无息退回）</w:t>
      </w:r>
    </w:p>
    <w:p>
      <w:pPr>
        <w:pStyle w:val="18"/>
        <w:adjustRightInd w:val="0"/>
        <w:snapToGrid w:val="0"/>
        <w:spacing w:line="360" w:lineRule="auto"/>
        <w:ind w:firstLine="482" w:firstLineChars="200"/>
        <w:outlineLvl w:val="2"/>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（三）合同款支付</w:t>
      </w:r>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1、合同生效以及具备实施条件后5个工作日，采购人向中标人支付合同总额的</w:t>
      </w:r>
      <w:r>
        <w:rPr>
          <w:rFonts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rPr>
        <w:t>0%作为预付款。（在签订合同时，中标人明确表示无需预付款或者主动要求降低预付款比例的，可不适用该规定），项目</w:t>
      </w:r>
      <w:r>
        <w:rPr>
          <w:rFonts w:hint="eastAsia" w:cs="仿宋" w:asciiTheme="majorEastAsia" w:hAnsiTheme="majorEastAsia" w:eastAsiaTheme="majorEastAsia"/>
          <w:color w:val="auto"/>
          <w:sz w:val="24"/>
          <w:highlight w:val="none"/>
          <w:lang w:eastAsia="zh-CN"/>
        </w:rPr>
        <w:t>前期工作完成开始运行</w:t>
      </w:r>
      <w:r>
        <w:rPr>
          <w:rFonts w:hint="eastAsia" w:cs="仿宋" w:asciiTheme="majorEastAsia" w:hAnsiTheme="majorEastAsia" w:eastAsiaTheme="majorEastAsia"/>
          <w:color w:val="auto"/>
          <w:sz w:val="24"/>
          <w:highlight w:val="none"/>
          <w:lang w:val="en-US" w:eastAsia="zh-CN"/>
        </w:rPr>
        <w:t>12个月</w:t>
      </w:r>
      <w:r>
        <w:rPr>
          <w:rFonts w:hint="eastAsia" w:cs="仿宋" w:asciiTheme="majorEastAsia" w:hAnsiTheme="majorEastAsia" w:eastAsiaTheme="majorEastAsia"/>
          <w:color w:val="auto"/>
          <w:sz w:val="24"/>
          <w:highlight w:val="none"/>
          <w:lang w:eastAsia="zh-CN"/>
        </w:rPr>
        <w:t>经采购人认可后支付合同金额的</w:t>
      </w:r>
      <w:r>
        <w:rPr>
          <w:rFonts w:hint="eastAsia" w:cs="仿宋" w:asciiTheme="majorEastAsia" w:hAnsiTheme="majorEastAsia" w:eastAsiaTheme="majorEastAsia"/>
          <w:color w:val="auto"/>
          <w:sz w:val="24"/>
          <w:highlight w:val="none"/>
          <w:lang w:val="en-US" w:eastAsia="zh-CN"/>
        </w:rPr>
        <w:t>25%，项目完成经采购人验收合格后5个工作日内支付尾款</w:t>
      </w:r>
      <w:r>
        <w:rPr>
          <w:rFonts w:hint="eastAsia" w:cs="仿宋" w:asciiTheme="majorEastAsia" w:hAnsiTheme="majorEastAsia" w:eastAsiaTheme="majorEastAsia"/>
          <w:color w:val="auto"/>
          <w:sz w:val="24"/>
          <w:highlight w:val="none"/>
        </w:rPr>
        <w:t>。</w:t>
      </w:r>
    </w:p>
    <w:p>
      <w:pPr>
        <w:pStyle w:val="18"/>
        <w:adjustRightInd w:val="0"/>
        <w:snapToGrid w:val="0"/>
        <w:spacing w:line="360" w:lineRule="auto"/>
        <w:ind w:firstLine="480" w:firstLineChars="200"/>
        <w:rPr>
          <w:rFonts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lang w:val="en-US" w:eastAsia="zh-CN"/>
        </w:rPr>
        <w:t>2</w:t>
      </w:r>
      <w:r>
        <w:rPr>
          <w:rFonts w:hint="eastAsia" w:cs="仿宋" w:asciiTheme="majorEastAsia" w:hAnsiTheme="majorEastAsia" w:eastAsiaTheme="majorEastAsia"/>
          <w:color w:val="auto"/>
          <w:sz w:val="24"/>
          <w:highlight w:val="none"/>
        </w:rPr>
        <w:t>、特别说明：如因财政支付原因付款时间延后的，按采购人要求执行。</w:t>
      </w:r>
    </w:p>
    <w:p>
      <w:pPr>
        <w:pStyle w:val="18"/>
        <w:adjustRightInd w:val="0"/>
        <w:snapToGrid w:val="0"/>
        <w:spacing w:line="360" w:lineRule="auto"/>
        <w:ind w:firstLine="482" w:firstLineChars="200"/>
        <w:outlineLvl w:val="2"/>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（四）考核及验收</w:t>
      </w:r>
    </w:p>
    <w:p>
      <w:pP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1、</w:t>
      </w:r>
      <w:r>
        <w:rPr>
          <w:rFonts w:hint="eastAsia" w:ascii="宋体" w:hAnsi="宋体" w:cs="宋体"/>
          <w:color w:val="auto"/>
          <w:sz w:val="24"/>
          <w:highlight w:val="none"/>
          <w:lang w:val="zh-CN"/>
        </w:rPr>
        <w:t>本项目</w:t>
      </w:r>
      <w:r>
        <w:rPr>
          <w:rFonts w:hint="eastAsia" w:ascii="宋体" w:hAnsi="宋体" w:cs="宋体"/>
          <w:color w:val="auto"/>
          <w:sz w:val="24"/>
          <w:highlight w:val="none"/>
        </w:rPr>
        <w:t>组织</w:t>
      </w:r>
      <w:r>
        <w:rPr>
          <w:rFonts w:hint="eastAsia" w:ascii="宋体" w:hAnsi="宋体" w:cs="宋体"/>
          <w:color w:val="auto"/>
          <w:sz w:val="24"/>
          <w:highlight w:val="none"/>
          <w:lang w:val="zh-CN"/>
        </w:rPr>
        <w:t>履约验收，验收合格的情况作为项目支付的依据。</w:t>
      </w:r>
    </w:p>
    <w:p>
      <w:pP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验收依据：①采购文件确定的技术</w:t>
      </w:r>
      <w:r>
        <w:rPr>
          <w:rFonts w:hint="eastAsia" w:ascii="宋体" w:hAnsi="宋体" w:cs="宋体"/>
          <w:color w:val="auto"/>
          <w:sz w:val="24"/>
          <w:highlight w:val="none"/>
        </w:rPr>
        <w:t>要求</w:t>
      </w:r>
      <w:r>
        <w:rPr>
          <w:rFonts w:hint="eastAsia" w:ascii="宋体" w:hAnsi="宋体" w:cs="宋体"/>
          <w:color w:val="auto"/>
          <w:sz w:val="24"/>
          <w:highlight w:val="none"/>
          <w:lang w:val="zh-CN"/>
        </w:rPr>
        <w:t>或者服务要求；②投标文件承诺、询标回复；③</w:t>
      </w:r>
      <w:r>
        <w:rPr>
          <w:rFonts w:hint="eastAsia" w:ascii="宋体" w:hAnsi="宋体" w:cs="宋体"/>
          <w:color w:val="auto"/>
          <w:sz w:val="24"/>
          <w:highlight w:val="none"/>
        </w:rPr>
        <w:t>政府采购</w:t>
      </w:r>
      <w:r>
        <w:rPr>
          <w:rFonts w:hint="eastAsia" w:ascii="宋体" w:hAnsi="宋体" w:cs="宋体"/>
          <w:color w:val="auto"/>
          <w:sz w:val="24"/>
          <w:highlight w:val="none"/>
          <w:lang w:val="zh-CN"/>
        </w:rPr>
        <w:t>合同、甲方制定的考核标准。未进行相应约定的，应当符合国家强制性规定、政策要求、安全标准、行业或企业有关标准等。</w:t>
      </w:r>
    </w:p>
    <w:p>
      <w:pPr>
        <w:tabs>
          <w:tab w:val="left" w:pos="0"/>
        </w:tabs>
        <w:adjustRightInd w:val="0"/>
        <w:snapToGrid w:val="0"/>
        <w:spacing w:line="360" w:lineRule="auto"/>
        <w:ind w:firstLine="480" w:firstLineChars="200"/>
        <w:rPr>
          <w:rFonts w:asciiTheme="majorEastAsia" w:hAnsiTheme="majorEastAsia" w:eastAsiaTheme="majorEastAsia"/>
          <w:color w:val="auto"/>
          <w:highlight w:val="none"/>
        </w:rPr>
      </w:pPr>
      <w:r>
        <w:rPr>
          <w:rFonts w:hint="eastAsia" w:ascii="宋体" w:hAnsi="宋体" w:cs="宋体"/>
          <w:color w:val="auto"/>
          <w:sz w:val="24"/>
          <w:highlight w:val="none"/>
        </w:rPr>
        <w:t>2、本项目的验收标准：①采购人的服务考核情况；②中标人服务过程记录、</w:t>
      </w:r>
      <w:r>
        <w:rPr>
          <w:rFonts w:hint="eastAsia" w:ascii="宋体" w:hAnsi="宋体" w:cs="宋体"/>
          <w:color w:val="auto"/>
          <w:sz w:val="24"/>
          <w:highlight w:val="none"/>
          <w:lang w:val="zh-CN"/>
        </w:rPr>
        <w:t>质量反馈；③</w:t>
      </w:r>
      <w:r>
        <w:rPr>
          <w:rFonts w:hint="eastAsia" w:ascii="宋体" w:hAnsi="宋体" w:cs="宋体"/>
          <w:color w:val="auto"/>
          <w:sz w:val="24"/>
          <w:highlight w:val="none"/>
        </w:rPr>
        <w:t>服务台账，要求台账记录清晰完整、</w:t>
      </w:r>
      <w:r>
        <w:rPr>
          <w:rFonts w:hint="eastAsia" w:ascii="宋体" w:hAnsi="宋体" w:cs="宋体"/>
          <w:color w:val="auto"/>
          <w:sz w:val="24"/>
          <w:highlight w:val="none"/>
          <w:lang w:val="zh-CN"/>
        </w:rPr>
        <w:t>材料完备。</w:t>
      </w:r>
    </w:p>
    <w:p>
      <w:pPr>
        <w:pStyle w:val="4"/>
        <w:spacing w:before="120" w:after="120"/>
        <w:rPr>
          <w:rFonts w:cs="仿宋" w:asciiTheme="majorEastAsia" w:hAnsiTheme="majorEastAsia" w:eastAsiaTheme="majorEastAsia"/>
          <w:color w:val="auto"/>
          <w:sz w:val="24"/>
          <w:szCs w:val="24"/>
          <w:highlight w:val="none"/>
        </w:rPr>
      </w:pPr>
      <w:bookmarkStart w:id="52" w:name="_Toc32149"/>
      <w:bookmarkStart w:id="53" w:name="_Toc7134"/>
      <w:bookmarkStart w:id="54" w:name="_Toc28585"/>
      <w:r>
        <w:rPr>
          <w:rFonts w:hint="eastAsia" w:cs="仿宋" w:asciiTheme="majorEastAsia" w:hAnsiTheme="majorEastAsia" w:eastAsiaTheme="majorEastAsia"/>
          <w:color w:val="auto"/>
          <w:sz w:val="24"/>
          <w:szCs w:val="24"/>
          <w:highlight w:val="none"/>
        </w:rPr>
        <w:t>四、投标</w:t>
      </w:r>
      <w:bookmarkEnd w:id="52"/>
      <w:r>
        <w:rPr>
          <w:rFonts w:hint="eastAsia" w:cs="仿宋" w:asciiTheme="majorEastAsia" w:hAnsiTheme="majorEastAsia" w:eastAsiaTheme="majorEastAsia"/>
          <w:color w:val="auto"/>
          <w:sz w:val="24"/>
          <w:szCs w:val="24"/>
          <w:highlight w:val="none"/>
        </w:rPr>
        <w:t>相关说明</w:t>
      </w:r>
      <w:bookmarkEnd w:id="53"/>
      <w:bookmarkEnd w:id="54"/>
    </w:p>
    <w:p>
      <w:pPr>
        <w:pStyle w:val="18"/>
        <w:adjustRightInd w:val="0"/>
        <w:snapToGrid w:val="0"/>
        <w:spacing w:line="360" w:lineRule="auto"/>
        <w:ind w:firstLine="482" w:firstLineChars="200"/>
        <w:outlineLvl w:val="2"/>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（一）投标人要求</w:t>
      </w:r>
    </w:p>
    <w:p>
      <w:pPr>
        <w:pStyle w:val="18"/>
        <w:adjustRightInd w:val="0"/>
        <w:snapToGrid w:val="0"/>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1、为确保项目的顺利实施，投标人应有类似项目业绩经验。</w:t>
      </w:r>
    </w:p>
    <w:p>
      <w:pPr>
        <w:pStyle w:val="18"/>
        <w:adjustRightInd w:val="0"/>
        <w:snapToGrid w:val="0"/>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2、投标人应能提供快速的服务响应，具有较强的项目管理、技术服务和组织实施能力。</w:t>
      </w:r>
    </w:p>
    <w:p>
      <w:pPr>
        <w:pStyle w:val="18"/>
        <w:adjustRightInd w:val="0"/>
        <w:snapToGrid w:val="0"/>
        <w:spacing w:line="360" w:lineRule="auto"/>
        <w:ind w:firstLine="480" w:firstLineChars="200"/>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3、投标人具有有效的质量管理体系、环境管理体系、中国职业健康安全管理体系认证证书、售后服务证书。</w:t>
      </w:r>
    </w:p>
    <w:p>
      <w:pPr>
        <w:pStyle w:val="18"/>
        <w:adjustRightInd w:val="0"/>
        <w:snapToGrid w:val="0"/>
        <w:spacing w:line="360" w:lineRule="auto"/>
        <w:ind w:firstLine="482" w:firstLineChars="200"/>
        <w:outlineLvl w:val="2"/>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（二）项目团队要求</w:t>
      </w:r>
    </w:p>
    <w:p>
      <w:pPr>
        <w:pStyle w:val="18"/>
        <w:adjustRightInd w:val="0"/>
        <w:snapToGrid w:val="0"/>
        <w:spacing w:line="360" w:lineRule="auto"/>
        <w:ind w:firstLine="480" w:firstLineChars="200"/>
        <w:rPr>
          <w:rFonts w:cs="仿宋" w:asciiTheme="majorEastAsia" w:hAnsiTheme="majorEastAsia" w:eastAsiaTheme="majorEastAsia"/>
          <w:bCs/>
          <w:color w:val="auto"/>
          <w:sz w:val="24"/>
          <w:highlight w:val="none"/>
          <w:lang w:val="zh-CN"/>
        </w:rPr>
      </w:pPr>
      <w:r>
        <w:rPr>
          <w:rFonts w:hint="eastAsia" w:cs="仿宋" w:asciiTheme="majorEastAsia" w:hAnsiTheme="majorEastAsia" w:eastAsiaTheme="majorEastAsia"/>
          <w:color w:val="auto"/>
          <w:sz w:val="24"/>
          <w:highlight w:val="none"/>
        </w:rPr>
        <w:t>1、投标人为本项目配备团队，团队人员不少于5名</w:t>
      </w:r>
      <w:r>
        <w:rPr>
          <w:rFonts w:hint="eastAsia" w:cs="仿宋" w:asciiTheme="majorEastAsia" w:hAnsiTheme="majorEastAsia" w:eastAsiaTheme="majorEastAsia"/>
          <w:bCs/>
          <w:color w:val="auto"/>
          <w:sz w:val="24"/>
          <w:highlight w:val="none"/>
          <w:lang w:val="zh-CN"/>
        </w:rPr>
        <w:t>。</w:t>
      </w:r>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bCs/>
          <w:color w:val="auto"/>
          <w:sz w:val="24"/>
          <w:highlight w:val="none"/>
        </w:rPr>
        <w:t>投标文件中应提供团队成员名单，每个参加项目人员提供履历介绍，主要内容包括学历、工作特长、经验与业绩、资质情况等，该人员参与的时间以及在项目中的责任。其中</w:t>
      </w:r>
      <w:r>
        <w:rPr>
          <w:rFonts w:hint="eastAsia" w:cs="仿宋" w:asciiTheme="majorEastAsia" w:hAnsiTheme="majorEastAsia" w:eastAsiaTheme="majorEastAsia"/>
          <w:color w:val="auto"/>
          <w:sz w:val="24"/>
          <w:highlight w:val="none"/>
        </w:rPr>
        <w:t>配备项目负责人1名，配备技术负责人</w:t>
      </w:r>
      <w:r>
        <w:rPr>
          <w:rFonts w:cs="仿宋" w:asciiTheme="majorEastAsia" w:hAnsiTheme="majorEastAsia" w:eastAsiaTheme="majorEastAsia"/>
          <w:color w:val="auto"/>
          <w:sz w:val="24"/>
          <w:highlight w:val="none"/>
        </w:rPr>
        <w:t>1</w:t>
      </w:r>
      <w:r>
        <w:rPr>
          <w:rFonts w:hint="eastAsia" w:cs="仿宋" w:asciiTheme="majorEastAsia" w:hAnsiTheme="majorEastAsia" w:eastAsiaTheme="majorEastAsia"/>
          <w:color w:val="auto"/>
          <w:sz w:val="24"/>
          <w:highlight w:val="none"/>
        </w:rPr>
        <w:t>名，配备环保类专业至少1名，注册环保工程师至少1名，配备安全专业人员</w:t>
      </w:r>
      <w:r>
        <w:rPr>
          <w:rFonts w:cs="仿宋" w:asciiTheme="majorEastAsia" w:hAnsiTheme="majorEastAsia" w:eastAsiaTheme="majorEastAsia"/>
          <w:color w:val="auto"/>
          <w:sz w:val="24"/>
          <w:highlight w:val="none"/>
        </w:rPr>
        <w:t>1</w:t>
      </w:r>
      <w:r>
        <w:rPr>
          <w:rFonts w:hint="eastAsia" w:cs="仿宋" w:asciiTheme="majorEastAsia" w:hAnsiTheme="majorEastAsia" w:eastAsiaTheme="majorEastAsia"/>
          <w:color w:val="auto"/>
          <w:sz w:val="24"/>
          <w:highlight w:val="none"/>
        </w:rPr>
        <w:t>名，配备水环境自动监控运行人员1名。</w:t>
      </w:r>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名单中应提供人员姓名、身份证号码，并提供投标人</w:t>
      </w:r>
      <w:r>
        <w:rPr>
          <w:rFonts w:hint="eastAsia" w:cs="仿宋" w:asciiTheme="majorEastAsia" w:hAnsiTheme="majorEastAsia" w:eastAsiaTheme="majorEastAsia"/>
          <w:color w:val="auto"/>
          <w:sz w:val="24"/>
          <w:highlight w:val="none"/>
          <w:lang w:val="zh-CN"/>
        </w:rPr>
        <w:t>为其缴纳的、社保机构出具</w:t>
      </w:r>
      <w:r>
        <w:rPr>
          <w:rFonts w:hint="eastAsia" w:cs="仿宋" w:asciiTheme="majorEastAsia" w:hAnsiTheme="majorEastAsia" w:eastAsiaTheme="majorEastAsia"/>
          <w:color w:val="auto"/>
          <w:sz w:val="24"/>
          <w:highlight w:val="none"/>
        </w:rPr>
        <w:t>至投标截止时间3个月任意时间的</w:t>
      </w:r>
      <w:r>
        <w:rPr>
          <w:rFonts w:hint="eastAsia" w:cs="仿宋" w:asciiTheme="majorEastAsia" w:hAnsiTheme="majorEastAsia" w:eastAsiaTheme="majorEastAsia"/>
          <w:color w:val="auto"/>
          <w:sz w:val="24"/>
          <w:highlight w:val="none"/>
          <w:lang w:val="zh-CN"/>
        </w:rPr>
        <w:t>社保证明（退休返聘人员无需提供社保证明），否则</w:t>
      </w:r>
      <w:r>
        <w:rPr>
          <w:rFonts w:hint="eastAsia" w:cs="仿宋" w:asciiTheme="majorEastAsia" w:hAnsiTheme="majorEastAsia" w:eastAsiaTheme="majorEastAsia"/>
          <w:color w:val="auto"/>
          <w:sz w:val="24"/>
          <w:highlight w:val="none"/>
        </w:rPr>
        <w:t>人员不予认可</w:t>
      </w:r>
      <w:r>
        <w:rPr>
          <w:rFonts w:hint="eastAsia" w:cs="仿宋" w:asciiTheme="majorEastAsia" w:hAnsiTheme="majorEastAsia" w:eastAsiaTheme="majorEastAsia"/>
          <w:color w:val="auto"/>
          <w:sz w:val="24"/>
          <w:highlight w:val="none"/>
          <w:lang w:val="zh-CN"/>
        </w:rPr>
        <w:t>。</w:t>
      </w:r>
    </w:p>
    <w:p>
      <w:pPr>
        <w:pStyle w:val="2"/>
        <w:snapToGrid w:val="0"/>
        <w:rPr>
          <w:rFonts w:cs="仿宋" w:asciiTheme="majorEastAsia" w:hAnsiTheme="majorEastAsia" w:eastAsiaTheme="majorEastAsia"/>
          <w:bCs/>
          <w:color w:val="auto"/>
          <w:szCs w:val="24"/>
          <w:highlight w:val="none"/>
        </w:rPr>
      </w:pPr>
      <w:r>
        <w:rPr>
          <w:rFonts w:hint="eastAsia" w:cs="仿宋" w:asciiTheme="majorEastAsia" w:hAnsiTheme="majorEastAsia" w:eastAsiaTheme="majorEastAsia"/>
          <w:bCs/>
          <w:color w:val="auto"/>
          <w:szCs w:val="24"/>
          <w:highlight w:val="none"/>
        </w:rPr>
        <w:t>4、如中标，应为所有人员缴纳社保及购买人员意外险。</w:t>
      </w:r>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rPr>
        <w:t>、投标人应配有较强的专业技术队伍，对本项目涉及的污染处理设施设备应有专业人员进行运维，相关技术岗位人员须持证上岗</w:t>
      </w:r>
    </w:p>
    <w:p>
      <w:pPr>
        <w:pStyle w:val="18"/>
        <w:adjustRightInd w:val="0"/>
        <w:snapToGrid w:val="0"/>
        <w:spacing w:line="360" w:lineRule="auto"/>
        <w:ind w:firstLine="482" w:firstLineChars="200"/>
        <w:outlineLvl w:val="2"/>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（三）投标时对方案的要求</w:t>
      </w:r>
    </w:p>
    <w:p>
      <w:pPr>
        <w:pStyle w:val="2"/>
        <w:snapToGrid w:val="0"/>
        <w:rPr>
          <w:rFonts w:cs="仿宋" w:asciiTheme="majorEastAsia" w:hAnsiTheme="majorEastAsia" w:eastAsiaTheme="majorEastAsia"/>
          <w:bCs/>
          <w:color w:val="auto"/>
          <w:szCs w:val="24"/>
          <w:highlight w:val="none"/>
        </w:rPr>
      </w:pPr>
      <w:r>
        <w:rPr>
          <w:rFonts w:hint="eastAsia" w:cs="仿宋" w:asciiTheme="majorEastAsia" w:hAnsiTheme="majorEastAsia" w:eastAsiaTheme="majorEastAsia"/>
          <w:bCs/>
          <w:color w:val="auto"/>
          <w:szCs w:val="24"/>
          <w:highlight w:val="none"/>
        </w:rPr>
        <w:t>1．投标人需针对本项目的实际情况与需求（</w:t>
      </w:r>
      <w:r>
        <w:rPr>
          <w:rFonts w:hint="eastAsia" w:cs="仿宋" w:asciiTheme="majorEastAsia" w:hAnsiTheme="majorEastAsia" w:eastAsiaTheme="majorEastAsia"/>
          <w:color w:val="auto"/>
          <w:szCs w:val="24"/>
          <w:highlight w:val="none"/>
        </w:rPr>
        <w:t>水质保障</w:t>
      </w:r>
      <w:r>
        <w:rPr>
          <w:rFonts w:hint="eastAsia" w:cs="仿宋" w:asciiTheme="majorEastAsia" w:hAnsiTheme="majorEastAsia" w:eastAsiaTheme="majorEastAsia"/>
          <w:bCs/>
          <w:color w:val="auto"/>
          <w:szCs w:val="24"/>
          <w:highlight w:val="none"/>
        </w:rPr>
        <w:t>），提供完整的方案，包括但不限于对三色预警维护方案、生态修复方案、排口治理方案、增氧曝气系统方案、处理治安及其他突发事件、微生物功能菌投加系统方案</w:t>
      </w:r>
      <w:r>
        <w:rPr>
          <w:rFonts w:hint="eastAsia" w:cs="仿宋" w:asciiTheme="majorEastAsia" w:hAnsiTheme="majorEastAsia" w:eastAsiaTheme="majorEastAsia"/>
          <w:bCs/>
          <w:color w:val="auto"/>
          <w:szCs w:val="24"/>
          <w:highlight w:val="none"/>
          <w:lang w:eastAsia="zh-CN"/>
        </w:rPr>
        <w:t>、确保所投微生物菌剂无毒无害</w:t>
      </w:r>
      <w:r>
        <w:rPr>
          <w:rFonts w:hint="eastAsia" w:cs="仿宋" w:asciiTheme="majorEastAsia" w:hAnsiTheme="majorEastAsia" w:eastAsiaTheme="majorEastAsia"/>
          <w:bCs/>
          <w:color w:val="auto"/>
          <w:szCs w:val="24"/>
          <w:highlight w:val="none"/>
        </w:rPr>
        <w:t>等内容。</w:t>
      </w:r>
    </w:p>
    <w:p>
      <w:pPr>
        <w:pStyle w:val="2"/>
        <w:snapToGrid w:val="0"/>
        <w:rPr>
          <w:rFonts w:cs="仿宋" w:asciiTheme="majorEastAsia" w:hAnsiTheme="majorEastAsia" w:eastAsiaTheme="majorEastAsia"/>
          <w:bCs/>
          <w:color w:val="auto"/>
          <w:szCs w:val="24"/>
          <w:highlight w:val="none"/>
        </w:rPr>
      </w:pPr>
      <w:r>
        <w:rPr>
          <w:rFonts w:hint="eastAsia" w:cs="仿宋" w:asciiTheme="majorEastAsia" w:hAnsiTheme="majorEastAsia" w:eastAsiaTheme="majorEastAsia"/>
          <w:bCs/>
          <w:color w:val="auto"/>
          <w:szCs w:val="24"/>
          <w:highlight w:val="none"/>
        </w:rPr>
        <w:t>2．投标人需针对本项目的实际情况与需求（</w:t>
      </w:r>
      <w:r>
        <w:rPr>
          <w:rFonts w:hint="eastAsia" w:cs="仿宋" w:asciiTheme="majorEastAsia" w:hAnsiTheme="majorEastAsia" w:eastAsiaTheme="majorEastAsia"/>
          <w:color w:val="auto"/>
          <w:szCs w:val="24"/>
          <w:highlight w:val="none"/>
        </w:rPr>
        <w:t>水生植物及管道维护服务</w:t>
      </w:r>
      <w:r>
        <w:rPr>
          <w:rFonts w:hint="eastAsia" w:cs="仿宋" w:asciiTheme="majorEastAsia" w:hAnsiTheme="majorEastAsia" w:eastAsiaTheme="majorEastAsia"/>
          <w:bCs/>
          <w:color w:val="auto"/>
          <w:szCs w:val="24"/>
          <w:highlight w:val="none"/>
        </w:rPr>
        <w:t>），提供完整的方案，包括但不限于对去除枯死植株工程、植物补植工程、植物扶正、加固工程、病虫害防治和监测工程、除草工程、植物修剪工程、植物防护(防寒、旱、台、涝、高温等)工程、浮岛、浮框、曝气系统等新建及维修工程（包括局部河道布局调整扩大，费用已包含在总报价中）、拦截口设施维修、应急处理工程等内容</w:t>
      </w:r>
    </w:p>
    <w:p>
      <w:pPr>
        <w:pStyle w:val="2"/>
        <w:snapToGrid w:val="0"/>
        <w:rPr>
          <w:rFonts w:cs="仿宋" w:asciiTheme="majorEastAsia" w:hAnsiTheme="majorEastAsia" w:eastAsiaTheme="majorEastAsia"/>
          <w:bCs/>
          <w:color w:val="auto"/>
          <w:szCs w:val="24"/>
          <w:highlight w:val="none"/>
        </w:rPr>
      </w:pPr>
      <w:r>
        <w:rPr>
          <w:rFonts w:cs="仿宋" w:asciiTheme="majorEastAsia" w:hAnsiTheme="majorEastAsia" w:eastAsiaTheme="majorEastAsia"/>
          <w:bCs/>
          <w:color w:val="auto"/>
          <w:szCs w:val="24"/>
          <w:highlight w:val="none"/>
        </w:rPr>
        <w:t>3</w:t>
      </w:r>
      <w:r>
        <w:rPr>
          <w:rFonts w:hint="eastAsia" w:cs="仿宋" w:asciiTheme="majorEastAsia" w:hAnsiTheme="majorEastAsia" w:eastAsiaTheme="majorEastAsia"/>
          <w:bCs/>
          <w:color w:val="auto"/>
          <w:szCs w:val="24"/>
          <w:highlight w:val="none"/>
        </w:rPr>
        <w:t>．投标人需结合对本项目采购需求的理解，分析服务存在的难点、要点问题，并针对性的提出克服难点和要点的技术措施。</w:t>
      </w:r>
    </w:p>
    <w:p>
      <w:pPr>
        <w:pStyle w:val="2"/>
        <w:snapToGrid w:val="0"/>
        <w:rPr>
          <w:rFonts w:cs="仿宋" w:asciiTheme="majorEastAsia" w:hAnsiTheme="majorEastAsia" w:eastAsiaTheme="majorEastAsia"/>
          <w:bCs/>
          <w:color w:val="auto"/>
          <w:szCs w:val="24"/>
          <w:highlight w:val="none"/>
        </w:rPr>
      </w:pPr>
      <w:r>
        <w:rPr>
          <w:rFonts w:cs="仿宋" w:asciiTheme="majorEastAsia" w:hAnsiTheme="majorEastAsia" w:eastAsiaTheme="majorEastAsia"/>
          <w:bCs/>
          <w:color w:val="auto"/>
          <w:szCs w:val="24"/>
          <w:highlight w:val="none"/>
        </w:rPr>
        <w:t>4</w:t>
      </w:r>
      <w:r>
        <w:rPr>
          <w:rFonts w:hint="eastAsia" w:cs="仿宋" w:asciiTheme="majorEastAsia" w:hAnsiTheme="majorEastAsia" w:eastAsiaTheme="majorEastAsia"/>
          <w:bCs/>
          <w:color w:val="auto"/>
          <w:szCs w:val="24"/>
          <w:highlight w:val="none"/>
        </w:rPr>
        <w:t>．投标人需结合对本项目采购需求的理解，制定水质维护提升及水面保洁、水质恶化突发性事件、高温季节、防汛、渡汛的安全保证措施、重大活动创建和检查期间的应急响应管理。</w:t>
      </w:r>
    </w:p>
    <w:p>
      <w:pPr>
        <w:pStyle w:val="2"/>
        <w:snapToGrid w:val="0"/>
        <w:rPr>
          <w:rFonts w:cs="仿宋" w:asciiTheme="majorEastAsia" w:hAnsiTheme="majorEastAsia" w:eastAsiaTheme="majorEastAsia"/>
          <w:bCs/>
          <w:color w:val="auto"/>
          <w:szCs w:val="24"/>
          <w:highlight w:val="none"/>
        </w:rPr>
      </w:pPr>
      <w:r>
        <w:rPr>
          <w:rFonts w:cs="仿宋" w:asciiTheme="majorEastAsia" w:hAnsiTheme="majorEastAsia" w:eastAsiaTheme="majorEastAsia"/>
          <w:bCs/>
          <w:color w:val="auto"/>
          <w:szCs w:val="24"/>
          <w:highlight w:val="none"/>
        </w:rPr>
        <w:t>5</w:t>
      </w:r>
      <w:r>
        <w:rPr>
          <w:rFonts w:hint="eastAsia" w:cs="仿宋" w:asciiTheme="majorEastAsia" w:hAnsiTheme="majorEastAsia" w:eastAsiaTheme="majorEastAsia"/>
          <w:bCs/>
          <w:color w:val="auto"/>
          <w:szCs w:val="24"/>
          <w:highlight w:val="none"/>
        </w:rPr>
        <w:t>．投标人需针对本项目的实际情况与需求，配套生态培育稳定期养护管理方案。</w:t>
      </w:r>
    </w:p>
    <w:p>
      <w:pPr>
        <w:pStyle w:val="2"/>
        <w:snapToGrid w:val="0"/>
        <w:rPr>
          <w:rFonts w:cs="仿宋" w:asciiTheme="majorEastAsia" w:hAnsiTheme="majorEastAsia" w:eastAsiaTheme="majorEastAsia"/>
          <w:bCs/>
          <w:color w:val="auto"/>
          <w:szCs w:val="24"/>
          <w:highlight w:val="none"/>
        </w:rPr>
      </w:pPr>
      <w:r>
        <w:rPr>
          <w:rFonts w:cs="仿宋" w:asciiTheme="majorEastAsia" w:hAnsiTheme="majorEastAsia" w:eastAsiaTheme="majorEastAsia"/>
          <w:bCs/>
          <w:color w:val="auto"/>
          <w:szCs w:val="24"/>
          <w:highlight w:val="none"/>
        </w:rPr>
        <w:t>6</w:t>
      </w:r>
      <w:r>
        <w:rPr>
          <w:rFonts w:hint="eastAsia" w:cs="仿宋" w:asciiTheme="majorEastAsia" w:hAnsiTheme="majorEastAsia" w:eastAsiaTheme="majorEastAsia"/>
          <w:bCs/>
          <w:color w:val="auto"/>
          <w:szCs w:val="24"/>
          <w:highlight w:val="none"/>
        </w:rPr>
        <w:t>．投标人需针对本项目的实际情况与需求，制定水质提升技术路线方案。</w:t>
      </w:r>
    </w:p>
    <w:p>
      <w:pPr>
        <w:pStyle w:val="2"/>
        <w:snapToGrid w:val="0"/>
        <w:rPr>
          <w:rFonts w:cs="仿宋" w:asciiTheme="majorEastAsia" w:hAnsiTheme="majorEastAsia" w:eastAsiaTheme="majorEastAsia"/>
          <w:bCs/>
          <w:color w:val="auto"/>
          <w:szCs w:val="24"/>
          <w:highlight w:val="none"/>
        </w:rPr>
      </w:pPr>
      <w:r>
        <w:rPr>
          <w:rFonts w:cs="仿宋" w:asciiTheme="majorEastAsia" w:hAnsiTheme="majorEastAsia" w:eastAsiaTheme="majorEastAsia"/>
          <w:bCs/>
          <w:color w:val="auto"/>
          <w:szCs w:val="24"/>
          <w:highlight w:val="none"/>
        </w:rPr>
        <w:t>7</w:t>
      </w:r>
      <w:r>
        <w:rPr>
          <w:rFonts w:hint="eastAsia" w:cs="仿宋" w:asciiTheme="majorEastAsia" w:hAnsiTheme="majorEastAsia" w:eastAsiaTheme="majorEastAsia"/>
          <w:bCs/>
          <w:color w:val="auto"/>
          <w:szCs w:val="24"/>
          <w:highlight w:val="none"/>
        </w:rPr>
        <w:t>．投标人需针对本项目的实际情况与需求，制定垃圾清运及处理方案。</w:t>
      </w:r>
    </w:p>
    <w:p>
      <w:pPr>
        <w:pStyle w:val="2"/>
        <w:snapToGrid w:val="0"/>
        <w:rPr>
          <w:rFonts w:hint="eastAsia" w:cs="仿宋" w:asciiTheme="majorEastAsia" w:hAnsiTheme="majorEastAsia" w:eastAsiaTheme="majorEastAsia"/>
          <w:bCs/>
          <w:color w:val="auto"/>
          <w:szCs w:val="24"/>
          <w:highlight w:val="none"/>
          <w:lang w:eastAsia="zh-CN"/>
        </w:rPr>
      </w:pPr>
      <w:r>
        <w:rPr>
          <w:rFonts w:cs="仿宋" w:asciiTheme="majorEastAsia" w:hAnsiTheme="majorEastAsia" w:eastAsiaTheme="majorEastAsia"/>
          <w:bCs/>
          <w:color w:val="auto"/>
          <w:szCs w:val="24"/>
          <w:highlight w:val="none"/>
        </w:rPr>
        <w:t>8</w:t>
      </w:r>
      <w:r>
        <w:rPr>
          <w:rFonts w:hint="eastAsia" w:cs="仿宋" w:asciiTheme="majorEastAsia" w:hAnsiTheme="majorEastAsia" w:eastAsiaTheme="majorEastAsia"/>
          <w:bCs/>
          <w:color w:val="auto"/>
          <w:szCs w:val="24"/>
          <w:highlight w:val="none"/>
        </w:rPr>
        <w:t>．投标人需针对本项目的实际情况与需求，制定污染底泥处置方案</w:t>
      </w:r>
      <w:r>
        <w:rPr>
          <w:rFonts w:hint="eastAsia" w:cs="仿宋" w:asciiTheme="majorEastAsia" w:hAnsiTheme="majorEastAsia" w:eastAsiaTheme="majorEastAsia"/>
          <w:bCs/>
          <w:color w:val="auto"/>
          <w:szCs w:val="24"/>
          <w:highlight w:val="none"/>
          <w:lang w:eastAsia="zh-CN"/>
        </w:rPr>
        <w:t>。</w:t>
      </w:r>
    </w:p>
    <w:p>
      <w:pPr>
        <w:pStyle w:val="2"/>
        <w:snapToGrid w:val="0"/>
        <w:rPr>
          <w:rFonts w:cs="仿宋" w:asciiTheme="majorEastAsia" w:hAnsiTheme="majorEastAsia" w:eastAsiaTheme="majorEastAsia"/>
          <w:bCs/>
          <w:color w:val="auto"/>
          <w:szCs w:val="24"/>
          <w:highlight w:val="none"/>
        </w:rPr>
      </w:pPr>
      <w:r>
        <w:rPr>
          <w:rFonts w:hint="eastAsia" w:cs="仿宋" w:asciiTheme="majorEastAsia" w:hAnsiTheme="majorEastAsia" w:eastAsiaTheme="majorEastAsia"/>
          <w:bCs/>
          <w:color w:val="auto"/>
          <w:szCs w:val="24"/>
          <w:highlight w:val="none"/>
          <w:lang w:val="en-US" w:eastAsia="zh-CN"/>
        </w:rPr>
        <w:t>9.</w:t>
      </w:r>
      <w:r>
        <w:rPr>
          <w:rFonts w:hint="eastAsia" w:cs="仿宋" w:asciiTheme="majorEastAsia" w:hAnsiTheme="majorEastAsia" w:eastAsiaTheme="majorEastAsia"/>
          <w:bCs/>
          <w:color w:val="auto"/>
          <w:szCs w:val="24"/>
          <w:highlight w:val="none"/>
        </w:rPr>
        <w:t>投标人需针对本项目的实际情况与需求，制定日常巡查方案。</w:t>
      </w:r>
    </w:p>
    <w:p>
      <w:pPr>
        <w:pStyle w:val="2"/>
        <w:snapToGrid w:val="0"/>
        <w:rPr>
          <w:color w:val="auto"/>
          <w:highlight w:val="none"/>
        </w:rPr>
      </w:pPr>
      <w:r>
        <w:rPr>
          <w:rFonts w:hint="eastAsia" w:cs="仿宋" w:asciiTheme="majorEastAsia" w:hAnsiTheme="majorEastAsia" w:eastAsiaTheme="majorEastAsia"/>
          <w:bCs/>
          <w:color w:val="auto"/>
          <w:szCs w:val="24"/>
          <w:highlight w:val="none"/>
          <w:lang w:val="en-US" w:eastAsia="zh-CN"/>
        </w:rPr>
        <w:t>10</w:t>
      </w:r>
      <w:r>
        <w:rPr>
          <w:rFonts w:hint="eastAsia" w:cs="仿宋" w:asciiTheme="majorEastAsia" w:hAnsiTheme="majorEastAsia" w:eastAsiaTheme="majorEastAsia"/>
          <w:bCs/>
          <w:color w:val="auto"/>
          <w:szCs w:val="24"/>
          <w:highlight w:val="none"/>
        </w:rPr>
        <w:t>．投标人需针对本项目的实际情况与需求，制定配套服务方案，包括投标人售后服务网点的设立以及提供的响应时间、到场时间和问题解决时长的情况、投标人档案建立与保存措施、项目实施过程中的施工组织。</w:t>
      </w:r>
    </w:p>
    <w:p>
      <w:pPr>
        <w:pStyle w:val="2"/>
        <w:snapToGrid w:val="0"/>
        <w:rPr>
          <w:rFonts w:cs="仿宋" w:asciiTheme="majorEastAsia" w:hAnsiTheme="majorEastAsia" w:eastAsiaTheme="majorEastAsia"/>
          <w:bCs/>
          <w:color w:val="auto"/>
          <w:szCs w:val="24"/>
          <w:highlight w:val="none"/>
        </w:rPr>
      </w:pPr>
      <w:r>
        <w:rPr>
          <w:rFonts w:hint="eastAsia" w:cs="仿宋" w:asciiTheme="majorEastAsia" w:hAnsiTheme="majorEastAsia" w:eastAsiaTheme="majorEastAsia"/>
          <w:bCs/>
          <w:color w:val="auto"/>
          <w:szCs w:val="24"/>
          <w:highlight w:val="none"/>
          <w:lang w:val="en-US" w:eastAsia="zh-CN"/>
        </w:rPr>
        <w:t>11</w:t>
      </w:r>
      <w:r>
        <w:rPr>
          <w:rFonts w:hint="eastAsia" w:cs="仿宋" w:asciiTheme="majorEastAsia" w:hAnsiTheme="majorEastAsia" w:eastAsiaTheme="majorEastAsia"/>
          <w:bCs/>
          <w:color w:val="auto"/>
          <w:szCs w:val="24"/>
          <w:highlight w:val="none"/>
        </w:rPr>
        <w:t>.投标人需针对本项目的实际情况与需求，制定合理化建议。</w:t>
      </w:r>
    </w:p>
    <w:p>
      <w:pPr>
        <w:pStyle w:val="4"/>
        <w:spacing w:before="120" w:after="120" w:line="360" w:lineRule="auto"/>
        <w:rPr>
          <w:rFonts w:cs="仿宋" w:asciiTheme="majorEastAsia" w:hAnsiTheme="majorEastAsia" w:eastAsiaTheme="majorEastAsia"/>
          <w:color w:val="auto"/>
          <w:sz w:val="24"/>
          <w:szCs w:val="24"/>
          <w:highlight w:val="none"/>
          <w:lang w:val="zh-CN"/>
        </w:rPr>
      </w:pPr>
      <w:bookmarkStart w:id="55" w:name="_Toc28570"/>
      <w:bookmarkStart w:id="56" w:name="_Toc16093"/>
      <w:bookmarkStart w:id="57" w:name="_Toc26437"/>
      <w:bookmarkStart w:id="58" w:name="_Toc6726"/>
      <w:r>
        <w:rPr>
          <w:rFonts w:hint="eastAsia" w:cs="仿宋" w:asciiTheme="majorEastAsia" w:hAnsiTheme="majorEastAsia" w:eastAsiaTheme="majorEastAsia"/>
          <w:color w:val="auto"/>
          <w:sz w:val="24"/>
          <w:szCs w:val="24"/>
          <w:highlight w:val="none"/>
        </w:rPr>
        <w:t>五</w:t>
      </w:r>
      <w:r>
        <w:rPr>
          <w:rFonts w:hint="eastAsia" w:cs="仿宋" w:asciiTheme="majorEastAsia" w:hAnsiTheme="majorEastAsia" w:eastAsiaTheme="majorEastAsia"/>
          <w:color w:val="auto"/>
          <w:sz w:val="24"/>
          <w:szCs w:val="24"/>
          <w:highlight w:val="none"/>
          <w:lang w:val="zh-CN"/>
        </w:rPr>
        <w:t>、其他</w:t>
      </w:r>
      <w:bookmarkEnd w:id="55"/>
      <w:bookmarkEnd w:id="56"/>
      <w:bookmarkEnd w:id="57"/>
      <w:bookmarkEnd w:id="58"/>
    </w:p>
    <w:p>
      <w:pPr>
        <w:pStyle w:val="18"/>
        <w:adjustRightInd w:val="0"/>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1、投标人不得将本合同范围的服务转包由其他单位承担；也不得未经采购人同意擅自部分内容分包给其他单位承担；如有违反以上情形，采购人有权解除合同，并追究中标人的违约责任。 </w:t>
      </w:r>
    </w:p>
    <w:p>
      <w:pPr>
        <w:adjustRightInd w:val="0"/>
        <w:snapToGrid w:val="0"/>
        <w:spacing w:line="360" w:lineRule="auto"/>
        <w:ind w:firstLine="480" w:firstLineChars="200"/>
        <w:rPr>
          <w:rFonts w:cs="仿宋" w:asciiTheme="majorEastAsia" w:hAnsiTheme="majorEastAsia" w:eastAsiaTheme="majorEastAsia"/>
          <w:snapToGrid w:val="0"/>
          <w:color w:val="auto"/>
          <w:kern w:val="0"/>
          <w:sz w:val="24"/>
          <w:highlight w:val="none"/>
        </w:rPr>
      </w:pPr>
      <w:r>
        <w:rPr>
          <w:rFonts w:hint="eastAsia" w:cs="仿宋" w:asciiTheme="majorEastAsia" w:hAnsiTheme="majorEastAsia" w:eastAsiaTheme="majorEastAsia"/>
          <w:snapToGrid w:val="0"/>
          <w:color w:val="auto"/>
          <w:kern w:val="0"/>
          <w:sz w:val="24"/>
          <w:highlight w:val="none"/>
        </w:rPr>
        <w:t>2、投标时的证明材料要确保真实有效。如核实虚假的，采购人有权向监管部门反映，取消该投标人的中标资格并追究其法律责任。</w:t>
      </w:r>
    </w:p>
    <w:p>
      <w:pPr>
        <w:adjustRightInd w:val="0"/>
        <w:snapToGrid w:val="0"/>
        <w:spacing w:line="360" w:lineRule="auto"/>
        <w:ind w:firstLine="480" w:firstLineChars="200"/>
        <w:rPr>
          <w:rFonts w:cs="仿宋" w:asciiTheme="majorEastAsia" w:hAnsiTheme="majorEastAsia" w:eastAsiaTheme="majorEastAsia"/>
          <w:bCs/>
          <w:color w:val="auto"/>
          <w:highlight w:val="none"/>
        </w:rPr>
      </w:pPr>
      <w:r>
        <w:rPr>
          <w:rFonts w:hint="eastAsia" w:cs="仿宋" w:asciiTheme="majorEastAsia" w:hAnsiTheme="majorEastAsia" w:eastAsiaTheme="majorEastAsia"/>
          <w:snapToGrid w:val="0"/>
          <w:color w:val="auto"/>
          <w:kern w:val="0"/>
          <w:sz w:val="24"/>
          <w:highlight w:val="none"/>
        </w:rPr>
        <w:t>3、</w:t>
      </w:r>
      <w:r>
        <w:rPr>
          <w:rFonts w:hint="eastAsia" w:cs="仿宋" w:asciiTheme="majorEastAsia" w:hAnsiTheme="majorEastAsia" w:eastAsiaTheme="majorEastAsia"/>
          <w:snapToGrid w:val="0"/>
          <w:color w:val="auto"/>
          <w:kern w:val="0"/>
          <w:sz w:val="24"/>
          <w:highlight w:val="none"/>
          <w:lang w:val="zh-CN"/>
        </w:rPr>
        <w:t>未尽事宜可进一步参阅合同条款、</w:t>
      </w:r>
      <w:r>
        <w:rPr>
          <w:rFonts w:hint="eastAsia" w:cs="仿宋" w:asciiTheme="majorEastAsia" w:hAnsiTheme="majorEastAsia" w:eastAsiaTheme="majorEastAsia"/>
          <w:snapToGrid w:val="0"/>
          <w:color w:val="auto"/>
          <w:kern w:val="0"/>
          <w:sz w:val="24"/>
          <w:highlight w:val="none"/>
        </w:rPr>
        <w:t>招标文件其他内容、</w:t>
      </w:r>
      <w:r>
        <w:rPr>
          <w:rFonts w:hint="eastAsia" w:cs="仿宋" w:asciiTheme="majorEastAsia" w:hAnsiTheme="majorEastAsia" w:eastAsiaTheme="majorEastAsia"/>
          <w:snapToGrid w:val="0"/>
          <w:color w:val="auto"/>
          <w:kern w:val="0"/>
          <w:sz w:val="24"/>
          <w:highlight w:val="none"/>
          <w:lang w:val="zh-CN"/>
        </w:rPr>
        <w:t>相关附件。</w:t>
      </w:r>
    </w:p>
    <w:p>
      <w:pPr>
        <w:pStyle w:val="2"/>
        <w:rPr>
          <w:rFonts w:asciiTheme="majorEastAsia" w:hAnsiTheme="majorEastAsia" w:eastAsiaTheme="majorEastAsia"/>
          <w:color w:val="auto"/>
          <w:highlight w:val="none"/>
        </w:rPr>
        <w:sectPr>
          <w:headerReference r:id="rId5" w:type="default"/>
          <w:footerReference r:id="rId6" w:type="default"/>
          <w:pgSz w:w="11850" w:h="16783"/>
          <w:pgMar w:top="1247" w:right="1588" w:bottom="1089" w:left="1588" w:header="851" w:footer="992" w:gutter="0"/>
          <w:cols w:space="720" w:num="1"/>
          <w:docGrid w:linePitch="312" w:charSpace="0"/>
        </w:sectPr>
      </w:pPr>
    </w:p>
    <w:bookmarkEnd w:id="42"/>
    <w:bookmarkEnd w:id="43"/>
    <w:bookmarkEnd w:id="44"/>
    <w:bookmarkEnd w:id="45"/>
    <w:p>
      <w:pPr>
        <w:adjustRightInd w:val="0"/>
        <w:snapToGrid w:val="0"/>
        <w:spacing w:beforeLines="50" w:afterLines="50" w:line="360" w:lineRule="auto"/>
        <w:jc w:val="center"/>
        <w:outlineLvl w:val="0"/>
        <w:rPr>
          <w:rFonts w:cs="仿宋" w:asciiTheme="majorEastAsia" w:hAnsiTheme="majorEastAsia" w:eastAsiaTheme="majorEastAsia"/>
          <w:b/>
          <w:color w:val="auto"/>
          <w:sz w:val="30"/>
          <w:szCs w:val="30"/>
          <w:highlight w:val="none"/>
        </w:rPr>
      </w:pPr>
      <w:bookmarkStart w:id="59" w:name="_Toc2261"/>
      <w:bookmarkStart w:id="60" w:name="_Toc14349"/>
      <w:r>
        <w:rPr>
          <w:rFonts w:hint="eastAsia" w:cs="仿宋" w:asciiTheme="majorEastAsia" w:hAnsiTheme="majorEastAsia" w:eastAsiaTheme="majorEastAsia"/>
          <w:b/>
          <w:color w:val="auto"/>
          <w:sz w:val="30"/>
          <w:szCs w:val="30"/>
          <w:highlight w:val="none"/>
        </w:rPr>
        <w:t>第四部分  评标办法</w:t>
      </w:r>
      <w:bookmarkEnd w:id="59"/>
      <w:bookmarkEnd w:id="60"/>
    </w:p>
    <w:p>
      <w:pPr>
        <w:pStyle w:val="4"/>
        <w:snapToGrid w:val="0"/>
        <w:spacing w:beforeLines="50" w:afterLines="50" w:line="360" w:lineRule="auto"/>
        <w:rPr>
          <w:rFonts w:cs="仿宋" w:asciiTheme="majorEastAsia" w:hAnsiTheme="majorEastAsia" w:eastAsiaTheme="majorEastAsia"/>
          <w:color w:val="auto"/>
          <w:sz w:val="24"/>
          <w:szCs w:val="24"/>
          <w:highlight w:val="none"/>
        </w:rPr>
      </w:pPr>
      <w:bookmarkStart w:id="61" w:name="_Toc16598"/>
      <w:bookmarkStart w:id="62" w:name="_Toc24836"/>
      <w:r>
        <w:rPr>
          <w:rFonts w:hint="eastAsia" w:cs="仿宋" w:asciiTheme="majorEastAsia" w:hAnsiTheme="majorEastAsia" w:eastAsiaTheme="majorEastAsia"/>
          <w:color w:val="auto"/>
          <w:sz w:val="24"/>
          <w:szCs w:val="24"/>
          <w:highlight w:val="none"/>
        </w:rPr>
        <w:t>评标办法前附表</w:t>
      </w:r>
      <w:bookmarkEnd w:id="61"/>
      <w:bookmarkEnd w:id="62"/>
    </w:p>
    <w:tbl>
      <w:tblPr>
        <w:tblStyle w:val="45"/>
        <w:tblW w:w="908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5769"/>
        <w:gridCol w:w="1209"/>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4"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序号</w:t>
            </w:r>
          </w:p>
        </w:tc>
        <w:tc>
          <w:tcPr>
            <w:tcW w:w="576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评标标准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权重</w:t>
            </w:r>
          </w:p>
        </w:tc>
        <w:tc>
          <w:tcPr>
            <w:tcW w:w="1375"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投标文件中评标标准相应的商务技术资料目录</w:t>
            </w:r>
            <w:r>
              <w:rPr>
                <w:rFonts w:eastAsia="仿宋" w:cs="Calibri"/>
                <w:bCs/>
                <w:color w:val="auto"/>
                <w:sz w:val="24"/>
                <w:highlight w:val="none"/>
                <w:shd w:val="clear" w:color="auto" w:fill="FFFFFF"/>
              </w:rPr>
              <w:t> </w:t>
            </w:r>
            <w:r>
              <w:rPr>
                <w:rFonts w:hint="eastAsia" w:ascii="仿宋" w:hAnsi="仿宋" w:eastAsia="仿宋" w:cs="仿宋"/>
                <w:bCs/>
                <w:color w:val="auto"/>
                <w:sz w:val="24"/>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5769"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投标人具备有效质量管理体系认证证书的，得1分；具备有效环境管理体系认证证书的，得1分；具备有效职业健康安全管理体系认证的，得1分；具备有效售后服务认证证书的，得1分。证书均在有效期内且须在全国认证认可信息公共服务平（http//cx.cnca.</w:t>
            </w:r>
          </w:p>
          <w:p>
            <w:pPr>
              <w:widowControl/>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cn/）上查询得到，最高得 4分。</w:t>
            </w:r>
          </w:p>
          <w:p>
            <w:pPr>
              <w:widowControl/>
              <w:jc w:val="left"/>
              <w:rPr>
                <w:rFonts w:ascii="仿宋" w:hAnsi="仿宋" w:eastAsia="仿宋" w:cs="仿宋"/>
                <w:bCs/>
                <w:color w:val="auto"/>
                <w:kern w:val="0"/>
                <w:sz w:val="24"/>
                <w:highlight w:val="none"/>
              </w:rPr>
            </w:pPr>
            <w:r>
              <w:rPr>
                <w:rFonts w:hint="eastAsia" w:ascii="仿宋" w:hAnsi="仿宋" w:eastAsia="仿宋" w:cs="仿宋"/>
                <w:bCs/>
                <w:color w:val="auto"/>
                <w:sz w:val="24"/>
                <w:highlight w:val="none"/>
              </w:rPr>
              <w:t>（注：提供证书复印件及全国认证认可信息公共服务平台查询结果网页截图加盖公章，未提供或提供不全不得分。）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4分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（客观）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auto"/>
                <w:kern w:val="0"/>
                <w:sz w:val="24"/>
                <w:highlight w:val="none"/>
              </w:rPr>
            </w:pPr>
            <w:r>
              <w:rPr>
                <w:rFonts w:hint="eastAsia" w:ascii="仿宋" w:hAnsi="仿宋" w:eastAsia="仿宋" w:cs="仿宋"/>
                <w:bCs/>
                <w:color w:val="auto"/>
                <w:sz w:val="24"/>
                <w:highlight w:val="none"/>
              </w:rPr>
              <w:t>体系证书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ascii="仿宋" w:hAnsi="仿宋" w:eastAsia="仿宋" w:cs="仿宋"/>
                <w:bCs/>
                <w:color w:val="auto"/>
                <w:sz w:val="24"/>
                <w:highlight w:val="none"/>
              </w:rPr>
              <w:t>2</w:t>
            </w:r>
          </w:p>
        </w:tc>
        <w:tc>
          <w:tcPr>
            <w:tcW w:w="5769"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Cs/>
                <w:color w:val="auto"/>
                <w:kern w:val="0"/>
                <w:sz w:val="24"/>
                <w:highlight w:val="none"/>
              </w:rPr>
            </w:pPr>
            <w:r>
              <w:rPr>
                <w:rFonts w:hint="eastAsia" w:ascii="仿宋" w:hAnsi="仿宋" w:eastAsia="仿宋" w:cs="仿宋"/>
                <w:bCs/>
                <w:color w:val="auto"/>
                <w:sz w:val="24"/>
                <w:highlight w:val="none"/>
              </w:rPr>
              <w:t>自2018年1月1日以来完成过的类似河道水环境生态治理服务项目的合同业绩,每一项得0.2分。本项最高得1分。（需提供中标通知书、合同、完（竣）工验收材料，复印件加盖公章，以上证明材料缺一不可，未提供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1分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（客观）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ascii="仿宋" w:hAnsi="仿宋" w:eastAsia="仿宋" w:cs="仿宋"/>
                <w:bCs/>
                <w:color w:val="auto"/>
                <w:sz w:val="24"/>
                <w:highlight w:val="none"/>
              </w:rPr>
              <w:t>3</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水质保障方案</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水质保障方案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ascii="仿宋" w:hAnsi="仿宋" w:eastAsia="仿宋" w:cs="仿宋"/>
                <w:bCs/>
                <w:color w:val="auto"/>
                <w:sz w:val="24"/>
                <w:highlight w:val="none"/>
              </w:rPr>
              <w:t>3.1</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三色预警维护方案</w:t>
            </w:r>
            <w:r>
              <w:rPr>
                <w:rFonts w:hint="eastAsia" w:ascii="仿宋" w:hAnsi="仿宋" w:eastAsia="仿宋" w:cs="仿宋"/>
                <w:color w:val="auto"/>
                <w:kern w:val="0"/>
                <w:sz w:val="24"/>
                <w:highlight w:val="none"/>
              </w:rPr>
              <w:t>内容完整且与项目匹配度好的得2分，方案内容存在欠缺或与项目匹配度一般的得1分。方案内容缺失严重或与项目不匹配的不得分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2分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ascii="仿宋" w:hAnsi="仿宋" w:eastAsia="仿宋" w:cs="仿宋"/>
                <w:bCs/>
                <w:color w:val="auto"/>
                <w:sz w:val="24"/>
                <w:highlight w:val="none"/>
              </w:rPr>
              <w:t>3.2</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生态修复方案</w:t>
            </w:r>
            <w:r>
              <w:rPr>
                <w:rFonts w:hint="eastAsia" w:ascii="仿宋" w:hAnsi="仿宋" w:eastAsia="仿宋" w:cs="仿宋"/>
                <w:color w:val="auto"/>
                <w:kern w:val="0"/>
                <w:sz w:val="24"/>
                <w:highlight w:val="none"/>
              </w:rPr>
              <w:t>内容完整且与项目匹配度好的得2分，方案内容存在欠缺或与项目匹配度一般的得1分。方案内容缺失严重或与项目不匹配的不得分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2分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ascii="仿宋" w:hAnsi="仿宋" w:eastAsia="仿宋" w:cs="仿宋"/>
                <w:bCs/>
                <w:color w:val="auto"/>
                <w:sz w:val="24"/>
                <w:highlight w:val="none"/>
              </w:rPr>
              <w:t>3.3</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排口治理方案</w:t>
            </w:r>
            <w:r>
              <w:rPr>
                <w:rFonts w:hint="eastAsia" w:ascii="仿宋" w:hAnsi="仿宋" w:eastAsia="仿宋" w:cs="仿宋"/>
                <w:color w:val="auto"/>
                <w:kern w:val="0"/>
                <w:sz w:val="24"/>
                <w:highlight w:val="none"/>
              </w:rPr>
              <w:t>内容完整且与项目匹配度好的得2分，每项方案内容存在欠缺或与项目匹配度一般的得1分。每项方案内容缺失严重或与项目不匹配的不得分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2分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ascii="仿宋" w:hAnsi="仿宋" w:eastAsia="仿宋" w:cs="仿宋"/>
                <w:bCs/>
                <w:color w:val="auto"/>
                <w:sz w:val="24"/>
                <w:highlight w:val="none"/>
              </w:rPr>
              <w:t>3.4</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增氧曝气系统方案、处理治安及其他突发事件</w:t>
            </w:r>
            <w:r>
              <w:rPr>
                <w:rFonts w:hint="eastAsia" w:ascii="仿宋" w:hAnsi="仿宋" w:eastAsia="仿宋" w:cs="仿宋"/>
                <w:color w:val="auto"/>
                <w:kern w:val="0"/>
                <w:sz w:val="24"/>
                <w:highlight w:val="none"/>
              </w:rPr>
              <w:t>内容完整且与项目匹配度好的得2分，方案内容存在欠缺或与项目匹配度一般的得1分。方案内容缺失严重或与项目不匹配的不得分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2分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ascii="仿宋" w:hAnsi="仿宋" w:eastAsia="仿宋" w:cs="仿宋"/>
                <w:bCs/>
                <w:color w:val="auto"/>
                <w:sz w:val="24"/>
                <w:highlight w:val="none"/>
              </w:rPr>
              <w:t>3.5</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微生物功能菌投加系统方案</w:t>
            </w:r>
            <w:r>
              <w:rPr>
                <w:rFonts w:hint="eastAsia" w:ascii="仿宋" w:hAnsi="仿宋" w:eastAsia="仿宋" w:cs="仿宋"/>
                <w:color w:val="auto"/>
                <w:kern w:val="0"/>
                <w:sz w:val="24"/>
                <w:highlight w:val="none"/>
              </w:rPr>
              <w:t>内容完整且与项目匹配度好的得2分，方案内容存在欠缺或与项目匹配度一般的得1分。方案内容缺失严重或与项目不匹配的不得分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2分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4" w:type="dxa"/>
            <w:tcBorders>
              <w:top w:val="nil"/>
              <w:left w:val="single" w:color="auto" w:sz="4" w:space="0"/>
              <w:bottom w:val="single" w:color="auto" w:sz="4" w:space="0"/>
              <w:right w:val="single" w:color="auto" w:sz="4" w:space="0"/>
            </w:tcBorders>
            <w:vAlign w:val="center"/>
          </w:tcPr>
          <w:p>
            <w:pPr>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3.6</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highlight w:val="none"/>
              </w:rPr>
              <w:t>投标人</w:t>
            </w:r>
            <w:r>
              <w:rPr>
                <w:rFonts w:hint="eastAsia" w:ascii="仿宋" w:hAnsi="仿宋" w:eastAsia="仿宋" w:cs="仿宋"/>
                <w:bCs/>
                <w:color w:val="auto"/>
                <w:sz w:val="24"/>
                <w:highlight w:val="none"/>
                <w:lang w:eastAsia="zh-CN"/>
              </w:rPr>
              <w:t>为本项目</w:t>
            </w:r>
            <w:r>
              <w:rPr>
                <w:rFonts w:hint="eastAsia" w:ascii="仿宋" w:hAnsi="仿宋" w:eastAsia="仿宋" w:cs="仿宋"/>
                <w:bCs/>
                <w:color w:val="auto"/>
                <w:sz w:val="24"/>
                <w:highlight w:val="none"/>
              </w:rPr>
              <w:t>提供的微生物菌剂无毒无害，对河道水体及生物没有负面影响，不会造成环境二次污染，满足得 3分，不满足不得分。[投标文件中</w:t>
            </w:r>
            <w:r>
              <w:rPr>
                <w:rFonts w:hint="eastAsia" w:ascii="仿宋" w:hAnsi="仿宋" w:eastAsia="仿宋" w:cs="仿宋"/>
                <w:bCs/>
                <w:color w:val="auto"/>
                <w:sz w:val="24"/>
                <w:highlight w:val="none"/>
                <w:lang w:eastAsia="zh-CN"/>
              </w:rPr>
              <w:t>需</w:t>
            </w:r>
            <w:r>
              <w:rPr>
                <w:rFonts w:hint="eastAsia" w:ascii="仿宋" w:hAnsi="仿宋" w:eastAsia="仿宋" w:cs="仿宋"/>
                <w:bCs/>
                <w:color w:val="auto"/>
                <w:sz w:val="24"/>
                <w:highlight w:val="none"/>
              </w:rPr>
              <w:t>提供国家认可的检测机构出具的微生物安全性检测报告（检验标准为GB/T15441，氯化汞浓度含量合格，即无毒；检测报告有 CMA 标识）]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0-3分</w:t>
            </w:r>
          </w:p>
          <w:p>
            <w:pPr>
              <w:jc w:val="center"/>
              <w:outlineLvl w:val="0"/>
              <w:rPr>
                <w:rFonts w:hint="default"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eastAsia="zh-CN"/>
              </w:rPr>
              <w:t>客</w:t>
            </w:r>
            <w:r>
              <w:rPr>
                <w:rFonts w:hint="eastAsia" w:ascii="仿宋" w:hAnsi="仿宋" w:eastAsia="仿宋" w:cs="仿宋"/>
                <w:bCs/>
                <w:color w:val="auto"/>
                <w:sz w:val="24"/>
                <w:highlight w:val="none"/>
              </w:rPr>
              <w:t>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ascii="仿宋" w:hAnsi="仿宋" w:eastAsia="仿宋" w:cs="仿宋"/>
                <w:bCs/>
                <w:color w:val="auto"/>
                <w:sz w:val="24"/>
                <w:highlight w:val="none"/>
              </w:rPr>
              <w:t>4</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水生植物及管道维护服务方案</w:t>
            </w:r>
          </w:p>
        </w:tc>
        <w:tc>
          <w:tcPr>
            <w:tcW w:w="12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水生植物及管道维护服务方案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ascii="仿宋" w:hAnsi="仿宋" w:eastAsia="仿宋" w:cs="仿宋"/>
                <w:bCs/>
                <w:color w:val="auto"/>
                <w:sz w:val="24"/>
                <w:highlight w:val="none"/>
              </w:rPr>
              <w:t>.1</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去除枯死植株方案</w:t>
            </w:r>
            <w:r>
              <w:rPr>
                <w:rFonts w:hint="eastAsia" w:ascii="仿宋" w:hAnsi="仿宋" w:eastAsia="仿宋" w:cs="仿宋"/>
                <w:color w:val="auto"/>
                <w:kern w:val="0"/>
                <w:sz w:val="24"/>
                <w:highlight w:val="none"/>
              </w:rPr>
              <w:t>内容完整且与项目匹配度好的得2分，方案内容存在欠缺或与项目匹配度一般的得1分。方案内容缺失严重或与项目不匹配的不得分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2分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ascii="仿宋" w:hAnsi="仿宋" w:eastAsia="仿宋" w:cs="仿宋"/>
                <w:bCs/>
                <w:color w:val="auto"/>
                <w:sz w:val="24"/>
                <w:highlight w:val="none"/>
              </w:rPr>
              <w:t>.2</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植物补植方案</w:t>
            </w:r>
            <w:r>
              <w:rPr>
                <w:rFonts w:hint="eastAsia" w:ascii="仿宋" w:hAnsi="仿宋" w:eastAsia="仿宋" w:cs="仿宋"/>
                <w:color w:val="auto"/>
                <w:kern w:val="0"/>
                <w:sz w:val="24"/>
                <w:highlight w:val="none"/>
              </w:rPr>
              <w:t>内容完整且与项目匹配度好的得2分，方案内容存在欠缺或与项目匹配度一般的得1分。方案内容缺失严重或与项目不匹配的不得分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2分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ascii="仿宋" w:hAnsi="仿宋" w:eastAsia="仿宋" w:cs="仿宋"/>
                <w:bCs/>
                <w:color w:val="auto"/>
                <w:sz w:val="24"/>
                <w:highlight w:val="none"/>
              </w:rPr>
              <w:t>.3</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植物扶正、加固方案</w:t>
            </w:r>
            <w:r>
              <w:rPr>
                <w:rFonts w:hint="eastAsia" w:ascii="仿宋" w:hAnsi="仿宋" w:eastAsia="仿宋" w:cs="仿宋"/>
                <w:color w:val="auto"/>
                <w:kern w:val="0"/>
                <w:sz w:val="24"/>
                <w:highlight w:val="none"/>
              </w:rPr>
              <w:t>内容完整且与项目匹配度好的得2分，方案内容存在欠缺或与项目匹配度一般的得1分。方案内容缺失严重或与项目不匹配的不得分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2分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ascii="仿宋" w:hAnsi="仿宋" w:eastAsia="仿宋" w:cs="仿宋"/>
                <w:bCs/>
                <w:color w:val="auto"/>
                <w:sz w:val="24"/>
                <w:highlight w:val="none"/>
              </w:rPr>
              <w:t>.4</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病虫害防治和监测方案</w:t>
            </w:r>
            <w:r>
              <w:rPr>
                <w:rFonts w:hint="eastAsia" w:ascii="仿宋" w:hAnsi="仿宋" w:eastAsia="仿宋" w:cs="仿宋"/>
                <w:color w:val="auto"/>
                <w:kern w:val="0"/>
                <w:sz w:val="24"/>
                <w:highlight w:val="none"/>
              </w:rPr>
              <w:t>内容完整且与项目匹配度好的得2分，方案内容存在欠缺或与项目匹配度一般的得1分。方案内容缺失严重或与项目不匹配的不得分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2分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ascii="仿宋" w:hAnsi="仿宋" w:eastAsia="仿宋" w:cs="仿宋"/>
                <w:bCs/>
                <w:color w:val="auto"/>
                <w:sz w:val="24"/>
                <w:highlight w:val="none"/>
              </w:rPr>
              <w:t>.5</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除草方案</w:t>
            </w:r>
            <w:r>
              <w:rPr>
                <w:rFonts w:hint="eastAsia" w:ascii="仿宋" w:hAnsi="仿宋" w:eastAsia="仿宋" w:cs="仿宋"/>
                <w:color w:val="auto"/>
                <w:kern w:val="0"/>
                <w:sz w:val="24"/>
                <w:highlight w:val="none"/>
              </w:rPr>
              <w:t>内容完整且与项目匹配度好的得2分，方案内容存在欠缺或与项目匹配度一般的得1分。方案内容缺失严重或与项目不匹配的不得分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2分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ascii="仿宋" w:hAnsi="仿宋" w:eastAsia="仿宋" w:cs="仿宋"/>
                <w:bCs/>
                <w:color w:val="auto"/>
                <w:sz w:val="24"/>
                <w:highlight w:val="none"/>
              </w:rPr>
              <w:t>.6</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植物修剪方案</w:t>
            </w:r>
            <w:r>
              <w:rPr>
                <w:rFonts w:hint="eastAsia" w:ascii="仿宋" w:hAnsi="仿宋" w:eastAsia="仿宋" w:cs="仿宋"/>
                <w:color w:val="auto"/>
                <w:kern w:val="0"/>
                <w:sz w:val="24"/>
                <w:highlight w:val="none"/>
              </w:rPr>
              <w:t>内容完整且与项目匹配度好的得2分，方案内容存在欠缺或与项目匹配度一般的得1分。方案内容缺失严重或与项目不匹配的不得分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2分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ascii="仿宋" w:hAnsi="仿宋" w:eastAsia="仿宋" w:cs="仿宋"/>
                <w:bCs/>
                <w:color w:val="auto"/>
                <w:sz w:val="24"/>
                <w:highlight w:val="none"/>
              </w:rPr>
              <w:t>.7</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植物防护(防寒、旱、台、涝、高温等) 方案</w:t>
            </w:r>
            <w:r>
              <w:rPr>
                <w:rFonts w:hint="eastAsia" w:ascii="仿宋" w:hAnsi="仿宋" w:eastAsia="仿宋" w:cs="仿宋"/>
                <w:color w:val="auto"/>
                <w:kern w:val="0"/>
                <w:sz w:val="24"/>
                <w:highlight w:val="none"/>
              </w:rPr>
              <w:t>内容完整且与项目匹配度好的得2分，方案内容存在欠缺或与项目匹配度一般的得1分。方案内容缺失严重或与项目不匹配的不得分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2分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ascii="仿宋" w:hAnsi="仿宋" w:eastAsia="仿宋" w:cs="仿宋"/>
                <w:bCs/>
                <w:color w:val="auto"/>
                <w:sz w:val="24"/>
                <w:highlight w:val="none"/>
              </w:rPr>
              <w:t>.8</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浮岛、浮框、曝气系统等新建及维修方案</w:t>
            </w:r>
            <w:r>
              <w:rPr>
                <w:rFonts w:hint="eastAsia" w:ascii="仿宋" w:hAnsi="仿宋" w:eastAsia="仿宋" w:cs="仿宋"/>
                <w:color w:val="auto"/>
                <w:kern w:val="0"/>
                <w:sz w:val="24"/>
                <w:highlight w:val="none"/>
              </w:rPr>
              <w:t>内容完整且与项目匹配度好的得2分，方案内容存在欠缺或与项目匹配度一般的得1分。方案内容缺失严重或与项目不匹配的不得分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2分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w:t>
            </w:r>
            <w:r>
              <w:rPr>
                <w:rFonts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9</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拦截口设施维修、应急处理方案</w:t>
            </w:r>
            <w:r>
              <w:rPr>
                <w:rFonts w:hint="eastAsia" w:ascii="仿宋" w:hAnsi="仿宋" w:eastAsia="仿宋" w:cs="仿宋"/>
                <w:color w:val="auto"/>
                <w:kern w:val="0"/>
                <w:sz w:val="24"/>
                <w:highlight w:val="none"/>
              </w:rPr>
              <w:t>内容完整且与项目匹配度好的得2分，方案内容存在欠缺或与项目匹配度一般的得1分。方案内容缺失严重或与项目不匹配的不得分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仿宋" w:hAnsi="仿宋" w:eastAsia="仿宋" w:cs="仿宋"/>
                <w:bCs/>
                <w:color w:val="auto"/>
                <w:sz w:val="24"/>
                <w:highlight w:val="none"/>
              </w:rPr>
            </w:pPr>
            <w:r>
              <w:rPr>
                <w:rFonts w:ascii="仿宋" w:hAnsi="仿宋" w:eastAsia="仿宋" w:cs="仿宋"/>
                <w:bCs/>
                <w:color w:val="auto"/>
                <w:sz w:val="24"/>
                <w:highlight w:val="none"/>
              </w:rPr>
              <w:t>0-</w:t>
            </w:r>
            <w:r>
              <w:rPr>
                <w:rFonts w:hint="eastAsia" w:ascii="仿宋" w:hAnsi="仿宋" w:eastAsia="仿宋" w:cs="仿宋"/>
                <w:bCs/>
                <w:color w:val="auto"/>
                <w:sz w:val="24"/>
                <w:highlight w:val="none"/>
              </w:rPr>
              <w:t>2分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5</w:t>
            </w:r>
          </w:p>
        </w:tc>
        <w:tc>
          <w:tcPr>
            <w:tcW w:w="5769" w:type="dxa"/>
            <w:tcBorders>
              <w:top w:val="nil"/>
              <w:left w:val="single" w:color="auto" w:sz="4" w:space="0"/>
              <w:bottom w:val="single" w:color="auto" w:sz="4" w:space="0"/>
              <w:right w:val="single" w:color="auto" w:sz="4" w:space="0"/>
            </w:tcBorders>
            <w:vAlign w:val="center"/>
          </w:tcPr>
          <w:p>
            <w:pPr>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运维服务计划和方案：对投标人提供的设施运维、维修及运行管理方案、计划，设施运行操作规则与规程等</w:t>
            </w:r>
            <w:r>
              <w:rPr>
                <w:rFonts w:hint="eastAsia" w:ascii="仿宋" w:hAnsi="仿宋" w:eastAsia="仿宋" w:cs="仿宋"/>
                <w:color w:val="auto"/>
                <w:kern w:val="0"/>
                <w:sz w:val="24"/>
                <w:highlight w:val="none"/>
              </w:rPr>
              <w:t>内容的完整性、与项目的匹配性进行评分。方案内容完整且与项目匹配度好的得</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分；方案内容基本完整且与项目匹配度较好的得</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分；方案内容存在欠缺或与项目匹配度一般的得</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分；方案内容缺失严重或与项目不匹配的不得分</w:t>
            </w:r>
            <w:r>
              <w:rPr>
                <w:rFonts w:hint="eastAsia" w:ascii="仿宋" w:hAnsi="仿宋" w:eastAsia="仿宋" w:cs="仿宋"/>
                <w:color w:val="auto"/>
                <w:highlight w:val="none"/>
                <w:lang w:val="zh-CN"/>
              </w:rPr>
              <w:t>。</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0-</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运维服务计划和方案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6</w:t>
            </w:r>
          </w:p>
        </w:tc>
        <w:tc>
          <w:tcPr>
            <w:tcW w:w="5769" w:type="dxa"/>
            <w:tcBorders>
              <w:top w:val="nil"/>
              <w:left w:val="single" w:color="auto" w:sz="4" w:space="0"/>
              <w:bottom w:val="single" w:color="auto" w:sz="4" w:space="0"/>
              <w:right w:val="single" w:color="auto" w:sz="4" w:space="0"/>
            </w:tcBorders>
            <w:vAlign w:val="center"/>
          </w:tcPr>
          <w:p>
            <w:pPr>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针对本项目有比较完善的组织架构及管理制度，清晰简练地列出主要管理流程，包括（1）运作流程图（2）激励机制（3）监督机制（4）自我约束机制（5）信息反馈渠道及处理机制，每项</w:t>
            </w:r>
            <w:r>
              <w:rPr>
                <w:rFonts w:hint="eastAsia" w:ascii="仿宋" w:hAnsi="仿宋" w:eastAsia="仿宋" w:cs="仿宋"/>
                <w:color w:val="auto"/>
                <w:kern w:val="0"/>
                <w:sz w:val="24"/>
                <w:highlight w:val="none"/>
              </w:rPr>
              <w:t>方案内容完整且与项目匹配度好的得1分，每项方案内容存在欠缺或与项目匹配度一般的得0.5分。每项方案内容缺失严重或与项目不匹配的不得分。</w:t>
            </w:r>
            <w:r>
              <w:rPr>
                <w:rFonts w:hint="eastAsia" w:ascii="仿宋" w:hAnsi="仿宋" w:eastAsia="仿宋" w:cs="仿宋"/>
                <w:bCs/>
                <w:color w:val="auto"/>
                <w:sz w:val="24"/>
                <w:highlight w:val="none"/>
              </w:rPr>
              <w:t>最多得5分。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0-5分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组织架构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7</w:t>
            </w:r>
          </w:p>
        </w:tc>
        <w:tc>
          <w:tcPr>
            <w:tcW w:w="5769" w:type="dxa"/>
            <w:tcBorders>
              <w:top w:val="nil"/>
              <w:left w:val="single" w:color="auto" w:sz="4" w:space="0"/>
              <w:bottom w:val="single" w:color="auto" w:sz="4" w:space="0"/>
              <w:right w:val="single" w:color="auto" w:sz="4" w:space="0"/>
            </w:tcBorders>
            <w:vAlign w:val="center"/>
          </w:tcPr>
          <w:p>
            <w:pPr>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对本项目的理解程度：包括对本项目所涉及到的现场实际情况的了解和调研、本项目的关键点和难点以及针对上述关键点、难点和其他可预见问题所提出的合理化建议和相应的解决措施。</w:t>
            </w:r>
            <w:r>
              <w:rPr>
                <w:rFonts w:hint="eastAsia" w:ascii="仿宋" w:hAnsi="仿宋" w:eastAsia="仿宋" w:cs="仿宋"/>
                <w:color w:val="auto"/>
                <w:kern w:val="0"/>
                <w:sz w:val="24"/>
                <w:highlight w:val="none"/>
              </w:rPr>
              <w:t>根据提供的方案内容的完整性、与项目的匹配性进行评分。方案内容完整且与项目匹配度好的得</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分；方案内容基本完整且与项目匹配度较好的得</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分；方案内容存在欠缺或与项目匹配度一般的得</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分；方案内容缺失严重或与项目不匹配的不得分</w:t>
            </w:r>
            <w:r>
              <w:rPr>
                <w:rFonts w:hint="eastAsia" w:ascii="仿宋" w:hAnsi="仿宋" w:eastAsia="仿宋" w:cs="仿宋"/>
                <w:color w:val="auto"/>
                <w:highlight w:val="none"/>
                <w:lang w:val="zh-CN"/>
              </w:rPr>
              <w:t>。</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0-</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项目理解程度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8</w:t>
            </w:r>
          </w:p>
        </w:tc>
        <w:tc>
          <w:tcPr>
            <w:tcW w:w="5769" w:type="dxa"/>
            <w:tcBorders>
              <w:top w:val="nil"/>
              <w:left w:val="single" w:color="auto" w:sz="4" w:space="0"/>
              <w:bottom w:val="single" w:color="auto" w:sz="4" w:space="0"/>
              <w:right w:val="single" w:color="auto" w:sz="4" w:space="0"/>
            </w:tcBorders>
            <w:vAlign w:val="center"/>
          </w:tcPr>
          <w:p>
            <w:pPr>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应急响应方案：根据投标人提供的针对本项目（水质维护提升及水面保洁）水质恶化突发性事件、高温季节、防汛、渡汛的安全保证措施、重大活动创建和检查期间的应急响应管理等内容的完整性、与项目的匹配性进行评分。方案内容完整且与项目匹配度好的得</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分；方案内容基本完整且与项目匹配度较好的得</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分；方案内容存在欠缺或与项目匹配度一般的得</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rPr>
              <w:t>分；方案内容缺失严重或与项目不匹配的不得分。</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0-</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应急方案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pStyle w:val="131"/>
              <w:jc w:val="center"/>
              <w:rPr>
                <w:rFonts w:hint="eastAsia" w:ascii="仿宋" w:hAnsi="仿宋" w:eastAsia="仿宋" w:cs="仿宋"/>
                <w:bCs/>
                <w:color w:val="auto"/>
                <w:kern w:val="2"/>
                <w:highlight w:val="none"/>
                <w:lang w:eastAsia="zh-CN"/>
              </w:rPr>
            </w:pPr>
            <w:r>
              <w:rPr>
                <w:rFonts w:hint="eastAsia" w:ascii="仿宋" w:hAnsi="仿宋" w:eastAsia="仿宋" w:cs="仿宋"/>
                <w:bCs/>
                <w:color w:val="auto"/>
                <w:kern w:val="2"/>
                <w:highlight w:val="none"/>
                <w:lang w:val="en-US" w:eastAsia="zh-CN"/>
              </w:rPr>
              <w:t>9</w:t>
            </w:r>
          </w:p>
        </w:tc>
        <w:tc>
          <w:tcPr>
            <w:tcW w:w="5769" w:type="dxa"/>
            <w:tcBorders>
              <w:top w:val="nil"/>
              <w:left w:val="single" w:color="auto" w:sz="4" w:space="0"/>
              <w:bottom w:val="single" w:color="auto" w:sz="4" w:space="0"/>
              <w:right w:val="single" w:color="auto" w:sz="4" w:space="0"/>
            </w:tcBorders>
            <w:vAlign w:val="center"/>
          </w:tcPr>
          <w:p>
            <w:pPr>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生态培育稳定期养护管理方案：根据投标人</w:t>
            </w:r>
            <w:r>
              <w:rPr>
                <w:rFonts w:hint="eastAsia" w:ascii="仿宋" w:hAnsi="仿宋" w:eastAsia="仿宋" w:cs="仿宋"/>
                <w:bCs/>
                <w:color w:val="auto"/>
                <w:sz w:val="24"/>
                <w:highlight w:val="none"/>
                <w:lang w:val="zh-CN"/>
              </w:rPr>
              <w:t>提供的水体修复作业期间的日常管理制度</w:t>
            </w:r>
            <w:r>
              <w:rPr>
                <w:rFonts w:hint="eastAsia" w:ascii="仿宋" w:hAnsi="仿宋" w:eastAsia="仿宋" w:cs="仿宋"/>
                <w:color w:val="auto"/>
                <w:kern w:val="0"/>
                <w:sz w:val="24"/>
                <w:highlight w:val="none"/>
              </w:rPr>
              <w:t>内容的完整性、与项目的匹配性进行评分。方案内容完整且与项目匹配度好的得</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分；方案内容基本完整且与项目匹配度较好的得</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分；方案内容存在欠缺或与项目匹配度一般的得</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分；方案内容缺失严重或与项目不匹配的不得分</w:t>
            </w:r>
            <w:r>
              <w:rPr>
                <w:rFonts w:hint="eastAsia" w:ascii="仿宋" w:hAnsi="仿宋" w:eastAsia="仿宋" w:cs="仿宋"/>
                <w:color w:val="auto"/>
                <w:highlight w:val="none"/>
                <w:lang w:val="zh-CN"/>
              </w:rPr>
              <w:t>。</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0-</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生态培育方案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pStyle w:val="131"/>
              <w:jc w:val="center"/>
              <w:rPr>
                <w:rFonts w:hint="default" w:ascii="仿宋" w:hAnsi="仿宋" w:eastAsia="仿宋" w:cs="仿宋"/>
                <w:bCs/>
                <w:color w:val="auto"/>
                <w:kern w:val="2"/>
                <w:highlight w:val="none"/>
                <w:lang w:val="en-US" w:eastAsia="zh-CN"/>
              </w:rPr>
            </w:pPr>
            <w:r>
              <w:rPr>
                <w:rFonts w:hint="eastAsia" w:ascii="仿宋" w:hAnsi="仿宋" w:eastAsia="仿宋" w:cs="仿宋"/>
                <w:bCs/>
                <w:color w:val="auto"/>
                <w:kern w:val="2"/>
                <w:highlight w:val="none"/>
                <w:lang w:val="en-US" w:eastAsia="zh-CN"/>
              </w:rPr>
              <w:t>10</w:t>
            </w:r>
          </w:p>
        </w:tc>
        <w:tc>
          <w:tcPr>
            <w:tcW w:w="5769" w:type="dxa"/>
            <w:tcBorders>
              <w:top w:val="nil"/>
              <w:left w:val="single" w:color="auto" w:sz="4" w:space="0"/>
              <w:bottom w:val="single" w:color="auto" w:sz="4" w:space="0"/>
              <w:right w:val="single" w:color="auto" w:sz="4" w:space="0"/>
            </w:tcBorders>
            <w:vAlign w:val="center"/>
          </w:tcPr>
          <w:p>
            <w:pPr>
              <w:jc w:val="left"/>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污染底泥</w:t>
            </w:r>
            <w:r>
              <w:rPr>
                <w:rFonts w:hint="eastAsia" w:ascii="仿宋" w:hAnsi="仿宋" w:eastAsia="仿宋" w:cs="仿宋"/>
                <w:bCs/>
                <w:color w:val="auto"/>
                <w:sz w:val="24"/>
                <w:highlight w:val="none"/>
                <w:lang w:eastAsia="zh-CN"/>
              </w:rPr>
              <w:t>处置方案</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仿宋" w:hAnsi="仿宋" w:eastAsia="仿宋" w:cs="仿宋"/>
                <w:bCs/>
                <w:color w:val="auto"/>
                <w:sz w:val="24"/>
                <w:highlight w:val="none"/>
              </w:rPr>
            </w:pPr>
          </w:p>
        </w:tc>
        <w:tc>
          <w:tcPr>
            <w:tcW w:w="1375" w:type="dxa"/>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污染底泥</w:t>
            </w:r>
            <w:r>
              <w:rPr>
                <w:rFonts w:hint="eastAsia" w:ascii="仿宋" w:hAnsi="仿宋" w:eastAsia="仿宋" w:cs="仿宋"/>
                <w:bCs/>
                <w:color w:val="auto"/>
                <w:sz w:val="24"/>
                <w:highlight w:val="none"/>
                <w:lang w:eastAsia="zh-CN"/>
              </w:rPr>
              <w:t>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pStyle w:val="131"/>
              <w:jc w:val="center"/>
              <w:rPr>
                <w:rFonts w:hint="default" w:ascii="仿宋" w:hAnsi="仿宋" w:eastAsia="仿宋" w:cs="仿宋"/>
                <w:bCs/>
                <w:color w:val="auto"/>
                <w:kern w:val="2"/>
                <w:highlight w:val="none"/>
                <w:lang w:val="en-US" w:eastAsia="zh-CN"/>
              </w:rPr>
            </w:pPr>
            <w:r>
              <w:rPr>
                <w:rFonts w:hint="eastAsia" w:ascii="仿宋" w:hAnsi="仿宋" w:eastAsia="仿宋" w:cs="仿宋"/>
                <w:bCs/>
                <w:color w:val="auto"/>
                <w:kern w:val="2"/>
                <w:highlight w:val="none"/>
                <w:lang w:val="en-US" w:eastAsia="zh-CN"/>
              </w:rPr>
              <w:t>10.1</w:t>
            </w:r>
          </w:p>
        </w:tc>
        <w:tc>
          <w:tcPr>
            <w:tcW w:w="5769" w:type="dxa"/>
            <w:tcBorders>
              <w:top w:val="nil"/>
              <w:left w:val="single" w:color="auto" w:sz="4" w:space="0"/>
              <w:bottom w:val="single" w:color="auto" w:sz="4" w:space="0"/>
              <w:right w:val="single" w:color="auto" w:sz="4" w:space="0"/>
            </w:tcBorders>
            <w:vAlign w:val="center"/>
          </w:tcPr>
          <w:p>
            <w:pPr>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污染底泥</w:t>
            </w:r>
            <w:r>
              <w:rPr>
                <w:rFonts w:hint="eastAsia" w:ascii="仿宋" w:hAnsi="仿宋" w:eastAsia="仿宋" w:cs="仿宋"/>
                <w:color w:val="auto"/>
                <w:kern w:val="0"/>
                <w:sz w:val="24"/>
                <w:highlight w:val="none"/>
              </w:rPr>
              <w:t>方案</w:t>
            </w:r>
            <w:r>
              <w:rPr>
                <w:rFonts w:hint="eastAsia" w:ascii="仿宋" w:hAnsi="仿宋" w:eastAsia="仿宋" w:cs="仿宋"/>
                <w:color w:val="auto"/>
                <w:kern w:val="0"/>
                <w:sz w:val="24"/>
                <w:highlight w:val="none"/>
                <w:lang w:eastAsia="zh-CN"/>
              </w:rPr>
              <w:t>；根据投标人对本项目</w:t>
            </w:r>
            <w:r>
              <w:rPr>
                <w:rFonts w:hint="eastAsia" w:ascii="仿宋" w:hAnsi="仿宋" w:eastAsia="仿宋" w:cs="仿宋"/>
                <w:bCs/>
                <w:color w:val="auto"/>
                <w:sz w:val="24"/>
                <w:highlight w:val="none"/>
              </w:rPr>
              <w:t>污染底泥</w:t>
            </w:r>
            <w:r>
              <w:rPr>
                <w:rFonts w:hint="eastAsia" w:ascii="仿宋" w:hAnsi="仿宋" w:eastAsia="仿宋" w:cs="仿宋"/>
                <w:bCs/>
                <w:color w:val="auto"/>
                <w:sz w:val="24"/>
                <w:highlight w:val="none"/>
                <w:lang w:eastAsia="zh-CN"/>
              </w:rPr>
              <w:t>处置流程、处置过程如何达到环保要求等内容完整性与</w:t>
            </w:r>
            <w:r>
              <w:rPr>
                <w:rFonts w:hint="eastAsia" w:ascii="仿宋" w:hAnsi="仿宋" w:eastAsia="仿宋" w:cs="仿宋"/>
                <w:color w:val="auto"/>
                <w:kern w:val="0"/>
                <w:sz w:val="24"/>
                <w:highlight w:val="none"/>
              </w:rPr>
              <w:t>项目的匹配性进行评分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内容完整且与项目匹配度好的得</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分；方案内容基本完整且与项目匹配度较好的得</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分；方案内容存在欠缺或与项目匹配度一般的得</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分；方案内容缺失严重或与项目不匹配的不得分</w:t>
            </w:r>
            <w:r>
              <w:rPr>
                <w:rFonts w:hint="eastAsia" w:ascii="仿宋" w:hAnsi="仿宋" w:eastAsia="仿宋" w:cs="仿宋"/>
                <w:bCs/>
                <w:color w:val="auto"/>
                <w:sz w:val="24"/>
                <w:highlight w:val="none"/>
              </w:rPr>
              <w:t>。</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0-3分</w:t>
            </w:r>
          </w:p>
          <w:p>
            <w:pPr>
              <w:jc w:val="center"/>
              <w:outlineLvl w:val="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pStyle w:val="131"/>
              <w:jc w:val="center"/>
              <w:rPr>
                <w:rFonts w:hint="default" w:ascii="仿宋" w:hAnsi="仿宋" w:eastAsia="仿宋" w:cs="仿宋"/>
                <w:bCs/>
                <w:color w:val="auto"/>
                <w:kern w:val="2"/>
                <w:highlight w:val="none"/>
                <w:lang w:val="en-US" w:eastAsia="zh-CN"/>
              </w:rPr>
            </w:pPr>
            <w:r>
              <w:rPr>
                <w:rFonts w:hint="eastAsia" w:ascii="仿宋" w:hAnsi="仿宋" w:eastAsia="仿宋" w:cs="仿宋"/>
                <w:bCs/>
                <w:color w:val="auto"/>
                <w:kern w:val="2"/>
                <w:highlight w:val="none"/>
                <w:lang w:val="en-US" w:eastAsia="zh-CN"/>
              </w:rPr>
              <w:t>10.2</w:t>
            </w:r>
          </w:p>
        </w:tc>
        <w:tc>
          <w:tcPr>
            <w:tcW w:w="5769" w:type="dxa"/>
            <w:tcBorders>
              <w:top w:val="nil"/>
              <w:left w:val="single" w:color="auto" w:sz="4" w:space="0"/>
              <w:bottom w:val="single" w:color="auto" w:sz="4" w:space="0"/>
              <w:right w:val="single" w:color="auto" w:sz="4" w:space="0"/>
            </w:tcBorders>
            <w:vAlign w:val="center"/>
          </w:tcPr>
          <w:p>
            <w:pPr>
              <w:jc w:val="left"/>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污染底泥</w:t>
            </w:r>
            <w:r>
              <w:rPr>
                <w:rFonts w:hint="eastAsia" w:ascii="仿宋" w:hAnsi="仿宋" w:eastAsia="仿宋" w:cs="仿宋"/>
                <w:bCs/>
                <w:color w:val="auto"/>
                <w:sz w:val="24"/>
                <w:highlight w:val="none"/>
                <w:lang w:eastAsia="zh-CN"/>
              </w:rPr>
              <w:t>最终处置结果满足环保要求的得</w:t>
            </w:r>
            <w:r>
              <w:rPr>
                <w:rFonts w:hint="eastAsia" w:ascii="仿宋" w:hAnsi="仿宋" w:eastAsia="仿宋" w:cs="仿宋"/>
                <w:bCs/>
                <w:color w:val="auto"/>
                <w:sz w:val="24"/>
                <w:highlight w:val="none"/>
                <w:lang w:val="en-US" w:eastAsia="zh-CN"/>
              </w:rPr>
              <w:t>2分，不满足不得分。需提供相关证明材料(例：环评相关批文等)，若</w:t>
            </w:r>
            <w:r>
              <w:rPr>
                <w:rFonts w:hint="eastAsia" w:ascii="仿宋" w:hAnsi="仿宋" w:eastAsia="仿宋" w:cs="仿宋"/>
                <w:bCs/>
                <w:color w:val="auto"/>
                <w:sz w:val="24"/>
                <w:highlight w:val="none"/>
              </w:rPr>
              <w:t>污染底泥</w:t>
            </w:r>
            <w:r>
              <w:rPr>
                <w:rFonts w:hint="eastAsia" w:ascii="仿宋" w:hAnsi="仿宋" w:eastAsia="仿宋" w:cs="仿宋"/>
                <w:bCs/>
                <w:color w:val="auto"/>
                <w:sz w:val="24"/>
                <w:highlight w:val="none"/>
                <w:lang w:eastAsia="zh-CN"/>
              </w:rPr>
              <w:t>处置内容委托第三方处理的还需提供委托函及第三方单位有效营业执照。</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0-2分</w:t>
            </w:r>
          </w:p>
          <w:p>
            <w:pPr>
              <w:jc w:val="center"/>
              <w:outlineLvl w:val="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eastAsia="zh-CN"/>
              </w:rPr>
              <w:t>客</w:t>
            </w:r>
            <w:r>
              <w:rPr>
                <w:rFonts w:hint="eastAsia" w:ascii="仿宋" w:hAnsi="仿宋" w:eastAsia="仿宋" w:cs="仿宋"/>
                <w:bCs/>
                <w:color w:val="auto"/>
                <w:sz w:val="24"/>
                <w:highlight w:val="none"/>
              </w:rPr>
              <w:t>观）</w:t>
            </w:r>
          </w:p>
        </w:tc>
        <w:tc>
          <w:tcPr>
            <w:tcW w:w="1375" w:type="dxa"/>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pStyle w:val="131"/>
              <w:jc w:val="center"/>
              <w:rPr>
                <w:rFonts w:ascii="仿宋" w:hAnsi="仿宋" w:eastAsia="仿宋" w:cs="仿宋"/>
                <w:bCs/>
                <w:color w:val="auto"/>
                <w:kern w:val="2"/>
                <w:highlight w:val="none"/>
              </w:rPr>
            </w:pPr>
            <w:r>
              <w:rPr>
                <w:rFonts w:hint="eastAsia" w:ascii="仿宋" w:hAnsi="仿宋" w:eastAsia="仿宋" w:cs="仿宋"/>
                <w:bCs/>
                <w:color w:val="auto"/>
                <w:kern w:val="2"/>
                <w:highlight w:val="none"/>
              </w:rPr>
              <w:t>11</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水质提升技术路线方案：根据投标人提供的针对不同河道的水质现状所采用的技术路线和养护工艺，从其技术路线和水质提升工艺的完整性、客观性、科学合理性等</w:t>
            </w:r>
            <w:r>
              <w:rPr>
                <w:rFonts w:hint="eastAsia" w:ascii="仿宋" w:hAnsi="仿宋" w:eastAsia="仿宋" w:cs="仿宋"/>
                <w:color w:val="auto"/>
                <w:kern w:val="0"/>
                <w:sz w:val="24"/>
                <w:highlight w:val="none"/>
              </w:rPr>
              <w:t>内容的完整性、与项目的匹配性进行评分。方案内容完整且与项目匹配度好的得</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分；方案内容基本完整且与项目匹配度较好的得</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分；方案内容存在欠缺或与项目匹配度一般的得</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分；方案内容缺失严重或与项目不匹配的不得分</w:t>
            </w:r>
            <w:r>
              <w:rPr>
                <w:rFonts w:hint="eastAsia" w:ascii="仿宋" w:hAnsi="仿宋" w:eastAsia="仿宋" w:cs="仿宋"/>
                <w:color w:val="auto"/>
                <w:highlight w:val="none"/>
                <w:lang w:val="zh-CN"/>
              </w:rPr>
              <w:t>。</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0-</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nil"/>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水质提升方案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12</w:t>
            </w:r>
          </w:p>
        </w:tc>
        <w:tc>
          <w:tcPr>
            <w:tcW w:w="5769" w:type="dxa"/>
            <w:tcBorders>
              <w:top w:val="nil"/>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施工组织设计方案：根据投标人提供的施工组织设计方案、施工进度安排、文明和安全施工的质量保证措施、施工过程对本项目管理工作的影响性分析、验收方案等</w:t>
            </w:r>
            <w:r>
              <w:rPr>
                <w:rFonts w:hint="eastAsia" w:ascii="仿宋" w:hAnsi="仿宋" w:eastAsia="仿宋" w:cs="仿宋"/>
                <w:color w:val="auto"/>
                <w:kern w:val="0"/>
                <w:sz w:val="24"/>
                <w:highlight w:val="none"/>
              </w:rPr>
              <w:t>内容的完整性、与项目的匹配性进行评分。方案内容完整且与项目匹配度好的得5分；方案内容基本完整且与项目匹配度较好的得4分；方案内容存在欠缺或与项目匹配度一般的得2分；方案内容缺失严重或与项目不匹配的不得分</w:t>
            </w:r>
            <w:r>
              <w:rPr>
                <w:rFonts w:hint="eastAsia" w:ascii="仿宋" w:hAnsi="仿宋" w:eastAsia="仿宋" w:cs="仿宋"/>
                <w:color w:val="auto"/>
                <w:highlight w:val="none"/>
                <w:lang w:val="zh-CN"/>
              </w:rPr>
              <w:t>。</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0-5分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nil"/>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施工组织设计方案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13</w:t>
            </w:r>
          </w:p>
        </w:tc>
        <w:tc>
          <w:tcPr>
            <w:tcW w:w="5769" w:type="dxa"/>
            <w:tcBorders>
              <w:top w:val="nil"/>
              <w:left w:val="single" w:color="auto" w:sz="4" w:space="0"/>
              <w:bottom w:val="single" w:color="auto" w:sz="4" w:space="0"/>
              <w:right w:val="single" w:color="auto" w:sz="4" w:space="0"/>
            </w:tcBorders>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 w:val="24"/>
                <w:highlight w:val="none"/>
              </w:rPr>
              <w:t>垃圾清运及处理方案：根据投标人对河道治理中产生的垃圾清运及处理的方案等内容的完整性、与项目的匹配性进行评分。方案内容完整且与项目匹配度好的得5分；方案内容基本完整且与项目匹配度较好的得4分；方案内容存在欠缺或与项目匹配度一般的得2分；方案内容缺失严重或与项目不匹配的不得分</w:t>
            </w:r>
            <w:r>
              <w:rPr>
                <w:rFonts w:hint="eastAsia" w:ascii="仿宋" w:hAnsi="仿宋" w:eastAsia="仿宋" w:cs="仿宋"/>
                <w:color w:val="auto"/>
                <w:kern w:val="0"/>
                <w:sz w:val="24"/>
                <w:highlight w:val="none"/>
                <w:lang w:val="zh-CN"/>
              </w:rPr>
              <w:t>。</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0-5分</w:t>
            </w:r>
          </w:p>
          <w:p>
            <w:pPr>
              <w:widowControl/>
              <w:jc w:val="center"/>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垃圾清运及处理方案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14</w:t>
            </w:r>
          </w:p>
        </w:tc>
        <w:tc>
          <w:tcPr>
            <w:tcW w:w="5769" w:type="dxa"/>
            <w:tcBorders>
              <w:top w:val="nil"/>
              <w:left w:val="single" w:color="auto" w:sz="4" w:space="0"/>
              <w:bottom w:val="single" w:color="auto" w:sz="4" w:space="0"/>
              <w:right w:val="single" w:color="auto" w:sz="4" w:space="0"/>
            </w:tcBorders>
            <w:vAlign w:val="center"/>
          </w:tcPr>
          <w:p>
            <w:pPr>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日常巡查方案：根据投标人水质提升作业期间的日常巡查方案</w:t>
            </w:r>
            <w:r>
              <w:rPr>
                <w:rFonts w:hint="eastAsia" w:ascii="仿宋" w:hAnsi="仿宋" w:eastAsia="仿宋" w:cs="仿宋"/>
                <w:color w:val="auto"/>
                <w:kern w:val="0"/>
                <w:sz w:val="24"/>
                <w:highlight w:val="none"/>
              </w:rPr>
              <w:t>内容的完整性、与项目的匹配性进行评分。方案内容完整且与项目匹配度好的得</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分；方案内容基本完整且与项目匹配度较好的得</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分；方案内容存在欠缺或与项目匹配度一般的得</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分；方案内容缺失严重或与项目不匹配的不得分</w:t>
            </w:r>
            <w:r>
              <w:rPr>
                <w:rFonts w:hint="eastAsia" w:ascii="仿宋" w:hAnsi="仿宋" w:eastAsia="仿宋" w:cs="仿宋"/>
                <w:color w:val="auto"/>
                <w:highlight w:val="none"/>
                <w:lang w:val="zh-CN"/>
              </w:rPr>
              <w:t>。</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0-</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分</w:t>
            </w:r>
          </w:p>
          <w:p>
            <w:pPr>
              <w:widowControl/>
              <w:jc w:val="center"/>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日常巡查方案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15</w:t>
            </w:r>
          </w:p>
        </w:tc>
        <w:tc>
          <w:tcPr>
            <w:tcW w:w="5769" w:type="dxa"/>
            <w:tcBorders>
              <w:top w:val="nil"/>
              <w:left w:val="single" w:color="auto" w:sz="4" w:space="0"/>
              <w:bottom w:val="single" w:color="auto" w:sz="4" w:space="0"/>
              <w:right w:val="single" w:color="auto" w:sz="4" w:space="0"/>
            </w:tcBorders>
            <w:vAlign w:val="center"/>
          </w:tcPr>
          <w:p>
            <w:pPr>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售后服务：根据投标人售后服务网点的设立以及提供的响应时间、到场时间和问题解决时长的情况等</w:t>
            </w:r>
            <w:r>
              <w:rPr>
                <w:rFonts w:hint="eastAsia" w:ascii="仿宋" w:hAnsi="仿宋" w:eastAsia="仿宋" w:cs="仿宋"/>
                <w:color w:val="auto"/>
                <w:kern w:val="0"/>
                <w:sz w:val="24"/>
                <w:highlight w:val="none"/>
              </w:rPr>
              <w:t>内容的完整性、与项目的匹配性进行评分。方案内容完整且与项目匹配度好的得</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分；方案内容基本完整且与项目匹配度较好的得</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分；方案内容存在欠缺或与项目匹配度一般的得</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分；方案内容缺失严重或与项目不匹配的不得分</w:t>
            </w:r>
            <w:r>
              <w:rPr>
                <w:rFonts w:hint="eastAsia" w:ascii="仿宋" w:hAnsi="仿宋" w:eastAsia="仿宋" w:cs="仿宋"/>
                <w:color w:val="auto"/>
                <w:highlight w:val="none"/>
                <w:lang w:val="zh-CN"/>
              </w:rPr>
              <w:t>。</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0-</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nil"/>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16</w:t>
            </w:r>
          </w:p>
        </w:tc>
        <w:tc>
          <w:tcPr>
            <w:tcW w:w="5769" w:type="dxa"/>
            <w:tcBorders>
              <w:top w:val="nil"/>
              <w:left w:val="single" w:color="auto" w:sz="4" w:space="0"/>
              <w:bottom w:val="single" w:color="auto" w:sz="4" w:space="0"/>
              <w:right w:val="single" w:color="auto" w:sz="4" w:space="0"/>
            </w:tcBorders>
            <w:vAlign w:val="center"/>
          </w:tcPr>
          <w:p>
            <w:pPr>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根据投标人档案建立与保存措施；交接管理中标后的平稳过度工作，提供完整的工作交接等方案</w:t>
            </w:r>
            <w:r>
              <w:rPr>
                <w:rFonts w:hint="eastAsia" w:ascii="仿宋" w:hAnsi="仿宋" w:eastAsia="仿宋" w:cs="仿宋"/>
                <w:color w:val="auto"/>
                <w:kern w:val="0"/>
                <w:sz w:val="24"/>
                <w:highlight w:val="none"/>
              </w:rPr>
              <w:t>内容的完整性、与项目的匹配性进行评分。方案内容完整且与项目匹配度好的得4分；方案内容基本完整且与项目匹配度较好的得3分；方案内容存在欠缺或与项目匹配度一般的得2分；方案内容缺失严重或与项目不匹配的不得分</w:t>
            </w:r>
            <w:r>
              <w:rPr>
                <w:rFonts w:hint="eastAsia" w:ascii="仿宋" w:hAnsi="仿宋" w:eastAsia="仿宋" w:cs="仿宋"/>
                <w:color w:val="auto"/>
                <w:highlight w:val="none"/>
                <w:lang w:val="zh-CN"/>
              </w:rPr>
              <w:t>。</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0-4分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（主观）</w:t>
            </w:r>
          </w:p>
        </w:tc>
        <w:tc>
          <w:tcPr>
            <w:tcW w:w="1375"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档案建立及保存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17</w:t>
            </w:r>
          </w:p>
        </w:tc>
        <w:tc>
          <w:tcPr>
            <w:tcW w:w="5769"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投标人拟派项目负责人具有环保相关专业高级工程师证书的得2分，中级工程师证书的得1分。（须提供项目负责人相关证书及开标时间前连续三个月在本单位社保缴纳证明。）</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0-2分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（客观）</w:t>
            </w:r>
          </w:p>
        </w:tc>
        <w:tc>
          <w:tcPr>
            <w:tcW w:w="1375" w:type="dxa"/>
            <w:vMerge w:val="restart"/>
            <w:tcBorders>
              <w:top w:val="single" w:color="auto" w:sz="4" w:space="0"/>
              <w:left w:val="single" w:color="auto" w:sz="4" w:space="0"/>
              <w:right w:val="single" w:color="auto" w:sz="4" w:space="0"/>
            </w:tcBorders>
            <w:vAlign w:val="center"/>
          </w:tcPr>
          <w:p>
            <w:pPr>
              <w:snapToGrid w:val="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项目组成人员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Merge w:val="continue"/>
            <w:tcBorders>
              <w:left w:val="single" w:color="auto" w:sz="4" w:space="0"/>
              <w:right w:val="single" w:color="auto" w:sz="4" w:space="0"/>
            </w:tcBorders>
            <w:vAlign w:val="center"/>
          </w:tcPr>
          <w:p>
            <w:pPr>
              <w:jc w:val="left"/>
              <w:rPr>
                <w:rFonts w:ascii="仿宋" w:hAnsi="仿宋" w:eastAsia="仿宋" w:cs="仿宋"/>
                <w:bCs/>
                <w:color w:val="auto"/>
                <w:sz w:val="24"/>
                <w:highlight w:val="none"/>
              </w:rPr>
            </w:pPr>
          </w:p>
        </w:tc>
        <w:tc>
          <w:tcPr>
            <w:tcW w:w="5769"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投标人拟派技术负责人具备高级工程师的得2分，中级工程师的得1分；具备注册环保工程师得1分；具备</w:t>
            </w:r>
            <w:r>
              <w:rPr>
                <w:rFonts w:hint="eastAsia" w:ascii="仿宋" w:hAnsi="仿宋" w:eastAsia="仿宋" w:cs="仿宋"/>
                <w:color w:val="auto"/>
                <w:sz w:val="24"/>
                <w:highlight w:val="none"/>
              </w:rPr>
              <w:t>注册公用设备工程师（给水排水）的1分，</w:t>
            </w:r>
            <w:r>
              <w:rPr>
                <w:rFonts w:hint="eastAsia" w:ascii="仿宋" w:hAnsi="仿宋" w:eastAsia="仿宋" w:cs="仿宋"/>
                <w:bCs/>
                <w:color w:val="auto"/>
                <w:sz w:val="24"/>
                <w:highlight w:val="none"/>
              </w:rPr>
              <w:t>本项最高得4分。（须提供技术负责人相关证书及开标时间前连续三个月在本单位社保缴纳证明。）</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0-4分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（客观）</w:t>
            </w:r>
          </w:p>
        </w:tc>
        <w:tc>
          <w:tcPr>
            <w:tcW w:w="1375" w:type="dxa"/>
            <w:vMerge w:val="continue"/>
            <w:tcBorders>
              <w:left w:val="single" w:color="auto" w:sz="4" w:space="0"/>
              <w:right w:val="single" w:color="auto" w:sz="4" w:space="0"/>
            </w:tcBorders>
            <w:vAlign w:val="center"/>
          </w:tcPr>
          <w:p>
            <w:pPr>
              <w:snapToGrid w:val="0"/>
              <w:jc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vMerge w:val="continue"/>
            <w:tcBorders>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p>
        </w:tc>
        <w:tc>
          <w:tcPr>
            <w:tcW w:w="5769"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拟派项目组人员中（除项目负责人及技术负责人外）配备环保类专业高级工程师</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注册环保工程师</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注册安全工程师得</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水环境自动监控运行工</w:t>
            </w:r>
            <w:r>
              <w:rPr>
                <w:rFonts w:hint="eastAsia" w:ascii="仿宋" w:hAnsi="仿宋" w:eastAsia="仿宋" w:cs="仿宋"/>
                <w:bCs/>
                <w:color w:val="auto"/>
                <w:sz w:val="24"/>
                <w:highlight w:val="none"/>
                <w:lang w:eastAsia="zh-CN"/>
              </w:rPr>
              <w:t>四种人员齐全的</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分。</w:t>
            </w:r>
            <w:r>
              <w:rPr>
                <w:rFonts w:hint="eastAsia" w:ascii="仿宋" w:hAnsi="仿宋" w:eastAsia="仿宋" w:cs="仿宋"/>
                <w:bCs/>
                <w:color w:val="auto"/>
                <w:sz w:val="24"/>
                <w:highlight w:val="none"/>
                <w:lang w:eastAsia="zh-CN"/>
              </w:rPr>
              <w:t>少配备一种人员得</w:t>
            </w:r>
            <w:r>
              <w:rPr>
                <w:rFonts w:hint="eastAsia" w:ascii="仿宋" w:hAnsi="仿宋" w:eastAsia="仿宋" w:cs="仿宋"/>
                <w:bCs/>
                <w:color w:val="auto"/>
                <w:sz w:val="24"/>
                <w:highlight w:val="none"/>
                <w:lang w:val="en-US" w:eastAsia="zh-CN"/>
              </w:rPr>
              <w:t>2分，少配备2种人员得1分</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eastAsia="zh-CN"/>
              </w:rPr>
              <w:t>少配备三种人员及以上的不得分。</w:t>
            </w:r>
            <w:r>
              <w:rPr>
                <w:rFonts w:hint="eastAsia" w:ascii="仿宋" w:hAnsi="仿宋" w:eastAsia="仿宋" w:cs="仿宋"/>
                <w:bCs/>
                <w:color w:val="auto"/>
                <w:sz w:val="24"/>
                <w:highlight w:val="none"/>
              </w:rPr>
              <w:t>（须提供上述人员相关证书及开标时间前连续三个月在本单位社保缴纳证明。）</w:t>
            </w:r>
          </w:p>
          <w:p>
            <w:pPr>
              <w:pStyle w:val="18"/>
              <w:rPr>
                <w:color w:val="auto"/>
                <w:highlight w:val="none"/>
              </w:rPr>
            </w:pPr>
            <w:r>
              <w:rPr>
                <w:rFonts w:hint="eastAsia"/>
                <w:color w:val="auto"/>
                <w:highlight w:val="none"/>
              </w:rPr>
              <w:t>注：</w:t>
            </w:r>
            <w:r>
              <w:rPr>
                <w:rFonts w:hint="eastAsia" w:ascii="仿宋" w:hAnsi="仿宋" w:eastAsia="仿宋" w:cs="仿宋"/>
                <w:bCs/>
                <w:color w:val="auto"/>
                <w:sz w:val="24"/>
                <w:highlight w:val="none"/>
              </w:rPr>
              <w:t>一人多证书时，仅记取一本证书。</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0-4分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（客观）</w:t>
            </w:r>
          </w:p>
        </w:tc>
        <w:tc>
          <w:tcPr>
            <w:tcW w:w="1375" w:type="dxa"/>
            <w:vMerge w:val="continue"/>
            <w:tcBorders>
              <w:left w:val="single" w:color="auto" w:sz="4" w:space="0"/>
              <w:bottom w:val="single" w:color="auto" w:sz="4" w:space="0"/>
              <w:right w:val="single" w:color="auto" w:sz="4" w:space="0"/>
            </w:tcBorders>
            <w:vAlign w:val="center"/>
          </w:tcPr>
          <w:p>
            <w:pPr>
              <w:snapToGrid w:val="0"/>
              <w:jc w:val="center"/>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18</w:t>
            </w:r>
          </w:p>
        </w:tc>
        <w:tc>
          <w:tcPr>
            <w:tcW w:w="5769"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有效投标报价的最低价作为评标基准价，其最低报价为满分；按［投标报价得分=（评标基准价/投标报价）*10］的计算公式计算。</w:t>
            </w:r>
          </w:p>
          <w:p>
            <w:pPr>
              <w:widowControl/>
              <w:shd w:val="clear" w:color="auto" w:fill="FFFFFF"/>
              <w:ind w:firstLine="42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评标过程中，不得去掉报价中的最高报价和最低报价。</w:t>
            </w:r>
          </w:p>
          <w:p>
            <w:pPr>
              <w:widowControl/>
              <w:shd w:val="clear" w:color="auto" w:fill="FFFFFF"/>
              <w:ind w:firstLine="42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因落实政府采购政策需要进行价格调整的，以调整后的价格计算评标基准价和投标报价。（因专门面向中小企业，价格调整在本次项目不适用）</w:t>
            </w:r>
          </w:p>
        </w:tc>
        <w:tc>
          <w:tcPr>
            <w:tcW w:w="1209"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10分</w:t>
            </w:r>
          </w:p>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（客观）</w:t>
            </w:r>
          </w:p>
        </w:tc>
        <w:tc>
          <w:tcPr>
            <w:tcW w:w="1375"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仿宋" w:hAnsi="仿宋" w:eastAsia="仿宋" w:cs="仿宋"/>
                <w:bCs/>
                <w:color w:val="auto"/>
                <w:sz w:val="24"/>
                <w:highlight w:val="none"/>
              </w:rPr>
            </w:pPr>
            <w:r>
              <w:rPr>
                <w:rFonts w:hint="eastAsia" w:ascii="仿宋" w:hAnsi="仿宋" w:eastAsia="仿宋" w:cs="仿宋"/>
                <w:bCs/>
                <w:color w:val="auto"/>
                <w:sz w:val="24"/>
                <w:highlight w:val="none"/>
              </w:rPr>
              <w:t>/</w:t>
            </w:r>
          </w:p>
        </w:tc>
      </w:tr>
    </w:tbl>
    <w:p>
      <w:pPr>
        <w:rPr>
          <w:rFonts w:asciiTheme="majorEastAsia" w:hAnsiTheme="majorEastAsia" w:eastAsiaTheme="majorEastAsia"/>
          <w:color w:val="auto"/>
          <w:highlight w:val="none"/>
        </w:rPr>
      </w:pPr>
    </w:p>
    <w:p>
      <w:pPr>
        <w:numPr>
          <w:ilvl w:val="0"/>
          <w:numId w:val="5"/>
        </w:numPr>
        <w:adjustRightInd w:val="0"/>
        <w:snapToGrid w:val="0"/>
        <w:spacing w:beforeLines="50" w:afterLines="50" w:line="360" w:lineRule="auto"/>
        <w:ind w:firstLine="0"/>
        <w:jc w:val="left"/>
        <w:outlineLvl w:val="1"/>
        <w:rPr>
          <w:rFonts w:cs="仿宋_GB2312" w:asciiTheme="majorEastAsia" w:hAnsiTheme="majorEastAsia" w:eastAsiaTheme="majorEastAsia"/>
          <w:b/>
          <w:color w:val="auto"/>
          <w:sz w:val="28"/>
          <w:szCs w:val="28"/>
          <w:highlight w:val="none"/>
        </w:rPr>
      </w:pPr>
      <w:bookmarkStart w:id="63" w:name="_Toc2386"/>
      <w:bookmarkStart w:id="64" w:name="_Toc14163"/>
      <w:bookmarkStart w:id="65" w:name="_Toc19686"/>
      <w:r>
        <w:rPr>
          <w:rFonts w:hint="eastAsia" w:cs="仿宋_GB2312" w:asciiTheme="majorEastAsia" w:hAnsiTheme="majorEastAsia" w:eastAsiaTheme="majorEastAsia"/>
          <w:b/>
          <w:color w:val="auto"/>
          <w:sz w:val="28"/>
          <w:szCs w:val="28"/>
          <w:highlight w:val="none"/>
        </w:rPr>
        <w:t>评标方法</w:t>
      </w:r>
      <w:bookmarkEnd w:id="63"/>
      <w:bookmarkEnd w:id="64"/>
      <w:bookmarkEnd w:id="65"/>
    </w:p>
    <w:p>
      <w:pPr>
        <w:numPr>
          <w:ilvl w:val="0"/>
          <w:numId w:val="6"/>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b/>
          <w:color w:val="auto"/>
          <w:kern w:val="0"/>
          <w:sz w:val="24"/>
          <w:highlight w:val="none"/>
        </w:rPr>
        <w:t>本项目采用综合评分法。</w:t>
      </w:r>
      <w:r>
        <w:rPr>
          <w:rFonts w:hint="eastAsia" w:cs="Arial" w:asciiTheme="majorEastAsia" w:hAnsiTheme="majorEastAsia" w:eastAsiaTheme="majorEastAsia"/>
          <w:color w:val="auto"/>
          <w:kern w:val="0"/>
          <w:sz w:val="24"/>
          <w:highlight w:val="none"/>
        </w:rPr>
        <w:t>综合评分法，是指投标文件满足招标文件全部实质性要求，且按照评审因素的量化指标评审得分最高的投标人为中标候选人的评标方法。</w:t>
      </w:r>
    </w:p>
    <w:p>
      <w:pPr>
        <w:numPr>
          <w:ilvl w:val="0"/>
          <w:numId w:val="5"/>
        </w:numPr>
        <w:adjustRightInd w:val="0"/>
        <w:snapToGrid w:val="0"/>
        <w:spacing w:beforeLines="50" w:afterLines="50" w:line="360" w:lineRule="auto"/>
        <w:ind w:firstLine="0"/>
        <w:jc w:val="left"/>
        <w:outlineLvl w:val="1"/>
        <w:rPr>
          <w:rFonts w:cs="仿宋_GB2312" w:asciiTheme="majorEastAsia" w:hAnsiTheme="majorEastAsia" w:eastAsiaTheme="majorEastAsia"/>
          <w:b/>
          <w:color w:val="auto"/>
          <w:sz w:val="28"/>
          <w:szCs w:val="28"/>
          <w:highlight w:val="none"/>
        </w:rPr>
      </w:pPr>
      <w:bookmarkStart w:id="66" w:name="_Toc26758"/>
      <w:bookmarkStart w:id="67" w:name="_Toc9518"/>
      <w:bookmarkStart w:id="68" w:name="_Toc19233"/>
      <w:r>
        <w:rPr>
          <w:rFonts w:hint="eastAsia" w:cs="仿宋_GB2312" w:asciiTheme="majorEastAsia" w:hAnsiTheme="majorEastAsia" w:eastAsiaTheme="majorEastAsia"/>
          <w:b/>
          <w:color w:val="auto"/>
          <w:sz w:val="28"/>
          <w:szCs w:val="28"/>
          <w:highlight w:val="none"/>
        </w:rPr>
        <w:t>评标标准</w:t>
      </w:r>
      <w:bookmarkEnd w:id="66"/>
      <w:bookmarkEnd w:id="67"/>
      <w:bookmarkEnd w:id="68"/>
    </w:p>
    <w:p>
      <w:pPr>
        <w:numPr>
          <w:ilvl w:val="0"/>
          <w:numId w:val="6"/>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b/>
          <w:bCs/>
          <w:color w:val="auto"/>
          <w:kern w:val="0"/>
          <w:sz w:val="24"/>
          <w:highlight w:val="none"/>
        </w:rPr>
        <w:t>评标标准：</w:t>
      </w:r>
      <w:r>
        <w:rPr>
          <w:rFonts w:hint="eastAsia" w:cs="Arial" w:asciiTheme="majorEastAsia" w:hAnsiTheme="majorEastAsia" w:eastAsiaTheme="majorEastAsia"/>
          <w:color w:val="auto"/>
          <w:kern w:val="0"/>
          <w:sz w:val="24"/>
          <w:highlight w:val="none"/>
        </w:rPr>
        <w:t>见评标办法前附表。</w:t>
      </w:r>
    </w:p>
    <w:p>
      <w:pPr>
        <w:numPr>
          <w:ilvl w:val="0"/>
          <w:numId w:val="5"/>
        </w:numPr>
        <w:adjustRightInd w:val="0"/>
        <w:snapToGrid w:val="0"/>
        <w:spacing w:beforeLines="50" w:afterLines="50" w:line="360" w:lineRule="auto"/>
        <w:ind w:firstLine="0"/>
        <w:jc w:val="left"/>
        <w:outlineLvl w:val="1"/>
        <w:rPr>
          <w:rFonts w:cs="仿宋_GB2312" w:asciiTheme="majorEastAsia" w:hAnsiTheme="majorEastAsia" w:eastAsiaTheme="majorEastAsia"/>
          <w:b/>
          <w:color w:val="auto"/>
          <w:sz w:val="28"/>
          <w:szCs w:val="28"/>
          <w:highlight w:val="none"/>
        </w:rPr>
      </w:pPr>
      <w:bookmarkStart w:id="69" w:name="_Toc26738"/>
      <w:bookmarkStart w:id="70" w:name="_Toc1897"/>
      <w:bookmarkStart w:id="71" w:name="_Toc17022"/>
      <w:r>
        <w:rPr>
          <w:rFonts w:hint="eastAsia" w:cs="仿宋_GB2312" w:asciiTheme="majorEastAsia" w:hAnsiTheme="majorEastAsia" w:eastAsiaTheme="majorEastAsia"/>
          <w:b/>
          <w:color w:val="auto"/>
          <w:sz w:val="28"/>
          <w:szCs w:val="28"/>
          <w:highlight w:val="none"/>
        </w:rPr>
        <w:t>评标程序</w:t>
      </w:r>
      <w:bookmarkEnd w:id="69"/>
      <w:bookmarkEnd w:id="70"/>
      <w:bookmarkEnd w:id="71"/>
    </w:p>
    <w:p>
      <w:pPr>
        <w:numPr>
          <w:ilvl w:val="1"/>
          <w:numId w:val="7"/>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b/>
          <w:bCs/>
          <w:color w:val="auto"/>
          <w:kern w:val="0"/>
          <w:sz w:val="24"/>
          <w:highlight w:val="none"/>
        </w:rPr>
        <w:t>符合性审查。</w:t>
      </w:r>
      <w:r>
        <w:rPr>
          <w:rFonts w:hint="eastAsia" w:cs="Arial" w:asciiTheme="majorEastAsia" w:hAnsiTheme="majorEastAsia" w:eastAsiaTheme="majorEastAsia"/>
          <w:color w:val="auto"/>
          <w:kern w:val="0"/>
          <w:sz w:val="24"/>
          <w:highlight w:val="none"/>
        </w:rPr>
        <w:t>评标委员会应当对符合资格的投标人的投标文件进行符合性审查，以确定其是否满足招标文件的实质性要求。不满足招标文件的实质性要求的，投标无效。</w:t>
      </w:r>
    </w:p>
    <w:p>
      <w:pPr>
        <w:numPr>
          <w:ilvl w:val="1"/>
          <w:numId w:val="7"/>
        </w:numPr>
        <w:tabs>
          <w:tab w:val="left" w:pos="210"/>
        </w:tabs>
        <w:spacing w:line="360" w:lineRule="auto"/>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比较与评价。</w:t>
      </w:r>
      <w:r>
        <w:rPr>
          <w:rFonts w:hint="eastAsia" w:cs="Arial" w:asciiTheme="majorEastAsia" w:hAnsiTheme="majorEastAsia" w:eastAsiaTheme="majorEastAsia"/>
          <w:color w:val="auto"/>
          <w:kern w:val="0"/>
          <w:sz w:val="24"/>
          <w:highlight w:val="none"/>
        </w:rPr>
        <w:t>评标委员会应当按照招标文件中规定的评标方法和标准，对符合性审查合格的投标文件进行商务和技术评估，综合比较与评价。</w:t>
      </w:r>
    </w:p>
    <w:p>
      <w:pPr>
        <w:numPr>
          <w:ilvl w:val="1"/>
          <w:numId w:val="7"/>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b/>
          <w:bCs/>
          <w:color w:val="auto"/>
          <w:kern w:val="0"/>
          <w:sz w:val="24"/>
          <w:highlight w:val="none"/>
        </w:rPr>
        <w:t>汇总商务技术得分。</w:t>
      </w:r>
      <w:r>
        <w:rPr>
          <w:rFonts w:hint="eastAsia" w:cs="Arial" w:asciiTheme="majorEastAsia" w:hAnsiTheme="majorEastAsia" w:eastAsiaTheme="majorEastAsia"/>
          <w:color w:val="auto"/>
          <w:kern w:val="0"/>
          <w:sz w:val="24"/>
          <w:highlight w:val="none"/>
        </w:rPr>
        <w:t>评标委员会各成员应当独立对每个投标人的商务和技术文件进行评价，并汇总商务技术得分情况。</w:t>
      </w:r>
    </w:p>
    <w:p>
      <w:pPr>
        <w:numPr>
          <w:ilvl w:val="255"/>
          <w:numId w:val="0"/>
        </w:numPr>
        <w:tabs>
          <w:tab w:val="left" w:pos="210"/>
        </w:tabs>
        <w:spacing w:line="360" w:lineRule="auto"/>
        <w:ind w:firstLine="480" w:firstLineChars="200"/>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color w:val="auto"/>
          <w:kern w:val="0"/>
          <w:sz w:val="24"/>
          <w:highlight w:val="none"/>
        </w:rPr>
        <w:t>评标委员会各成员每人一份评分表，进行独自打分并签名。在统计得分时，如发现某一单项评分超过评分细则规定的分值范围，则该张评分表无效。投标人商务技术部分的得分为评标委员会各成员的有效评分的算术平均值。</w:t>
      </w:r>
    </w:p>
    <w:p>
      <w:pPr>
        <w:numPr>
          <w:ilvl w:val="1"/>
          <w:numId w:val="7"/>
        </w:numPr>
        <w:tabs>
          <w:tab w:val="left" w:pos="210"/>
        </w:tabs>
        <w:spacing w:line="360" w:lineRule="auto"/>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报价评审。</w:t>
      </w:r>
    </w:p>
    <w:p>
      <w:pPr>
        <w:numPr>
          <w:ilvl w:val="2"/>
          <w:numId w:val="7"/>
        </w:numPr>
        <w:tabs>
          <w:tab w:val="left" w:pos="210"/>
        </w:tabs>
        <w:spacing w:line="360" w:lineRule="auto"/>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投标文件报价出现前后不一致的，按照下列规定修正：</w:t>
      </w:r>
    </w:p>
    <w:p>
      <w:pPr>
        <w:numPr>
          <w:ilvl w:val="3"/>
          <w:numId w:val="7"/>
        </w:numPr>
        <w:tabs>
          <w:tab w:val="left" w:pos="210"/>
          <w:tab w:val="left" w:pos="1050"/>
        </w:tabs>
        <w:spacing w:line="360" w:lineRule="auto"/>
        <w:ind w:left="1050" w:hanging="1050"/>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投标文件中开标一览表(报价表)内容与投标文件中相应内容不一致的，以开标一览表(报价表)为准;</w:t>
      </w:r>
    </w:p>
    <w:p>
      <w:pPr>
        <w:numPr>
          <w:ilvl w:val="3"/>
          <w:numId w:val="7"/>
        </w:numPr>
        <w:tabs>
          <w:tab w:val="left" w:pos="210"/>
          <w:tab w:val="left" w:pos="1050"/>
        </w:tabs>
        <w:spacing w:line="360" w:lineRule="auto"/>
        <w:ind w:left="1050" w:hanging="1050"/>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大写金额和小写金额不一致的，以大写金额为准;</w:t>
      </w:r>
    </w:p>
    <w:p>
      <w:pPr>
        <w:numPr>
          <w:ilvl w:val="3"/>
          <w:numId w:val="7"/>
        </w:numPr>
        <w:tabs>
          <w:tab w:val="left" w:pos="210"/>
          <w:tab w:val="left" w:pos="1050"/>
        </w:tabs>
        <w:spacing w:line="360" w:lineRule="auto"/>
        <w:ind w:left="1050" w:hanging="1050"/>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单价金额小数点或者百分比有明显错位的，以开标一览表的总价为准，并修改单价;</w:t>
      </w:r>
    </w:p>
    <w:p>
      <w:pPr>
        <w:numPr>
          <w:ilvl w:val="3"/>
          <w:numId w:val="7"/>
        </w:numPr>
        <w:tabs>
          <w:tab w:val="left" w:pos="210"/>
          <w:tab w:val="left" w:pos="1050"/>
        </w:tabs>
        <w:spacing w:line="360" w:lineRule="auto"/>
        <w:ind w:left="1050" w:hanging="1050"/>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总价金额与按单价汇总金额不一致的，以单价金额计算结果为准。</w:t>
      </w:r>
    </w:p>
    <w:p>
      <w:pPr>
        <w:numPr>
          <w:ilvl w:val="3"/>
          <w:numId w:val="7"/>
        </w:numPr>
        <w:tabs>
          <w:tab w:val="left" w:pos="210"/>
          <w:tab w:val="left" w:pos="1050"/>
        </w:tabs>
        <w:spacing w:line="360" w:lineRule="auto"/>
        <w:ind w:left="1050" w:hanging="1050"/>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同时出现两种以上不一致的，按照3.4.1规定的顺序修正。修正后的报价按照财政部第87号令 《政府采购货物和服务招标投标管理办法》第五十一条第二款的规定经投标人确认后产生约束力。</w:t>
      </w:r>
    </w:p>
    <w:p>
      <w:pPr>
        <w:numPr>
          <w:ilvl w:val="2"/>
          <w:numId w:val="7"/>
        </w:numPr>
        <w:tabs>
          <w:tab w:val="left" w:pos="210"/>
        </w:tabs>
        <w:spacing w:line="360" w:lineRule="auto"/>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投标文件出现不是唯一的、有选择性投标报价的，投标无效。</w:t>
      </w:r>
    </w:p>
    <w:p>
      <w:pPr>
        <w:numPr>
          <w:ilvl w:val="2"/>
          <w:numId w:val="7"/>
        </w:numPr>
        <w:tabs>
          <w:tab w:val="left" w:pos="210"/>
        </w:tabs>
        <w:spacing w:line="360" w:lineRule="auto"/>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投标报价超过招标文件中规定的预算金额或者最高限价的，投标无效。</w:t>
      </w:r>
    </w:p>
    <w:p>
      <w:pPr>
        <w:numPr>
          <w:ilvl w:val="2"/>
          <w:numId w:val="7"/>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numPr>
          <w:ilvl w:val="2"/>
          <w:numId w:val="7"/>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对于未预留份额专门面向中小企业的政府采购货物或服务项目，以及预留份额政府采购货物或服务项目中的非预留部分标项，对小型和微型企业的投标报价给予</w:t>
      </w:r>
      <w:r>
        <w:rPr>
          <w:rFonts w:hint="eastAsia" w:cs="Arial" w:asciiTheme="majorEastAsia" w:hAnsiTheme="majorEastAsia" w:eastAsiaTheme="majorEastAsia"/>
          <w:b/>
          <w:bCs/>
          <w:color w:val="auto"/>
          <w:kern w:val="0"/>
          <w:sz w:val="24"/>
          <w:highlight w:val="none"/>
        </w:rPr>
        <w:t>10%-20%</w:t>
      </w:r>
      <w:r>
        <w:rPr>
          <w:rFonts w:hint="eastAsia" w:cs="Arial" w:asciiTheme="majorEastAsia" w:hAnsiTheme="majorEastAsia" w:eastAsiaTheme="majorEastAsia"/>
          <w:color w:val="auto"/>
          <w:kern w:val="0"/>
          <w:sz w:val="24"/>
          <w:highlight w:val="none"/>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cs="Arial" w:asciiTheme="majorEastAsia" w:hAnsiTheme="majorEastAsia" w:eastAsiaTheme="majorEastAsia"/>
          <w:b/>
          <w:bCs/>
          <w:color w:val="auto"/>
          <w:kern w:val="0"/>
          <w:sz w:val="24"/>
          <w:highlight w:val="none"/>
        </w:rPr>
        <w:t>4%-6%</w:t>
      </w:r>
      <w:r>
        <w:rPr>
          <w:rFonts w:hint="eastAsia" w:cs="Arial" w:asciiTheme="majorEastAsia" w:hAnsiTheme="majorEastAsia" w:eastAsiaTheme="majorEastAsia"/>
          <w:color w:val="auto"/>
          <w:kern w:val="0"/>
          <w:sz w:val="24"/>
          <w:highlight w:val="none"/>
        </w:rPr>
        <w:t>的扣除，用扣除后的价格参加评审。组成联合体或者接受分包的小微企业与联合体内其他企业、分包企业之间存在直接控股、管理关系的，不享受价格扣除优惠政策。</w:t>
      </w:r>
    </w:p>
    <w:p>
      <w:pPr>
        <w:numPr>
          <w:ilvl w:val="1"/>
          <w:numId w:val="7"/>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b/>
          <w:bCs/>
          <w:color w:val="auto"/>
          <w:kern w:val="0"/>
          <w:sz w:val="24"/>
          <w:highlight w:val="none"/>
        </w:rPr>
        <w:t>排序与推荐。</w:t>
      </w:r>
      <w:r>
        <w:rPr>
          <w:rFonts w:hint="eastAsia" w:cs="Arial" w:asciiTheme="majorEastAsia" w:hAnsiTheme="majorEastAsia" w:eastAsiaTheme="majorEastAsia"/>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numPr>
          <w:ilvl w:val="1"/>
          <w:numId w:val="7"/>
        </w:numPr>
        <w:tabs>
          <w:tab w:val="left" w:pos="210"/>
        </w:tabs>
        <w:spacing w:line="360" w:lineRule="auto"/>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评分时保留小数点后1位小数，计算评分值时保留小数点后2位小数。</w:t>
      </w:r>
    </w:p>
    <w:p>
      <w:pPr>
        <w:numPr>
          <w:ilvl w:val="1"/>
          <w:numId w:val="7"/>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b/>
          <w:bCs/>
          <w:color w:val="auto"/>
          <w:kern w:val="0"/>
          <w:sz w:val="24"/>
          <w:highlight w:val="none"/>
        </w:rPr>
        <w:t>编写评标报告。</w:t>
      </w:r>
      <w:r>
        <w:rPr>
          <w:rFonts w:hint="eastAsia" w:cs="Arial" w:asciiTheme="majorEastAsia" w:hAnsiTheme="majorEastAsia" w:eastAsiaTheme="majorEastAsia"/>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numPr>
          <w:ilvl w:val="0"/>
          <w:numId w:val="5"/>
        </w:numPr>
        <w:adjustRightInd w:val="0"/>
        <w:snapToGrid w:val="0"/>
        <w:spacing w:beforeLines="50" w:afterLines="50" w:line="360" w:lineRule="auto"/>
        <w:ind w:firstLine="0"/>
        <w:jc w:val="left"/>
        <w:outlineLvl w:val="1"/>
        <w:rPr>
          <w:rFonts w:cs="仿宋_GB2312" w:asciiTheme="majorEastAsia" w:hAnsiTheme="majorEastAsia" w:eastAsiaTheme="majorEastAsia"/>
          <w:b/>
          <w:color w:val="auto"/>
          <w:sz w:val="28"/>
          <w:szCs w:val="28"/>
          <w:highlight w:val="none"/>
        </w:rPr>
      </w:pPr>
      <w:bookmarkStart w:id="72" w:name="_Toc6871"/>
      <w:bookmarkStart w:id="73" w:name="_Toc3598"/>
      <w:bookmarkStart w:id="74" w:name="_Toc14486"/>
      <w:r>
        <w:rPr>
          <w:rFonts w:hint="eastAsia" w:cs="仿宋_GB2312" w:asciiTheme="majorEastAsia" w:hAnsiTheme="majorEastAsia" w:eastAsiaTheme="majorEastAsia"/>
          <w:b/>
          <w:color w:val="auto"/>
          <w:sz w:val="28"/>
          <w:szCs w:val="28"/>
          <w:highlight w:val="none"/>
        </w:rPr>
        <w:t>评标中的其他事项</w:t>
      </w:r>
      <w:bookmarkEnd w:id="72"/>
      <w:bookmarkEnd w:id="73"/>
      <w:bookmarkEnd w:id="74"/>
    </w:p>
    <w:p>
      <w:pPr>
        <w:numPr>
          <w:ilvl w:val="1"/>
          <w:numId w:val="8"/>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b/>
          <w:bCs/>
          <w:color w:val="auto"/>
          <w:kern w:val="0"/>
          <w:sz w:val="24"/>
          <w:highlight w:val="none"/>
        </w:rPr>
        <w:t>投标人澄清、说明或者补正。</w:t>
      </w:r>
      <w:r>
        <w:rPr>
          <w:rFonts w:hint="eastAsia" w:cs="Arial" w:asciiTheme="majorEastAsia" w:hAnsiTheme="majorEastAsia" w:eastAsiaTheme="majorEastAsia"/>
          <w:color w:val="auto"/>
          <w:kern w:val="0"/>
          <w:sz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numPr>
          <w:ilvl w:val="1"/>
          <w:numId w:val="8"/>
        </w:numPr>
        <w:tabs>
          <w:tab w:val="left" w:pos="210"/>
        </w:tabs>
        <w:spacing w:line="360" w:lineRule="auto"/>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投标无效。有下列情况之一的，投标无效：</w:t>
      </w:r>
    </w:p>
    <w:p>
      <w:pPr>
        <w:numPr>
          <w:ilvl w:val="2"/>
          <w:numId w:val="8"/>
        </w:numPr>
        <w:tabs>
          <w:tab w:val="left" w:pos="210"/>
          <w:tab w:val="left" w:pos="840"/>
        </w:tabs>
        <w:spacing w:line="360" w:lineRule="auto"/>
        <w:ind w:left="829" w:hanging="829"/>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投标人不具备招标文件中规定的资格要求的（投标人未提供有效的资格文件的，视为投标人不具备招标文件中规定的资格要求）；</w:t>
      </w:r>
    </w:p>
    <w:p>
      <w:pPr>
        <w:numPr>
          <w:ilvl w:val="2"/>
          <w:numId w:val="8"/>
        </w:numPr>
        <w:tabs>
          <w:tab w:val="left" w:pos="210"/>
          <w:tab w:val="left" w:pos="840"/>
        </w:tabs>
        <w:spacing w:line="360" w:lineRule="auto"/>
        <w:ind w:left="829" w:hanging="829"/>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投标文件未按照招标文件要求签署、盖章的；</w:t>
      </w:r>
    </w:p>
    <w:p>
      <w:pPr>
        <w:numPr>
          <w:ilvl w:val="2"/>
          <w:numId w:val="8"/>
        </w:numPr>
        <w:tabs>
          <w:tab w:val="left" w:pos="210"/>
          <w:tab w:val="left" w:pos="840"/>
        </w:tabs>
        <w:spacing w:line="360" w:lineRule="auto"/>
        <w:ind w:left="829" w:hanging="829"/>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采购人拟采购的产品属于政府强制采购的节能产品品目清单范围的，投标人未按招标文件要求提供国家确定的认证机构出具的、处于有效期之内的节能产品认证证书的；</w:t>
      </w:r>
    </w:p>
    <w:p>
      <w:pPr>
        <w:numPr>
          <w:ilvl w:val="2"/>
          <w:numId w:val="8"/>
        </w:numPr>
        <w:tabs>
          <w:tab w:val="left" w:pos="210"/>
          <w:tab w:val="left" w:pos="840"/>
        </w:tabs>
        <w:spacing w:line="360" w:lineRule="auto"/>
        <w:ind w:left="829" w:hanging="829"/>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投标文件含有采购人不能接受的附加条件的；</w:t>
      </w:r>
    </w:p>
    <w:p>
      <w:pPr>
        <w:numPr>
          <w:ilvl w:val="2"/>
          <w:numId w:val="8"/>
        </w:numPr>
        <w:tabs>
          <w:tab w:val="left" w:pos="210"/>
          <w:tab w:val="left" w:pos="840"/>
        </w:tabs>
        <w:spacing w:line="360" w:lineRule="auto"/>
        <w:ind w:left="829" w:hanging="829"/>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投标文件中承诺的投标有效期少于招标文件中载明的投标有效期的；</w:t>
      </w:r>
    </w:p>
    <w:p>
      <w:pPr>
        <w:numPr>
          <w:ilvl w:val="2"/>
          <w:numId w:val="8"/>
        </w:numPr>
        <w:tabs>
          <w:tab w:val="left" w:pos="210"/>
          <w:tab w:val="left" w:pos="840"/>
        </w:tabs>
        <w:spacing w:line="360" w:lineRule="auto"/>
        <w:ind w:left="829" w:hanging="829"/>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投标文件出现不是唯一的、有选择性投标报价的;</w:t>
      </w:r>
    </w:p>
    <w:p>
      <w:pPr>
        <w:numPr>
          <w:ilvl w:val="2"/>
          <w:numId w:val="8"/>
        </w:numPr>
        <w:tabs>
          <w:tab w:val="left" w:pos="210"/>
          <w:tab w:val="left" w:pos="840"/>
        </w:tabs>
        <w:spacing w:line="360" w:lineRule="auto"/>
        <w:ind w:left="829" w:hanging="829"/>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投标报价超过招标文件中规定的预算金额或者最高限价的;</w:t>
      </w:r>
    </w:p>
    <w:p>
      <w:pPr>
        <w:numPr>
          <w:ilvl w:val="2"/>
          <w:numId w:val="8"/>
        </w:numPr>
        <w:tabs>
          <w:tab w:val="left" w:pos="210"/>
          <w:tab w:val="left" w:pos="840"/>
        </w:tabs>
        <w:spacing w:line="360" w:lineRule="auto"/>
        <w:ind w:left="829" w:hanging="829"/>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报价明显低于其他通过符合性审查投标人的报价，有可能影响产品质量或者不能诚信履约的，未能按要求提供书面说明或者提交相关证明材料，不能证明其报价合理性的;</w:t>
      </w:r>
    </w:p>
    <w:p>
      <w:pPr>
        <w:numPr>
          <w:ilvl w:val="2"/>
          <w:numId w:val="8"/>
        </w:numPr>
        <w:tabs>
          <w:tab w:val="left" w:pos="210"/>
          <w:tab w:val="left" w:pos="840"/>
        </w:tabs>
        <w:spacing w:line="360" w:lineRule="auto"/>
        <w:ind w:left="829" w:hanging="829"/>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投标人对根据修正原则修正后的报价不确认的；</w:t>
      </w:r>
    </w:p>
    <w:p>
      <w:pPr>
        <w:numPr>
          <w:ilvl w:val="2"/>
          <w:numId w:val="8"/>
        </w:numPr>
        <w:tabs>
          <w:tab w:val="left" w:pos="210"/>
          <w:tab w:val="left" w:pos="840"/>
          <w:tab w:val="left" w:pos="1050"/>
          <w:tab w:val="left" w:pos="1260"/>
        </w:tabs>
        <w:spacing w:line="360" w:lineRule="auto"/>
        <w:ind w:left="829" w:hanging="829"/>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投标人提供虚假材料投标的；</w:t>
      </w:r>
    </w:p>
    <w:p>
      <w:pPr>
        <w:numPr>
          <w:ilvl w:val="2"/>
          <w:numId w:val="8"/>
        </w:numPr>
        <w:tabs>
          <w:tab w:val="left" w:pos="210"/>
          <w:tab w:val="left" w:pos="840"/>
          <w:tab w:val="left" w:pos="1050"/>
          <w:tab w:val="left" w:pos="1260"/>
        </w:tabs>
        <w:spacing w:line="360" w:lineRule="auto"/>
        <w:ind w:left="1049" w:hanging="1049"/>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投标人有恶意串通、妨碍其他投标人的竞争行为、损害采购人或者其他投标人的合法权益情形的；</w:t>
      </w:r>
    </w:p>
    <w:p>
      <w:pPr>
        <w:numPr>
          <w:ilvl w:val="2"/>
          <w:numId w:val="8"/>
        </w:numPr>
        <w:tabs>
          <w:tab w:val="left" w:pos="210"/>
          <w:tab w:val="left" w:pos="840"/>
          <w:tab w:val="left" w:pos="1050"/>
          <w:tab w:val="left" w:pos="1260"/>
        </w:tabs>
        <w:spacing w:line="360" w:lineRule="auto"/>
        <w:ind w:left="1049" w:hanging="1049"/>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投标人仅提交备份投标文件，没有在电子交易平台传输递交投标文件的，投标无效；</w:t>
      </w:r>
    </w:p>
    <w:p>
      <w:pPr>
        <w:numPr>
          <w:ilvl w:val="2"/>
          <w:numId w:val="8"/>
        </w:numPr>
        <w:tabs>
          <w:tab w:val="left" w:pos="210"/>
          <w:tab w:val="left" w:pos="840"/>
          <w:tab w:val="left" w:pos="1050"/>
          <w:tab w:val="left" w:pos="1260"/>
        </w:tabs>
        <w:spacing w:line="360" w:lineRule="auto"/>
        <w:ind w:left="1049" w:hanging="1049"/>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投标文件不满足招标文件的其它实质性要求的；</w:t>
      </w:r>
    </w:p>
    <w:p>
      <w:pPr>
        <w:numPr>
          <w:ilvl w:val="2"/>
          <w:numId w:val="8"/>
        </w:numPr>
        <w:tabs>
          <w:tab w:val="left" w:pos="210"/>
          <w:tab w:val="left" w:pos="840"/>
          <w:tab w:val="left" w:pos="1050"/>
          <w:tab w:val="left" w:pos="1260"/>
        </w:tabs>
        <w:spacing w:line="360" w:lineRule="auto"/>
        <w:ind w:left="1049" w:hanging="1049"/>
        <w:rPr>
          <w:rFonts w:cs="Arial" w:asciiTheme="majorEastAsia" w:hAnsiTheme="majorEastAsia" w:eastAsiaTheme="majorEastAsia"/>
          <w:b/>
          <w:bCs/>
          <w:color w:val="auto"/>
          <w:kern w:val="0"/>
          <w:sz w:val="24"/>
          <w:highlight w:val="none"/>
        </w:rPr>
      </w:pPr>
      <w:r>
        <w:rPr>
          <w:rFonts w:hint="eastAsia" w:cs="Arial" w:asciiTheme="majorEastAsia" w:hAnsiTheme="majorEastAsia" w:eastAsiaTheme="majorEastAsia"/>
          <w:b/>
          <w:bCs/>
          <w:color w:val="auto"/>
          <w:kern w:val="0"/>
          <w:sz w:val="24"/>
          <w:highlight w:val="none"/>
        </w:rPr>
        <w:t>法律、法规、规章（适用本市的）及省级以上规范性文件（适用本市的）规定的其他无效情形。</w:t>
      </w:r>
    </w:p>
    <w:p>
      <w:pPr>
        <w:numPr>
          <w:ilvl w:val="0"/>
          <w:numId w:val="8"/>
        </w:numPr>
        <w:tabs>
          <w:tab w:val="left" w:pos="210"/>
          <w:tab w:val="clear" w:pos="399"/>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b/>
          <w:bCs/>
          <w:color w:val="auto"/>
          <w:kern w:val="0"/>
          <w:sz w:val="24"/>
          <w:highlight w:val="none"/>
        </w:rPr>
        <w:t>废标。</w:t>
      </w:r>
      <w:r>
        <w:rPr>
          <w:rFonts w:hint="eastAsia" w:cs="Arial" w:asciiTheme="majorEastAsia" w:hAnsiTheme="majorEastAsia" w:eastAsiaTheme="majorEastAsia"/>
          <w:color w:val="auto"/>
          <w:kern w:val="0"/>
          <w:sz w:val="24"/>
          <w:highlight w:val="none"/>
        </w:rPr>
        <w:t>根据《中华人民共和国政府采购法》第三十六条之规定，在采购中，出现下列情形之一的，应予废标：</w:t>
      </w:r>
    </w:p>
    <w:p>
      <w:pPr>
        <w:numPr>
          <w:ilvl w:val="1"/>
          <w:numId w:val="8"/>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符合专业条件的供应商或者对招标文件作实质响应的供应商不足3家的；</w:t>
      </w:r>
    </w:p>
    <w:p>
      <w:pPr>
        <w:numPr>
          <w:ilvl w:val="1"/>
          <w:numId w:val="8"/>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出现影响采购公正的违法、违规行为的；</w:t>
      </w:r>
    </w:p>
    <w:p>
      <w:pPr>
        <w:numPr>
          <w:ilvl w:val="1"/>
          <w:numId w:val="8"/>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投标人的报价均超过了采购预算，采购人不能支付的；</w:t>
      </w:r>
    </w:p>
    <w:p>
      <w:pPr>
        <w:numPr>
          <w:ilvl w:val="1"/>
          <w:numId w:val="8"/>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因重大变故，采购任务取消的。</w:t>
      </w:r>
    </w:p>
    <w:p>
      <w:pPr>
        <w:pStyle w:val="2"/>
        <w:snapToGrid w:val="0"/>
        <w:rPr>
          <w:rFonts w:cs="仿宋_GB2312"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废标后，采购代理机构应当将废标理由通知所有投标人。</w:t>
      </w:r>
    </w:p>
    <w:p>
      <w:pPr>
        <w:numPr>
          <w:ilvl w:val="0"/>
          <w:numId w:val="8"/>
        </w:numPr>
        <w:tabs>
          <w:tab w:val="left" w:pos="210"/>
          <w:tab w:val="clear" w:pos="399"/>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b/>
          <w:bCs/>
          <w:color w:val="auto"/>
          <w:kern w:val="0"/>
          <w:sz w:val="24"/>
          <w:highlight w:val="none"/>
        </w:rPr>
        <w:t>修改招标文件，重新组织采购活动。</w:t>
      </w:r>
      <w:r>
        <w:rPr>
          <w:rFonts w:hint="eastAsia" w:cs="Arial" w:asciiTheme="majorEastAsia" w:hAnsiTheme="majorEastAsia" w:eastAsiaTheme="majorEastAsia"/>
          <w:color w:val="auto"/>
          <w:kern w:val="0"/>
          <w:sz w:val="24"/>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numPr>
          <w:ilvl w:val="0"/>
          <w:numId w:val="8"/>
        </w:numPr>
        <w:tabs>
          <w:tab w:val="left" w:pos="210"/>
          <w:tab w:val="clear" w:pos="399"/>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b/>
          <w:bCs/>
          <w:color w:val="auto"/>
          <w:kern w:val="0"/>
          <w:sz w:val="24"/>
          <w:highlight w:val="none"/>
        </w:rPr>
        <w:t>重新开展采购。</w:t>
      </w:r>
      <w:r>
        <w:rPr>
          <w:rFonts w:hint="eastAsia" w:cs="Arial" w:asciiTheme="majorEastAsia" w:hAnsiTheme="majorEastAsia" w:eastAsiaTheme="majorEastAsia"/>
          <w:color w:val="auto"/>
          <w:kern w:val="0"/>
          <w:sz w:val="24"/>
          <w:highlight w:val="none"/>
        </w:rPr>
        <w:t>有政府采购法第七十一条、第七十二条规定的违法行为之一，影响或者可能影响中标、成交结果的，依照下列规定处理：</w:t>
      </w:r>
    </w:p>
    <w:p>
      <w:pPr>
        <w:numPr>
          <w:ilvl w:val="1"/>
          <w:numId w:val="9"/>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未确定中标或者中标人的，终止本次政府采购活动，重新开展政府采购活动。</w:t>
      </w:r>
    </w:p>
    <w:p>
      <w:pPr>
        <w:numPr>
          <w:ilvl w:val="1"/>
          <w:numId w:val="9"/>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已确定中标或者中标人但尚未签订政府采购合同的，中标或者成交结果无效，从合格的中标或者成交候选人中另行确定中标或者中标人；没有合格的中标或者成交候选人的，重新开展政府采购活动。</w:t>
      </w:r>
    </w:p>
    <w:p>
      <w:pPr>
        <w:numPr>
          <w:ilvl w:val="1"/>
          <w:numId w:val="9"/>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政府采购合同已签订但尚未履行的，撤销合同，从合格的中标或者成交候选人中另行确定中标或者中标人；没有合格的中标或者成交候选人的，重新开展政府采购活动。</w:t>
      </w:r>
    </w:p>
    <w:p>
      <w:pPr>
        <w:numPr>
          <w:ilvl w:val="1"/>
          <w:numId w:val="9"/>
        </w:numPr>
        <w:tabs>
          <w:tab w:val="left" w:pos="210"/>
        </w:tabs>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政府采购合同已经履行，给采购人、供应商造成损失的，由责任人承担赔偿责任。</w:t>
      </w:r>
    </w:p>
    <w:p>
      <w:pPr>
        <w:pStyle w:val="2"/>
        <w:snapToGrid w:val="0"/>
        <w:rPr>
          <w:rFonts w:cs="仿宋" w:asciiTheme="majorEastAsia" w:hAnsiTheme="majorEastAsia" w:eastAsiaTheme="majorEastAsia"/>
          <w:color w:val="auto"/>
          <w:highlight w:val="none"/>
        </w:rPr>
      </w:pPr>
      <w:r>
        <w:rPr>
          <w:rFonts w:hint="eastAsia" w:cs="Arial" w:asciiTheme="majorEastAsia" w:hAnsiTheme="majorEastAsia" w:eastAsiaTheme="majorEastAsia"/>
          <w:color w:val="auto"/>
          <w:kern w:val="0"/>
          <w:highlight w:val="none"/>
        </w:rPr>
        <w:t>政府采购当事人有其他违反政府采购法或者政府采购法实施条例等法律法规规定的行为，经改正后仍然影响或者可能影响中标、成交结果或者依法被认定为中标、成交无效的，依照7.1-7.4规定处理</w:t>
      </w:r>
      <w:r>
        <w:rPr>
          <w:rFonts w:hint="eastAsia" w:cs="仿宋" w:asciiTheme="majorEastAsia" w:hAnsiTheme="majorEastAsia" w:eastAsiaTheme="majorEastAsia"/>
          <w:color w:val="auto"/>
          <w:highlight w:val="none"/>
        </w:rPr>
        <w:t>。</w:t>
      </w:r>
    </w:p>
    <w:bookmarkEnd w:id="46"/>
    <w:p>
      <w:pPr>
        <w:jc w:val="center"/>
        <w:rPr>
          <w:rFonts w:cs="仿宋" w:asciiTheme="majorEastAsia" w:hAnsiTheme="majorEastAsia" w:eastAsiaTheme="majorEastAsia"/>
          <w:color w:val="auto"/>
          <w:sz w:val="36"/>
          <w:highlight w:val="none"/>
        </w:rPr>
      </w:pPr>
      <w:bookmarkStart w:id="75" w:name="_Toc7779"/>
      <w:bookmarkStart w:id="76" w:name="_Toc242012824"/>
      <w:bookmarkStart w:id="77" w:name="_Toc19650"/>
      <w:r>
        <w:rPr>
          <w:rFonts w:hint="eastAsia" w:cs="仿宋" w:asciiTheme="majorEastAsia" w:hAnsiTheme="majorEastAsia" w:eastAsiaTheme="majorEastAsia"/>
          <w:b/>
          <w:color w:val="auto"/>
          <w:sz w:val="30"/>
          <w:szCs w:val="30"/>
          <w:highlight w:val="none"/>
        </w:rPr>
        <w:t>第五部分  合同条款</w:t>
      </w:r>
      <w:bookmarkEnd w:id="75"/>
      <w:bookmarkEnd w:id="76"/>
      <w:bookmarkEnd w:id="77"/>
    </w:p>
    <w:p>
      <w:pPr>
        <w:adjustRightInd w:val="0"/>
        <w:snapToGrid w:val="0"/>
        <w:spacing w:line="360" w:lineRule="auto"/>
        <w:ind w:firstLine="420" w:firstLineChars="200"/>
        <w:rPr>
          <w:rFonts w:cs="仿宋" w:asciiTheme="majorEastAsia" w:hAnsiTheme="majorEastAsia" w:eastAsiaTheme="majorEastAsia"/>
          <w:snapToGrid w:val="0"/>
          <w:color w:val="auto"/>
          <w:kern w:val="0"/>
          <w:szCs w:val="21"/>
          <w:highlight w:val="none"/>
        </w:rPr>
      </w:pPr>
      <w:bookmarkStart w:id="78" w:name="_Toc249760790"/>
      <w:bookmarkStart w:id="79" w:name="_Hlk534720381"/>
      <w:bookmarkStart w:id="80" w:name="_Toc251566661"/>
      <w:r>
        <w:rPr>
          <w:rFonts w:hint="eastAsia" w:cs="仿宋" w:asciiTheme="majorEastAsia" w:hAnsiTheme="majorEastAsia" w:eastAsiaTheme="majorEastAsia"/>
          <w:snapToGrid w:val="0"/>
          <w:color w:val="auto"/>
          <w:kern w:val="0"/>
          <w:szCs w:val="21"/>
          <w:highlight w:val="none"/>
        </w:rPr>
        <w:t>合同将由杭州市钱塘区农业农村局（以下简称甲方）与经评审最终确定的项目中标人（以下简称乙方）结合本项目具体情况协商后签订。以下为采购人提出涉及乙方的主要条款，投标人在投标文件中应对其进行确认或拒绝。如投标人在其投标文件中未做拒绝或提出修改要求的，采购人将视作认同。</w:t>
      </w:r>
    </w:p>
    <w:p>
      <w:pPr>
        <w:snapToGrid w:val="0"/>
        <w:spacing w:beforeLines="50" w:afterLines="50"/>
        <w:jc w:val="center"/>
        <w:rPr>
          <w:rFonts w:cs="仿宋" w:asciiTheme="majorEastAsia" w:hAnsiTheme="majorEastAsia" w:eastAsiaTheme="majorEastAsia"/>
          <w:color w:val="auto"/>
          <w:spacing w:val="-6"/>
          <w:highlight w:val="none"/>
        </w:rPr>
        <w:sectPr>
          <w:pgSz w:w="11850" w:h="16783"/>
          <w:pgMar w:top="1247" w:right="1588" w:bottom="1089" w:left="1588" w:header="851" w:footer="992" w:gutter="0"/>
          <w:cols w:space="720" w:num="1"/>
          <w:docGrid w:linePitch="312" w:charSpace="0"/>
        </w:sectPr>
      </w:pPr>
      <w:r>
        <w:rPr>
          <w:rFonts w:hint="eastAsia" w:cs="仿宋" w:asciiTheme="majorEastAsia" w:hAnsiTheme="majorEastAsia" w:eastAsiaTheme="majorEastAsia"/>
          <w:color w:val="auto"/>
          <w:spacing w:val="-6"/>
          <w:highlight w:val="none"/>
        </w:rPr>
        <w:t>（本合同为合同样稿）</w:t>
      </w:r>
    </w:p>
    <w:bookmarkEnd w:id="78"/>
    <w:bookmarkEnd w:id="79"/>
    <w:bookmarkEnd w:id="80"/>
    <w:p>
      <w:pPr>
        <w:adjustRightInd w:val="0"/>
        <w:snapToGrid w:val="0"/>
        <w:spacing w:line="360" w:lineRule="auto"/>
        <w:ind w:firstLine="482" w:firstLineChars="200"/>
        <w:rPr>
          <w:rFonts w:cs="仿宋" w:asciiTheme="majorEastAsia" w:hAnsiTheme="majorEastAsia" w:eastAsiaTheme="majorEastAsia"/>
          <w:b/>
          <w:bCs/>
          <w:color w:val="auto"/>
          <w:sz w:val="24"/>
          <w:highlight w:val="none"/>
        </w:rPr>
      </w:pPr>
      <w:bookmarkStart w:id="81" w:name="_Toc249760791"/>
      <w:bookmarkStart w:id="82" w:name="_Toc415814139"/>
      <w:bookmarkStart w:id="83" w:name="_Toc251566662"/>
      <w:bookmarkStart w:id="84" w:name="_Toc367274988"/>
      <w:bookmarkStart w:id="85" w:name="_Toc295465366"/>
      <w:r>
        <w:rPr>
          <w:rFonts w:hint="eastAsia" w:cs="仿宋" w:asciiTheme="majorEastAsia" w:hAnsiTheme="majorEastAsia" w:eastAsiaTheme="majorEastAsia"/>
          <w:b/>
          <w:bCs/>
          <w:color w:val="auto"/>
          <w:sz w:val="24"/>
          <w:highlight w:val="none"/>
        </w:rPr>
        <w:t>合同参考格式</w:t>
      </w:r>
    </w:p>
    <w:p>
      <w:pPr>
        <w:snapToGrid w:val="0"/>
        <w:spacing w:beforeLines="50" w:afterLines="50"/>
        <w:jc w:val="center"/>
        <w:rPr>
          <w:rFonts w:cs="仿宋" w:asciiTheme="majorEastAsia" w:hAnsiTheme="majorEastAsia" w:eastAsiaTheme="majorEastAsia"/>
          <w:b/>
          <w:color w:val="auto"/>
          <w:sz w:val="32"/>
          <w:szCs w:val="32"/>
          <w:highlight w:val="none"/>
          <w:lang w:val="zh-CN"/>
        </w:rPr>
      </w:pPr>
    </w:p>
    <w:p>
      <w:pPr>
        <w:snapToGrid w:val="0"/>
        <w:spacing w:beforeLines="50" w:afterLines="50"/>
        <w:jc w:val="center"/>
        <w:rPr>
          <w:rFonts w:cs="仿宋" w:asciiTheme="majorEastAsia" w:hAnsiTheme="majorEastAsia" w:eastAsiaTheme="majorEastAsia"/>
          <w:b/>
          <w:color w:val="auto"/>
          <w:sz w:val="32"/>
          <w:szCs w:val="32"/>
          <w:highlight w:val="none"/>
          <w:lang w:val="zh-CN"/>
        </w:rPr>
      </w:pPr>
      <w:r>
        <w:rPr>
          <w:rFonts w:hint="eastAsia" w:cs="仿宋" w:asciiTheme="majorEastAsia" w:hAnsiTheme="majorEastAsia" w:eastAsiaTheme="majorEastAsia"/>
          <w:b/>
          <w:color w:val="auto"/>
          <w:sz w:val="32"/>
          <w:szCs w:val="32"/>
          <w:highlight w:val="none"/>
          <w:lang w:val="zh-CN"/>
        </w:rPr>
        <w:t>十二工段以南500米的监测断面水质提升和十八工段闸口监测断面水质提升项目合同</w:t>
      </w:r>
    </w:p>
    <w:p>
      <w:pPr>
        <w:adjustRightInd w:val="0"/>
        <w:snapToGrid w:val="0"/>
        <w:spacing w:line="360" w:lineRule="auto"/>
        <w:ind w:firstLine="422" w:firstLineChars="200"/>
        <w:rPr>
          <w:rFonts w:cs="仿宋" w:asciiTheme="majorEastAsia" w:hAnsiTheme="majorEastAsia" w:eastAsiaTheme="majorEastAsia"/>
          <w:b/>
          <w:color w:val="auto"/>
          <w:szCs w:val="21"/>
          <w:highlight w:val="none"/>
        </w:rPr>
      </w:pPr>
    </w:p>
    <w:p>
      <w:pPr>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 xml:space="preserve">招标编号： </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项目名称： </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甲方（采购人）： </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乙方（服务商）： </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根据《中华人民共和国民法典》、《中华人民共和国政府采购法》等法律法规的有关规定，甲、乙双方按照政府采购公开招标的招标结果，在平等互利、协商一致的基础上，就下述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项目事宜达成以下约定，特签订本合同。</w:t>
      </w:r>
    </w:p>
    <w:p>
      <w:pPr>
        <w:snapToGrid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第一条：服务要求</w:t>
      </w:r>
    </w:p>
    <w:p>
      <w:pPr>
        <w:snapToGrid w:val="0"/>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1、服务期限：</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p>
    <w:p>
      <w:pPr>
        <w:snapToGrid w:val="0"/>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2、服务地点：</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3、服务范围：内容：</w:t>
      </w:r>
    </w:p>
    <w:p>
      <w:pPr>
        <w:pStyle w:val="59"/>
        <w:spacing w:after="120" w:line="360" w:lineRule="auto"/>
        <w:ind w:firstLine="482"/>
        <w:rPr>
          <w:rFonts w:ascii="宋体" w:hAnsi="宋体" w:cs="宋体"/>
          <w:color w:val="auto"/>
          <w:sz w:val="21"/>
          <w:szCs w:val="21"/>
          <w:highlight w:val="none"/>
        </w:rPr>
      </w:pPr>
      <w:r>
        <w:rPr>
          <w:rFonts w:hint="eastAsia" w:ascii="宋体" w:hAnsi="宋体" w:cs="宋体"/>
          <w:color w:val="auto"/>
          <w:sz w:val="21"/>
          <w:szCs w:val="21"/>
          <w:highlight w:val="none"/>
        </w:rPr>
        <w:t>十二工段以南500米的监测断面水质提升和十八工段闸口监测断面水质提升内河道进行生态治理。</w:t>
      </w:r>
    </w:p>
    <w:p>
      <w:pPr>
        <w:pStyle w:val="59"/>
        <w:spacing w:after="120" w:line="360" w:lineRule="auto"/>
        <w:ind w:firstLine="482"/>
        <w:rPr>
          <w:rFonts w:ascii="宋体" w:hAnsi="宋体" w:cs="宋体"/>
          <w:color w:val="auto"/>
          <w:sz w:val="21"/>
          <w:szCs w:val="21"/>
          <w:highlight w:val="none"/>
        </w:rPr>
      </w:pPr>
      <w:r>
        <w:rPr>
          <w:rFonts w:hint="eastAsia" w:ascii="宋体" w:hAnsi="宋体" w:cs="宋体"/>
          <w:color w:val="auto"/>
          <w:sz w:val="21"/>
          <w:szCs w:val="21"/>
          <w:highlight w:val="none"/>
        </w:rPr>
        <w:t>4、服务内容：通过种植沉水植物、水质在线检测、曝气充氧措施、除磷滤料措施、行洪排涝措施、日常运营管理等方式完成水质提升。</w:t>
      </w:r>
    </w:p>
    <w:p>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第二条：合同价格</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合同总价：合同金额为(大写)_________________元（￥</w:t>
      </w:r>
      <w:r>
        <w:rPr>
          <w:rFonts w:hint="eastAsia" w:ascii="宋体" w:hAnsi="宋体" w:cs="宋体"/>
          <w:color w:val="auto"/>
          <w:szCs w:val="21"/>
          <w:highlight w:val="none"/>
          <w:u w:val="single"/>
        </w:rPr>
        <w:t>　　　　</w:t>
      </w:r>
      <w:r>
        <w:rPr>
          <w:rFonts w:hint="eastAsia" w:ascii="宋体" w:hAnsi="宋体" w:cs="宋体"/>
          <w:color w:val="auto"/>
          <w:szCs w:val="21"/>
          <w:highlight w:val="none"/>
        </w:rPr>
        <w:t>元）人民币。</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包括所有服务费、设备费、养护费、垃圾处置及消纳、备品备件、专用工具、技术资料、耗材、人员工资、车辆、保险、税费等所涉及的一切费用)，包含现场用水、用电费及相关协调费用，以及服务期内所发生的全部水费、设备维修、终端设备的运行、维护(含填料等)等全部费用，包含合同中明示或暗示的所有一般风险、责任和义务等所产生的一切费用，养护机、维护船、运输船、冲锋舟、托运车等工作所涉及到器具由乙方自行解决，水生植物堆放处由乙方自行解决，运输费等一切费用考虑在报价中(设备运行电费由乙方承担)。所有相关费用均已包含在合同总价中。</w:t>
      </w:r>
    </w:p>
    <w:p>
      <w:pPr>
        <w:widowControl/>
        <w:tabs>
          <w:tab w:val="left" w:pos="540"/>
        </w:tabs>
        <w:autoSpaceDE w:val="0"/>
        <w:autoSpaceDN w:val="0"/>
        <w:spacing w:line="360" w:lineRule="auto"/>
        <w:ind w:firstLine="422" w:firstLineChars="200"/>
        <w:textAlignment w:val="bottom"/>
        <w:rPr>
          <w:rFonts w:ascii="宋体" w:hAnsi="宋体" w:cs="宋体"/>
          <w:b/>
          <w:bCs/>
          <w:color w:val="auto"/>
          <w:szCs w:val="21"/>
          <w:highlight w:val="none"/>
        </w:rPr>
      </w:pPr>
      <w:r>
        <w:rPr>
          <w:rFonts w:hint="eastAsia" w:ascii="宋体" w:hAnsi="宋体" w:cs="宋体"/>
          <w:b/>
          <w:bCs/>
          <w:color w:val="auto"/>
          <w:szCs w:val="21"/>
          <w:highlight w:val="none"/>
        </w:rPr>
        <w:t>第三条：付款方式</w:t>
      </w:r>
    </w:p>
    <w:p>
      <w:pPr>
        <w:pStyle w:val="18"/>
        <w:adjustRightInd w:val="0"/>
        <w:snapToGrid w:val="0"/>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合同生效以及具备实施条件后5个工作日，采购人向中标人支付合同总额的50%作为预付款。（在签订合同时，中标人明确表示无需预付款或者主动要求降低预付款比例的，可不适用该规定），项目前期工作完成开始运行12个月经采购人认可后支付合同金额的25%，项目完成经采购人验收合格后5个工作日内支付尾款。</w:t>
      </w:r>
    </w:p>
    <w:p>
      <w:pPr>
        <w:numPr>
          <w:ilvl w:val="0"/>
          <w:numId w:val="0"/>
        </w:numPr>
        <w:adjustRightInd w:val="0"/>
        <w:spacing w:line="360" w:lineRule="auto"/>
        <w:ind w:firstLine="420" w:firstLineChars="200"/>
        <w:rPr>
          <w:rFonts w:ascii="宋体" w:hAnsi="宋体" w:cs="宋体"/>
          <w:color w:val="auto"/>
          <w:szCs w:val="21"/>
          <w:highlight w:val="none"/>
          <w:lang w:val="en-GB"/>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val="en-GB"/>
        </w:rPr>
        <w:t>付款按财政政策执行，因服务商未按合同履行维保任务或考核不合格以及不符合财政资金支付时间要求等原因造成不能及时付款的，甲方不承担责任。</w:t>
      </w:r>
    </w:p>
    <w:p>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第四条：服务保证</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1、乙方应按招标文件及答疑相关规定向甲方提供服务。</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2、乙方应保证按照有关国际或国家或行业技术标准规范，对项目各个环节进行严格的质量把关。</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3、在服务期内，内乙方应保证承包区域内的设施、设备良好的运行状况和环境状况。</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4、如在服务质量保证期产生异常情况或接到招标人通知，应在1小时内响应，2小时内到现场，第一时间做到有效处置。</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5、在服务质量保证期内，乙方应对出现的质量及安全问题负责处理解决，并承担一切责任与费用。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6、水质保障期的验收要求：</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.1实施项目生态修复，改善周边水环境质量；</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.2构建水生态系统，提高项目水体生态自净能力，提升水体感观。</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.3水体主要营养盐指标CODMn、NH3-N、TP、DO值等满足《地表水环境质量标准》（GB3838-2002）IV类标准.</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.4水色: 无黑臭、无蓝绿藻爆发，非雨季无“泥黄色混浊态”.</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.5水味：无恶臭味、无腥臭味等，水体散发自然的河流气息</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.6水草覆盖：生态系统构建后，沉水植物覆盖率高，水生植物保持四季常绿，显著提升水体景观；</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.7、系统稳定性：水体实施生态修复和构建后，能形成长效自净功能，长久保持健康的生态系统和良好的水质。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7、承担行洪排涝任务的河道在排涝行洪期间或其他不可抗力因素导致的水质超标(但三色预警指标不能高于橙色)，乙方不承担相关责任。但因行洪排涝等因素造成乙方治理设施损坏，由乙方自行负责修复。</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8、若出现突发性污染水体事件，如沿河污水管网故障溢流、蓝藻、底泥上浮、河面油污现象，由乙方负责修复处置。</w:t>
      </w:r>
    </w:p>
    <w:p>
      <w:pPr>
        <w:snapToGrid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第六条：惩罚办法</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1、根据杭州市河道水质“三色预警”要求，凡列入检测河道水质指标不得出现橙色、黄色预警和红色预警。</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2、如每条河出现</w:t>
      </w:r>
      <w:r>
        <w:rPr>
          <w:rFonts w:hint="eastAsia" w:ascii="宋体" w:hAnsi="宋体" w:cs="宋体"/>
          <w:color w:val="auto"/>
          <w:szCs w:val="21"/>
          <w:highlight w:val="none"/>
          <w:lang w:eastAsia="zh-CN"/>
        </w:rPr>
        <w:t>黄</w:t>
      </w:r>
      <w:r>
        <w:rPr>
          <w:rFonts w:hint="eastAsia" w:ascii="宋体" w:hAnsi="宋体" w:cs="宋体"/>
          <w:color w:val="auto"/>
          <w:szCs w:val="21"/>
          <w:highlight w:val="none"/>
        </w:rPr>
        <w:t>色预警，该河每次扣10000元;如出现一次</w:t>
      </w:r>
      <w:r>
        <w:rPr>
          <w:rFonts w:hint="eastAsia" w:ascii="宋体" w:hAnsi="宋体" w:cs="宋体"/>
          <w:color w:val="auto"/>
          <w:szCs w:val="21"/>
          <w:highlight w:val="none"/>
          <w:lang w:eastAsia="zh-CN"/>
        </w:rPr>
        <w:t>橙</w:t>
      </w:r>
      <w:r>
        <w:rPr>
          <w:rFonts w:hint="eastAsia" w:ascii="宋体" w:hAnsi="宋体" w:cs="宋体"/>
          <w:color w:val="auto"/>
          <w:szCs w:val="21"/>
          <w:highlight w:val="none"/>
        </w:rPr>
        <w:t>色预警，该河道每次扣20000元，如出现一次红色预警，该河道每次扣60000元。</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服务期内，本次采购范围内河道水质每月必须到V类水及以上，如水质出现劣V类的情况，每次扣10000元，因水质出现劣V类导致出现三色预警的，按“如每条河出现黄色预警，该河每次扣10000元;如出现一次橙色预警，该河道每次扣20000元，如出现一次红色预警，该河道每次扣60000元”标准扣款。</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4、河道受上级抄告的，在规定时间内整改完毕的，每次扣2000元，未及时整改的，每次扣5000元。</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5、水生植物养护的具体要求：</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5.1、水生植物养护工作:需要配备专职人员及船只，确保完成该区域内的养护工作。河面作业人员必须穿救生衣，发现不符要求的每次扣200元。</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5.2、原则上达到四季常绿、无杂草、无病虫危害、感观良好。养护区域内的水生植物应确保达到85%以上成活率，若因病虫或自然灾害造成枯死的必须及时进行补种和恢复，否则按每框扣400元。</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5.3、水生植物浮框内白色污染物及革命草等杂草要第一时间清除到位，水生植物及时修剪、枯死枝的清理垃圾等当日清运完毕，不得影响道路交通及环境卫生。如有抄告或举报的，每次扣800元。</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5.4.维护好浮岛，浮框等相关设施。若设施因故造成的损坏，必须无条件及时修复，否则每个扣除800元。</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6、排放预处理口</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排放口日常要求无垃圾、无杂物、无淤积，绿化修剪到位，排放口框完好，保洁频次与生态养护频次相间。一旦发现排放口破损日不及时修复到位的每次单个扣除500元。</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7、人工增氧设备</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增氧设备要做到日常的保养与维护。增氧设备要确保甲方要求的设备运行时间（7点半一11点半，13点半一17点半)，若发现在规定的运行时间内不运行或未开启的，若出现设备故障等需不及时上报并报备的，每次扣1000元。</w:t>
      </w:r>
    </w:p>
    <w:p>
      <w:pPr>
        <w:snapToGrid w:val="0"/>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lang w:eastAsia="zh-CN"/>
        </w:rPr>
        <w:t>本项目为水质提升项目，实施过程中方案均需满足当地环保部门要求。包括实施过程中垃圾处理、污染底泥处置等。若发生环保问题，</w:t>
      </w:r>
      <w:r>
        <w:rPr>
          <w:rFonts w:hint="eastAsia" w:ascii="宋体" w:hAnsi="宋体" w:eastAsia="宋体" w:cs="宋体"/>
          <w:color w:val="auto"/>
          <w:szCs w:val="21"/>
          <w:highlight w:val="none"/>
        </w:rPr>
        <w:t>一切责任由中标单位负责</w:t>
      </w:r>
      <w:r>
        <w:rPr>
          <w:rFonts w:hint="eastAsia" w:ascii="宋体" w:hAnsi="宋体" w:eastAsia="宋体" w:cs="宋体"/>
          <w:color w:val="auto"/>
          <w:szCs w:val="21"/>
          <w:highlight w:val="none"/>
          <w:lang w:eastAsia="zh-CN"/>
        </w:rPr>
        <w:t>，且发生一次扣款</w:t>
      </w:r>
      <w:r>
        <w:rPr>
          <w:rFonts w:hint="eastAsia" w:ascii="宋体" w:hAnsi="宋体" w:eastAsia="宋体" w:cs="宋体"/>
          <w:color w:val="auto"/>
          <w:szCs w:val="21"/>
          <w:highlight w:val="none"/>
          <w:lang w:val="en-US" w:eastAsia="zh-CN"/>
        </w:rPr>
        <w:t>1万元</w:t>
      </w:r>
    </w:p>
    <w:p>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第七条：乙方的责任与义务</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1、根据投标文件的承诺向甲方委派项目负责人、技术负责人和专业技术人员。</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2、在履行本合同义务的期间，应运用合理的技能，认真、勤奋的工作。</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3、在本合同期内或合同终止后，未征得甲方同意，不得泄露与本项目、本合同有关的技术、资料等，不得以任何形式侵害甲方的知识产权。</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4、负责处理好与其它项目实施单位的协调。</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5、乙方应严格按照采购文件要求，接受采购人定期或不定期的进行检查与考核。</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6、管理方式应文明、礼貌，对进入水生植物及相关设施损坏现象应及时予以制止，遇到严重的破坏绿化行为应及时上报甲方及执法部门。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7、建立日常巡查制度,巡查人员对所养护的水生植物每天巡查不少于一次，每天上报自查情况、巡查纪录,发现问题时应及时整改。建立养护管理工作台账。    </w:t>
      </w:r>
    </w:p>
    <w:p>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第八条：甲方的责任与义务</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1、应当主要负责项目所有外部的联系与协调，为乙方工作提供良好的外部条件。</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2、应当按合同专用条款预定的时间就乙方书面提交并要求做出决定的一切事宜做出书面决定。</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3、应授权一名熟悉本项目情况、能迅速做出决定的项目代表，负责与乙方联系，更换代表，要提前通知乙方。</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4、有与乙方订立补充合同的签订权。</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5、有权要求乙方提交工作进度报告及专项报告等。</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6、有权对乙方进行考核及处罚。</w:t>
      </w:r>
    </w:p>
    <w:p>
      <w:pPr>
        <w:snapToGrid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第九条：应急措施要求</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乙方应做好安全隐患、抢险救灾、突发事件等情况相应的应急处理预案。</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出现突发性污染水体事件，如沿河污水管网故障溢流、蓝藻、底泥上浮、河面油污。需第一时间进行应急处置，处置不利或造成严重影响的，每次扣1万元。</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出现台风、防汛等:应及时对设施设备进行保护和加固措施，如无法做到有效保护的应及时组织人员对设施进行转移，直至台风过后，水位水流恢复正常后恢复至原位。</w:t>
      </w:r>
    </w:p>
    <w:p>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第十条：违约处理</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1、乙方在服务期内违反本合同有关承诺保证的，甲方将有权不予退还质量保证金，损失赔偿不足部分，由己方承担赔偿。</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2、如发现乙方违反招投标文件和合同的有关规定，甲方有权根据约定和相关法律法规，对乙方与进行处罚，并有权提前终止合同。</w:t>
      </w:r>
    </w:p>
    <w:p>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第十一条： 合同生效</w:t>
      </w:r>
    </w:p>
    <w:p>
      <w:pPr>
        <w:pStyle w:val="24"/>
        <w:spacing w:line="360" w:lineRule="auto"/>
        <w:ind w:firstLine="420" w:firstLineChars="200"/>
        <w:rPr>
          <w:rFonts w:ascii="宋体" w:hAnsi="宋体" w:cs="宋体"/>
          <w:color w:val="auto"/>
          <w:highlight w:val="none"/>
        </w:rPr>
      </w:pPr>
      <w:r>
        <w:rPr>
          <w:rFonts w:hint="eastAsia" w:hAnsi="宋体" w:cs="宋体"/>
          <w:color w:val="auto"/>
          <w:highlight w:val="none"/>
        </w:rPr>
        <w:t>1</w:t>
      </w:r>
      <w:r>
        <w:rPr>
          <w:rFonts w:hint="eastAsia" w:ascii="宋体" w:hAnsi="宋体" w:eastAsia="宋体" w:cs="宋体"/>
          <w:color w:val="auto"/>
          <w:highlight w:val="none"/>
        </w:rPr>
        <w:t>、本次招标文件（招标编号：</w:t>
      </w:r>
      <w:r>
        <w:rPr>
          <w:rFonts w:hint="eastAsia" w:hAnsi="宋体" w:cs="宋体"/>
          <w:color w:val="auto"/>
          <w:highlight w:val="none"/>
        </w:rPr>
        <w:t xml:space="preserve">   </w:t>
      </w:r>
      <w:r>
        <w:rPr>
          <w:rFonts w:hint="eastAsia" w:ascii="宋体" w:hAnsi="宋体" w:eastAsia="宋体" w:cs="宋体"/>
          <w:color w:val="auto"/>
          <w:highlight w:val="none"/>
        </w:rPr>
        <w:t>）、投标文件及评标过程中形成的文字资料、询标纪要均作为本合同的组成部分，具有同等效力。</w:t>
      </w:r>
    </w:p>
    <w:p>
      <w:pPr>
        <w:pStyle w:val="24"/>
        <w:spacing w:line="360" w:lineRule="auto"/>
        <w:ind w:firstLine="420" w:firstLineChars="200"/>
        <w:rPr>
          <w:rFonts w:hAnsi="宋体" w:cs="宋体"/>
          <w:color w:val="auto"/>
          <w:highlight w:val="none"/>
        </w:rPr>
      </w:pPr>
      <w:r>
        <w:rPr>
          <w:rFonts w:hint="eastAsia" w:hAnsi="宋体" w:cs="宋体"/>
          <w:color w:val="auto"/>
          <w:highlight w:val="none"/>
        </w:rPr>
        <w:t>2</w:t>
      </w:r>
      <w:r>
        <w:rPr>
          <w:rFonts w:hint="eastAsia" w:ascii="宋体" w:hAnsi="宋体" w:eastAsia="宋体" w:cs="宋体"/>
          <w:color w:val="auto"/>
          <w:highlight w:val="none"/>
        </w:rPr>
        <w:t>、前述文件内容如与本合同发生冲突，以本合同为准，本合同没有约定的，前述文件作为补充和解释。</w:t>
      </w:r>
      <w:r>
        <w:rPr>
          <w:rFonts w:hint="eastAsia" w:hAnsi="宋体" w:cs="宋体"/>
          <w:color w:val="auto"/>
          <w:highlight w:val="none"/>
        </w:rPr>
        <w:t xml:space="preserve">        </w:t>
      </w:r>
    </w:p>
    <w:p>
      <w:pPr>
        <w:pStyle w:val="24"/>
        <w:spacing w:line="360" w:lineRule="auto"/>
        <w:ind w:firstLine="420" w:firstLineChars="200"/>
        <w:rPr>
          <w:rFonts w:hAnsi="宋体" w:cs="宋体"/>
          <w:color w:val="auto"/>
          <w:highlight w:val="none"/>
        </w:rPr>
      </w:pPr>
      <w:r>
        <w:rPr>
          <w:rFonts w:hint="eastAsia" w:hAnsi="宋体" w:cs="宋体"/>
          <w:bCs/>
          <w:color w:val="auto"/>
          <w:highlight w:val="none"/>
        </w:rPr>
        <w:t>3</w:t>
      </w:r>
      <w:r>
        <w:rPr>
          <w:rFonts w:hint="eastAsia" w:ascii="宋体" w:hAnsi="宋体" w:eastAsia="宋体" w:cs="宋体"/>
          <w:bCs/>
          <w:color w:val="auto"/>
          <w:highlight w:val="none"/>
        </w:rPr>
        <w:t>、</w:t>
      </w:r>
      <w:r>
        <w:rPr>
          <w:rFonts w:hint="eastAsia" w:ascii="宋体" w:hAnsi="宋体" w:eastAsia="宋体" w:cs="宋体"/>
          <w:color w:val="auto"/>
          <w:highlight w:val="none"/>
        </w:rPr>
        <w:t>本合同经甲乙双方法定代表人或其委托人签字并加盖双方公章后生效。</w:t>
      </w:r>
    </w:p>
    <w:p>
      <w:pPr>
        <w:pStyle w:val="24"/>
        <w:spacing w:line="360" w:lineRule="auto"/>
        <w:ind w:firstLine="420" w:firstLineChars="200"/>
        <w:rPr>
          <w:rFonts w:hAnsi="宋体" w:cs="宋体"/>
          <w:color w:val="auto"/>
          <w:highlight w:val="none"/>
        </w:rPr>
      </w:pPr>
      <w:r>
        <w:rPr>
          <w:rFonts w:hint="eastAsia" w:hAnsi="宋体" w:cs="宋体"/>
          <w:color w:val="auto"/>
          <w:highlight w:val="none"/>
        </w:rPr>
        <w:t>4</w:t>
      </w:r>
      <w:r>
        <w:rPr>
          <w:rFonts w:hint="eastAsia" w:ascii="宋体" w:hAnsi="宋体" w:eastAsia="宋体" w:cs="宋体"/>
          <w:color w:val="auto"/>
          <w:highlight w:val="none"/>
        </w:rPr>
        <w:t>、本合同一式九份，甲方、乙方各执四份，招标代理公司一份。</w:t>
      </w:r>
    </w:p>
    <w:p>
      <w:pPr>
        <w:pStyle w:val="24"/>
        <w:spacing w:line="360" w:lineRule="auto"/>
        <w:ind w:firstLine="422" w:firstLineChars="200"/>
        <w:rPr>
          <w:rFonts w:hAnsi="宋体" w:cs="宋体"/>
          <w:b/>
          <w:bCs/>
          <w:color w:val="auto"/>
          <w:highlight w:val="none"/>
        </w:rPr>
      </w:pPr>
      <w:r>
        <w:rPr>
          <w:rFonts w:hint="eastAsia" w:ascii="宋体" w:hAnsi="宋体" w:eastAsia="宋体" w:cs="宋体"/>
          <w:b/>
          <w:bCs/>
          <w:color w:val="auto"/>
          <w:highlight w:val="none"/>
        </w:rPr>
        <w:t>第十二条：合同修改</w:t>
      </w:r>
    </w:p>
    <w:p>
      <w:pPr>
        <w:pStyle w:val="24"/>
        <w:spacing w:line="360" w:lineRule="auto"/>
        <w:ind w:firstLine="420" w:firstLineChars="200"/>
        <w:rPr>
          <w:rFonts w:hAnsi="宋体" w:cs="宋体"/>
          <w:color w:val="auto"/>
          <w:highlight w:val="none"/>
        </w:rPr>
      </w:pPr>
      <w:r>
        <w:rPr>
          <w:rFonts w:hint="eastAsia" w:hAnsi="宋体" w:cs="宋体"/>
          <w:bCs/>
          <w:color w:val="auto"/>
          <w:highlight w:val="none"/>
        </w:rPr>
        <w:t>1</w:t>
      </w:r>
      <w:r>
        <w:rPr>
          <w:rFonts w:hint="eastAsia" w:ascii="宋体" w:hAnsi="宋体" w:eastAsia="宋体" w:cs="宋体"/>
          <w:bCs/>
          <w:color w:val="auto"/>
          <w:highlight w:val="none"/>
        </w:rPr>
        <w:t>、</w:t>
      </w:r>
      <w:r>
        <w:rPr>
          <w:rFonts w:hint="eastAsia" w:ascii="宋体" w:hAnsi="宋体" w:eastAsia="宋体" w:cs="宋体"/>
          <w:color w:val="auto"/>
          <w:highlight w:val="none"/>
        </w:rPr>
        <w:t>合同履行期内甲乙双方均不得随意变更或解除合同。合同若有未尽事宜，需经双方共同协商，订立补充协议，补充协议与本合同有同等法律效力。</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当事人一方要求变更或解除合同时，应当提前30天通知对方，因变更或解除合同使一方遭受损失的，除依法可以免除责任的外，应由责任方负责赔偿。变更或解除合同的通知或协议应当采取书面形式，协议未达成之前，原合同仍然有效。</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3、如上级有关部门关于水环境处理的管理政策发生变化，应当按照上级要求执行。甲方可根据实际情况变更或终止合同，并不因此承担违约责任，已履行部分的费用按实结算。具体事宜可由双方另行协商确定。</w:t>
      </w:r>
    </w:p>
    <w:p>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第十三条：不可抗力</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1、不可抗力事故系指甲乙双方在缔结合同时所不能预见的，并且它的发生及其后果无法避免和无法克服的事故。</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签约双方任一方由于不可抗力事故的影响而不能执行合同时，当事方应尽快以书面形式将不可抗力的情况和原因通知对方。合同各方应尽可能继续履行合同义务，并积极寻求采取合理的措施履行不受不可抗力影响的其他事项。合同各方应通过友好协商在合理的时间内达成进一步履行合同。若双方或一方因不可抗力或合同履行的基础发生重大变化而导致不能继续履行的合同的，该方可以解除合同并不承担违约责任，已履行部分的费用据实结算。</w:t>
      </w:r>
    </w:p>
    <w:p>
      <w:pPr>
        <w:snapToGrid w:val="0"/>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第十四条： 争议与仲裁</w:t>
      </w:r>
    </w:p>
    <w:p>
      <w:pPr>
        <w:pStyle w:val="24"/>
        <w:spacing w:line="360" w:lineRule="auto"/>
        <w:ind w:firstLine="420" w:firstLineChars="200"/>
        <w:rPr>
          <w:rFonts w:ascii="宋体" w:hAnsi="宋体" w:cs="宋体"/>
          <w:color w:val="auto"/>
          <w:highlight w:val="none"/>
        </w:rPr>
      </w:pPr>
      <w:r>
        <w:rPr>
          <w:rFonts w:hint="eastAsia" w:hAnsi="宋体" w:cs="宋体"/>
          <w:color w:val="auto"/>
          <w:highlight w:val="none"/>
        </w:rPr>
        <w:t>1</w:t>
      </w:r>
      <w:r>
        <w:rPr>
          <w:rFonts w:hint="eastAsia" w:ascii="宋体" w:hAnsi="宋体" w:eastAsia="宋体" w:cs="宋体"/>
          <w:color w:val="auto"/>
          <w:highlight w:val="none"/>
        </w:rPr>
        <w:t>、在本合同履行过程中发生争议，双方应当协商解决。双方不愿协商、调解解决或者协商、调解不成的，可按有关规定向杭州仲裁委员会提起仲裁。</w:t>
      </w:r>
    </w:p>
    <w:p>
      <w:pPr>
        <w:pStyle w:val="24"/>
        <w:spacing w:line="360" w:lineRule="auto"/>
        <w:ind w:firstLine="420" w:firstLineChars="200"/>
        <w:rPr>
          <w:rFonts w:hAnsi="宋体" w:cs="宋体"/>
          <w:color w:val="auto"/>
          <w:highlight w:val="none"/>
        </w:rPr>
      </w:pPr>
      <w:r>
        <w:rPr>
          <w:rFonts w:hint="eastAsia" w:hAnsi="宋体" w:cs="宋体"/>
          <w:color w:val="auto"/>
          <w:highlight w:val="none"/>
        </w:rPr>
        <w:t>2</w:t>
      </w:r>
      <w:r>
        <w:rPr>
          <w:rFonts w:hint="eastAsia" w:ascii="宋体" w:hAnsi="宋体" w:eastAsia="宋体" w:cs="宋体"/>
          <w:color w:val="auto"/>
          <w:highlight w:val="none"/>
        </w:rPr>
        <w:t>、在仲裁期间，除正在进行仲裁的部分外，本合同其他部分应继续执行。</w:t>
      </w:r>
    </w:p>
    <w:p>
      <w:pPr>
        <w:snapToGrid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第十五条：履约检查和问题反馈</w:t>
      </w:r>
    </w:p>
    <w:p>
      <w:pPr>
        <w:pStyle w:val="24"/>
        <w:spacing w:line="360" w:lineRule="auto"/>
        <w:ind w:firstLine="420" w:firstLineChars="200"/>
        <w:rPr>
          <w:rFonts w:ascii="宋体" w:hAnsi="宋体" w:cs="宋体"/>
          <w:color w:val="auto"/>
          <w:highlight w:val="none"/>
        </w:rPr>
      </w:pPr>
      <w:bookmarkStart w:id="86" w:name="_Toc186431854"/>
      <w:bookmarkStart w:id="87" w:name="_Toc487900357"/>
      <w:bookmarkStart w:id="88" w:name="_Toc279701247"/>
      <w:bookmarkStart w:id="89" w:name="_Toc259093676"/>
      <w:bookmarkStart w:id="90" w:name="_Ref467379793"/>
      <w:bookmarkStart w:id="91" w:name="_Ref467379807"/>
      <w:r>
        <w:rPr>
          <w:rFonts w:hint="eastAsia" w:hAnsi="宋体" w:cs="宋体"/>
          <w:color w:val="auto"/>
          <w:highlight w:val="none"/>
        </w:rPr>
        <w:t>1</w:t>
      </w:r>
      <w:r>
        <w:rPr>
          <w:rFonts w:hint="eastAsia" w:ascii="宋体" w:hAnsi="宋体" w:eastAsia="宋体" w:cs="宋体"/>
          <w:color w:val="auto"/>
          <w:highlight w:val="none"/>
        </w:rPr>
        <w:t>、甲方有权在其认为必要时，对乙方是否能够按照合同约定提供服务进行履约检查，以确保乙方所提供的服务能够依约满足甲方之项目需求，但不得因履约检查妨碍乙方的正常工作，乙方应予积极配合；</w:t>
      </w:r>
    </w:p>
    <w:p>
      <w:pPr>
        <w:pStyle w:val="24"/>
        <w:spacing w:line="360" w:lineRule="auto"/>
        <w:ind w:firstLine="420" w:firstLineChars="200"/>
        <w:rPr>
          <w:rFonts w:hAnsi="宋体" w:cs="宋体"/>
          <w:color w:val="auto"/>
          <w:highlight w:val="none"/>
        </w:rPr>
      </w:pPr>
      <w:r>
        <w:rPr>
          <w:rFonts w:hint="eastAsia" w:hAnsi="宋体" w:cs="宋体"/>
          <w:color w:val="auto"/>
          <w:highlight w:val="none"/>
        </w:rPr>
        <w:t>2</w:t>
      </w:r>
      <w:r>
        <w:rPr>
          <w:rFonts w:hint="eastAsia" w:ascii="宋体" w:hAnsi="宋体" w:eastAsia="宋体" w:cs="宋体"/>
          <w:color w:val="auto"/>
          <w:highlight w:val="none"/>
        </w:rPr>
        <w:t>、合同履行期间，甲方有权将履行过程中出现的问题反馈给乙方，双方当事人应以书面形式约定需要完善和改进的内容</w:t>
      </w:r>
      <w:bookmarkEnd w:id="86"/>
      <w:bookmarkStart w:id="92" w:name="_Toc186431855"/>
      <w:r>
        <w:rPr>
          <w:rFonts w:hint="eastAsia" w:ascii="宋体" w:hAnsi="宋体" w:eastAsia="宋体" w:cs="宋体"/>
          <w:color w:val="auto"/>
          <w:highlight w:val="none"/>
        </w:rPr>
        <w:t>。</w:t>
      </w:r>
    </w:p>
    <w:bookmarkEnd w:id="87"/>
    <w:bookmarkEnd w:id="88"/>
    <w:bookmarkEnd w:id="89"/>
    <w:bookmarkEnd w:id="90"/>
    <w:bookmarkEnd w:id="91"/>
    <w:bookmarkEnd w:id="92"/>
    <w:p>
      <w:pPr>
        <w:pStyle w:val="24"/>
        <w:spacing w:line="360" w:lineRule="auto"/>
        <w:ind w:firstLine="420" w:firstLineChars="200"/>
        <w:rPr>
          <w:rFonts w:hAnsi="宋体" w:cs="宋体"/>
          <w:b/>
          <w:bCs/>
          <w:color w:val="auto"/>
          <w:highlight w:val="none"/>
        </w:rPr>
      </w:pPr>
      <w:r>
        <w:rPr>
          <w:rFonts w:hint="eastAsia" w:hAnsi="宋体" w:cs="宋体"/>
          <w:b/>
          <w:bCs/>
          <w:color w:val="auto"/>
          <w:highlight w:val="none"/>
        </w:rPr>
        <w:t xml:space="preserve"> </w:t>
      </w:r>
      <w:r>
        <w:rPr>
          <w:rFonts w:hint="eastAsia" w:ascii="宋体" w:hAnsi="宋体" w:eastAsia="宋体" w:cs="宋体"/>
          <w:b/>
          <w:bCs/>
          <w:color w:val="auto"/>
          <w:highlight w:val="none"/>
        </w:rPr>
        <w:t>第十六条：其他</w:t>
      </w:r>
    </w:p>
    <w:p>
      <w:pPr>
        <w:pStyle w:val="24"/>
        <w:spacing w:line="360" w:lineRule="auto"/>
        <w:ind w:firstLine="420" w:firstLineChars="200"/>
        <w:rPr>
          <w:rFonts w:hAnsi="宋体" w:cs="宋体"/>
          <w:color w:val="auto"/>
          <w:highlight w:val="none"/>
        </w:rPr>
      </w:pPr>
      <w:r>
        <w:rPr>
          <w:rFonts w:hint="eastAsia" w:hAnsi="宋体" w:cs="宋体"/>
          <w:color w:val="auto"/>
          <w:highlight w:val="none"/>
        </w:rPr>
        <w:t>1</w:t>
      </w:r>
      <w:r>
        <w:rPr>
          <w:rFonts w:hint="eastAsia" w:ascii="宋体" w:hAnsi="宋体" w:eastAsia="宋体" w:cs="宋体"/>
          <w:color w:val="auto"/>
          <w:highlight w:val="none"/>
        </w:rPr>
        <w:t>、未经过甲方的书面同意，乙方不得转让其应履行的合同项下的义务，和将部分合同项下的义务分包给其他单位完成。</w:t>
      </w:r>
    </w:p>
    <w:p>
      <w:pPr>
        <w:pStyle w:val="24"/>
        <w:spacing w:line="360" w:lineRule="auto"/>
        <w:ind w:firstLine="420" w:firstLineChars="200"/>
        <w:rPr>
          <w:rFonts w:hAnsi="宋体" w:cs="宋体"/>
          <w:color w:val="auto"/>
          <w:highlight w:val="none"/>
        </w:rPr>
      </w:pPr>
      <w:r>
        <w:rPr>
          <w:rFonts w:hint="eastAsia" w:hAnsi="宋体" w:cs="宋体"/>
          <w:color w:val="auto"/>
          <w:highlight w:val="none"/>
        </w:rPr>
        <w:t>2</w:t>
      </w:r>
      <w:r>
        <w:rPr>
          <w:rFonts w:hint="eastAsia" w:ascii="宋体" w:hAnsi="宋体" w:eastAsia="宋体" w:cs="宋体"/>
          <w:color w:val="auto"/>
          <w:highlight w:val="none"/>
        </w:rPr>
        <w:t>、</w:t>
      </w:r>
      <w:r>
        <w:rPr>
          <w:rFonts w:hint="eastAsia" w:hAnsi="宋体" w:cs="宋体"/>
          <w:color w:val="auto"/>
          <w:highlight w:val="none"/>
        </w:rPr>
        <w:t xml:space="preserve"> </w:t>
      </w:r>
      <w:r>
        <w:rPr>
          <w:rFonts w:hint="eastAsia" w:ascii="宋体" w:hAnsi="宋体" w:eastAsia="宋体" w:cs="宋体"/>
          <w:color w:val="auto"/>
          <w:highlight w:val="none"/>
        </w:rPr>
        <w:t>乙方不得参与可能与合同规定的与甲方的利益相冲突的任何活动。</w:t>
      </w:r>
    </w:p>
    <w:p>
      <w:pPr>
        <w:pStyle w:val="24"/>
        <w:spacing w:line="360" w:lineRule="auto"/>
        <w:ind w:firstLine="420" w:firstLineChars="200"/>
        <w:rPr>
          <w:rFonts w:hAnsi="宋体" w:cs="宋体"/>
          <w:color w:val="auto"/>
          <w:highlight w:val="none"/>
        </w:rPr>
      </w:pPr>
      <w:r>
        <w:rPr>
          <w:rFonts w:hint="eastAsia" w:hAnsi="宋体" w:cs="宋体"/>
          <w:color w:val="auto"/>
          <w:highlight w:val="none"/>
        </w:rPr>
        <w:t>3</w:t>
      </w:r>
      <w:r>
        <w:rPr>
          <w:rFonts w:hint="eastAsia" w:ascii="宋体" w:hAnsi="宋体" w:eastAsia="宋体" w:cs="宋体"/>
          <w:color w:val="auto"/>
          <w:highlight w:val="none"/>
        </w:rPr>
        <w:t>、</w:t>
      </w:r>
      <w:r>
        <w:rPr>
          <w:rFonts w:hint="eastAsia" w:hAnsi="宋体" w:cs="宋体"/>
          <w:color w:val="auto"/>
          <w:highlight w:val="none"/>
        </w:rPr>
        <w:t xml:space="preserve"> </w:t>
      </w:r>
      <w:r>
        <w:rPr>
          <w:rFonts w:hint="eastAsia" w:ascii="宋体" w:hAnsi="宋体" w:eastAsia="宋体" w:cs="宋体"/>
          <w:color w:val="auto"/>
          <w:highlight w:val="none"/>
        </w:rPr>
        <w:t>乙方人员在甲方场地工作时，应遵守甲方相关规章、制度。</w:t>
      </w:r>
    </w:p>
    <w:p>
      <w:pPr>
        <w:pStyle w:val="24"/>
        <w:spacing w:line="360" w:lineRule="auto"/>
        <w:ind w:firstLine="420" w:firstLineChars="200"/>
        <w:rPr>
          <w:rFonts w:hAnsi="宋体" w:cs="宋体"/>
          <w:color w:val="auto"/>
          <w:highlight w:val="none"/>
        </w:rPr>
      </w:pPr>
      <w:r>
        <w:rPr>
          <w:rFonts w:hint="eastAsia" w:hAnsi="宋体" w:cs="宋体"/>
          <w:color w:val="auto"/>
          <w:highlight w:val="none"/>
        </w:rPr>
        <w:t>4</w:t>
      </w:r>
      <w:r>
        <w:rPr>
          <w:rFonts w:hint="eastAsia" w:ascii="宋体" w:hAnsi="宋体" w:eastAsia="宋体" w:cs="宋体"/>
          <w:color w:val="auto"/>
          <w:highlight w:val="none"/>
        </w:rPr>
        <w:t>、本合同任何一方给另一方的通知，都应以书面或传真的形式发送，而另一方应以书面形式确认并发送到对方明确的地址。</w:t>
      </w:r>
    </w:p>
    <w:p>
      <w:pPr>
        <w:pStyle w:val="24"/>
        <w:spacing w:line="360" w:lineRule="auto"/>
        <w:ind w:firstLine="420" w:firstLineChars="200"/>
        <w:rPr>
          <w:rFonts w:hAnsi="宋体" w:cs="宋体"/>
          <w:color w:val="auto"/>
          <w:highlight w:val="none"/>
        </w:rPr>
      </w:pPr>
      <w:r>
        <w:rPr>
          <w:rFonts w:hint="eastAsia" w:hAnsi="宋体" w:cs="宋体"/>
          <w:color w:val="auto"/>
          <w:highlight w:val="none"/>
        </w:rPr>
        <w:t>5</w:t>
      </w:r>
      <w:r>
        <w:rPr>
          <w:rFonts w:hint="eastAsia" w:ascii="宋体" w:hAnsi="宋体" w:eastAsia="宋体" w:cs="宋体"/>
          <w:color w:val="auto"/>
          <w:highlight w:val="none"/>
        </w:rPr>
        <w:t>、</w:t>
      </w:r>
      <w:r>
        <w:rPr>
          <w:rFonts w:hint="eastAsia" w:hAnsi="宋体" w:cs="宋体"/>
          <w:color w:val="auto"/>
          <w:highlight w:val="none"/>
        </w:rPr>
        <w:t xml:space="preserve"> </w:t>
      </w:r>
      <w:r>
        <w:rPr>
          <w:rFonts w:hint="eastAsia" w:ascii="宋体" w:hAnsi="宋体" w:eastAsia="宋体" w:cs="宋体"/>
          <w:color w:val="auto"/>
          <w:highlight w:val="none"/>
        </w:rPr>
        <w:t>适用法律：本合同应按照中华人民共和国的法律进行解释。</w:t>
      </w:r>
    </w:p>
    <w:p>
      <w:pPr>
        <w:pStyle w:val="24"/>
        <w:widowControl/>
        <w:spacing w:line="360" w:lineRule="auto"/>
        <w:ind w:firstLine="422" w:firstLineChars="200"/>
        <w:rPr>
          <w:rFonts w:hAnsi="宋体" w:cs="宋体"/>
          <w:b/>
          <w:color w:val="auto"/>
          <w:highlight w:val="none"/>
        </w:rPr>
      </w:pPr>
      <w:r>
        <w:rPr>
          <w:rFonts w:hint="eastAsia" w:ascii="宋体" w:hAnsi="宋体" w:eastAsia="宋体" w:cs="宋体"/>
          <w:b/>
          <w:color w:val="auto"/>
          <w:highlight w:val="none"/>
        </w:rPr>
        <w:t>第十七条：未尽事宜</w:t>
      </w:r>
    </w:p>
    <w:p>
      <w:pPr>
        <w:pStyle w:val="24"/>
        <w:spacing w:line="360" w:lineRule="auto"/>
        <w:ind w:firstLine="420" w:firstLineChars="200"/>
        <w:rPr>
          <w:rFonts w:hAnsi="宋体" w:cs="宋体"/>
          <w:bCs/>
          <w:color w:val="auto"/>
          <w:highlight w:val="none"/>
        </w:rPr>
      </w:pPr>
      <w:r>
        <w:rPr>
          <w:rFonts w:hint="eastAsia" w:hAnsi="宋体" w:cs="宋体"/>
          <w:bCs/>
          <w:color w:val="auto"/>
          <w:highlight w:val="none"/>
        </w:rPr>
        <w:t xml:space="preserve">  </w:t>
      </w:r>
      <w:r>
        <w:rPr>
          <w:rFonts w:hint="eastAsia" w:ascii="宋体" w:hAnsi="宋体" w:eastAsia="宋体" w:cs="宋体"/>
          <w:bCs/>
          <w:color w:val="auto"/>
          <w:highlight w:val="none"/>
        </w:rPr>
        <w:t>未尽事宜，双方协商解决。</w:t>
      </w:r>
    </w:p>
    <w:tbl>
      <w:tblPr>
        <w:tblStyle w:val="45"/>
        <w:tblW w:w="9465" w:type="dxa"/>
        <w:tblInd w:w="0" w:type="dxa"/>
        <w:tblLayout w:type="fixed"/>
        <w:tblCellMar>
          <w:top w:w="0" w:type="dxa"/>
          <w:left w:w="108" w:type="dxa"/>
          <w:bottom w:w="0" w:type="dxa"/>
          <w:right w:w="108" w:type="dxa"/>
        </w:tblCellMar>
      </w:tblPr>
      <w:tblGrid>
        <w:gridCol w:w="4732"/>
        <w:gridCol w:w="4733"/>
      </w:tblGrid>
      <w:tr>
        <w:tblPrEx>
          <w:tblCellMar>
            <w:top w:w="0" w:type="dxa"/>
            <w:left w:w="108" w:type="dxa"/>
            <w:bottom w:w="0" w:type="dxa"/>
            <w:right w:w="108" w:type="dxa"/>
          </w:tblCellMar>
        </w:tblPrEx>
        <w:tc>
          <w:tcPr>
            <w:tcW w:w="4729" w:type="dxa"/>
          </w:tcPr>
          <w:p>
            <w:pPr>
              <w:pStyle w:val="24"/>
              <w:spacing w:line="360" w:lineRule="auto"/>
              <w:ind w:firstLine="422" w:firstLineChars="200"/>
              <w:rPr>
                <w:rFonts w:hAnsi="宋体" w:cs="宋体"/>
                <w:color w:val="auto"/>
                <w:highlight w:val="none"/>
                <w:lang w:val="en-GB"/>
              </w:rPr>
            </w:pPr>
            <w:r>
              <w:rPr>
                <w:rFonts w:hint="eastAsia" w:ascii="宋体" w:hAnsi="宋体" w:eastAsia="宋体" w:cs="宋体"/>
                <w:b/>
                <w:color w:val="auto"/>
                <w:highlight w:val="none"/>
              </w:rPr>
              <w:t>甲方</w:t>
            </w:r>
            <w:r>
              <w:rPr>
                <w:rFonts w:hint="eastAsia" w:ascii="宋体" w:hAnsi="宋体" w:eastAsia="宋体" w:cs="宋体"/>
                <w:color w:val="auto"/>
                <w:highlight w:val="none"/>
              </w:rPr>
              <w:t>（盖章）：</w:t>
            </w:r>
          </w:p>
        </w:tc>
        <w:tc>
          <w:tcPr>
            <w:tcW w:w="4729" w:type="dxa"/>
          </w:tcPr>
          <w:p>
            <w:pPr>
              <w:pStyle w:val="24"/>
              <w:spacing w:line="360" w:lineRule="auto"/>
              <w:ind w:firstLine="422" w:firstLineChars="200"/>
              <w:rPr>
                <w:rFonts w:hAnsi="宋体" w:cs="宋体"/>
                <w:color w:val="auto"/>
                <w:highlight w:val="none"/>
              </w:rPr>
            </w:pPr>
            <w:r>
              <w:rPr>
                <w:rFonts w:hint="eastAsia" w:ascii="宋体" w:hAnsi="宋体" w:eastAsia="宋体" w:cs="宋体"/>
                <w:b/>
                <w:color w:val="auto"/>
                <w:highlight w:val="none"/>
              </w:rPr>
              <w:t>乙方</w:t>
            </w:r>
            <w:r>
              <w:rPr>
                <w:rFonts w:hint="eastAsia" w:ascii="宋体" w:hAnsi="宋体" w:eastAsia="宋体" w:cs="宋体"/>
                <w:color w:val="auto"/>
                <w:highlight w:val="none"/>
              </w:rPr>
              <w:t>（盖章）：</w:t>
            </w:r>
          </w:p>
        </w:tc>
      </w:tr>
      <w:tr>
        <w:tblPrEx>
          <w:tblCellMar>
            <w:top w:w="0" w:type="dxa"/>
            <w:left w:w="108" w:type="dxa"/>
            <w:bottom w:w="0" w:type="dxa"/>
            <w:right w:w="108" w:type="dxa"/>
          </w:tblCellMar>
        </w:tblPrEx>
        <w:tc>
          <w:tcPr>
            <w:tcW w:w="4729" w:type="dxa"/>
          </w:tcPr>
          <w:p>
            <w:pPr>
              <w:pStyle w:val="24"/>
              <w:spacing w:line="360" w:lineRule="auto"/>
              <w:ind w:firstLine="420" w:firstLineChars="200"/>
              <w:rPr>
                <w:rFonts w:hAnsi="宋体" w:cs="宋体"/>
                <w:color w:val="auto"/>
                <w:highlight w:val="none"/>
              </w:rPr>
            </w:pPr>
            <w:r>
              <w:rPr>
                <w:rFonts w:hint="eastAsia" w:ascii="宋体" w:hAnsi="宋体" w:eastAsia="宋体" w:cs="宋体"/>
                <w:color w:val="auto"/>
                <w:highlight w:val="none"/>
              </w:rPr>
              <w:t>法定代表人：</w:t>
            </w:r>
          </w:p>
          <w:p>
            <w:pPr>
              <w:pStyle w:val="24"/>
              <w:spacing w:line="360" w:lineRule="auto"/>
              <w:ind w:firstLine="420" w:firstLineChars="200"/>
              <w:rPr>
                <w:rFonts w:hAnsi="宋体" w:cs="宋体"/>
                <w:color w:val="auto"/>
                <w:highlight w:val="none"/>
              </w:rPr>
            </w:pPr>
            <w:r>
              <w:rPr>
                <w:rFonts w:hint="eastAsia" w:ascii="宋体" w:hAnsi="宋体" w:eastAsia="宋体" w:cs="宋体"/>
                <w:color w:val="auto"/>
                <w:highlight w:val="none"/>
              </w:rPr>
              <w:t>或授权委托人（签字）：</w:t>
            </w:r>
          </w:p>
        </w:tc>
        <w:tc>
          <w:tcPr>
            <w:tcW w:w="4729" w:type="dxa"/>
          </w:tcPr>
          <w:p>
            <w:pPr>
              <w:pStyle w:val="24"/>
              <w:spacing w:line="360" w:lineRule="auto"/>
              <w:ind w:firstLine="420" w:firstLineChars="200"/>
              <w:rPr>
                <w:rFonts w:hAnsi="宋体" w:cs="宋体"/>
                <w:color w:val="auto"/>
                <w:highlight w:val="none"/>
              </w:rPr>
            </w:pPr>
            <w:r>
              <w:rPr>
                <w:rFonts w:hint="eastAsia" w:ascii="宋体" w:hAnsi="宋体" w:eastAsia="宋体" w:cs="宋体"/>
                <w:color w:val="auto"/>
                <w:highlight w:val="none"/>
              </w:rPr>
              <w:t>法定代表人：</w:t>
            </w:r>
          </w:p>
          <w:p>
            <w:pPr>
              <w:pStyle w:val="24"/>
              <w:spacing w:line="360" w:lineRule="auto"/>
              <w:ind w:firstLine="420" w:firstLineChars="200"/>
              <w:rPr>
                <w:rFonts w:hAnsi="宋体" w:cs="宋体"/>
                <w:color w:val="auto"/>
                <w:highlight w:val="none"/>
              </w:rPr>
            </w:pPr>
            <w:r>
              <w:rPr>
                <w:rFonts w:hint="eastAsia" w:ascii="宋体" w:hAnsi="宋体" w:eastAsia="宋体" w:cs="宋体"/>
                <w:color w:val="auto"/>
                <w:highlight w:val="none"/>
              </w:rPr>
              <w:t>或授权委托人（签字）：</w:t>
            </w:r>
          </w:p>
        </w:tc>
      </w:tr>
      <w:tr>
        <w:tblPrEx>
          <w:tblCellMar>
            <w:top w:w="0" w:type="dxa"/>
            <w:left w:w="108" w:type="dxa"/>
            <w:bottom w:w="0" w:type="dxa"/>
            <w:right w:w="108" w:type="dxa"/>
          </w:tblCellMar>
        </w:tblPrEx>
        <w:tc>
          <w:tcPr>
            <w:tcW w:w="4729" w:type="dxa"/>
          </w:tcPr>
          <w:p>
            <w:pPr>
              <w:pStyle w:val="24"/>
              <w:spacing w:line="360" w:lineRule="auto"/>
              <w:ind w:firstLine="420" w:firstLineChars="200"/>
              <w:rPr>
                <w:rFonts w:hAnsi="宋体" w:cs="宋体"/>
                <w:color w:val="auto"/>
                <w:highlight w:val="none"/>
              </w:rPr>
            </w:pPr>
            <w:r>
              <w:rPr>
                <w:rFonts w:hint="eastAsia" w:ascii="宋体" w:hAnsi="宋体" w:eastAsia="宋体" w:cs="宋体"/>
                <w:color w:val="auto"/>
                <w:highlight w:val="none"/>
              </w:rPr>
              <w:t>联系人：</w:t>
            </w:r>
          </w:p>
        </w:tc>
        <w:tc>
          <w:tcPr>
            <w:tcW w:w="4729" w:type="dxa"/>
          </w:tcPr>
          <w:p>
            <w:pPr>
              <w:pStyle w:val="24"/>
              <w:spacing w:line="360" w:lineRule="auto"/>
              <w:ind w:firstLine="420" w:firstLineChars="200"/>
              <w:rPr>
                <w:rFonts w:hAnsi="宋体" w:cs="宋体"/>
                <w:color w:val="auto"/>
                <w:highlight w:val="none"/>
              </w:rPr>
            </w:pPr>
            <w:r>
              <w:rPr>
                <w:rFonts w:hint="eastAsia" w:ascii="宋体" w:hAnsi="宋体" w:eastAsia="宋体" w:cs="宋体"/>
                <w:color w:val="auto"/>
                <w:highlight w:val="none"/>
              </w:rPr>
              <w:t>联系人：</w:t>
            </w:r>
          </w:p>
        </w:tc>
      </w:tr>
      <w:tr>
        <w:tblPrEx>
          <w:tblCellMar>
            <w:top w:w="0" w:type="dxa"/>
            <w:left w:w="108" w:type="dxa"/>
            <w:bottom w:w="0" w:type="dxa"/>
            <w:right w:w="108" w:type="dxa"/>
          </w:tblCellMar>
        </w:tblPrEx>
        <w:tc>
          <w:tcPr>
            <w:tcW w:w="4729" w:type="dxa"/>
          </w:tcPr>
          <w:p>
            <w:pPr>
              <w:pStyle w:val="24"/>
              <w:spacing w:line="360" w:lineRule="auto"/>
              <w:ind w:firstLine="420" w:firstLineChars="200"/>
              <w:rPr>
                <w:rFonts w:hAnsi="宋体" w:cs="宋体"/>
                <w:color w:val="auto"/>
                <w:highlight w:val="none"/>
              </w:rPr>
            </w:pPr>
            <w:r>
              <w:rPr>
                <w:rFonts w:hint="eastAsia" w:ascii="宋体" w:hAnsi="宋体" w:eastAsia="宋体" w:cs="宋体"/>
                <w:color w:val="auto"/>
                <w:highlight w:val="none"/>
              </w:rPr>
              <w:t>地址：</w:t>
            </w:r>
          </w:p>
        </w:tc>
        <w:tc>
          <w:tcPr>
            <w:tcW w:w="4729" w:type="dxa"/>
          </w:tcPr>
          <w:p>
            <w:pPr>
              <w:pStyle w:val="24"/>
              <w:spacing w:line="360" w:lineRule="auto"/>
              <w:ind w:firstLine="420" w:firstLineChars="200"/>
              <w:rPr>
                <w:rFonts w:hAnsi="宋体" w:cs="宋体"/>
                <w:color w:val="auto"/>
                <w:highlight w:val="none"/>
              </w:rPr>
            </w:pPr>
            <w:r>
              <w:rPr>
                <w:rFonts w:hint="eastAsia" w:ascii="宋体" w:hAnsi="宋体" w:eastAsia="宋体" w:cs="宋体"/>
                <w:color w:val="auto"/>
                <w:highlight w:val="none"/>
              </w:rPr>
              <w:t>地址：</w:t>
            </w:r>
          </w:p>
        </w:tc>
      </w:tr>
      <w:tr>
        <w:tblPrEx>
          <w:tblCellMar>
            <w:top w:w="0" w:type="dxa"/>
            <w:left w:w="108" w:type="dxa"/>
            <w:bottom w:w="0" w:type="dxa"/>
            <w:right w:w="108" w:type="dxa"/>
          </w:tblCellMar>
        </w:tblPrEx>
        <w:tc>
          <w:tcPr>
            <w:tcW w:w="4729" w:type="dxa"/>
          </w:tcPr>
          <w:p>
            <w:pPr>
              <w:pStyle w:val="24"/>
              <w:spacing w:line="360" w:lineRule="auto"/>
              <w:ind w:firstLine="420" w:firstLineChars="200"/>
              <w:rPr>
                <w:rFonts w:hAnsi="宋体" w:cs="宋体"/>
                <w:color w:val="auto"/>
                <w:highlight w:val="none"/>
              </w:rPr>
            </w:pPr>
            <w:r>
              <w:rPr>
                <w:rFonts w:hint="eastAsia" w:ascii="宋体" w:hAnsi="宋体" w:eastAsia="宋体" w:cs="宋体"/>
                <w:color w:val="auto"/>
                <w:highlight w:val="none"/>
              </w:rPr>
              <w:t>电话：</w:t>
            </w:r>
          </w:p>
        </w:tc>
        <w:tc>
          <w:tcPr>
            <w:tcW w:w="4729" w:type="dxa"/>
          </w:tcPr>
          <w:p>
            <w:pPr>
              <w:pStyle w:val="24"/>
              <w:spacing w:line="360" w:lineRule="auto"/>
              <w:ind w:firstLine="420" w:firstLineChars="200"/>
              <w:rPr>
                <w:rFonts w:hAnsi="宋体" w:cs="宋体"/>
                <w:color w:val="auto"/>
                <w:highlight w:val="none"/>
              </w:rPr>
            </w:pPr>
            <w:r>
              <w:rPr>
                <w:rFonts w:hint="eastAsia" w:ascii="宋体" w:hAnsi="宋体" w:eastAsia="宋体" w:cs="宋体"/>
                <w:color w:val="auto"/>
                <w:highlight w:val="none"/>
              </w:rPr>
              <w:t>电话：</w:t>
            </w:r>
          </w:p>
        </w:tc>
      </w:tr>
      <w:tr>
        <w:tblPrEx>
          <w:tblCellMar>
            <w:top w:w="0" w:type="dxa"/>
            <w:left w:w="108" w:type="dxa"/>
            <w:bottom w:w="0" w:type="dxa"/>
            <w:right w:w="108" w:type="dxa"/>
          </w:tblCellMar>
        </w:tblPrEx>
        <w:tc>
          <w:tcPr>
            <w:tcW w:w="4729" w:type="dxa"/>
          </w:tcPr>
          <w:p>
            <w:pPr>
              <w:pStyle w:val="24"/>
              <w:spacing w:line="360" w:lineRule="auto"/>
              <w:ind w:firstLine="420" w:firstLineChars="200"/>
              <w:rPr>
                <w:rFonts w:hAnsi="宋体" w:cs="宋体"/>
                <w:color w:val="auto"/>
                <w:highlight w:val="none"/>
              </w:rPr>
            </w:pPr>
            <w:r>
              <w:rPr>
                <w:rFonts w:hint="eastAsia" w:ascii="宋体" w:hAnsi="宋体" w:eastAsia="宋体" w:cs="宋体"/>
                <w:color w:val="auto"/>
                <w:highlight w:val="none"/>
              </w:rPr>
              <w:t>传真：</w:t>
            </w:r>
          </w:p>
        </w:tc>
        <w:tc>
          <w:tcPr>
            <w:tcW w:w="4729" w:type="dxa"/>
          </w:tcPr>
          <w:p>
            <w:pPr>
              <w:pStyle w:val="24"/>
              <w:spacing w:line="360" w:lineRule="auto"/>
              <w:ind w:firstLine="420" w:firstLineChars="200"/>
              <w:rPr>
                <w:rFonts w:hAnsi="宋体" w:cs="宋体"/>
                <w:color w:val="auto"/>
                <w:highlight w:val="none"/>
              </w:rPr>
            </w:pPr>
            <w:r>
              <w:rPr>
                <w:rFonts w:hint="eastAsia" w:ascii="宋体" w:hAnsi="宋体" w:eastAsia="宋体" w:cs="宋体"/>
                <w:color w:val="auto"/>
                <w:highlight w:val="none"/>
              </w:rPr>
              <w:t>传真：</w:t>
            </w:r>
          </w:p>
        </w:tc>
      </w:tr>
      <w:tr>
        <w:tblPrEx>
          <w:tblCellMar>
            <w:top w:w="0" w:type="dxa"/>
            <w:left w:w="108" w:type="dxa"/>
            <w:bottom w:w="0" w:type="dxa"/>
            <w:right w:w="108" w:type="dxa"/>
          </w:tblCellMar>
        </w:tblPrEx>
        <w:tc>
          <w:tcPr>
            <w:tcW w:w="4729" w:type="dxa"/>
          </w:tcPr>
          <w:p>
            <w:pPr>
              <w:pStyle w:val="24"/>
              <w:spacing w:line="360" w:lineRule="auto"/>
              <w:ind w:firstLine="420" w:firstLineChars="200"/>
              <w:rPr>
                <w:rFonts w:hAnsi="宋体" w:cs="宋体"/>
                <w:color w:val="auto"/>
                <w:highlight w:val="none"/>
              </w:rPr>
            </w:pPr>
            <w:r>
              <w:rPr>
                <w:rFonts w:hint="eastAsia" w:ascii="宋体" w:hAnsi="宋体" w:eastAsia="宋体" w:cs="宋体"/>
                <w:color w:val="auto"/>
                <w:highlight w:val="none"/>
              </w:rPr>
              <w:t>开户银行：</w:t>
            </w:r>
          </w:p>
        </w:tc>
        <w:tc>
          <w:tcPr>
            <w:tcW w:w="4729" w:type="dxa"/>
            <w:vAlign w:val="center"/>
          </w:tcPr>
          <w:p>
            <w:pPr>
              <w:pStyle w:val="24"/>
              <w:spacing w:line="360" w:lineRule="auto"/>
              <w:ind w:left="-50" w:leftChars="-24" w:firstLine="420" w:firstLineChars="200"/>
              <w:rPr>
                <w:rFonts w:hAnsi="宋体" w:cs="宋体"/>
                <w:color w:val="auto"/>
                <w:highlight w:val="none"/>
              </w:rPr>
            </w:pPr>
            <w:r>
              <w:rPr>
                <w:rFonts w:hint="eastAsia" w:ascii="宋体" w:hAnsi="宋体" w:eastAsia="宋体" w:cs="宋体"/>
                <w:color w:val="auto"/>
                <w:highlight w:val="none"/>
              </w:rPr>
              <w:t>开户银行：</w:t>
            </w:r>
          </w:p>
        </w:tc>
      </w:tr>
      <w:tr>
        <w:tblPrEx>
          <w:tblCellMar>
            <w:top w:w="0" w:type="dxa"/>
            <w:left w:w="108" w:type="dxa"/>
            <w:bottom w:w="0" w:type="dxa"/>
            <w:right w:w="108" w:type="dxa"/>
          </w:tblCellMar>
        </w:tblPrEx>
        <w:tc>
          <w:tcPr>
            <w:tcW w:w="4729" w:type="dxa"/>
          </w:tcPr>
          <w:p>
            <w:pPr>
              <w:pStyle w:val="24"/>
              <w:spacing w:line="360" w:lineRule="auto"/>
              <w:ind w:firstLine="420" w:firstLineChars="200"/>
              <w:rPr>
                <w:rFonts w:hAnsi="宋体" w:cs="宋体"/>
                <w:color w:val="auto"/>
                <w:highlight w:val="none"/>
              </w:rPr>
            </w:pPr>
            <w:r>
              <w:rPr>
                <w:rFonts w:hint="eastAsia" w:ascii="宋体" w:hAnsi="宋体" w:eastAsia="宋体" w:cs="宋体"/>
                <w:color w:val="auto"/>
                <w:highlight w:val="none"/>
              </w:rPr>
              <w:t>账号：</w:t>
            </w:r>
          </w:p>
        </w:tc>
        <w:tc>
          <w:tcPr>
            <w:tcW w:w="4729" w:type="dxa"/>
            <w:vAlign w:val="center"/>
          </w:tcPr>
          <w:p>
            <w:pPr>
              <w:pStyle w:val="24"/>
              <w:spacing w:line="360" w:lineRule="auto"/>
              <w:ind w:left="-50" w:leftChars="-24" w:firstLine="420" w:firstLineChars="200"/>
              <w:rPr>
                <w:rFonts w:hAnsi="宋体" w:cs="宋体"/>
                <w:color w:val="auto"/>
                <w:highlight w:val="none"/>
              </w:rPr>
            </w:pPr>
            <w:r>
              <w:rPr>
                <w:rFonts w:hint="eastAsia" w:ascii="宋体" w:hAnsi="宋体" w:eastAsia="宋体" w:cs="宋体"/>
                <w:color w:val="auto"/>
                <w:highlight w:val="none"/>
              </w:rPr>
              <w:t>帐号：</w:t>
            </w:r>
          </w:p>
        </w:tc>
      </w:tr>
      <w:tr>
        <w:tblPrEx>
          <w:tblCellMar>
            <w:top w:w="0" w:type="dxa"/>
            <w:left w:w="108" w:type="dxa"/>
            <w:bottom w:w="0" w:type="dxa"/>
            <w:right w:w="108" w:type="dxa"/>
          </w:tblCellMar>
        </w:tblPrEx>
        <w:tc>
          <w:tcPr>
            <w:tcW w:w="9458" w:type="dxa"/>
            <w:gridSpan w:val="2"/>
          </w:tcPr>
          <w:p>
            <w:pPr>
              <w:pStyle w:val="24"/>
              <w:spacing w:line="360" w:lineRule="auto"/>
              <w:ind w:firstLine="420" w:firstLineChars="200"/>
              <w:rPr>
                <w:rFonts w:hAnsi="宋体" w:cs="宋体"/>
                <w:color w:val="auto"/>
                <w:highlight w:val="none"/>
              </w:rPr>
            </w:pPr>
          </w:p>
        </w:tc>
      </w:tr>
    </w:tbl>
    <w:p>
      <w:pPr>
        <w:spacing w:line="360" w:lineRule="auto"/>
        <w:ind w:firstLine="420" w:firstLineChars="200"/>
        <w:rPr>
          <w:rFonts w:ascii="宋体" w:hAnsi="宋体" w:cs="宋体"/>
          <w:color w:val="auto"/>
          <w:szCs w:val="21"/>
          <w:highlight w:val="none"/>
        </w:rPr>
      </w:pP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签约地：                   </w:t>
      </w:r>
    </w:p>
    <w:p>
      <w:pP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签约日期：    年    月    日</w:t>
      </w:r>
    </w:p>
    <w:p>
      <w:pPr>
        <w:rPr>
          <w:rFonts w:asciiTheme="majorEastAsia" w:hAnsiTheme="majorEastAsia" w:eastAsiaTheme="majorEastAsia"/>
          <w:color w:val="auto"/>
          <w:highlight w:val="none"/>
        </w:rPr>
      </w:pPr>
      <w:r>
        <w:rPr>
          <w:rFonts w:asciiTheme="majorEastAsia" w:hAnsiTheme="majorEastAsia" w:eastAsiaTheme="majorEastAsia"/>
          <w:color w:val="auto"/>
          <w:highlight w:val="none"/>
        </w:rPr>
        <w:br w:type="page"/>
      </w:r>
    </w:p>
    <w:bookmarkEnd w:id="81"/>
    <w:bookmarkEnd w:id="82"/>
    <w:bookmarkEnd w:id="83"/>
    <w:bookmarkEnd w:id="84"/>
    <w:bookmarkEnd w:id="85"/>
    <w:p>
      <w:pPr>
        <w:pStyle w:val="2"/>
        <w:rPr>
          <w:rFonts w:cs="仿宋" w:asciiTheme="majorEastAsia" w:hAnsiTheme="majorEastAsia" w:eastAsiaTheme="majorEastAsia"/>
          <w:snapToGrid w:val="0"/>
          <w:color w:val="auto"/>
          <w:kern w:val="0"/>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adjustRightInd w:val="0"/>
        <w:snapToGrid w:val="0"/>
        <w:spacing w:beforeLines="50" w:afterLines="50" w:line="360" w:lineRule="auto"/>
        <w:jc w:val="center"/>
        <w:outlineLvl w:val="0"/>
        <w:rPr>
          <w:rFonts w:cs="仿宋" w:asciiTheme="majorEastAsia" w:hAnsiTheme="majorEastAsia" w:eastAsiaTheme="majorEastAsia"/>
          <w:b/>
          <w:bCs/>
          <w:color w:val="auto"/>
          <w:sz w:val="32"/>
          <w:szCs w:val="32"/>
          <w:highlight w:val="none"/>
        </w:rPr>
      </w:pPr>
      <w:bookmarkStart w:id="93" w:name="_Toc251566668"/>
      <w:bookmarkStart w:id="94" w:name="_Toc234764855"/>
      <w:bookmarkStart w:id="95" w:name="_Toc1306"/>
      <w:bookmarkStart w:id="96" w:name="_Toc249760797"/>
      <w:bookmarkStart w:id="97" w:name="_Toc22021"/>
      <w:r>
        <w:rPr>
          <w:rFonts w:hint="eastAsia" w:cs="仿宋" w:asciiTheme="majorEastAsia" w:hAnsiTheme="majorEastAsia" w:eastAsiaTheme="majorEastAsia"/>
          <w:b/>
          <w:color w:val="auto"/>
          <w:sz w:val="30"/>
          <w:szCs w:val="30"/>
          <w:highlight w:val="none"/>
        </w:rPr>
        <w:t>第六部分  投标文件格式</w:t>
      </w:r>
      <w:bookmarkEnd w:id="93"/>
      <w:bookmarkEnd w:id="94"/>
      <w:bookmarkEnd w:id="95"/>
      <w:bookmarkEnd w:id="96"/>
      <w:bookmarkEnd w:id="97"/>
    </w:p>
    <w:p>
      <w:pPr>
        <w:autoSpaceDE w:val="0"/>
        <w:autoSpaceDN w:val="0"/>
        <w:adjustRightInd w:val="0"/>
        <w:spacing w:line="360" w:lineRule="auto"/>
        <w:ind w:firstLine="480"/>
        <w:rPr>
          <w:rFonts w:cs="仿宋" w:asciiTheme="majorEastAsia" w:hAnsiTheme="majorEastAsia" w:eastAsiaTheme="majorEastAsia"/>
          <w:color w:val="auto"/>
          <w:sz w:val="24"/>
          <w:highlight w:val="none"/>
        </w:rPr>
      </w:pPr>
    </w:p>
    <w:p>
      <w:pPr>
        <w:spacing w:line="360" w:lineRule="auto"/>
        <w:jc w:val="center"/>
        <w:outlineLvl w:val="1"/>
        <w:rPr>
          <w:rFonts w:cs="仿宋" w:asciiTheme="majorEastAsia" w:hAnsiTheme="majorEastAsia" w:eastAsiaTheme="majorEastAsia"/>
          <w:b/>
          <w:color w:val="auto"/>
          <w:kern w:val="0"/>
          <w:sz w:val="36"/>
          <w:szCs w:val="36"/>
          <w:highlight w:val="none"/>
        </w:rPr>
      </w:pPr>
      <w:bookmarkStart w:id="98" w:name="_Toc23013"/>
      <w:bookmarkStart w:id="99" w:name="_Toc28714"/>
      <w:bookmarkStart w:id="100" w:name="_Toc25507"/>
      <w:bookmarkStart w:id="101" w:name="_Toc23772"/>
      <w:r>
        <w:rPr>
          <w:rFonts w:hint="eastAsia" w:cs="仿宋" w:asciiTheme="majorEastAsia" w:hAnsiTheme="majorEastAsia" w:eastAsiaTheme="majorEastAsia"/>
          <w:b/>
          <w:color w:val="auto"/>
          <w:kern w:val="0"/>
          <w:sz w:val="36"/>
          <w:szCs w:val="36"/>
          <w:highlight w:val="none"/>
        </w:rPr>
        <w:t>资格文件部分</w:t>
      </w:r>
      <w:bookmarkEnd w:id="98"/>
      <w:bookmarkEnd w:id="99"/>
      <w:bookmarkEnd w:id="100"/>
      <w:bookmarkEnd w:id="101"/>
    </w:p>
    <w:p>
      <w:pPr>
        <w:spacing w:line="360" w:lineRule="auto"/>
        <w:jc w:val="center"/>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pPr>
        <w:spacing w:line="360" w:lineRule="auto"/>
        <w:jc w:val="center"/>
        <w:rPr>
          <w:rFonts w:cs="仿宋" w:asciiTheme="majorEastAsia" w:hAnsiTheme="majorEastAsia" w:eastAsiaTheme="majorEastAsia"/>
          <w:b/>
          <w:color w:val="auto"/>
          <w:kern w:val="0"/>
          <w:sz w:val="36"/>
          <w:szCs w:val="36"/>
          <w:highlight w:val="none"/>
        </w:rPr>
      </w:pPr>
    </w:p>
    <w:p>
      <w:pP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（1）符合参加政府采购活动应当具备的一般条件的承诺函……………（页码）</w:t>
      </w:r>
    </w:p>
    <w:p>
      <w:pP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（2）落实政府采购政策需满足的资格要求………………………………（页码）</w:t>
      </w:r>
    </w:p>
    <w:p>
      <w:pP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（3）本项目的特定资格要求………………………………………………（页码）</w:t>
      </w:r>
    </w:p>
    <w:p>
      <w:pP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（4）联合协议（如有）……………………………………………………（页码）</w:t>
      </w:r>
    </w:p>
    <w:p>
      <w:pPr>
        <w:snapToGrid w:val="0"/>
        <w:spacing w:line="360" w:lineRule="auto"/>
        <w:ind w:firstLine="480" w:firstLineChars="200"/>
        <w:rPr>
          <w:rFonts w:cs="仿宋" w:asciiTheme="majorEastAsia" w:hAnsiTheme="majorEastAsia" w:eastAsiaTheme="majorEastAsia"/>
          <w:color w:val="auto"/>
          <w:sz w:val="24"/>
          <w:highlight w:val="none"/>
        </w:rPr>
      </w:pPr>
    </w:p>
    <w:p>
      <w:pPr>
        <w:spacing w:line="360" w:lineRule="auto"/>
        <w:ind w:firstLine="480" w:firstLineChars="200"/>
        <w:rPr>
          <w:rFonts w:cs="仿宋" w:asciiTheme="majorEastAsia" w:hAnsiTheme="majorEastAsia" w:eastAsiaTheme="majorEastAsia"/>
          <w:color w:val="auto"/>
          <w:sz w:val="24"/>
          <w:highlight w:val="none"/>
        </w:rPr>
      </w:pPr>
    </w:p>
    <w:p>
      <w:pPr>
        <w:snapToGrid w:val="0"/>
        <w:spacing w:line="360" w:lineRule="auto"/>
        <w:ind w:right="48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color w:val="auto"/>
          <w:kern w:val="0"/>
          <w:sz w:val="24"/>
          <w:highlight w:val="none"/>
        </w:rPr>
        <w:br w:type="page"/>
      </w:r>
      <w:r>
        <w:rPr>
          <w:rFonts w:hint="eastAsia" w:cs="仿宋" w:asciiTheme="majorEastAsia" w:hAnsiTheme="majorEastAsia" w:eastAsiaTheme="majorEastAsia"/>
          <w:b/>
          <w:color w:val="auto"/>
          <w:kern w:val="0"/>
          <w:sz w:val="32"/>
          <w:szCs w:val="32"/>
          <w:highlight w:val="none"/>
        </w:rPr>
        <w:t>一、 符合参加政府采购活动应当具备的一般条件的承诺函</w:t>
      </w:r>
    </w:p>
    <w:p>
      <w:pP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u w:val="single"/>
        </w:rPr>
        <w:t>（采购人）、（采购代理机构）</w:t>
      </w:r>
      <w:r>
        <w:rPr>
          <w:rFonts w:hint="eastAsia" w:cs="仿宋" w:asciiTheme="majorEastAsia" w:hAnsiTheme="majorEastAsia" w:eastAsiaTheme="majorEastAsia"/>
          <w:color w:val="auto"/>
          <w:sz w:val="24"/>
          <w:highlight w:val="none"/>
        </w:rPr>
        <w:t>：</w:t>
      </w:r>
    </w:p>
    <w:p>
      <w:pPr>
        <w:snapToGrid w:val="0"/>
        <w:spacing w:line="360" w:lineRule="auto"/>
        <w:ind w:firstLine="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我方参与（项目名称）【招标编号：（采购编号）】政府采购活动，郑重承诺：</w:t>
      </w:r>
    </w:p>
    <w:p>
      <w:pPr>
        <w:snapToGrid w:val="0"/>
        <w:spacing w:line="360" w:lineRule="auto"/>
        <w:ind w:firstLine="360" w:firstLineChars="1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（一）具备《中华人民共和国政府采购法》第二十二条第一款规定的条件：</w:t>
      </w:r>
    </w:p>
    <w:p>
      <w:pP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1、具有独立承担民事责任的能力；</w:t>
      </w:r>
    </w:p>
    <w:p>
      <w:pP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2、具有良好的商业信誉和健全的财务会计制度； </w:t>
      </w:r>
    </w:p>
    <w:p>
      <w:pP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3、具有履行合同所必需的设备和专业技术能力；</w:t>
      </w:r>
    </w:p>
    <w:p>
      <w:pP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4、有依法缴纳税收和社会保障资金的良好记录；</w:t>
      </w:r>
    </w:p>
    <w:p>
      <w:pP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5、参加政府采购活动前三年内，在经营活动中没有重大违法记录；</w:t>
      </w:r>
    </w:p>
    <w:p>
      <w:pP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6、具有法律、行政法规规定的其他条件。</w:t>
      </w:r>
    </w:p>
    <w:p>
      <w:pP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（三）不存在以下情况：</w:t>
      </w:r>
    </w:p>
    <w:p>
      <w:pP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2、为采购项目提供整体设计、规范编制或者项目管理、监理、检测等服务后再参加该采购项目的其他采购活动的。</w:t>
      </w:r>
    </w:p>
    <w:p>
      <w:pPr>
        <w:pStyle w:val="2"/>
        <w:rPr>
          <w:rFonts w:cs="仿宋" w:asciiTheme="majorEastAsia" w:hAnsiTheme="majorEastAsia" w:eastAsiaTheme="majorEastAsia"/>
          <w:color w:val="auto"/>
          <w:highlight w:val="none"/>
        </w:rPr>
      </w:pPr>
    </w:p>
    <w:p>
      <w:pPr>
        <w:rPr>
          <w:rFonts w:cs="仿宋" w:asciiTheme="majorEastAsia" w:hAnsiTheme="majorEastAsia" w:eastAsiaTheme="majorEastAsia"/>
          <w:color w:val="auto"/>
          <w:highlight w:val="none"/>
        </w:rPr>
      </w:pPr>
    </w:p>
    <w:p>
      <w:pPr>
        <w:snapToGrid w:val="0"/>
        <w:spacing w:line="360" w:lineRule="auto"/>
        <w:ind w:firstLine="5520" w:firstLineChars="23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投标人名称(电子签名)：</w:t>
      </w:r>
    </w:p>
    <w:p>
      <w:pPr>
        <w:snapToGrid w:val="0"/>
        <w:spacing w:line="360" w:lineRule="auto"/>
        <w:ind w:firstLine="5520" w:firstLineChars="23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日期</w:t>
      </w:r>
      <w:r>
        <w:rPr>
          <w:rFonts w:hint="eastAsia" w:cs="仿宋" w:asciiTheme="majorEastAsia" w:hAnsiTheme="majorEastAsia" w:eastAsiaTheme="majorEastAsia"/>
          <w:color w:val="auto"/>
          <w:kern w:val="0"/>
          <w:sz w:val="24"/>
          <w:highlight w:val="none"/>
        </w:rPr>
        <w:t xml:space="preserve">：  年  </w:t>
      </w:r>
      <w:r>
        <w:rPr>
          <w:rFonts w:hint="eastAsia" w:cs="仿宋" w:asciiTheme="majorEastAsia" w:hAnsiTheme="majorEastAsia" w:eastAsiaTheme="majorEastAsia"/>
          <w:color w:val="auto"/>
          <w:kern w:val="0"/>
          <w:sz w:val="24"/>
          <w:highlight w:val="none"/>
          <w:lang w:val="zh-CN"/>
        </w:rPr>
        <w:t>月</w:t>
      </w:r>
      <w:r>
        <w:rPr>
          <w:rFonts w:hint="eastAsia" w:cs="仿宋" w:asciiTheme="majorEastAsia" w:hAnsiTheme="majorEastAsia" w:eastAsiaTheme="majorEastAsia"/>
          <w:color w:val="auto"/>
          <w:kern w:val="0"/>
          <w:sz w:val="24"/>
          <w:highlight w:val="none"/>
        </w:rPr>
        <w:t xml:space="preserve">  </w:t>
      </w:r>
      <w:r>
        <w:rPr>
          <w:rFonts w:hint="eastAsia" w:cs="仿宋" w:asciiTheme="majorEastAsia" w:hAnsiTheme="majorEastAsia" w:eastAsiaTheme="majorEastAsia"/>
          <w:color w:val="auto"/>
          <w:kern w:val="0"/>
          <w:sz w:val="24"/>
          <w:highlight w:val="none"/>
          <w:lang w:val="zh-CN"/>
        </w:rPr>
        <w:t>日</w:t>
      </w: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rPr>
          <w:rFonts w:cs="仿宋" w:asciiTheme="majorEastAsia" w:hAnsiTheme="majorEastAsia" w:eastAsiaTheme="majorEastAsia"/>
          <w:color w:val="auto"/>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二、落实政府采购政策需满足的资格要求</w:t>
      </w: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A</w:t>
      </w:r>
      <w:r>
        <w:rPr>
          <w:rFonts w:hint="eastAsia" w:cs="仿宋" w:asciiTheme="majorEastAsia" w:hAnsiTheme="majorEastAsia" w:eastAsiaTheme="majorEastAsia"/>
          <w:color w:val="auto"/>
          <w:sz w:val="24"/>
          <w:highlight w:val="none"/>
        </w:rPr>
        <w:t xml:space="preserve">.专门面向中小企业，服务全部由符合政策要求的中小企业（或小微企业）承接的，提供相应的中小企业声明函（附件5）。 </w:t>
      </w:r>
    </w:p>
    <w:p>
      <w:pPr>
        <w:snapToGrid w:val="0"/>
        <w:spacing w:before="50" w:after="50" w:line="360" w:lineRule="auto"/>
        <w:ind w:firstLine="470" w:firstLineChars="196"/>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br w:type="page"/>
      </w:r>
      <w:r>
        <w:rPr>
          <w:rFonts w:hint="eastAsia" w:cs="仿宋" w:asciiTheme="majorEastAsia" w:hAnsiTheme="majorEastAsia" w:eastAsiaTheme="majorEastAsia"/>
          <w:b/>
          <w:color w:val="auto"/>
          <w:sz w:val="24"/>
          <w:highlight w:val="none"/>
        </w:rPr>
        <w:t>B.</w:t>
      </w:r>
      <w:r>
        <w:rPr>
          <w:rFonts w:hint="eastAsia" w:cs="仿宋" w:asciiTheme="majorEastAsia" w:hAnsiTheme="majorEastAsia" w:eastAsiaTheme="majorEastAsia"/>
          <w:color w:val="auto"/>
          <w:sz w:val="24"/>
          <w:highlight w:val="none"/>
        </w:rPr>
        <w:t>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t>联合协议</w:t>
      </w:r>
    </w:p>
    <w:p>
      <w:pPr>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u w:val="single"/>
        </w:rPr>
        <w:t>（联合体所有成员名称）</w:t>
      </w:r>
      <w:r>
        <w:rPr>
          <w:rFonts w:hint="eastAsia" w:cs="仿宋_GB2312" w:asciiTheme="majorEastAsia" w:hAnsiTheme="majorEastAsia" w:eastAsiaTheme="majorEastAsia"/>
          <w:color w:val="auto"/>
          <w:kern w:val="0"/>
          <w:sz w:val="24"/>
          <w:highlight w:val="none"/>
        </w:rPr>
        <w:t>自愿</w:t>
      </w:r>
      <w:r>
        <w:rPr>
          <w:rFonts w:hint="eastAsia" w:cs="仿宋_GB2312" w:asciiTheme="majorEastAsia" w:hAnsiTheme="majorEastAsia" w:eastAsiaTheme="majorEastAsia"/>
          <w:color w:val="auto"/>
          <w:kern w:val="0"/>
          <w:sz w:val="24"/>
          <w:highlight w:val="none"/>
          <w:lang w:val="zh-CN"/>
        </w:rPr>
        <w:t>组成一个联合体，以一个投标人的身份</w:t>
      </w:r>
      <w:r>
        <w:rPr>
          <w:rFonts w:hint="eastAsia" w:cs="仿宋_GB2312" w:asciiTheme="majorEastAsia" w:hAnsiTheme="majorEastAsia" w:eastAsiaTheme="majorEastAsia"/>
          <w:color w:val="auto"/>
          <w:kern w:val="0"/>
          <w:sz w:val="24"/>
          <w:highlight w:val="none"/>
        </w:rPr>
        <w:t>参加</w:t>
      </w:r>
      <w:r>
        <w:rPr>
          <w:rFonts w:hint="eastAsia" w:cs="仿宋_GB2312" w:asciiTheme="majorEastAsia" w:hAnsiTheme="majorEastAsia" w:eastAsiaTheme="majorEastAsia"/>
          <w:color w:val="auto"/>
          <w:sz w:val="24"/>
          <w:highlight w:val="none"/>
        </w:rPr>
        <w:t>（项目名称）【招标编号：</w:t>
      </w:r>
      <w:r>
        <w:rPr>
          <w:rFonts w:hint="eastAsia" w:asciiTheme="majorEastAsia" w:hAnsiTheme="majorEastAsia" w:eastAsiaTheme="majorEastAsia"/>
          <w:color w:val="auto"/>
          <w:sz w:val="24"/>
          <w:highlight w:val="none"/>
        </w:rPr>
        <w:t>（采购编号）</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lang w:val="zh-CN"/>
        </w:rPr>
        <w:t>投标。</w:t>
      </w:r>
      <w:r>
        <w:rPr>
          <w:rFonts w:cs="仿宋_GB2312" w:asciiTheme="majorEastAsia" w:hAnsiTheme="majorEastAsia" w:eastAsiaTheme="majorEastAsia"/>
          <w:color w:val="auto"/>
          <w:kern w:val="0"/>
          <w:sz w:val="24"/>
          <w:highlight w:val="none"/>
          <w:lang w:val="zh-CN"/>
        </w:rPr>
        <w:t xml:space="preserve"> </w:t>
      </w:r>
    </w:p>
    <w:p>
      <w:pPr>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一、各方一致决定，</w:t>
      </w:r>
      <w:r>
        <w:rPr>
          <w:rFonts w:hint="eastAsia" w:cs="仿宋_GB2312" w:asciiTheme="majorEastAsia" w:hAnsiTheme="majorEastAsia" w:eastAsiaTheme="majorEastAsia"/>
          <w:color w:val="auto"/>
          <w:kern w:val="0"/>
          <w:sz w:val="24"/>
          <w:highlight w:val="none"/>
          <w:u w:val="single"/>
        </w:rPr>
        <w:t>（某联合体成员名称）</w:t>
      </w:r>
      <w:r>
        <w:rPr>
          <w:rFonts w:hint="eastAsia" w:cs="仿宋_GB2312" w:asciiTheme="majorEastAsia" w:hAnsiTheme="majorEastAsia" w:eastAsiaTheme="majorEastAsia"/>
          <w:color w:val="auto"/>
          <w:kern w:val="0"/>
          <w:sz w:val="24"/>
          <w:highlight w:val="none"/>
        </w:rPr>
        <w:t>为联合体</w:t>
      </w:r>
      <w:r>
        <w:rPr>
          <w:rFonts w:hint="eastAsia" w:cs="仿宋_GB2312" w:asciiTheme="majorEastAsia" w:hAnsiTheme="majorEastAsia" w:eastAsiaTheme="majorEastAsia"/>
          <w:color w:val="auto"/>
          <w:kern w:val="0"/>
          <w:sz w:val="24"/>
          <w:highlight w:val="none"/>
          <w:lang w:val="zh-CN"/>
        </w:rPr>
        <w:t>牵头人</w:t>
      </w:r>
      <w:r>
        <w:rPr>
          <w:rFonts w:hint="eastAsia" w:cs="Arial" w:asciiTheme="majorEastAsia" w:hAnsiTheme="majorEastAsia" w:eastAsiaTheme="majorEastAsia"/>
          <w:color w:val="auto"/>
          <w:sz w:val="24"/>
          <w:highlight w:val="none"/>
        </w:rPr>
        <w:t>，代表所有联合体成员负责投标和合同实施阶段的主办、协调工作</w:t>
      </w:r>
      <w:r>
        <w:rPr>
          <w:rFonts w:hint="eastAsia" w:cs="仿宋_GB2312" w:asciiTheme="majorEastAsia" w:hAnsiTheme="majorEastAsia" w:eastAsiaTheme="majorEastAsia"/>
          <w:color w:val="auto"/>
          <w:kern w:val="0"/>
          <w:sz w:val="24"/>
          <w:highlight w:val="none"/>
          <w:lang w:val="zh-CN"/>
        </w:rPr>
        <w:t>。</w:t>
      </w:r>
    </w:p>
    <w:p>
      <w:pPr>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二、</w:t>
      </w:r>
      <w:r>
        <w:rPr>
          <w:rFonts w:hint="eastAsia" w:cs="Arial" w:asciiTheme="majorEastAsia" w:hAnsiTheme="majorEastAsia" w:eastAsiaTheme="majorEastAsia"/>
          <w:color w:val="auto"/>
          <w:sz w:val="24"/>
          <w:highlight w:val="none"/>
        </w:rPr>
        <w:t>所有联合体成员各方签署授权书，授权书载明的</w:t>
      </w:r>
      <w:r>
        <w:rPr>
          <w:rFonts w:hint="eastAsia" w:cs="仿宋_GB2312" w:asciiTheme="majorEastAsia" w:hAnsiTheme="majorEastAsia" w:eastAsiaTheme="majorEastAsia"/>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三、本次联合投标中，分工如下：</w:t>
      </w:r>
      <w:r>
        <w:rPr>
          <w:rFonts w:hint="eastAsia" w:cs="仿宋_GB2312" w:asciiTheme="majorEastAsia" w:hAnsiTheme="majorEastAsia" w:eastAsiaTheme="majorEastAsia"/>
          <w:color w:val="auto"/>
          <w:kern w:val="0"/>
          <w:sz w:val="24"/>
          <w:highlight w:val="none"/>
          <w:u w:val="single"/>
        </w:rPr>
        <w:t>（联合体其中一方成员名称）</w:t>
      </w:r>
      <w:r>
        <w:rPr>
          <w:rFonts w:hint="eastAsia" w:cs="仿宋_GB2312" w:asciiTheme="majorEastAsia" w:hAnsiTheme="majorEastAsia" w:eastAsiaTheme="majorEastAsia"/>
          <w:color w:val="auto"/>
          <w:kern w:val="0"/>
          <w:sz w:val="24"/>
          <w:highlight w:val="none"/>
          <w:lang w:val="zh-CN"/>
        </w:rPr>
        <w:t>承担的工作和义务为：</w:t>
      </w:r>
      <w:r>
        <w:rPr>
          <w:rFonts w:asciiTheme="majorEastAsia" w:hAnsiTheme="majorEastAsia" w:eastAsiaTheme="majorEastAsia"/>
          <w:color w:val="auto"/>
          <w:highlight w:val="none"/>
          <w:u w:val="single"/>
        </w:rPr>
        <w:t xml:space="preserve">             </w:t>
      </w:r>
      <w:r>
        <w:rPr>
          <w:rFonts w:hint="eastAsia" w:cs="仿宋_GB2312" w:asciiTheme="majorEastAsia" w:hAnsiTheme="majorEastAsia" w:eastAsiaTheme="majorEastAsia"/>
          <w:color w:val="auto"/>
          <w:kern w:val="0"/>
          <w:sz w:val="24"/>
          <w:highlight w:val="none"/>
          <w:lang w:val="zh-CN"/>
        </w:rPr>
        <w:t>；</w:t>
      </w:r>
      <w:r>
        <w:rPr>
          <w:rFonts w:hint="eastAsia" w:cs="仿宋_GB2312" w:asciiTheme="majorEastAsia" w:hAnsiTheme="majorEastAsia" w:eastAsiaTheme="majorEastAsia"/>
          <w:color w:val="auto"/>
          <w:kern w:val="0"/>
          <w:sz w:val="24"/>
          <w:highlight w:val="none"/>
          <w:u w:val="single"/>
        </w:rPr>
        <w:t>（联合体其中一方成员名称）</w:t>
      </w:r>
      <w:r>
        <w:rPr>
          <w:rFonts w:hint="eastAsia" w:cs="仿宋_GB2312" w:asciiTheme="majorEastAsia" w:hAnsiTheme="majorEastAsia" w:eastAsiaTheme="majorEastAsia"/>
          <w:color w:val="auto"/>
          <w:kern w:val="0"/>
          <w:sz w:val="24"/>
          <w:highlight w:val="none"/>
          <w:lang w:val="zh-CN"/>
        </w:rPr>
        <w:t>承担的工作和义务为：</w:t>
      </w:r>
      <w:r>
        <w:rPr>
          <w:rFonts w:asciiTheme="majorEastAsia" w:hAnsiTheme="majorEastAsia" w:eastAsiaTheme="majorEastAsia"/>
          <w:color w:val="auto"/>
          <w:highlight w:val="none"/>
          <w:u w:val="single"/>
        </w:rPr>
        <w:t xml:space="preserve">            </w:t>
      </w:r>
      <w:r>
        <w:rPr>
          <w:rFonts w:cs="仿宋_GB2312" w:asciiTheme="majorEastAsia" w:hAnsiTheme="majorEastAsia" w:eastAsiaTheme="majorEastAsia"/>
          <w:color w:val="auto"/>
          <w:kern w:val="0"/>
          <w:sz w:val="24"/>
          <w:highlight w:val="none"/>
          <w:lang w:val="zh-CN"/>
        </w:rPr>
        <w:t xml:space="preserve"> ；……。</w:t>
      </w:r>
    </w:p>
    <w:p>
      <w:pPr>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四、</w:t>
      </w:r>
      <w:r>
        <w:rPr>
          <w:rFonts w:hint="eastAsia" w:asciiTheme="majorEastAsia" w:hAnsiTheme="majorEastAsia" w:eastAsiaTheme="majorEastAsia"/>
          <w:color w:val="auto"/>
          <w:sz w:val="24"/>
          <w:highlight w:val="none"/>
        </w:rPr>
        <w:t>中小企业合同金额达到</w:t>
      </w:r>
      <w:r>
        <w:rPr>
          <w:rFonts w:asciiTheme="majorEastAsia" w:hAnsiTheme="majorEastAsia" w:eastAsiaTheme="majorEastAsia"/>
          <w:color w:val="auto"/>
          <w:sz w:val="24"/>
          <w:highlight w:val="none"/>
          <w:u w:val="single"/>
        </w:rPr>
        <w:t xml:space="preserve">  </w:t>
      </w:r>
      <w:r>
        <w:rPr>
          <w:rFonts w:asciiTheme="majorEastAsia" w:hAnsiTheme="majorEastAsia" w:eastAsiaTheme="majorEastAsia"/>
          <w:color w:val="auto"/>
          <w:sz w:val="24"/>
          <w:highlight w:val="none"/>
        </w:rPr>
        <w:t>%，小</w:t>
      </w:r>
      <w:r>
        <w:rPr>
          <w:rFonts w:hint="eastAsia" w:asciiTheme="majorEastAsia" w:hAnsiTheme="majorEastAsia" w:eastAsiaTheme="majorEastAsia"/>
          <w:color w:val="auto"/>
          <w:sz w:val="24"/>
          <w:highlight w:val="none"/>
        </w:rPr>
        <w:t>微企业合同金额达到</w:t>
      </w:r>
      <w:r>
        <w:rPr>
          <w:rFonts w:asciiTheme="majorEastAsia" w:hAnsiTheme="majorEastAsia" w:eastAsiaTheme="majorEastAsia"/>
          <w:color w:val="auto"/>
          <w:sz w:val="24"/>
          <w:highlight w:val="none"/>
          <w:u w:val="single"/>
        </w:rPr>
        <w:t xml:space="preserve"> </w:t>
      </w:r>
      <w:r>
        <w:rPr>
          <w:rFonts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lang w:val="zh-CN"/>
        </w:rPr>
        <w:t>。</w:t>
      </w:r>
    </w:p>
    <w:p>
      <w:pPr>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五、如果中标，</w:t>
      </w:r>
      <w:r>
        <w:rPr>
          <w:rFonts w:hint="eastAsia" w:asciiTheme="majorEastAsia" w:hAnsiTheme="majorEastAsia" w:eastAsiaTheme="majorEastAsia"/>
          <w:color w:val="auto"/>
          <w:sz w:val="24"/>
          <w:highlight w:val="none"/>
        </w:rPr>
        <w:t>联合体各成员方共同与采购人签订合同，并就采购合同约定的事项对采购人承担连带责任。</w:t>
      </w:r>
    </w:p>
    <w:p>
      <w:pPr>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六、有关本次联合投标的其他事宜：</w:t>
      </w:r>
    </w:p>
    <w:p>
      <w:pPr>
        <w:snapToGrid w:val="0"/>
        <w:spacing w:line="360" w:lineRule="auto"/>
        <w:ind w:firstLine="576"/>
        <w:rPr>
          <w:rFonts w:cs="仿宋_GB2312" w:asciiTheme="majorEastAsia" w:hAnsiTheme="majorEastAsia" w:eastAsiaTheme="majorEastAsia"/>
          <w:color w:val="auto"/>
          <w:kern w:val="0"/>
          <w:sz w:val="24"/>
          <w:highlight w:val="none"/>
          <w:lang w:val="zh-CN"/>
        </w:rPr>
      </w:pPr>
      <w:r>
        <w:rPr>
          <w:rFonts w:cs="仿宋_GB2312" w:asciiTheme="majorEastAsia" w:hAnsiTheme="majorEastAsia" w:eastAsiaTheme="majorEastAsia"/>
          <w:color w:val="auto"/>
          <w:kern w:val="0"/>
          <w:sz w:val="24"/>
          <w:highlight w:val="none"/>
          <w:lang w:val="zh-CN"/>
        </w:rPr>
        <w:t>1、联合体各方不再单独参加或者与其</w:t>
      </w:r>
      <w:r>
        <w:rPr>
          <w:rFonts w:hint="eastAsia" w:cs="仿宋_GB2312" w:asciiTheme="majorEastAsia" w:hAnsiTheme="majorEastAsia" w:eastAsiaTheme="majorEastAsia"/>
          <w:color w:val="auto"/>
          <w:kern w:val="0"/>
          <w:sz w:val="24"/>
          <w:highlight w:val="none"/>
          <w:lang w:val="zh-CN"/>
        </w:rPr>
        <w:t>他供应商另外组成联合体参加同一合同项下的政府采购活动。</w:t>
      </w:r>
    </w:p>
    <w:p>
      <w:pPr>
        <w:snapToGrid w:val="0"/>
        <w:spacing w:line="360" w:lineRule="auto"/>
        <w:ind w:firstLine="576"/>
        <w:rPr>
          <w:rFonts w:cs="仿宋_GB2312" w:asciiTheme="majorEastAsia" w:hAnsiTheme="majorEastAsia" w:eastAsiaTheme="majorEastAsia"/>
          <w:color w:val="auto"/>
          <w:kern w:val="0"/>
          <w:sz w:val="24"/>
          <w:highlight w:val="none"/>
          <w:lang w:val="zh-CN"/>
        </w:rPr>
      </w:pPr>
      <w:r>
        <w:rPr>
          <w:rFonts w:cs="仿宋_GB2312" w:asciiTheme="majorEastAsia" w:hAnsiTheme="majorEastAsia" w:eastAsiaTheme="majorEastAsia"/>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cs="仿宋_GB2312" w:asciiTheme="majorEastAsia" w:hAnsiTheme="majorEastAsia" w:eastAsiaTheme="majorEastAsia"/>
          <w:color w:val="auto"/>
          <w:kern w:val="0"/>
          <w:sz w:val="24"/>
          <w:highlight w:val="none"/>
          <w:lang w:val="zh-CN"/>
        </w:rPr>
      </w:pPr>
      <w:r>
        <w:rPr>
          <w:rFonts w:cs="仿宋_GB2312" w:asciiTheme="majorEastAsia" w:hAnsiTheme="majorEastAsia" w:eastAsiaTheme="majorEastAsia"/>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联合体成员名称</w:t>
      </w:r>
      <w:r>
        <w:rPr>
          <w:rFonts w:cs="仿宋_GB2312" w:asciiTheme="majorEastAsia" w:hAnsiTheme="majorEastAsia" w:eastAsiaTheme="majorEastAsia"/>
          <w:color w:val="auto"/>
          <w:kern w:val="0"/>
          <w:sz w:val="24"/>
          <w:highlight w:val="none"/>
          <w:lang w:val="zh-CN"/>
        </w:rPr>
        <w:t>(电子签名/公章)：</w:t>
      </w:r>
    </w:p>
    <w:p>
      <w:pPr>
        <w:snapToGrid w:val="0"/>
        <w:spacing w:line="360" w:lineRule="auto"/>
        <w:ind w:firstLine="5040" w:firstLineChars="2100"/>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联合体成员名称</w:t>
      </w:r>
      <w:r>
        <w:rPr>
          <w:rFonts w:cs="仿宋_GB2312" w:asciiTheme="majorEastAsia" w:hAnsiTheme="majorEastAsia" w:eastAsiaTheme="majorEastAsia"/>
          <w:color w:val="auto"/>
          <w:kern w:val="0"/>
          <w:sz w:val="24"/>
          <w:highlight w:val="none"/>
          <w:lang w:val="zh-CN"/>
        </w:rPr>
        <w:t>(电子签名/公章)：</w:t>
      </w:r>
    </w:p>
    <w:p>
      <w:pPr>
        <w:snapToGrid w:val="0"/>
        <w:spacing w:line="360" w:lineRule="auto"/>
        <w:ind w:firstLine="5760" w:firstLineChars="2400"/>
        <w:rPr>
          <w:rFonts w:asciiTheme="majorEastAsia" w:hAnsiTheme="majorEastAsia" w:eastAsiaTheme="majorEastAsia"/>
          <w:color w:val="auto"/>
          <w:highlight w:val="none"/>
        </w:rPr>
      </w:pPr>
      <w:r>
        <w:rPr>
          <w:rFonts w:hint="eastAsia" w:cs="仿宋_GB2312" w:asciiTheme="majorEastAsia" w:hAnsiTheme="majorEastAsia" w:eastAsiaTheme="majorEastAsia"/>
          <w:color w:val="auto"/>
          <w:kern w:val="0"/>
          <w:sz w:val="24"/>
          <w:highlight w:val="none"/>
          <w:lang w:val="zh-CN"/>
        </w:rPr>
        <w:t>……</w:t>
      </w:r>
    </w:p>
    <w:p>
      <w:pPr>
        <w:snapToGrid w:val="0"/>
        <w:spacing w:line="360" w:lineRule="auto"/>
        <w:rPr>
          <w:rFonts w:cs="仿宋" w:asciiTheme="majorEastAsia" w:hAnsiTheme="majorEastAsia" w:eastAsiaTheme="majorEastAsia"/>
          <w:color w:val="auto"/>
          <w:kern w:val="0"/>
          <w:sz w:val="24"/>
          <w:highlight w:val="none"/>
          <w:lang w:val="zh-CN"/>
        </w:rPr>
      </w:pPr>
      <w:r>
        <w:rPr>
          <w:rFonts w:cs="仿宋_GB2312" w:asciiTheme="majorEastAsia" w:hAnsiTheme="majorEastAsia" w:eastAsiaTheme="majorEastAsia"/>
          <w:color w:val="auto"/>
          <w:kern w:val="0"/>
          <w:sz w:val="24"/>
          <w:highlight w:val="none"/>
          <w:lang w:val="zh-CN"/>
        </w:rPr>
        <w:t xml:space="preserve">                                               日期：  年  月   日</w:t>
      </w:r>
    </w:p>
    <w:p>
      <w:pPr>
        <w:adjustRightInd w:val="0"/>
        <w:snapToGrid w:val="0"/>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C、</w:t>
      </w:r>
      <w:r>
        <w:rPr>
          <w:rFonts w:hint="eastAsia" w:cs="仿宋" w:asciiTheme="majorEastAsia" w:hAnsiTheme="majorEastAsia" w:eastAsiaTheme="majorEastAsia"/>
          <w:color w:val="auto"/>
          <w:sz w:val="24"/>
          <w:highlight w:val="none"/>
        </w:rPr>
        <w:t>要求合同分包的，提供分包意向协议和中小企业声明函（附件5），分包意向协议中中小企业合同金额应当达到招标公告载明的比例；如果供应商本身提供所有标的均由中小企业制造或承接，视同符合了资格条件，无需再向中小企业分包，无需提供分包意向协议。</w:t>
      </w:r>
    </w:p>
    <w:p>
      <w:pPr>
        <w:adjustRightInd w:val="0"/>
        <w:snapToGrid w:val="0"/>
        <w:spacing w:line="360" w:lineRule="auto"/>
        <w:ind w:firstLine="3534" w:firstLineChars="110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分包意向协议</w:t>
      </w:r>
    </w:p>
    <w:p>
      <w:pPr>
        <w:widowControl/>
        <w:adjustRightInd w:val="0"/>
        <w:snapToGrid w:val="0"/>
        <w:spacing w:line="360" w:lineRule="auto"/>
        <w:ind w:firstLine="120" w:firstLineChars="5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b/>
          <w:color w:val="auto"/>
          <w:sz w:val="24"/>
          <w:highlight w:val="none"/>
        </w:rPr>
        <w:t>中标后以分包方式履行合同的，提供分包意向协议；采购人不同意分包或者投标人中标后不以分包方式履行合同的，则不需要提供。</w:t>
      </w:r>
      <w:r>
        <w:rPr>
          <w:rFonts w:hint="eastAsia" w:cs="仿宋_GB2312" w:asciiTheme="majorEastAsia" w:hAnsiTheme="majorEastAsia" w:eastAsiaTheme="majorEastAsia"/>
          <w:color w:val="auto"/>
          <w:sz w:val="24"/>
          <w:highlight w:val="none"/>
        </w:rPr>
        <w:t>）</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u w:val="single"/>
        </w:rPr>
        <w:t>（投标人名称）</w:t>
      </w:r>
      <w:r>
        <w:rPr>
          <w:rFonts w:hint="eastAsia" w:cs="仿宋_GB2312" w:asciiTheme="majorEastAsia" w:hAnsiTheme="majorEastAsia" w:eastAsiaTheme="majorEastAsia"/>
          <w:color w:val="auto"/>
          <w:kern w:val="0"/>
          <w:sz w:val="24"/>
          <w:highlight w:val="none"/>
          <w:lang w:val="zh-CN"/>
        </w:rPr>
        <w:t>若成为</w:t>
      </w:r>
      <w:r>
        <w:rPr>
          <w:rFonts w:hint="eastAsia" w:cs="仿宋_GB2312" w:asciiTheme="majorEastAsia" w:hAnsiTheme="majorEastAsia" w:eastAsiaTheme="majorEastAsia"/>
          <w:color w:val="auto"/>
          <w:sz w:val="24"/>
          <w:highlight w:val="none"/>
        </w:rPr>
        <w:t>（项目名称）【招标编号：</w:t>
      </w:r>
      <w:r>
        <w:rPr>
          <w:rFonts w:hint="eastAsia" w:asciiTheme="majorEastAsia" w:hAnsiTheme="majorEastAsia" w:eastAsiaTheme="majorEastAsia"/>
          <w:color w:val="auto"/>
          <w:sz w:val="24"/>
          <w:highlight w:val="none"/>
        </w:rPr>
        <w:t>（采购编号）</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lang w:val="zh-CN"/>
        </w:rPr>
        <w:t>的中标供应商，将依法采取分包方式履行合同。</w:t>
      </w:r>
      <w:r>
        <w:rPr>
          <w:rFonts w:hint="eastAsia" w:cs="仿宋_GB2312" w:asciiTheme="majorEastAsia" w:hAnsiTheme="majorEastAsia" w:eastAsiaTheme="majorEastAsia"/>
          <w:color w:val="auto"/>
          <w:kern w:val="0"/>
          <w:sz w:val="24"/>
          <w:highlight w:val="none"/>
          <w:u w:val="single"/>
        </w:rPr>
        <w:t>（投标人名称）</w:t>
      </w:r>
      <w:r>
        <w:rPr>
          <w:rFonts w:hint="eastAsia" w:cs="仿宋_GB2312" w:asciiTheme="majorEastAsia" w:hAnsiTheme="majorEastAsia" w:eastAsiaTheme="majorEastAsia"/>
          <w:color w:val="auto"/>
          <w:kern w:val="0"/>
          <w:sz w:val="24"/>
          <w:highlight w:val="none"/>
        </w:rPr>
        <w:t>与</w:t>
      </w:r>
      <w:r>
        <w:rPr>
          <w:rFonts w:hint="eastAsia" w:cs="仿宋_GB2312" w:asciiTheme="majorEastAsia" w:hAnsiTheme="majorEastAsia" w:eastAsiaTheme="majorEastAsia"/>
          <w:color w:val="auto"/>
          <w:kern w:val="0"/>
          <w:sz w:val="24"/>
          <w:highlight w:val="none"/>
          <w:u w:val="single"/>
        </w:rPr>
        <w:t>（所有分包供应商名称）</w:t>
      </w:r>
      <w:r>
        <w:rPr>
          <w:rFonts w:hint="eastAsia" w:cs="仿宋_GB2312" w:asciiTheme="majorEastAsia" w:hAnsiTheme="majorEastAsia" w:eastAsiaTheme="majorEastAsia"/>
          <w:color w:val="auto"/>
          <w:kern w:val="0"/>
          <w:sz w:val="24"/>
          <w:highlight w:val="none"/>
        </w:rPr>
        <w:t>达成分包意向协议</w:t>
      </w:r>
      <w:r>
        <w:rPr>
          <w:rFonts w:hint="eastAsia" w:cs="仿宋_GB2312" w:asciiTheme="majorEastAsia" w:hAnsiTheme="majorEastAsia" w:eastAsiaTheme="majorEastAsia"/>
          <w:color w:val="auto"/>
          <w:kern w:val="0"/>
          <w:sz w:val="24"/>
          <w:highlight w:val="none"/>
          <w:lang w:val="zh-CN"/>
        </w:rPr>
        <w:t>。</w:t>
      </w:r>
      <w:r>
        <w:rPr>
          <w:rFonts w:cs="仿宋_GB2312" w:asciiTheme="majorEastAsia" w:hAnsiTheme="majorEastAsia" w:eastAsiaTheme="majorEastAsia"/>
          <w:color w:val="auto"/>
          <w:kern w:val="0"/>
          <w:sz w:val="24"/>
          <w:highlight w:val="none"/>
          <w:lang w:val="zh-CN"/>
        </w:rPr>
        <w:t xml:space="preserve"> </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一、分包标的及数量</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u w:val="single"/>
        </w:rPr>
        <w:t>（投标人名称）</w:t>
      </w:r>
      <w:r>
        <w:rPr>
          <w:rFonts w:hint="eastAsia" w:cs="仿宋_GB2312" w:asciiTheme="majorEastAsia" w:hAnsiTheme="majorEastAsia" w:eastAsiaTheme="majorEastAsia"/>
          <w:color w:val="auto"/>
          <w:kern w:val="0"/>
          <w:sz w:val="24"/>
          <w:highlight w:val="none"/>
          <w:lang w:val="zh-CN"/>
        </w:rPr>
        <w:t>将</w:t>
      </w:r>
      <w:r>
        <w:rPr>
          <w:rFonts w:asciiTheme="majorEastAsia" w:hAnsiTheme="majorEastAsia" w:eastAsiaTheme="majorEastAsia"/>
          <w:color w:val="auto"/>
          <w:highlight w:val="none"/>
          <w:u w:val="single"/>
        </w:rPr>
        <w:t xml:space="preserve">   XX工作内容   </w:t>
      </w:r>
      <w:r>
        <w:rPr>
          <w:rFonts w:hint="eastAsia" w:cs="Arial" w:asciiTheme="majorEastAsia" w:hAnsiTheme="majorEastAsia" w:eastAsiaTheme="majorEastAsia"/>
          <w:color w:val="auto"/>
          <w:sz w:val="24"/>
          <w:highlight w:val="none"/>
        </w:rPr>
        <w:t>分包给</w:t>
      </w:r>
      <w:r>
        <w:rPr>
          <w:rFonts w:hint="eastAsia" w:cs="仿宋_GB2312" w:asciiTheme="majorEastAsia" w:hAnsiTheme="majorEastAsia" w:eastAsiaTheme="majorEastAsia"/>
          <w:color w:val="auto"/>
          <w:kern w:val="0"/>
          <w:sz w:val="24"/>
          <w:highlight w:val="none"/>
          <w:u w:val="single"/>
        </w:rPr>
        <w:t>（某分包供应商名称）</w:t>
      </w:r>
      <w:r>
        <w:rPr>
          <w:rFonts w:hint="eastAsia" w:cs="仿宋_GB2312" w:asciiTheme="majorEastAsia" w:hAnsiTheme="majorEastAsia" w:eastAsiaTheme="majorEastAsia"/>
          <w:color w:val="auto"/>
          <w:kern w:val="0"/>
          <w:sz w:val="24"/>
          <w:highlight w:val="none"/>
          <w:lang w:val="zh-CN"/>
        </w:rPr>
        <w:t>，</w:t>
      </w:r>
      <w:r>
        <w:rPr>
          <w:rFonts w:hint="eastAsia" w:cs="仿宋_GB2312" w:asciiTheme="majorEastAsia" w:hAnsiTheme="majorEastAsia" w:eastAsiaTheme="majorEastAsia"/>
          <w:color w:val="auto"/>
          <w:kern w:val="0"/>
          <w:sz w:val="24"/>
          <w:highlight w:val="none"/>
          <w:u w:val="single"/>
        </w:rPr>
        <w:t>（某分包供应商名称），</w:t>
      </w:r>
      <w:r>
        <w:rPr>
          <w:rFonts w:hint="eastAsia" w:cs="仿宋_GB2312" w:asciiTheme="majorEastAsia" w:hAnsiTheme="majorEastAsia" w:eastAsiaTheme="majorEastAsia"/>
          <w:color w:val="auto"/>
          <w:kern w:val="0"/>
          <w:sz w:val="24"/>
          <w:highlight w:val="none"/>
          <w:lang w:val="zh-CN"/>
        </w:rPr>
        <w:t>具备承</w:t>
      </w:r>
      <w:r>
        <w:rPr>
          <w:rFonts w:hint="eastAsia" w:cs="仿宋_GB2312" w:asciiTheme="majorEastAsia" w:hAnsiTheme="majorEastAsia" w:eastAsiaTheme="majorEastAsia"/>
          <w:color w:val="auto"/>
          <w:kern w:val="0"/>
          <w:sz w:val="24"/>
          <w:highlight w:val="none"/>
        </w:rPr>
        <w:t>担</w:t>
      </w:r>
      <w:r>
        <w:rPr>
          <w:rFonts w:cs="仿宋_GB2312" w:asciiTheme="majorEastAsia" w:hAnsiTheme="majorEastAsia" w:eastAsiaTheme="majorEastAsia"/>
          <w:color w:val="auto"/>
          <w:kern w:val="0"/>
          <w:sz w:val="24"/>
          <w:highlight w:val="none"/>
          <w:u w:val="single"/>
          <w:lang w:val="zh-CN"/>
        </w:rPr>
        <w:t>XX工作内容</w:t>
      </w:r>
      <w:r>
        <w:rPr>
          <w:rFonts w:hint="eastAsia" w:cs="仿宋_GB2312" w:asciiTheme="majorEastAsia" w:hAnsiTheme="majorEastAsia" w:eastAsiaTheme="majorEastAsia"/>
          <w:color w:val="auto"/>
          <w:kern w:val="0"/>
          <w:sz w:val="24"/>
          <w:highlight w:val="none"/>
          <w:lang w:val="zh-CN"/>
        </w:rPr>
        <w:t>相应资质条件且不得再次分包；</w:t>
      </w:r>
    </w:p>
    <w:p>
      <w:pPr>
        <w:keepNext/>
        <w:keepLines/>
        <w:tabs>
          <w:tab w:val="left" w:pos="432"/>
        </w:tabs>
        <w:adjustRightInd w:val="0"/>
        <w:snapToGrid w:val="0"/>
        <w:spacing w:line="360" w:lineRule="auto"/>
        <w:ind w:left="664" w:leftChars="316" w:firstLine="228" w:firstLineChars="95"/>
        <w:rPr>
          <w:rFonts w:asciiTheme="majorEastAsia" w:hAnsiTheme="majorEastAsia" w:eastAsiaTheme="majorEastAsia"/>
          <w:color w:val="auto"/>
          <w:highlight w:val="none"/>
        </w:rPr>
      </w:pPr>
      <w:r>
        <w:rPr>
          <w:rFonts w:hint="eastAsia" w:cs="仿宋_GB2312" w:asciiTheme="majorEastAsia" w:hAnsiTheme="majorEastAsia" w:eastAsiaTheme="majorEastAsia"/>
          <w:color w:val="auto"/>
          <w:kern w:val="0"/>
          <w:sz w:val="24"/>
          <w:highlight w:val="none"/>
        </w:rPr>
        <w:t>……</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二、分包工作履行期限、地点、方式</w:t>
      </w:r>
    </w:p>
    <w:p>
      <w:pPr>
        <w:adjustRightInd w:val="0"/>
        <w:snapToGrid w:val="0"/>
        <w:spacing w:line="360" w:lineRule="auto"/>
        <w:ind w:firstLine="576"/>
        <w:rPr>
          <w:rFonts w:asciiTheme="majorEastAsia" w:hAnsiTheme="majorEastAsia" w:eastAsiaTheme="majorEastAsia"/>
          <w:color w:val="auto"/>
          <w:highlight w:val="none"/>
          <w:u w:val="single"/>
        </w:rPr>
      </w:pPr>
      <w:r>
        <w:rPr>
          <w:rFonts w:asciiTheme="majorEastAsia" w:hAnsiTheme="majorEastAsia" w:eastAsiaTheme="majorEastAsia"/>
          <w:color w:val="auto"/>
          <w:highlight w:val="none"/>
          <w:u w:val="single"/>
        </w:rPr>
        <w:t xml:space="preserve">                                                                                  </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三、质量</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asciiTheme="majorEastAsia" w:hAnsiTheme="majorEastAsia" w:eastAsiaTheme="majorEastAsia"/>
          <w:color w:val="auto"/>
          <w:highlight w:val="none"/>
          <w:u w:val="single"/>
        </w:rPr>
        <w:t xml:space="preserve">                                                                                       </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四、价款或者报酬</w:t>
      </w:r>
    </w:p>
    <w:p>
      <w:pPr>
        <w:adjustRightInd w:val="0"/>
        <w:snapToGrid w:val="0"/>
        <w:spacing w:line="360" w:lineRule="auto"/>
        <w:ind w:left="573" w:leftChars="273"/>
        <w:rPr>
          <w:rFonts w:cs="仿宋_GB2312" w:asciiTheme="majorEastAsia" w:hAnsiTheme="majorEastAsia" w:eastAsiaTheme="majorEastAsia"/>
          <w:color w:val="auto"/>
          <w:kern w:val="0"/>
          <w:sz w:val="24"/>
          <w:highlight w:val="none"/>
          <w:lang w:val="zh-CN"/>
        </w:rPr>
      </w:pPr>
      <w:r>
        <w:rPr>
          <w:rFonts w:asciiTheme="majorEastAsia" w:hAnsiTheme="majorEastAsia" w:eastAsiaTheme="majorEastAsia"/>
          <w:color w:val="auto"/>
          <w:highlight w:val="none"/>
          <w:u w:val="single"/>
        </w:rPr>
        <w:t xml:space="preserve">                                                                                     </w:t>
      </w:r>
    </w:p>
    <w:p>
      <w:pPr>
        <w:adjustRightInd w:val="0"/>
        <w:snapToGrid w:val="0"/>
        <w:spacing w:line="360" w:lineRule="auto"/>
        <w:ind w:left="573" w:leftChars="273"/>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五、违约责任</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asciiTheme="majorEastAsia" w:hAnsiTheme="majorEastAsia" w:eastAsiaTheme="majorEastAsia"/>
          <w:color w:val="auto"/>
          <w:highlight w:val="none"/>
          <w:u w:val="single"/>
        </w:rPr>
        <w:t xml:space="preserve">                                                                                     </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六、争议解决的办法</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asciiTheme="majorEastAsia" w:hAnsiTheme="majorEastAsia" w:eastAsiaTheme="majorEastAsia"/>
          <w:color w:val="auto"/>
          <w:highlight w:val="none"/>
          <w:u w:val="single"/>
        </w:rPr>
        <w:t xml:space="preserve">                                                                                  </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七、其他</w:t>
      </w:r>
    </w:p>
    <w:p>
      <w:pPr>
        <w:adjustRightInd w:val="0"/>
        <w:snapToGrid w:val="0"/>
        <w:spacing w:line="360" w:lineRule="auto"/>
        <w:ind w:left="5758" w:leftChars="342" w:hanging="5040" w:hangingChars="2100"/>
        <w:rPr>
          <w:rFonts w:cs="仿宋_GB2312" w:asciiTheme="majorEastAsia" w:hAnsiTheme="majorEastAsia" w:eastAsiaTheme="majorEastAsia"/>
          <w:color w:val="auto"/>
          <w:kern w:val="0"/>
          <w:sz w:val="24"/>
          <w:highlight w:val="none"/>
          <w:lang w:val="zh-CN"/>
        </w:rPr>
      </w:pPr>
      <w:r>
        <w:rPr>
          <w:rFonts w:hint="eastAsia" w:asciiTheme="majorEastAsia" w:hAnsiTheme="majorEastAsia" w:eastAsiaTheme="majorEastAsia"/>
          <w:color w:val="auto"/>
          <w:sz w:val="24"/>
          <w:highlight w:val="none"/>
        </w:rPr>
        <w:t>中小企业合同金额达到</w:t>
      </w:r>
      <w:r>
        <w:rPr>
          <w:rFonts w:asciiTheme="majorEastAsia" w:hAnsiTheme="majorEastAsia" w:eastAsiaTheme="majorEastAsia"/>
          <w:color w:val="auto"/>
          <w:sz w:val="24"/>
          <w:highlight w:val="none"/>
          <w:u w:val="single"/>
        </w:rPr>
        <w:t xml:space="preserve">  </w:t>
      </w:r>
      <w:r>
        <w:rPr>
          <w:rFonts w:asciiTheme="majorEastAsia" w:hAnsiTheme="majorEastAsia" w:eastAsiaTheme="majorEastAsia"/>
          <w:color w:val="auto"/>
          <w:sz w:val="24"/>
          <w:highlight w:val="none"/>
        </w:rPr>
        <w:t>%，小</w:t>
      </w:r>
      <w:r>
        <w:rPr>
          <w:rFonts w:hint="eastAsia" w:asciiTheme="majorEastAsia" w:hAnsiTheme="majorEastAsia" w:eastAsiaTheme="majorEastAsia"/>
          <w:color w:val="auto"/>
          <w:sz w:val="24"/>
          <w:highlight w:val="none"/>
        </w:rPr>
        <w:t>微企业合同金额达到</w:t>
      </w:r>
      <w:r>
        <w:rPr>
          <w:rFonts w:asciiTheme="majorEastAsia" w:hAnsiTheme="majorEastAsia" w:eastAsiaTheme="majorEastAsia"/>
          <w:color w:val="auto"/>
          <w:sz w:val="24"/>
          <w:highlight w:val="none"/>
          <w:u w:val="single"/>
        </w:rPr>
        <w:t xml:space="preserve"> </w:t>
      </w:r>
      <w:r>
        <w:rPr>
          <w:rFonts w:asciiTheme="majorEastAsia" w:hAnsiTheme="majorEastAsia" w:eastAsiaTheme="majorEastAsia"/>
          <w:color w:val="auto"/>
          <w:sz w:val="24"/>
          <w:highlight w:val="none"/>
        </w:rPr>
        <w:t>%</w:t>
      </w:r>
      <w:r>
        <w:rPr>
          <w:rFonts w:cs="仿宋_GB2312" w:asciiTheme="majorEastAsia" w:hAnsiTheme="majorEastAsia" w:eastAsiaTheme="majorEastAsia"/>
          <w:color w:val="auto"/>
          <w:kern w:val="0"/>
          <w:sz w:val="24"/>
          <w:highlight w:val="none"/>
          <w:lang w:val="zh-CN"/>
        </w:rPr>
        <w:t xml:space="preserve">  。                                           投标人名称(电子签名)：</w:t>
      </w:r>
    </w:p>
    <w:p>
      <w:pPr>
        <w:adjustRightInd w:val="0"/>
        <w:snapToGrid w:val="0"/>
        <w:spacing w:line="360" w:lineRule="auto"/>
        <w:ind w:firstLine="5640" w:firstLineChars="2350"/>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分包供应商名称：</w:t>
      </w:r>
    </w:p>
    <w:p>
      <w:pPr>
        <w:adjustRightInd w:val="0"/>
        <w:snapToGrid w:val="0"/>
        <w:spacing w:line="360" w:lineRule="auto"/>
        <w:ind w:firstLine="5760" w:firstLineChars="2400"/>
        <w:rPr>
          <w:rFonts w:asciiTheme="majorEastAsia" w:hAnsiTheme="majorEastAsia" w:eastAsiaTheme="majorEastAsia"/>
          <w:color w:val="auto"/>
          <w:highlight w:val="none"/>
        </w:rPr>
      </w:pPr>
      <w:r>
        <w:rPr>
          <w:rFonts w:hint="eastAsia" w:cs="仿宋_GB2312" w:asciiTheme="majorEastAsia" w:hAnsiTheme="majorEastAsia" w:eastAsiaTheme="majorEastAsia"/>
          <w:color w:val="auto"/>
          <w:kern w:val="0"/>
          <w:sz w:val="24"/>
          <w:highlight w:val="none"/>
          <w:lang w:val="zh-CN"/>
        </w:rPr>
        <w:t>……</w:t>
      </w:r>
    </w:p>
    <w:p>
      <w:pPr>
        <w:adjustRightInd w:val="0"/>
        <w:snapToGrid w:val="0"/>
        <w:spacing w:line="360" w:lineRule="auto"/>
        <w:jc w:val="center"/>
        <w:rPr>
          <w:rFonts w:cs="仿宋_GB2312" w:asciiTheme="majorEastAsia" w:hAnsiTheme="majorEastAsia" w:eastAsiaTheme="majorEastAsia"/>
          <w:color w:val="auto"/>
          <w:kern w:val="0"/>
          <w:sz w:val="24"/>
          <w:highlight w:val="none"/>
          <w:lang w:val="zh-CN"/>
        </w:rPr>
      </w:pPr>
      <w:r>
        <w:rPr>
          <w:rFonts w:cs="仿宋_GB2312" w:asciiTheme="majorEastAsia" w:hAnsiTheme="majorEastAsia" w:eastAsiaTheme="majorEastAsia"/>
          <w:color w:val="auto"/>
          <w:kern w:val="0"/>
          <w:sz w:val="24"/>
          <w:highlight w:val="none"/>
          <w:lang w:val="zh-CN"/>
        </w:rPr>
        <w:t xml:space="preserve">                                        日期：  年  月   日</w:t>
      </w:r>
    </w:p>
    <w:p>
      <w:pPr>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本项目专门面向</w:t>
      </w:r>
      <w:r>
        <w:rPr>
          <w:rFonts w:hint="eastAsia" w:cs="仿宋_GB2312" w:asciiTheme="majorEastAsia" w:hAnsiTheme="majorEastAsia" w:eastAsiaTheme="majorEastAsia"/>
          <w:color w:val="auto"/>
          <w:kern w:val="0"/>
          <w:sz w:val="24"/>
          <w:highlight w:val="none"/>
          <w:lang w:eastAsia="zh-CN"/>
        </w:rPr>
        <w:t>中</w:t>
      </w:r>
      <w:r>
        <w:rPr>
          <w:rFonts w:hint="eastAsia" w:cs="仿宋_GB2312" w:asciiTheme="majorEastAsia" w:hAnsiTheme="majorEastAsia" w:eastAsiaTheme="majorEastAsia"/>
          <w:color w:val="auto"/>
          <w:kern w:val="0"/>
          <w:sz w:val="24"/>
          <w:highlight w:val="none"/>
        </w:rPr>
        <w:t>小微企业，中小企业声明函示范格式如下：</w:t>
      </w:r>
    </w:p>
    <w:p>
      <w:pPr>
        <w:adjustRightInd w:val="0"/>
        <w:snapToGrid w:val="0"/>
        <w:spacing w:line="360" w:lineRule="auto"/>
        <w:jc w:val="center"/>
        <w:rPr>
          <w:rFonts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color w:val="auto"/>
          <w:sz w:val="32"/>
          <w:szCs w:val="32"/>
          <w:highlight w:val="none"/>
        </w:rPr>
        <w:t>中小企业声明函</w:t>
      </w:r>
      <w:r>
        <w:rPr>
          <w:rFonts w:hint="eastAsia" w:asciiTheme="majorEastAsia" w:hAnsiTheme="majorEastAsia" w:eastAsiaTheme="majorEastAsia"/>
          <w:b/>
          <w:color w:val="auto"/>
          <w:sz w:val="32"/>
          <w:szCs w:val="32"/>
          <w:highlight w:val="none"/>
        </w:rPr>
        <w:t>（服务）</w:t>
      </w:r>
    </w:p>
    <w:p>
      <w:pPr>
        <w:adjustRightInd w:val="0"/>
        <w:snapToGrid w:val="0"/>
        <w:spacing w:line="360" w:lineRule="auto"/>
        <w:rPr>
          <w:rFonts w:asciiTheme="majorEastAsia" w:hAnsiTheme="majorEastAsia" w:eastAsiaTheme="majorEastAsia"/>
          <w:color w:val="auto"/>
          <w:highlight w:val="none"/>
        </w:rPr>
      </w:pPr>
    </w:p>
    <w:p>
      <w:pPr>
        <w:adjustRightInd w:val="0"/>
        <w:snapToGrid w:val="0"/>
        <w:spacing w:line="360" w:lineRule="auto"/>
        <w:ind w:firstLine="480" w:firstLineChars="200"/>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本公司（联合体）郑重声明，根据《政府采购促进中小企业发展管理办法》（财库﹝</w:t>
      </w:r>
      <w:r>
        <w:rPr>
          <w:rFonts w:asciiTheme="majorEastAsia" w:hAnsiTheme="majorEastAsia" w:eastAsiaTheme="majorEastAsia"/>
          <w:color w:val="auto"/>
          <w:sz w:val="24"/>
          <w:highlight w:val="none"/>
        </w:rPr>
        <w:t xml:space="preserve">2020﹞46 </w:t>
      </w:r>
      <w:r>
        <w:rPr>
          <w:rFonts w:hint="eastAsia" w:asciiTheme="majorEastAsia" w:hAnsiTheme="majorEastAsia" w:eastAsiaTheme="majorEastAsia"/>
          <w:color w:val="auto"/>
          <w:sz w:val="24"/>
          <w:highlight w:val="none"/>
        </w:rPr>
        <w:t>号）的规定，本公司（联合体）参加</w:t>
      </w:r>
      <w:r>
        <w:rPr>
          <w:rFonts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u w:val="single"/>
        </w:rPr>
        <w:t>杭州市钱塘区农业农村局</w:t>
      </w:r>
      <w:r>
        <w:rPr>
          <w:rFonts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的</w:t>
      </w:r>
      <w:r>
        <w:rPr>
          <w:rFonts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u w:val="single"/>
        </w:rPr>
        <w:t>十二工段以南500米的监测断面水质提升和十八工段闸口监测断面水质提升项目</w:t>
      </w:r>
      <w:r>
        <w:rPr>
          <w:rFonts w:hint="eastAsia" w:cs="仿宋" w:asciiTheme="majorEastAsia" w:hAnsiTheme="majorEastAsia" w:eastAsiaTheme="majorEastAsia"/>
          <w:color w:val="auto"/>
          <w:kern w:val="0"/>
          <w:sz w:val="24"/>
          <w:highlight w:val="none"/>
          <w:u w:val="single"/>
        </w:rPr>
        <w:t xml:space="preserve"> </w:t>
      </w:r>
      <w:r>
        <w:rPr>
          <w:rFonts w:hint="eastAsia" w:asciiTheme="majorEastAsia" w:hAnsiTheme="majorEastAsia" w:eastAsiaTheme="majorEastAsia"/>
          <w:color w:val="auto"/>
          <w:sz w:val="24"/>
          <w:highlight w:val="none"/>
        </w:rPr>
        <w:t>采购活动，服务全部由符合政策要求的中小企业承接。相关企业（含联合体中的中小企业、签订分包意向协议的中小企业）的具体情况如下：</w:t>
      </w:r>
    </w:p>
    <w:p>
      <w:pPr>
        <w:numPr>
          <w:ilvl w:val="0"/>
          <w:numId w:val="10"/>
        </w:numPr>
        <w:adjustRightInd w:val="0"/>
        <w:snapToGrid w:val="0"/>
        <w:spacing w:line="360" w:lineRule="auto"/>
        <w:ind w:firstLine="480" w:firstLineChars="200"/>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kern w:val="0"/>
          <w:sz w:val="24"/>
          <w:highlight w:val="none"/>
          <w:u w:val="single"/>
        </w:rPr>
        <w:t xml:space="preserve"> </w:t>
      </w:r>
      <w:r>
        <w:rPr>
          <w:rFonts w:cs="仿宋" w:asciiTheme="majorEastAsia" w:hAnsiTheme="majorEastAsia" w:eastAsiaTheme="majorEastAsia"/>
          <w:color w:val="auto"/>
          <w:kern w:val="0"/>
          <w:sz w:val="24"/>
          <w:highlight w:val="none"/>
          <w:u w:val="single"/>
        </w:rPr>
        <w:t xml:space="preserve">                        </w:t>
      </w:r>
      <w:r>
        <w:rPr>
          <w:rFonts w:hint="eastAsia"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，属于</w:t>
      </w:r>
      <w:r>
        <w:rPr>
          <w:rFonts w:hint="eastAsia" w:asciiTheme="majorEastAsia" w:hAnsiTheme="majorEastAsia" w:eastAsiaTheme="majorEastAsia"/>
          <w:color w:val="auto"/>
          <w:sz w:val="24"/>
          <w:highlight w:val="none"/>
          <w:u w:val="single"/>
        </w:rPr>
        <w:t xml:space="preserve"> </w:t>
      </w:r>
      <w:r>
        <w:rPr>
          <w:rFonts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u w:val="single"/>
        </w:rPr>
        <w:t xml:space="preserve"> </w:t>
      </w:r>
      <w:r>
        <w:rPr>
          <w:rFonts w:asciiTheme="majorEastAsia" w:hAnsiTheme="majorEastAsia" w:eastAsiaTheme="majorEastAsia"/>
          <w:color w:val="auto"/>
          <w:sz w:val="24"/>
          <w:highlight w:val="none"/>
        </w:rPr>
        <w:t>；承接企业为</w:t>
      </w:r>
      <w:r>
        <w:rPr>
          <w:rFonts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u w:val="single"/>
        </w:rPr>
        <w:t xml:space="preserve">       （企业名称）</w:t>
      </w:r>
      <w:r>
        <w:rPr>
          <w:rFonts w:asciiTheme="majorEastAsia" w:hAnsiTheme="majorEastAsia" w:eastAsiaTheme="majorEastAsia"/>
          <w:color w:val="auto"/>
          <w:sz w:val="24"/>
          <w:highlight w:val="none"/>
        </w:rPr>
        <w:t xml:space="preserve"> ，从业人员</w:t>
      </w:r>
      <w:r>
        <w:rPr>
          <w:rFonts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u w:val="single"/>
        </w:rPr>
        <w:t xml:space="preserve">   </w:t>
      </w:r>
      <w:r>
        <w:rPr>
          <w:rFonts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人，营业收入为</w:t>
      </w:r>
      <w:r>
        <w:rPr>
          <w:rFonts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u w:val="single"/>
        </w:rPr>
        <w:t xml:space="preserve">      </w:t>
      </w:r>
      <w:r>
        <w:rPr>
          <w:rFonts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万元，资产总额为</w:t>
      </w:r>
      <w:r>
        <w:rPr>
          <w:rFonts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u w:val="single"/>
        </w:rPr>
        <w:t xml:space="preserve">   </w:t>
      </w:r>
      <w:r>
        <w:rPr>
          <w:rFonts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rPr>
        <w:t>万元，属于</w:t>
      </w:r>
      <w:r>
        <w:rPr>
          <w:rFonts w:asciiTheme="majorEastAsia" w:hAnsiTheme="majorEastAsia" w:eastAsiaTheme="majorEastAsia"/>
          <w:color w:val="auto"/>
          <w:sz w:val="24"/>
          <w:highlight w:val="none"/>
          <w:u w:val="single"/>
        </w:rPr>
        <w:t xml:space="preserve"> </w:t>
      </w:r>
      <w:r>
        <w:rPr>
          <w:rFonts w:hint="eastAsia" w:asciiTheme="majorEastAsia" w:hAnsiTheme="majorEastAsia" w:eastAsiaTheme="majorEastAsia"/>
          <w:color w:val="auto"/>
          <w:sz w:val="24"/>
          <w:highlight w:val="none"/>
          <w:u w:val="single"/>
        </w:rPr>
        <w:t xml:space="preserve">         </w:t>
      </w:r>
      <w:r>
        <w:rPr>
          <w:rFonts w:asciiTheme="majorEastAsia" w:hAnsiTheme="majorEastAsia" w:eastAsiaTheme="majorEastAsia"/>
          <w:color w:val="auto"/>
          <w:sz w:val="24"/>
          <w:highlight w:val="none"/>
          <w:u w:val="single"/>
        </w:rPr>
        <w:t>（</w:t>
      </w:r>
      <w:r>
        <w:rPr>
          <w:rFonts w:hint="eastAsia" w:asciiTheme="majorEastAsia" w:hAnsiTheme="majorEastAsia" w:eastAsiaTheme="majorEastAsia"/>
          <w:color w:val="auto"/>
          <w:sz w:val="24"/>
          <w:highlight w:val="none"/>
          <w:u w:val="single"/>
        </w:rPr>
        <w:t>填写</w:t>
      </w:r>
      <w:r>
        <w:rPr>
          <w:rFonts w:asciiTheme="majorEastAsia" w:hAnsiTheme="majorEastAsia" w:eastAsiaTheme="majorEastAsia"/>
          <w:color w:val="auto"/>
          <w:sz w:val="24"/>
          <w:highlight w:val="none"/>
          <w:u w:val="single"/>
        </w:rPr>
        <w:t>中型企业</w:t>
      </w:r>
      <w:r>
        <w:rPr>
          <w:rFonts w:hint="eastAsia" w:asciiTheme="majorEastAsia" w:hAnsiTheme="majorEastAsia" w:eastAsiaTheme="majorEastAsia"/>
          <w:color w:val="auto"/>
          <w:sz w:val="24"/>
          <w:highlight w:val="none"/>
          <w:u w:val="single"/>
        </w:rPr>
        <w:t>或</w:t>
      </w:r>
      <w:r>
        <w:rPr>
          <w:rFonts w:asciiTheme="majorEastAsia" w:hAnsiTheme="majorEastAsia" w:eastAsiaTheme="majorEastAsia"/>
          <w:color w:val="auto"/>
          <w:sz w:val="24"/>
          <w:highlight w:val="none"/>
          <w:u w:val="single"/>
        </w:rPr>
        <w:t>小型企业</w:t>
      </w:r>
      <w:r>
        <w:rPr>
          <w:rFonts w:hint="eastAsia" w:asciiTheme="majorEastAsia" w:hAnsiTheme="majorEastAsia" w:eastAsiaTheme="majorEastAsia"/>
          <w:color w:val="auto"/>
          <w:sz w:val="24"/>
          <w:highlight w:val="none"/>
          <w:u w:val="single"/>
        </w:rPr>
        <w:t>或</w:t>
      </w:r>
      <w:r>
        <w:rPr>
          <w:rFonts w:asciiTheme="majorEastAsia" w:hAnsiTheme="majorEastAsia" w:eastAsiaTheme="majorEastAsia"/>
          <w:color w:val="auto"/>
          <w:sz w:val="24"/>
          <w:highlight w:val="none"/>
          <w:u w:val="single"/>
        </w:rPr>
        <w:t>微型企业</w:t>
      </w:r>
      <w:r>
        <w:rPr>
          <w:rFonts w:hint="eastAsia" w:asciiTheme="majorEastAsia" w:hAnsiTheme="majorEastAsia" w:eastAsiaTheme="majorEastAsia"/>
          <w:color w:val="auto"/>
          <w:sz w:val="24"/>
          <w:highlight w:val="none"/>
          <w:u w:val="single"/>
        </w:rPr>
        <w:t>的一种</w:t>
      </w:r>
      <w:r>
        <w:rPr>
          <w:rFonts w:asciiTheme="majorEastAsia" w:hAnsiTheme="majorEastAsia" w:eastAsiaTheme="majorEastAsia"/>
          <w:color w:val="auto"/>
          <w:sz w:val="24"/>
          <w:highlight w:val="none"/>
          <w:u w:val="single"/>
        </w:rPr>
        <w:t xml:space="preserve">） </w:t>
      </w:r>
    </w:p>
    <w:p>
      <w:pPr>
        <w:adjustRightInd w:val="0"/>
        <w:snapToGrid w:val="0"/>
        <w:spacing w:line="360" w:lineRule="auto"/>
        <w:ind w:firstLine="480" w:firstLineChars="200"/>
        <w:jc w:val="left"/>
        <w:rPr>
          <w:rFonts w:asciiTheme="majorEastAsia" w:hAnsiTheme="majorEastAsia" w:eastAsiaTheme="majorEastAsia"/>
          <w:color w:val="auto"/>
          <w:sz w:val="24"/>
          <w:highlight w:val="none"/>
        </w:rPr>
      </w:pPr>
    </w:p>
    <w:p>
      <w:pPr>
        <w:adjustRightInd w:val="0"/>
        <w:snapToGrid w:val="0"/>
        <w:spacing w:line="360" w:lineRule="auto"/>
        <w:ind w:firstLine="480" w:firstLineChars="200"/>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w:t>
      </w:r>
    </w:p>
    <w:p>
      <w:pPr>
        <w:adjustRightInd w:val="0"/>
        <w:snapToGrid w:val="0"/>
        <w:spacing w:line="360" w:lineRule="auto"/>
        <w:ind w:firstLine="480" w:firstLineChars="200"/>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以上企业，不属于大企业的分支机构，不存在控股股东为大企业的情形，也不存在与大企业的负责人为同一人的情形。</w:t>
      </w:r>
    </w:p>
    <w:p>
      <w:pPr>
        <w:adjustRightInd w:val="0"/>
        <w:snapToGrid w:val="0"/>
        <w:spacing w:line="360" w:lineRule="auto"/>
        <w:ind w:firstLine="480" w:firstLineChars="200"/>
        <w:jc w:val="lef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本企业对上述声明内容的真实性负责。如有虚假，将依法承担相应责任。</w:t>
      </w:r>
    </w:p>
    <w:p>
      <w:pPr>
        <w:adjustRightInd w:val="0"/>
        <w:snapToGrid w:val="0"/>
        <w:spacing w:line="360" w:lineRule="auto"/>
        <w:jc w:val="right"/>
        <w:rPr>
          <w:rFonts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投标人</w:t>
      </w:r>
      <w:r>
        <w:rPr>
          <w:rFonts w:hint="eastAsia" w:asciiTheme="majorEastAsia" w:hAnsiTheme="majorEastAsia" w:eastAsiaTheme="majorEastAsia"/>
          <w:color w:val="auto"/>
          <w:sz w:val="24"/>
          <w:highlight w:val="none"/>
        </w:rPr>
        <w:t>名称（</w:t>
      </w:r>
      <w:r>
        <w:rPr>
          <w:rFonts w:hint="eastAsia" w:cs="仿宋_GB2312" w:asciiTheme="majorEastAsia" w:hAnsiTheme="majorEastAsia" w:eastAsiaTheme="majorEastAsia"/>
          <w:color w:val="auto"/>
          <w:sz w:val="24"/>
          <w:highlight w:val="none"/>
        </w:rPr>
        <w:t>电子签名</w:t>
      </w:r>
      <w:r>
        <w:rPr>
          <w:rFonts w:hint="eastAsia" w:asciiTheme="majorEastAsia" w:hAnsiTheme="majorEastAsia" w:eastAsiaTheme="majorEastAsia"/>
          <w:color w:val="auto"/>
          <w:sz w:val="24"/>
          <w:highlight w:val="none"/>
        </w:rPr>
        <w:t>）：</w:t>
      </w:r>
    </w:p>
    <w:p>
      <w:pPr>
        <w:keepNext/>
        <w:keepLines/>
        <w:adjustRightInd w:val="0"/>
        <w:snapToGrid w:val="0"/>
        <w:spacing w:line="360" w:lineRule="auto"/>
        <w:ind w:firstLine="6240" w:firstLineChars="2600"/>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日</w:t>
      </w:r>
      <w:r>
        <w:rPr>
          <w:rFonts w:asciiTheme="majorEastAsia" w:hAnsiTheme="majorEastAsia" w:eastAsiaTheme="majorEastAsia"/>
          <w:color w:val="auto"/>
          <w:sz w:val="24"/>
          <w:highlight w:val="none"/>
        </w:rPr>
        <w:t xml:space="preserve"> </w:t>
      </w:r>
      <w:r>
        <w:rPr>
          <w:rFonts w:hint="eastAsia" w:asciiTheme="majorEastAsia" w:hAnsiTheme="majorEastAsia" w:eastAsiaTheme="majorEastAsia"/>
          <w:color w:val="auto"/>
          <w:sz w:val="24"/>
          <w:highlight w:val="none"/>
        </w:rPr>
        <w:t>期：</w:t>
      </w:r>
    </w:p>
    <w:p>
      <w:pPr>
        <w:keepNext/>
        <w:keepLines/>
        <w:adjustRightInd w:val="0"/>
        <w:spacing w:line="416" w:lineRule="auto"/>
        <w:rPr>
          <w:rFonts w:asciiTheme="majorEastAsia" w:hAnsiTheme="majorEastAsia" w:eastAsiaTheme="majorEastAsia"/>
          <w:color w:val="auto"/>
          <w:highlight w:val="none"/>
          <w:lang w:val="zh-CN"/>
        </w:rPr>
      </w:pPr>
    </w:p>
    <w:p>
      <w:pPr>
        <w:keepNext/>
        <w:keepLines/>
        <w:adjustRightInd w:val="0"/>
        <w:spacing w:line="416" w:lineRule="auto"/>
        <w:rPr>
          <w:rFonts w:asciiTheme="majorEastAsia" w:hAnsiTheme="majorEastAsia" w:eastAsiaTheme="majorEastAsia"/>
          <w:color w:val="auto"/>
          <w:highlight w:val="none"/>
          <w:lang w:val="zh-CN"/>
        </w:rPr>
      </w:pPr>
    </w:p>
    <w:p>
      <w:pPr>
        <w:rPr>
          <w:rFonts w:cs="仿宋" w:asciiTheme="majorEastAsia" w:hAnsiTheme="majorEastAsia" w:eastAsiaTheme="majorEastAsia"/>
          <w:b/>
          <w:color w:val="auto"/>
          <w:kern w:val="0"/>
          <w:sz w:val="32"/>
          <w:szCs w:val="32"/>
          <w:highlight w:val="none"/>
        </w:rPr>
      </w:pPr>
      <w:r>
        <w:rPr>
          <w:rFonts w:cs="仿宋" w:asciiTheme="majorEastAsia" w:hAnsiTheme="majorEastAsia" w:eastAsiaTheme="majorEastAsia"/>
          <w:b/>
          <w:color w:val="auto"/>
          <w:kern w:val="0"/>
          <w:sz w:val="32"/>
          <w:szCs w:val="32"/>
          <w:highlight w:val="none"/>
        </w:rPr>
        <w:br w:type="page"/>
      </w:r>
    </w:p>
    <w:p>
      <w:pPr>
        <w:widowControl/>
        <w:spacing w:line="360" w:lineRule="auto"/>
        <w:ind w:left="15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三、本项目的特定资格要求</w:t>
      </w:r>
    </w:p>
    <w:p>
      <w:pP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（根据招标公告本项目的特定资格要求提供相应的材料；未要求的，无需提供）</w:t>
      </w:r>
    </w:p>
    <w:p>
      <w:pPr>
        <w:spacing w:line="360" w:lineRule="auto"/>
        <w:jc w:val="center"/>
        <w:rPr>
          <w:rFonts w:cs="仿宋" w:asciiTheme="majorEastAsia" w:hAnsiTheme="majorEastAsia" w:eastAsiaTheme="majorEastAsia"/>
          <w:color w:val="auto"/>
          <w:sz w:val="24"/>
          <w:highlight w:val="none"/>
        </w:rPr>
      </w:pPr>
    </w:p>
    <w:p>
      <w:pP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color w:val="auto"/>
          <w:sz w:val="24"/>
          <w:highlight w:val="none"/>
        </w:rPr>
        <w:br w:type="page"/>
      </w:r>
    </w:p>
    <w:p>
      <w:pPr>
        <w:spacing w:line="360" w:lineRule="auto"/>
        <w:ind w:right="420"/>
        <w:jc w:val="center"/>
        <w:outlineLvl w:val="1"/>
        <w:rPr>
          <w:rFonts w:cs="仿宋" w:asciiTheme="majorEastAsia" w:hAnsiTheme="majorEastAsia" w:eastAsiaTheme="majorEastAsia"/>
          <w:b/>
          <w:color w:val="auto"/>
          <w:kern w:val="0"/>
          <w:sz w:val="36"/>
          <w:szCs w:val="36"/>
          <w:highlight w:val="none"/>
        </w:rPr>
      </w:pPr>
      <w:bookmarkStart w:id="102" w:name="_Toc3036"/>
      <w:bookmarkStart w:id="103" w:name="_Toc11725"/>
      <w:bookmarkStart w:id="104" w:name="_Toc4272"/>
      <w:bookmarkStart w:id="105" w:name="_Toc23502"/>
      <w:r>
        <w:rPr>
          <w:rFonts w:hint="eastAsia" w:cs="仿宋" w:asciiTheme="majorEastAsia" w:hAnsiTheme="majorEastAsia" w:eastAsiaTheme="majorEastAsia"/>
          <w:b/>
          <w:color w:val="auto"/>
          <w:kern w:val="0"/>
          <w:sz w:val="36"/>
          <w:szCs w:val="36"/>
          <w:highlight w:val="none"/>
        </w:rPr>
        <w:t>商务技术文件部分</w:t>
      </w:r>
      <w:bookmarkEnd w:id="102"/>
      <w:bookmarkEnd w:id="103"/>
      <w:bookmarkEnd w:id="104"/>
      <w:bookmarkEnd w:id="105"/>
    </w:p>
    <w:p>
      <w:pPr>
        <w:spacing w:line="360" w:lineRule="auto"/>
        <w:jc w:val="center"/>
        <w:rPr>
          <w:rFonts w:cs="仿宋" w:asciiTheme="majorEastAsia" w:hAnsiTheme="majorEastAsia" w:eastAsiaTheme="majorEastAsia"/>
          <w:b/>
          <w:color w:val="auto"/>
          <w:kern w:val="0"/>
          <w:sz w:val="24"/>
          <w:highlight w:val="none"/>
        </w:rPr>
      </w:pPr>
    </w:p>
    <w:p>
      <w:pPr>
        <w:spacing w:line="360" w:lineRule="auto"/>
        <w:jc w:val="center"/>
        <w:rPr>
          <w:rFonts w:cs="仿宋" w:asciiTheme="majorEastAsia" w:hAnsiTheme="majorEastAsia" w:eastAsiaTheme="majorEastAsia"/>
          <w:b/>
          <w:color w:val="auto"/>
          <w:kern w:val="0"/>
          <w:sz w:val="28"/>
          <w:szCs w:val="28"/>
          <w:highlight w:val="none"/>
        </w:rPr>
      </w:pPr>
      <w:r>
        <w:rPr>
          <w:rFonts w:hint="eastAsia" w:cs="仿宋" w:asciiTheme="majorEastAsia" w:hAnsiTheme="majorEastAsia" w:eastAsiaTheme="majorEastAsia"/>
          <w:b/>
          <w:color w:val="auto"/>
          <w:kern w:val="0"/>
          <w:sz w:val="28"/>
          <w:szCs w:val="28"/>
          <w:highlight w:val="none"/>
        </w:rPr>
        <w:t>目录</w:t>
      </w:r>
    </w:p>
    <w:p>
      <w:pPr>
        <w:snapToGrid w:val="0"/>
        <w:spacing w:line="360" w:lineRule="auto"/>
        <w:ind w:left="479" w:leftChars="228"/>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（1）投标函</w:t>
      </w:r>
      <w:r>
        <w:rPr>
          <w:rFonts w:hint="eastAsia" w:cs="仿宋" w:asciiTheme="majorEastAsia" w:hAnsiTheme="majorEastAsia" w:eastAsiaTheme="majorEastAsia"/>
          <w:color w:val="auto"/>
          <w:highlight w:val="none"/>
        </w:rPr>
        <w:t>…………………………………………………………………………………（页码）</w:t>
      </w:r>
      <w:r>
        <w:rPr>
          <w:rFonts w:hint="eastAsia" w:cs="仿宋" w:asciiTheme="majorEastAsia" w:hAnsiTheme="majorEastAsia" w:eastAsiaTheme="majorEastAsia"/>
          <w:color w:val="auto"/>
          <w:sz w:val="24"/>
          <w:highlight w:val="none"/>
        </w:rPr>
        <w:t>（2）授权委托书或法定代表人（单位负责人、自然人本人）身份证明</w:t>
      </w:r>
      <w:r>
        <w:rPr>
          <w:rFonts w:hint="eastAsia" w:cs="仿宋" w:asciiTheme="majorEastAsia" w:hAnsiTheme="majorEastAsia" w:eastAsiaTheme="majorEastAsia"/>
          <w:color w:val="auto"/>
          <w:highlight w:val="none"/>
        </w:rPr>
        <w:t>………（页码）</w:t>
      </w:r>
    </w:p>
    <w:p>
      <w:pPr>
        <w:snapToGrid w:val="0"/>
        <w:spacing w:line="360" w:lineRule="auto"/>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（3）分包意向协议</w:t>
      </w:r>
      <w:r>
        <w:rPr>
          <w:rFonts w:hint="eastAsia" w:cs="仿宋" w:asciiTheme="majorEastAsia" w:hAnsiTheme="majorEastAsia" w:eastAsiaTheme="majorEastAsia"/>
          <w:color w:val="auto"/>
          <w:highlight w:val="none"/>
        </w:rPr>
        <w:t>…………………………………………………………………………（页码）</w:t>
      </w:r>
    </w:p>
    <w:p>
      <w:pPr>
        <w:snapToGrid w:val="0"/>
        <w:spacing w:line="360" w:lineRule="auto"/>
        <w:ind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（4）符合性审查资料</w:t>
      </w:r>
      <w:r>
        <w:rPr>
          <w:rFonts w:hint="eastAsia" w:cs="仿宋" w:asciiTheme="majorEastAsia" w:hAnsiTheme="majorEastAsia" w:eastAsiaTheme="majorEastAsia"/>
          <w:color w:val="auto"/>
          <w:highlight w:val="none"/>
        </w:rPr>
        <w:t>………………………………………………………………………（页码）</w:t>
      </w:r>
    </w:p>
    <w:p>
      <w:pPr>
        <w:snapToGrid w:val="0"/>
        <w:spacing w:line="360" w:lineRule="auto"/>
        <w:ind w:left="479" w:leftChars="228"/>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（5）评标标准相应的商务技术资料</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highlight w:val="none"/>
        </w:rPr>
        <w:t>……………（页码）</w:t>
      </w:r>
    </w:p>
    <w:p>
      <w:pPr>
        <w:snapToGrid w:val="0"/>
        <w:spacing w:line="360" w:lineRule="auto"/>
        <w:ind w:left="479" w:leftChars="228"/>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（6）商务技术偏离表</w:t>
      </w:r>
      <w:r>
        <w:rPr>
          <w:rFonts w:hint="eastAsia" w:cs="仿宋" w:asciiTheme="majorEastAsia" w:hAnsiTheme="majorEastAsia" w:eastAsiaTheme="majorEastAsia"/>
          <w:color w:val="auto"/>
          <w:highlight w:val="none"/>
        </w:rPr>
        <w:t>………………………………………………………………………（页码）</w:t>
      </w:r>
    </w:p>
    <w:p>
      <w:pPr>
        <w:snapToGrid w:val="0"/>
        <w:spacing w:line="360" w:lineRule="auto"/>
        <w:ind w:left="479" w:leftChars="228"/>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7</w:t>
      </w:r>
      <w:r>
        <w:rPr>
          <w:rFonts w:hint="eastAsia" w:cs="仿宋" w:asciiTheme="majorEastAsia" w:hAnsiTheme="majorEastAsia" w:eastAsiaTheme="majorEastAsia"/>
          <w:color w:val="auto"/>
          <w:sz w:val="24"/>
          <w:highlight w:val="none"/>
          <w:lang w:val="zh-CN"/>
        </w:rPr>
        <w:t>）政府采购供应商廉洁自律承诺书</w:t>
      </w:r>
      <w:r>
        <w:rPr>
          <w:rFonts w:hint="eastAsia" w:cs="仿宋" w:asciiTheme="majorEastAsia" w:hAnsiTheme="majorEastAsia" w:eastAsiaTheme="majorEastAsia"/>
          <w:color w:val="auto"/>
          <w:highlight w:val="none"/>
        </w:rPr>
        <w:t>…………………………………………………（页码）</w:t>
      </w:r>
    </w:p>
    <w:p>
      <w:pPr>
        <w:snapToGrid w:val="0"/>
        <w:spacing w:line="360" w:lineRule="auto"/>
        <w:jc w:val="center"/>
        <w:rPr>
          <w:rFonts w:cs="仿宋" w:asciiTheme="majorEastAsia" w:hAnsiTheme="majorEastAsia" w:eastAsiaTheme="majorEastAsia"/>
          <w:b/>
          <w:color w:val="auto"/>
          <w:kern w:val="0"/>
          <w:sz w:val="32"/>
          <w:szCs w:val="32"/>
          <w:highlight w:val="none"/>
          <w:lang w:val="zh-CN"/>
        </w:rPr>
      </w:pPr>
    </w:p>
    <w:p>
      <w:pPr>
        <w:snapToGrid w:val="0"/>
        <w:spacing w:line="360" w:lineRule="auto"/>
        <w:jc w:val="center"/>
        <w:rPr>
          <w:rFonts w:cs="仿宋" w:asciiTheme="majorEastAsia" w:hAnsiTheme="majorEastAsia" w:eastAsiaTheme="majorEastAsia"/>
          <w:b/>
          <w:color w:val="auto"/>
          <w:kern w:val="0"/>
          <w:sz w:val="32"/>
          <w:szCs w:val="32"/>
          <w:highlight w:val="none"/>
          <w:lang w:val="zh-CN"/>
        </w:rPr>
      </w:pPr>
    </w:p>
    <w:p>
      <w:pPr>
        <w:snapToGrid w:val="0"/>
        <w:spacing w:line="360" w:lineRule="auto"/>
        <w:jc w:val="center"/>
        <w:rPr>
          <w:rFonts w:cs="仿宋" w:asciiTheme="majorEastAsia" w:hAnsiTheme="majorEastAsia" w:eastAsiaTheme="majorEastAsia"/>
          <w:b/>
          <w:color w:val="auto"/>
          <w:kern w:val="0"/>
          <w:sz w:val="32"/>
          <w:szCs w:val="32"/>
          <w:highlight w:val="none"/>
          <w:lang w:val="zh-CN"/>
        </w:rPr>
      </w:pPr>
    </w:p>
    <w:p>
      <w:pPr>
        <w:snapToGrid w:val="0"/>
        <w:spacing w:line="360" w:lineRule="auto"/>
        <w:jc w:val="center"/>
        <w:rPr>
          <w:rFonts w:cs="仿宋" w:asciiTheme="majorEastAsia" w:hAnsiTheme="majorEastAsia" w:eastAsiaTheme="majorEastAsia"/>
          <w:b/>
          <w:color w:val="auto"/>
          <w:kern w:val="0"/>
          <w:sz w:val="32"/>
          <w:szCs w:val="32"/>
          <w:highlight w:val="none"/>
          <w:lang w:val="zh-CN"/>
        </w:rPr>
      </w:pPr>
    </w:p>
    <w:p>
      <w:pPr>
        <w:snapToGrid w:val="0"/>
        <w:spacing w:line="360" w:lineRule="auto"/>
        <w:jc w:val="center"/>
        <w:rPr>
          <w:rFonts w:cs="仿宋" w:asciiTheme="majorEastAsia" w:hAnsiTheme="majorEastAsia" w:eastAsiaTheme="majorEastAsia"/>
          <w:b/>
          <w:color w:val="auto"/>
          <w:kern w:val="0"/>
          <w:sz w:val="32"/>
          <w:szCs w:val="32"/>
          <w:highlight w:val="none"/>
          <w:lang w:val="zh-CN"/>
        </w:rPr>
      </w:pPr>
    </w:p>
    <w:p>
      <w:pPr>
        <w:snapToGrid w:val="0"/>
        <w:spacing w:line="360" w:lineRule="auto"/>
        <w:jc w:val="center"/>
        <w:rPr>
          <w:rFonts w:cs="仿宋" w:asciiTheme="majorEastAsia" w:hAnsiTheme="majorEastAsia" w:eastAsiaTheme="majorEastAsia"/>
          <w:b/>
          <w:color w:val="auto"/>
          <w:kern w:val="0"/>
          <w:sz w:val="32"/>
          <w:szCs w:val="32"/>
          <w:highlight w:val="none"/>
        </w:rPr>
      </w:pPr>
    </w:p>
    <w:p>
      <w:pPr>
        <w:snapToGrid w:val="0"/>
        <w:spacing w:line="360" w:lineRule="auto"/>
        <w:jc w:val="center"/>
        <w:rPr>
          <w:rFonts w:cs="仿宋" w:asciiTheme="majorEastAsia" w:hAnsiTheme="majorEastAsia" w:eastAsiaTheme="majorEastAsia"/>
          <w:b/>
          <w:color w:val="auto"/>
          <w:kern w:val="0"/>
          <w:sz w:val="32"/>
          <w:szCs w:val="32"/>
          <w:highlight w:val="none"/>
        </w:rPr>
      </w:pPr>
    </w:p>
    <w:p>
      <w:pPr>
        <w:rPr>
          <w:rFonts w:cs="仿宋" w:asciiTheme="majorEastAsia" w:hAnsiTheme="majorEastAsia" w:eastAsiaTheme="majorEastAsia"/>
          <w:color w:val="auto"/>
          <w:highlight w:val="none"/>
        </w:rPr>
      </w:pPr>
    </w:p>
    <w:p>
      <w:pPr>
        <w:snapToGrid w:val="0"/>
        <w:spacing w:line="360" w:lineRule="auto"/>
        <w:jc w:val="center"/>
        <w:rPr>
          <w:rFonts w:cs="仿宋" w:asciiTheme="majorEastAsia" w:hAnsiTheme="majorEastAsia" w:eastAsiaTheme="majorEastAsia"/>
          <w:b/>
          <w:color w:val="auto"/>
          <w:kern w:val="0"/>
          <w:sz w:val="32"/>
          <w:szCs w:val="32"/>
          <w:highlight w:val="none"/>
        </w:rPr>
      </w:pPr>
    </w:p>
    <w:p>
      <w:pPr>
        <w:snapToGrid w:val="0"/>
        <w:spacing w:line="360" w:lineRule="auto"/>
        <w:jc w:val="center"/>
        <w:rPr>
          <w:rFonts w:cs="仿宋" w:asciiTheme="majorEastAsia" w:hAnsiTheme="majorEastAsia" w:eastAsiaTheme="majorEastAsia"/>
          <w:b/>
          <w:color w:val="auto"/>
          <w:kern w:val="0"/>
          <w:sz w:val="32"/>
          <w:szCs w:val="32"/>
          <w:highlight w:val="none"/>
        </w:rPr>
      </w:pPr>
    </w:p>
    <w:p>
      <w:pPr>
        <w:snapToGrid w:val="0"/>
        <w:spacing w:line="360" w:lineRule="auto"/>
        <w:jc w:val="center"/>
        <w:rPr>
          <w:rFonts w:cs="仿宋" w:asciiTheme="majorEastAsia" w:hAnsiTheme="majorEastAsia" w:eastAsiaTheme="majorEastAsia"/>
          <w:b/>
          <w:color w:val="auto"/>
          <w:kern w:val="0"/>
          <w:sz w:val="32"/>
          <w:szCs w:val="32"/>
          <w:highlight w:val="none"/>
        </w:rPr>
      </w:pPr>
    </w:p>
    <w:p>
      <w:pPr>
        <w:snapToGrid w:val="0"/>
        <w:spacing w:line="360" w:lineRule="auto"/>
        <w:jc w:val="center"/>
        <w:rPr>
          <w:rFonts w:cs="仿宋" w:asciiTheme="majorEastAsia" w:hAnsiTheme="majorEastAsia" w:eastAsiaTheme="majorEastAsia"/>
          <w:b/>
          <w:color w:val="auto"/>
          <w:kern w:val="0"/>
          <w:sz w:val="32"/>
          <w:szCs w:val="32"/>
          <w:highlight w:val="none"/>
        </w:rPr>
      </w:pPr>
    </w:p>
    <w:p>
      <w:pPr>
        <w:snapToGrid w:val="0"/>
        <w:spacing w:line="360" w:lineRule="auto"/>
        <w:jc w:val="center"/>
        <w:rPr>
          <w:rFonts w:cs="仿宋" w:asciiTheme="majorEastAsia" w:hAnsiTheme="majorEastAsia" w:eastAsiaTheme="majorEastAsia"/>
          <w:b/>
          <w:color w:val="auto"/>
          <w:kern w:val="0"/>
          <w:sz w:val="32"/>
          <w:szCs w:val="32"/>
          <w:highlight w:val="none"/>
        </w:rPr>
      </w:pPr>
    </w:p>
    <w:p>
      <w:pPr>
        <w:rPr>
          <w:rFonts w:cs="仿宋" w:asciiTheme="majorEastAsia" w:hAnsiTheme="majorEastAsia" w:eastAsiaTheme="majorEastAsia"/>
          <w:b/>
          <w:color w:val="auto"/>
          <w:kern w:val="0"/>
          <w:sz w:val="32"/>
          <w:szCs w:val="32"/>
          <w:highlight w:val="none"/>
        </w:rPr>
      </w:pPr>
      <w:r>
        <w:rPr>
          <w:rFonts w:cs="仿宋" w:asciiTheme="majorEastAsia" w:hAnsiTheme="majorEastAsia" w:eastAsiaTheme="majorEastAsia"/>
          <w:b/>
          <w:color w:val="auto"/>
          <w:kern w:val="0"/>
          <w:sz w:val="32"/>
          <w:szCs w:val="32"/>
          <w:highlight w:val="none"/>
        </w:rPr>
        <w:br w:type="page"/>
      </w:r>
    </w:p>
    <w:p>
      <w:pPr>
        <w:snapToGrid w:val="0"/>
        <w:spacing w:line="360" w:lineRule="auto"/>
        <w:jc w:val="center"/>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kern w:val="0"/>
          <w:sz w:val="32"/>
          <w:szCs w:val="32"/>
          <w:highlight w:val="none"/>
        </w:rPr>
        <w:t>一、投标</w:t>
      </w:r>
      <w:r>
        <w:rPr>
          <w:rFonts w:hint="eastAsia" w:cs="仿宋" w:asciiTheme="majorEastAsia" w:hAnsiTheme="majorEastAsia" w:eastAsiaTheme="majorEastAsia"/>
          <w:b/>
          <w:color w:val="auto"/>
          <w:sz w:val="32"/>
          <w:szCs w:val="32"/>
          <w:highlight w:val="none"/>
        </w:rPr>
        <w:t>函</w:t>
      </w:r>
    </w:p>
    <w:p>
      <w:pPr>
        <w:adjustRightInd w:val="0"/>
        <w:snapToGrid w:val="0"/>
        <w:spacing w:line="40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u w:val="single"/>
        </w:rPr>
        <w:t>（采购人）、（采购代理机构）</w:t>
      </w:r>
      <w:r>
        <w:rPr>
          <w:rFonts w:hint="eastAsia" w:cs="仿宋" w:asciiTheme="majorEastAsia" w:hAnsiTheme="majorEastAsia" w:eastAsiaTheme="majorEastAsia"/>
          <w:color w:val="auto"/>
          <w:sz w:val="24"/>
          <w:highlight w:val="none"/>
        </w:rPr>
        <w:t>：</w:t>
      </w:r>
    </w:p>
    <w:p>
      <w:pPr>
        <w:adjustRightInd w:val="0"/>
        <w:snapToGrid w:val="0"/>
        <w:spacing w:line="40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我方参加你方组织的（项目名称）【招标编号：（采购编号）】招标的有关活动，并对此项目进行投标。为此：</w:t>
      </w:r>
    </w:p>
    <w:p>
      <w:pPr>
        <w:adjustRightInd w:val="0"/>
        <w:snapToGrid w:val="0"/>
        <w:spacing w:line="400" w:lineRule="exact"/>
        <w:ind w:firstLine="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1、我方承诺投标有效期从提交投标文件的截止之日起天（不少于90天）</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sz w:val="24"/>
          <w:highlight w:val="none"/>
        </w:rPr>
        <w:t>本投标文件在投标有效期满之前均具有约束力。</w:t>
      </w:r>
    </w:p>
    <w:p>
      <w:pPr>
        <w:adjustRightInd w:val="0"/>
        <w:snapToGrid w:val="0"/>
        <w:spacing w:line="40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2、我方的投标文件包括以下内容：</w:t>
      </w:r>
    </w:p>
    <w:p>
      <w:pPr>
        <w:adjustRightInd w:val="0"/>
        <w:snapToGrid w:val="0"/>
        <w:spacing w:line="400" w:lineRule="exact"/>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2.1资格文件：</w:t>
      </w:r>
    </w:p>
    <w:p>
      <w:pPr>
        <w:adjustRightInd w:val="0"/>
        <w:snapToGrid w:val="0"/>
        <w:spacing w:line="400" w:lineRule="exact"/>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2.1.1承诺函；</w:t>
      </w:r>
    </w:p>
    <w:p>
      <w:pPr>
        <w:adjustRightInd w:val="0"/>
        <w:snapToGrid w:val="0"/>
        <w:spacing w:line="400" w:lineRule="exact"/>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2.1.2落实政府采购政策需满足的资格要求；（提供中小企业声明函）</w:t>
      </w:r>
    </w:p>
    <w:p>
      <w:pPr>
        <w:adjustRightInd w:val="0"/>
        <w:snapToGrid w:val="0"/>
        <w:spacing w:line="400" w:lineRule="exact"/>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2.1.3本项目的特定资格要求。（</w:t>
      </w:r>
      <w:r>
        <w:rPr>
          <w:rFonts w:hint="eastAsia" w:asciiTheme="majorEastAsia" w:hAnsiTheme="majorEastAsia" w:eastAsiaTheme="majorEastAsia"/>
          <w:bCs/>
          <w:color w:val="auto"/>
          <w:sz w:val="24"/>
          <w:highlight w:val="none"/>
        </w:rPr>
        <w:t>提供有效的保安服务许可证</w:t>
      </w:r>
      <w:r>
        <w:rPr>
          <w:rFonts w:hint="eastAsia" w:cs="仿宋" w:asciiTheme="majorEastAsia" w:hAnsiTheme="majorEastAsia" w:eastAsiaTheme="majorEastAsia"/>
          <w:color w:val="auto"/>
          <w:sz w:val="24"/>
          <w:highlight w:val="none"/>
        </w:rPr>
        <w:t>）</w:t>
      </w:r>
    </w:p>
    <w:p>
      <w:pPr>
        <w:adjustRightInd w:val="0"/>
        <w:snapToGrid w:val="0"/>
        <w:spacing w:line="400" w:lineRule="exact"/>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2.1.4联合协议；（如有）</w:t>
      </w:r>
    </w:p>
    <w:p>
      <w:pPr>
        <w:adjustRightInd w:val="0"/>
        <w:snapToGrid w:val="0"/>
        <w:spacing w:line="400" w:lineRule="exact"/>
        <w:ind w:left="210" w:leftChars="100"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2商务技术</w:t>
      </w:r>
      <w:r>
        <w:rPr>
          <w:rFonts w:hint="eastAsia" w:cs="仿宋" w:asciiTheme="majorEastAsia" w:hAnsiTheme="majorEastAsia" w:eastAsiaTheme="majorEastAsia"/>
          <w:color w:val="auto"/>
          <w:sz w:val="24"/>
          <w:highlight w:val="none"/>
          <w:lang w:val="zh-CN"/>
        </w:rPr>
        <w:t>文件：</w:t>
      </w:r>
    </w:p>
    <w:p>
      <w:pPr>
        <w:adjustRightInd w:val="0"/>
        <w:snapToGrid w:val="0"/>
        <w:spacing w:line="400" w:lineRule="exact"/>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2.2.1投标函；</w:t>
      </w:r>
    </w:p>
    <w:p>
      <w:pPr>
        <w:adjustRightInd w:val="0"/>
        <w:snapToGrid w:val="0"/>
        <w:spacing w:line="400" w:lineRule="exact"/>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2.2.2授权委托书或法定代表人（单位负责人）身份证明；</w:t>
      </w:r>
    </w:p>
    <w:p>
      <w:pPr>
        <w:adjustRightInd w:val="0"/>
        <w:snapToGrid w:val="0"/>
        <w:spacing w:line="400" w:lineRule="exact"/>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2.2.3分包意向协议；（如有）</w:t>
      </w:r>
    </w:p>
    <w:p>
      <w:pPr>
        <w:adjustRightInd w:val="0"/>
        <w:snapToGrid w:val="0"/>
        <w:spacing w:line="400" w:lineRule="exact"/>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2.2.4符合性审查资料；</w:t>
      </w:r>
    </w:p>
    <w:p>
      <w:pPr>
        <w:adjustRightInd w:val="0"/>
        <w:snapToGrid w:val="0"/>
        <w:spacing w:line="400" w:lineRule="exact"/>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2.2.5评标标准相应的商务技术资料；</w:t>
      </w:r>
    </w:p>
    <w:p>
      <w:pPr>
        <w:adjustRightInd w:val="0"/>
        <w:snapToGrid w:val="0"/>
        <w:spacing w:line="400" w:lineRule="exact"/>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2.2.6商务技术偏离表；</w:t>
      </w:r>
    </w:p>
    <w:p>
      <w:pPr>
        <w:adjustRightInd w:val="0"/>
        <w:snapToGrid w:val="0"/>
        <w:spacing w:line="400" w:lineRule="exact"/>
        <w:ind w:left="420" w:leftChars="200"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7</w:t>
      </w:r>
      <w:r>
        <w:rPr>
          <w:rFonts w:hint="eastAsia" w:cs="仿宋" w:asciiTheme="majorEastAsia" w:hAnsiTheme="majorEastAsia" w:eastAsiaTheme="majorEastAsia"/>
          <w:color w:val="auto"/>
          <w:sz w:val="24"/>
          <w:highlight w:val="none"/>
          <w:lang w:val="zh-CN"/>
        </w:rPr>
        <w:t>政府采购供应商廉洁自律承诺书；</w:t>
      </w:r>
    </w:p>
    <w:p>
      <w:pPr>
        <w:adjustRightInd w:val="0"/>
        <w:snapToGrid w:val="0"/>
        <w:spacing w:line="400" w:lineRule="exact"/>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3报价文件</w:t>
      </w:r>
    </w:p>
    <w:p>
      <w:pPr>
        <w:adjustRightInd w:val="0"/>
        <w:snapToGrid w:val="0"/>
        <w:spacing w:line="400" w:lineRule="exact"/>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2.3.1开标一览表（报价表）；</w:t>
      </w:r>
    </w:p>
    <w:p>
      <w:pPr>
        <w:adjustRightInd w:val="0"/>
        <w:snapToGrid w:val="0"/>
        <w:spacing w:line="400" w:lineRule="exact"/>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2.3.2投标报价明细表。（自拟）</w:t>
      </w:r>
    </w:p>
    <w:p>
      <w:pPr>
        <w:adjustRightInd w:val="0"/>
        <w:snapToGrid w:val="0"/>
        <w:spacing w:line="400" w:lineRule="exact"/>
        <w:ind w:firstLine="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3、我方承诺除商务技术偏离表列出的偏离外，我方响应招标文件的全部要求。</w:t>
      </w:r>
    </w:p>
    <w:p>
      <w:pPr>
        <w:adjustRightInd w:val="0"/>
        <w:snapToGrid w:val="0"/>
        <w:spacing w:line="400" w:lineRule="exact"/>
        <w:ind w:firstLine="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4、如我方中标，我方承诺：</w:t>
      </w:r>
    </w:p>
    <w:p>
      <w:pPr>
        <w:adjustRightInd w:val="0"/>
        <w:snapToGrid w:val="0"/>
        <w:spacing w:line="400" w:lineRule="exact"/>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4.1在收到中标通知书后，在中标通知书规定的期限内与你方签订合同； </w:t>
      </w:r>
    </w:p>
    <w:p>
      <w:pPr>
        <w:adjustRightInd w:val="0"/>
        <w:snapToGrid w:val="0"/>
        <w:spacing w:line="400" w:lineRule="exact"/>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4.2在签订合同时不向你方提出附加条件； </w:t>
      </w:r>
    </w:p>
    <w:p>
      <w:pPr>
        <w:adjustRightInd w:val="0"/>
        <w:snapToGrid w:val="0"/>
        <w:spacing w:line="400" w:lineRule="exact"/>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4.3按照招标文件要求提交履约保证金； </w:t>
      </w:r>
    </w:p>
    <w:p>
      <w:pPr>
        <w:adjustRightInd w:val="0"/>
        <w:snapToGrid w:val="0"/>
        <w:spacing w:line="400" w:lineRule="exact"/>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4.4在合同约定的期限内完成合同规定的全部义务。 </w:t>
      </w:r>
    </w:p>
    <w:p>
      <w:pPr>
        <w:adjustRightInd w:val="0"/>
        <w:snapToGrid w:val="0"/>
        <w:spacing w:line="400" w:lineRule="exact"/>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5、其他补充说明:。</w:t>
      </w:r>
    </w:p>
    <w:p>
      <w:pPr>
        <w:adjustRightInd w:val="0"/>
        <w:snapToGrid w:val="0"/>
        <w:spacing w:line="400" w:lineRule="exact"/>
        <w:ind w:firstLine="3600" w:firstLineChars="1500"/>
        <w:rPr>
          <w:rFonts w:cs="仿宋" w:asciiTheme="majorEastAsia" w:hAnsiTheme="majorEastAsia" w:eastAsiaTheme="majorEastAsia"/>
          <w:color w:val="auto"/>
          <w:sz w:val="24"/>
          <w:highlight w:val="none"/>
        </w:rPr>
      </w:pPr>
    </w:p>
    <w:p>
      <w:pPr>
        <w:adjustRightInd w:val="0"/>
        <w:snapToGrid w:val="0"/>
        <w:spacing w:line="400" w:lineRule="exact"/>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pPr>
        <w:adjustRightInd w:val="0"/>
        <w:snapToGrid w:val="0"/>
        <w:spacing w:line="400" w:lineRule="exact"/>
        <w:jc w:val="center"/>
        <w:rPr>
          <w:rFonts w:cs="仿宋" w:asciiTheme="majorEastAsia" w:hAnsiTheme="majorEastAsia" w:eastAsiaTheme="majorEastAsia"/>
          <w:color w:val="auto"/>
          <w:kern w:val="0"/>
          <w:sz w:val="24"/>
          <w:highlight w:val="none"/>
          <w:u w:val="single"/>
          <w:lang w:val="zh-CN"/>
        </w:rPr>
      </w:pPr>
      <w:r>
        <w:rPr>
          <w:rFonts w:hint="eastAsia" w:cs="仿宋" w:asciiTheme="majorEastAsia" w:hAnsiTheme="majorEastAsia" w:eastAsiaTheme="majorEastAsia"/>
          <w:color w:val="auto"/>
          <w:sz w:val="24"/>
          <w:highlight w:val="none"/>
        </w:rPr>
        <w:t xml:space="preserve">     日期：  年   月   日</w:t>
      </w:r>
    </w:p>
    <w:p>
      <w:pP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p>
    <w:p>
      <w:pPr>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t>二、授权委托书或法定代表人（单位负责人、自然人本人）身份证明</w:t>
      </w:r>
    </w:p>
    <w:p>
      <w:pPr>
        <w:snapToGrid w:val="0"/>
        <w:spacing w:line="360" w:lineRule="auto"/>
        <w:rPr>
          <w:rFonts w:cs="仿宋" w:asciiTheme="majorEastAsia" w:hAnsiTheme="majorEastAsia" w:eastAsiaTheme="majorEastAsia"/>
          <w:color w:val="auto"/>
          <w:sz w:val="24"/>
          <w:highlight w:val="none"/>
        </w:rPr>
      </w:pPr>
    </w:p>
    <w:p>
      <w:pPr>
        <w:snapToGrid w:val="0"/>
        <w:spacing w:line="360" w:lineRule="auto"/>
        <w:ind w:firstLine="2872" w:firstLineChars="894"/>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kern w:val="0"/>
          <w:sz w:val="32"/>
          <w:szCs w:val="32"/>
          <w:highlight w:val="none"/>
          <w:lang w:val="zh-CN"/>
        </w:rPr>
        <w:t>授权委托书（适用于非联合体投标）</w:t>
      </w:r>
    </w:p>
    <w:p>
      <w:pP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（采购人）、（采购代理机构）</w:t>
      </w:r>
      <w:r>
        <w:rPr>
          <w:rFonts w:hint="eastAsia" w:cs="仿宋" w:asciiTheme="majorEastAsia" w:hAnsiTheme="majorEastAsia" w:eastAsiaTheme="majorEastAsia"/>
          <w:color w:val="auto"/>
          <w:kern w:val="0"/>
          <w:sz w:val="24"/>
          <w:highlight w:val="none"/>
          <w:lang w:val="zh-CN"/>
        </w:rPr>
        <w:t>：</w:t>
      </w:r>
    </w:p>
    <w:p>
      <w:pPr>
        <w:snapToGrid w:val="0"/>
        <w:spacing w:line="360" w:lineRule="auto"/>
        <w:ind w:firstLine="576"/>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现</w:t>
      </w:r>
      <w:r>
        <w:rPr>
          <w:rFonts w:hint="eastAsia" w:cs="仿宋" w:asciiTheme="majorEastAsia" w:hAnsiTheme="majorEastAsia" w:eastAsiaTheme="majorEastAsia"/>
          <w:color w:val="auto"/>
          <w:kern w:val="0"/>
          <w:sz w:val="24"/>
          <w:highlight w:val="none"/>
          <w:lang w:val="zh-CN"/>
        </w:rPr>
        <w:t>委托</w:t>
      </w:r>
      <w:r>
        <w:rPr>
          <w:rFonts w:hint="eastAsia" w:cs="仿宋" w:asciiTheme="majorEastAsia" w:hAnsiTheme="majorEastAsia" w:eastAsiaTheme="majorEastAsia"/>
          <w:color w:val="auto"/>
          <w:kern w:val="0"/>
          <w:sz w:val="24"/>
          <w:highlight w:val="none"/>
          <w:u w:val="single"/>
        </w:rPr>
        <w:t xml:space="preserve">        </w:t>
      </w:r>
      <w:r>
        <w:rPr>
          <w:rFonts w:hint="eastAsia" w:cs="仿宋" w:asciiTheme="majorEastAsia" w:hAnsiTheme="majorEastAsia" w:eastAsiaTheme="majorEastAsia"/>
          <w:color w:val="auto"/>
          <w:kern w:val="0"/>
          <w:sz w:val="24"/>
          <w:highlight w:val="none"/>
          <w:u w:val="single"/>
          <w:lang w:val="zh-CN"/>
        </w:rPr>
        <w:t>（姓名）</w:t>
      </w:r>
      <w:r>
        <w:rPr>
          <w:rFonts w:hint="eastAsia" w:cs="仿宋" w:asciiTheme="majorEastAsia" w:hAnsiTheme="majorEastAsia" w:eastAsiaTheme="majorEastAsia"/>
          <w:color w:val="auto"/>
          <w:kern w:val="0"/>
          <w:sz w:val="24"/>
          <w:highlight w:val="none"/>
          <w:lang w:val="zh-CN"/>
        </w:rPr>
        <w:t>为我方代理人（身份证号码：</w:t>
      </w:r>
      <w:r>
        <w:rPr>
          <w:rFonts w:hint="eastAsia" w:cs="仿宋" w:asciiTheme="majorEastAsia" w:hAnsiTheme="majorEastAsia" w:eastAsiaTheme="majorEastAsia"/>
          <w:color w:val="auto"/>
          <w:kern w:val="0"/>
          <w:sz w:val="24"/>
          <w:highlight w:val="none"/>
          <w:u w:val="single"/>
        </w:rPr>
        <w:t xml:space="preserve">          </w:t>
      </w:r>
      <w:r>
        <w:rPr>
          <w:rFonts w:hint="eastAsia" w:cs="仿宋" w:asciiTheme="majorEastAsia" w:hAnsiTheme="majorEastAsia" w:eastAsiaTheme="majorEastAsia"/>
          <w:color w:val="auto"/>
          <w:kern w:val="0"/>
          <w:sz w:val="24"/>
          <w:highlight w:val="none"/>
          <w:lang w:val="zh-CN"/>
        </w:rPr>
        <w:t>，手机：</w:t>
      </w:r>
      <w:r>
        <w:rPr>
          <w:rFonts w:hint="eastAsia" w:cs="仿宋" w:asciiTheme="majorEastAsia" w:hAnsiTheme="majorEastAsia" w:eastAsiaTheme="majorEastAsia"/>
          <w:color w:val="auto"/>
          <w:kern w:val="0"/>
          <w:sz w:val="24"/>
          <w:highlight w:val="none"/>
          <w:u w:val="single"/>
        </w:rPr>
        <w:t xml:space="preserve">       </w:t>
      </w:r>
      <w:r>
        <w:rPr>
          <w:rFonts w:hint="eastAsia" w:cs="仿宋" w:asciiTheme="majorEastAsia" w:hAnsiTheme="majorEastAsia" w:eastAsiaTheme="majorEastAsia"/>
          <w:color w:val="auto"/>
          <w:kern w:val="0"/>
          <w:sz w:val="24"/>
          <w:highlight w:val="none"/>
          <w:lang w:val="zh-CN"/>
        </w:rPr>
        <w:t>），以我方名义处理</w:t>
      </w:r>
      <w:r>
        <w:rPr>
          <w:rFonts w:hint="eastAsia" w:cs="仿宋" w:asciiTheme="majorEastAsia" w:hAnsiTheme="majorEastAsia" w:eastAsiaTheme="majorEastAsia"/>
          <w:color w:val="auto"/>
          <w:kern w:val="0"/>
          <w:sz w:val="24"/>
          <w:highlight w:val="none"/>
          <w:u w:val="single"/>
        </w:rPr>
        <w:t xml:space="preserve">        </w:t>
      </w:r>
      <w:r>
        <w:rPr>
          <w:rFonts w:hint="eastAsia" w:cs="仿宋" w:asciiTheme="majorEastAsia" w:hAnsiTheme="majorEastAsia" w:eastAsiaTheme="majorEastAsia"/>
          <w:color w:val="auto"/>
          <w:sz w:val="24"/>
          <w:highlight w:val="none"/>
          <w:u w:val="single"/>
        </w:rPr>
        <w:t>（项目名称）</w:t>
      </w:r>
      <w:r>
        <w:rPr>
          <w:rFonts w:hint="eastAsia" w:cs="仿宋" w:asciiTheme="majorEastAsia" w:hAnsiTheme="majorEastAsia" w:eastAsiaTheme="majorEastAsia"/>
          <w:color w:val="auto"/>
          <w:sz w:val="24"/>
          <w:highlight w:val="none"/>
        </w:rPr>
        <w:t>【招标编号：</w:t>
      </w:r>
      <w:r>
        <w:rPr>
          <w:rFonts w:hint="eastAsia" w:cs="仿宋" w:asciiTheme="majorEastAsia" w:hAnsiTheme="majorEastAsia" w:eastAsiaTheme="majorEastAsia"/>
          <w:color w:val="auto"/>
          <w:sz w:val="24"/>
          <w:highlight w:val="none"/>
          <w:u w:val="single"/>
        </w:rPr>
        <w:t xml:space="preserve">     （采购编号）</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kern w:val="0"/>
          <w:sz w:val="24"/>
          <w:highlight w:val="none"/>
          <w:lang w:val="zh-CN"/>
        </w:rPr>
        <w:t>政府采购投标的一切事项，其法律后果由我方承担。</w:t>
      </w:r>
    </w:p>
    <w:p>
      <w:pP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委托期限</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kern w:val="0"/>
          <w:sz w:val="24"/>
          <w:highlight w:val="none"/>
          <w:lang w:val="zh-CN"/>
        </w:rPr>
        <w:t>自年月日起至年月日止。</w:t>
      </w:r>
    </w:p>
    <w:p>
      <w:pP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特此告知。</w:t>
      </w:r>
    </w:p>
    <w:p>
      <w:pP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 xml:space="preserve">                                                 投标人名称(电子签名)：</w:t>
      </w:r>
    </w:p>
    <w:p>
      <w:pPr>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签发日期：  年  月   日</w:t>
      </w:r>
    </w:p>
    <w:p>
      <w:pPr>
        <w:snapToGrid w:val="0"/>
        <w:spacing w:line="360" w:lineRule="auto"/>
        <w:rPr>
          <w:rFonts w:cs="仿宋" w:asciiTheme="majorEastAsia" w:hAnsiTheme="majorEastAsia" w:eastAsiaTheme="majorEastAsia"/>
          <w:color w:val="auto"/>
          <w:sz w:val="24"/>
          <w:highlight w:val="none"/>
        </w:rPr>
      </w:pPr>
    </w:p>
    <w:p>
      <w:pPr>
        <w:snapToGrid w:val="0"/>
        <w:spacing w:line="360" w:lineRule="auto"/>
        <w:rPr>
          <w:rFonts w:cs="仿宋" w:asciiTheme="majorEastAsia" w:hAnsiTheme="majorEastAsia" w:eastAsiaTheme="majorEastAsia"/>
          <w:color w:val="auto"/>
          <w:sz w:val="24"/>
          <w:highlight w:val="none"/>
        </w:rPr>
      </w:pPr>
    </w:p>
    <w:p>
      <w:pPr>
        <w:snapToGrid w:val="0"/>
        <w:spacing w:line="360" w:lineRule="auto"/>
        <w:rPr>
          <w:rFonts w:cs="仿宋" w:asciiTheme="majorEastAsia" w:hAnsiTheme="majorEastAsia" w:eastAsiaTheme="majorEastAsia"/>
          <w:color w:val="auto"/>
          <w:sz w:val="24"/>
          <w:highlight w:val="none"/>
        </w:rPr>
      </w:pPr>
    </w:p>
    <w:p>
      <w:pPr>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lang w:val="zh-CN"/>
        </w:rPr>
        <w:t>授权委托书（适用于联合体投标）</w:t>
      </w:r>
    </w:p>
    <w:p>
      <w:pP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（采购人）、（采购代理机构）</w:t>
      </w:r>
      <w:r>
        <w:rPr>
          <w:rFonts w:hint="eastAsia" w:cs="仿宋" w:asciiTheme="majorEastAsia" w:hAnsiTheme="majorEastAsia" w:eastAsiaTheme="majorEastAsia"/>
          <w:color w:val="auto"/>
          <w:kern w:val="0"/>
          <w:sz w:val="24"/>
          <w:highlight w:val="none"/>
          <w:lang w:val="zh-CN"/>
        </w:rPr>
        <w:t>：</w:t>
      </w:r>
    </w:p>
    <w:p>
      <w:pPr>
        <w:snapToGrid w:val="0"/>
        <w:spacing w:line="360" w:lineRule="auto"/>
        <w:ind w:firstLine="576"/>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现</w:t>
      </w:r>
      <w:r>
        <w:rPr>
          <w:rFonts w:hint="eastAsia" w:cs="仿宋" w:asciiTheme="majorEastAsia" w:hAnsiTheme="majorEastAsia" w:eastAsiaTheme="majorEastAsia"/>
          <w:color w:val="auto"/>
          <w:kern w:val="0"/>
          <w:sz w:val="24"/>
          <w:highlight w:val="none"/>
          <w:lang w:val="zh-CN"/>
        </w:rPr>
        <w:t>委托</w:t>
      </w:r>
      <w:r>
        <w:rPr>
          <w:rFonts w:hint="eastAsia" w:cs="仿宋" w:asciiTheme="majorEastAsia" w:hAnsiTheme="majorEastAsia" w:eastAsiaTheme="majorEastAsia"/>
          <w:color w:val="auto"/>
          <w:kern w:val="0"/>
          <w:sz w:val="24"/>
          <w:highlight w:val="none"/>
          <w:u w:val="single"/>
        </w:rPr>
        <w:t xml:space="preserve">        </w:t>
      </w:r>
      <w:r>
        <w:rPr>
          <w:rFonts w:hint="eastAsia" w:cs="仿宋" w:asciiTheme="majorEastAsia" w:hAnsiTheme="majorEastAsia" w:eastAsiaTheme="majorEastAsia"/>
          <w:color w:val="auto"/>
          <w:kern w:val="0"/>
          <w:sz w:val="24"/>
          <w:highlight w:val="none"/>
          <w:u w:val="single"/>
          <w:lang w:val="zh-CN"/>
        </w:rPr>
        <w:t>（姓名）</w:t>
      </w:r>
      <w:r>
        <w:rPr>
          <w:rFonts w:hint="eastAsia" w:cs="仿宋" w:asciiTheme="majorEastAsia" w:hAnsiTheme="majorEastAsia" w:eastAsiaTheme="majorEastAsia"/>
          <w:color w:val="auto"/>
          <w:kern w:val="0"/>
          <w:sz w:val="24"/>
          <w:highlight w:val="none"/>
          <w:lang w:val="zh-CN"/>
        </w:rPr>
        <w:t>为我方代理人（身份证号码：</w:t>
      </w:r>
      <w:r>
        <w:rPr>
          <w:rFonts w:hint="eastAsia" w:cs="仿宋" w:asciiTheme="majorEastAsia" w:hAnsiTheme="majorEastAsia" w:eastAsiaTheme="majorEastAsia"/>
          <w:color w:val="auto"/>
          <w:kern w:val="0"/>
          <w:sz w:val="24"/>
          <w:highlight w:val="none"/>
          <w:u w:val="single"/>
        </w:rPr>
        <w:t xml:space="preserve">          </w:t>
      </w:r>
      <w:r>
        <w:rPr>
          <w:rFonts w:hint="eastAsia" w:cs="仿宋" w:asciiTheme="majorEastAsia" w:hAnsiTheme="majorEastAsia" w:eastAsiaTheme="majorEastAsia"/>
          <w:color w:val="auto"/>
          <w:kern w:val="0"/>
          <w:sz w:val="24"/>
          <w:highlight w:val="none"/>
          <w:lang w:val="zh-CN"/>
        </w:rPr>
        <w:t>，手机：</w:t>
      </w:r>
      <w:r>
        <w:rPr>
          <w:rFonts w:hint="eastAsia" w:cs="仿宋" w:asciiTheme="majorEastAsia" w:hAnsiTheme="majorEastAsia" w:eastAsiaTheme="majorEastAsia"/>
          <w:color w:val="auto"/>
          <w:kern w:val="0"/>
          <w:sz w:val="24"/>
          <w:highlight w:val="none"/>
          <w:u w:val="single"/>
        </w:rPr>
        <w:t xml:space="preserve">       </w:t>
      </w:r>
      <w:r>
        <w:rPr>
          <w:rFonts w:hint="eastAsia" w:cs="仿宋" w:asciiTheme="majorEastAsia" w:hAnsiTheme="majorEastAsia" w:eastAsiaTheme="majorEastAsia"/>
          <w:color w:val="auto"/>
          <w:kern w:val="0"/>
          <w:sz w:val="24"/>
          <w:highlight w:val="none"/>
          <w:lang w:val="zh-CN"/>
        </w:rPr>
        <w:t>），以我方名义处理</w:t>
      </w:r>
      <w:r>
        <w:rPr>
          <w:rFonts w:hint="eastAsia" w:cs="仿宋" w:asciiTheme="majorEastAsia" w:hAnsiTheme="majorEastAsia" w:eastAsiaTheme="majorEastAsia"/>
          <w:color w:val="auto"/>
          <w:kern w:val="0"/>
          <w:sz w:val="24"/>
          <w:highlight w:val="none"/>
          <w:u w:val="single"/>
        </w:rPr>
        <w:t xml:space="preserve">        </w:t>
      </w:r>
      <w:r>
        <w:rPr>
          <w:rFonts w:hint="eastAsia" w:cs="仿宋" w:asciiTheme="majorEastAsia" w:hAnsiTheme="majorEastAsia" w:eastAsiaTheme="majorEastAsia"/>
          <w:color w:val="auto"/>
          <w:sz w:val="24"/>
          <w:highlight w:val="none"/>
          <w:u w:val="single"/>
        </w:rPr>
        <w:t>（项目名称）</w:t>
      </w:r>
      <w:r>
        <w:rPr>
          <w:rFonts w:hint="eastAsia" w:cs="仿宋" w:asciiTheme="majorEastAsia" w:hAnsiTheme="majorEastAsia" w:eastAsiaTheme="majorEastAsia"/>
          <w:color w:val="auto"/>
          <w:sz w:val="24"/>
          <w:highlight w:val="none"/>
        </w:rPr>
        <w:t>【招标编号：</w:t>
      </w:r>
      <w:r>
        <w:rPr>
          <w:rFonts w:hint="eastAsia" w:cs="仿宋" w:asciiTheme="majorEastAsia" w:hAnsiTheme="majorEastAsia" w:eastAsiaTheme="majorEastAsia"/>
          <w:color w:val="auto"/>
          <w:sz w:val="24"/>
          <w:highlight w:val="none"/>
          <w:u w:val="single"/>
        </w:rPr>
        <w:t xml:space="preserve">     （采购编号）</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kern w:val="0"/>
          <w:sz w:val="24"/>
          <w:highlight w:val="none"/>
          <w:lang w:val="zh-CN"/>
        </w:rPr>
        <w:t>政府采购投标的一切事项，其法律后果由我方承担。</w:t>
      </w:r>
    </w:p>
    <w:p>
      <w:pP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委托期限</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kern w:val="0"/>
          <w:sz w:val="24"/>
          <w:highlight w:val="none"/>
          <w:lang w:val="zh-CN"/>
        </w:rPr>
        <w:t>自年月日起至年月日止。</w:t>
      </w:r>
    </w:p>
    <w:p>
      <w:pP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特此告知。</w:t>
      </w: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rPr>
          <w:rFonts w:cs="仿宋" w:asciiTheme="majorEastAsia" w:hAnsiTheme="majorEastAsia" w:eastAsiaTheme="majorEastAsia"/>
          <w:color w:val="auto"/>
          <w:highlight w:val="none"/>
        </w:rPr>
      </w:pPr>
    </w:p>
    <w:p>
      <w:pPr>
        <w:snapToGrid w:val="0"/>
        <w:spacing w:line="360" w:lineRule="auto"/>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pPr>
        <w:snapToGrid w:val="0"/>
        <w:spacing w:line="360" w:lineRule="auto"/>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pPr>
        <w:snapToGrid w:val="0"/>
        <w:spacing w:line="360" w:lineRule="auto"/>
        <w:ind w:firstLine="5760" w:firstLineChars="24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 w:val="24"/>
          <w:highlight w:val="none"/>
          <w:lang w:val="zh-CN"/>
        </w:rPr>
        <w:t>……</w:t>
      </w:r>
    </w:p>
    <w:p>
      <w:pPr>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日期：  年  月   日</w:t>
      </w:r>
    </w:p>
    <w:p>
      <w:pP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p>
    <w:p>
      <w:pPr>
        <w:autoSpaceDE w:val="0"/>
        <w:autoSpaceDN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kern w:val="0"/>
          <w:sz w:val="32"/>
          <w:szCs w:val="32"/>
          <w:highlight w:val="none"/>
          <w:lang w:val="zh-CN"/>
        </w:rPr>
        <w:t>法定代表人、单位负责人或自然人本人</w:t>
      </w:r>
      <w:r>
        <w:rPr>
          <w:rFonts w:hint="eastAsia" w:cs="仿宋" w:asciiTheme="majorEastAsia" w:hAnsiTheme="majorEastAsia" w:eastAsiaTheme="majorEastAsia"/>
          <w:b/>
          <w:color w:val="auto"/>
          <w:sz w:val="30"/>
          <w:szCs w:val="30"/>
          <w:highlight w:val="none"/>
        </w:rPr>
        <w:t>的身份证明（适用于法定代表人、单位负责人或者自然人本人代表投标人参加投标）</w:t>
      </w:r>
    </w:p>
    <w:p>
      <w:pPr>
        <w:pStyle w:val="192"/>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身份证件扫描件：</w:t>
      </w:r>
    </w:p>
    <w:tbl>
      <w:tblPr>
        <w:tblStyle w:val="4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tcPr>
          <w:p>
            <w:pPr>
              <w:pStyle w:val="192"/>
              <w:adjustRightIn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正面：                                 反面：</w:t>
            </w:r>
          </w:p>
          <w:p>
            <w:pPr>
              <w:pStyle w:val="192"/>
              <w:adjustRightInd w:val="0"/>
              <w:spacing w:line="360" w:lineRule="auto"/>
              <w:rPr>
                <w:rFonts w:cs="仿宋" w:asciiTheme="majorEastAsia" w:hAnsiTheme="majorEastAsia" w:eastAsiaTheme="majorEastAsia"/>
                <w:bCs/>
                <w:color w:val="auto"/>
                <w:sz w:val="24"/>
                <w:highlight w:val="none"/>
              </w:rPr>
            </w:pPr>
          </w:p>
        </w:tc>
      </w:tr>
    </w:tbl>
    <w:p>
      <w:pPr>
        <w:snapToGrid w:val="0"/>
        <w:spacing w:line="360" w:lineRule="auto"/>
        <w:ind w:firstLine="576"/>
        <w:jc w:val="center"/>
        <w:rPr>
          <w:rFonts w:cs="仿宋" w:asciiTheme="majorEastAsia" w:hAnsiTheme="majorEastAsia" w:eastAsiaTheme="majorEastAsia"/>
          <w:color w:val="auto"/>
          <w:kern w:val="0"/>
          <w:sz w:val="24"/>
          <w:highlight w:val="none"/>
          <w:lang w:val="zh-CN"/>
        </w:rPr>
      </w:pPr>
    </w:p>
    <w:p>
      <w:pPr>
        <w:snapToGrid w:val="0"/>
        <w:spacing w:line="360" w:lineRule="auto"/>
        <w:ind w:firstLine="576"/>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投标人名称(电子签名)：                              </w:t>
      </w:r>
    </w:p>
    <w:p>
      <w:pPr>
        <w:spacing w:line="360" w:lineRule="auto"/>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日期：  年  月  日</w:t>
      </w: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pPr>
        <w:snapToGrid w:val="0"/>
        <w:spacing w:line="360" w:lineRule="auto"/>
        <w:ind w:firstLine="3534" w:firstLineChars="110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三、分包意向协议</w:t>
      </w:r>
    </w:p>
    <w:p>
      <w:pPr>
        <w:widowControl/>
        <w:adjustRightInd w:val="0"/>
        <w:snapToGrid w:val="0"/>
        <w:spacing w:line="360" w:lineRule="auto"/>
        <w:ind w:firstLine="120" w:firstLineChars="50"/>
        <w:jc w:val="left"/>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b/>
          <w:color w:val="auto"/>
          <w:sz w:val="24"/>
          <w:highlight w:val="none"/>
        </w:rPr>
        <w:t>中标后以分包方式履行合同的，提供分包意向协议；采购人不同意分包或者投标人中标后不以分包方式履行合同的，则不需要提供。</w:t>
      </w:r>
      <w:r>
        <w:rPr>
          <w:rFonts w:hint="eastAsia" w:cs="仿宋_GB2312" w:asciiTheme="majorEastAsia" w:hAnsiTheme="majorEastAsia" w:eastAsiaTheme="majorEastAsia"/>
          <w:color w:val="auto"/>
          <w:sz w:val="24"/>
          <w:highlight w:val="none"/>
        </w:rPr>
        <w:t>）</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u w:val="single"/>
        </w:rPr>
        <w:t>（投标人名称）</w:t>
      </w:r>
      <w:r>
        <w:rPr>
          <w:rFonts w:hint="eastAsia" w:cs="仿宋_GB2312" w:asciiTheme="majorEastAsia" w:hAnsiTheme="majorEastAsia" w:eastAsiaTheme="majorEastAsia"/>
          <w:color w:val="auto"/>
          <w:kern w:val="0"/>
          <w:sz w:val="24"/>
          <w:highlight w:val="none"/>
          <w:lang w:val="zh-CN"/>
        </w:rPr>
        <w:t>若成为</w:t>
      </w:r>
      <w:r>
        <w:rPr>
          <w:rFonts w:hint="eastAsia" w:cs="仿宋_GB2312" w:asciiTheme="majorEastAsia" w:hAnsiTheme="majorEastAsia" w:eastAsiaTheme="majorEastAsia"/>
          <w:color w:val="auto"/>
          <w:sz w:val="24"/>
          <w:highlight w:val="none"/>
        </w:rPr>
        <w:t>（项目名称）【招标编号：</w:t>
      </w:r>
      <w:r>
        <w:rPr>
          <w:rFonts w:hint="eastAsia" w:asciiTheme="majorEastAsia" w:hAnsiTheme="majorEastAsia" w:eastAsiaTheme="majorEastAsia"/>
          <w:color w:val="auto"/>
          <w:sz w:val="24"/>
          <w:highlight w:val="none"/>
        </w:rPr>
        <w:t>（采购编号）</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lang w:val="zh-CN"/>
        </w:rPr>
        <w:t>的中标供应商，将依法采取分包方式履行合同。</w:t>
      </w:r>
      <w:r>
        <w:rPr>
          <w:rFonts w:hint="eastAsia" w:cs="仿宋_GB2312" w:asciiTheme="majorEastAsia" w:hAnsiTheme="majorEastAsia" w:eastAsiaTheme="majorEastAsia"/>
          <w:color w:val="auto"/>
          <w:kern w:val="0"/>
          <w:sz w:val="24"/>
          <w:highlight w:val="none"/>
          <w:u w:val="single"/>
        </w:rPr>
        <w:t>（投标人名称）</w:t>
      </w:r>
      <w:r>
        <w:rPr>
          <w:rFonts w:hint="eastAsia" w:cs="仿宋_GB2312" w:asciiTheme="majorEastAsia" w:hAnsiTheme="majorEastAsia" w:eastAsiaTheme="majorEastAsia"/>
          <w:color w:val="auto"/>
          <w:kern w:val="0"/>
          <w:sz w:val="24"/>
          <w:highlight w:val="none"/>
        </w:rPr>
        <w:t>与</w:t>
      </w:r>
      <w:r>
        <w:rPr>
          <w:rFonts w:hint="eastAsia" w:cs="仿宋_GB2312" w:asciiTheme="majorEastAsia" w:hAnsiTheme="majorEastAsia" w:eastAsiaTheme="majorEastAsia"/>
          <w:color w:val="auto"/>
          <w:kern w:val="0"/>
          <w:sz w:val="24"/>
          <w:highlight w:val="none"/>
          <w:u w:val="single"/>
        </w:rPr>
        <w:t>（所有分包供应商名称）</w:t>
      </w:r>
      <w:r>
        <w:rPr>
          <w:rFonts w:hint="eastAsia" w:cs="仿宋_GB2312" w:asciiTheme="majorEastAsia" w:hAnsiTheme="majorEastAsia" w:eastAsiaTheme="majorEastAsia"/>
          <w:color w:val="auto"/>
          <w:kern w:val="0"/>
          <w:sz w:val="24"/>
          <w:highlight w:val="none"/>
        </w:rPr>
        <w:t>达成分包意向协议</w:t>
      </w:r>
      <w:r>
        <w:rPr>
          <w:rFonts w:hint="eastAsia" w:cs="仿宋_GB2312" w:asciiTheme="majorEastAsia" w:hAnsiTheme="majorEastAsia" w:eastAsiaTheme="majorEastAsia"/>
          <w:color w:val="auto"/>
          <w:kern w:val="0"/>
          <w:sz w:val="24"/>
          <w:highlight w:val="none"/>
          <w:lang w:val="zh-CN"/>
        </w:rPr>
        <w:t>。</w:t>
      </w:r>
      <w:r>
        <w:rPr>
          <w:rFonts w:cs="仿宋_GB2312" w:asciiTheme="majorEastAsia" w:hAnsiTheme="majorEastAsia" w:eastAsiaTheme="majorEastAsia"/>
          <w:color w:val="auto"/>
          <w:kern w:val="0"/>
          <w:sz w:val="24"/>
          <w:highlight w:val="none"/>
          <w:lang w:val="zh-CN"/>
        </w:rPr>
        <w:t xml:space="preserve"> </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一、分包标的及数量</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u w:val="single"/>
        </w:rPr>
        <w:t>（投标人名称）</w:t>
      </w:r>
      <w:r>
        <w:rPr>
          <w:rFonts w:hint="eastAsia" w:cs="仿宋_GB2312" w:asciiTheme="majorEastAsia" w:hAnsiTheme="majorEastAsia" w:eastAsiaTheme="majorEastAsia"/>
          <w:color w:val="auto"/>
          <w:kern w:val="0"/>
          <w:sz w:val="24"/>
          <w:highlight w:val="none"/>
          <w:lang w:val="zh-CN"/>
        </w:rPr>
        <w:t>将</w:t>
      </w:r>
      <w:r>
        <w:rPr>
          <w:rFonts w:asciiTheme="majorEastAsia" w:hAnsiTheme="majorEastAsia" w:eastAsiaTheme="majorEastAsia"/>
          <w:color w:val="auto"/>
          <w:highlight w:val="none"/>
          <w:u w:val="single"/>
        </w:rPr>
        <w:t xml:space="preserve">   XX工作内容   </w:t>
      </w:r>
      <w:r>
        <w:rPr>
          <w:rFonts w:hint="eastAsia" w:cs="Arial" w:asciiTheme="majorEastAsia" w:hAnsiTheme="majorEastAsia" w:eastAsiaTheme="majorEastAsia"/>
          <w:color w:val="auto"/>
          <w:sz w:val="24"/>
          <w:highlight w:val="none"/>
        </w:rPr>
        <w:t>分包给</w:t>
      </w:r>
      <w:r>
        <w:rPr>
          <w:rFonts w:hint="eastAsia" w:cs="仿宋_GB2312" w:asciiTheme="majorEastAsia" w:hAnsiTheme="majorEastAsia" w:eastAsiaTheme="majorEastAsia"/>
          <w:color w:val="auto"/>
          <w:kern w:val="0"/>
          <w:sz w:val="24"/>
          <w:highlight w:val="none"/>
          <w:u w:val="single"/>
        </w:rPr>
        <w:t>（某分包供应商名称）</w:t>
      </w:r>
      <w:r>
        <w:rPr>
          <w:rFonts w:hint="eastAsia" w:cs="仿宋_GB2312" w:asciiTheme="majorEastAsia" w:hAnsiTheme="majorEastAsia" w:eastAsiaTheme="majorEastAsia"/>
          <w:color w:val="auto"/>
          <w:kern w:val="0"/>
          <w:sz w:val="24"/>
          <w:highlight w:val="none"/>
          <w:lang w:val="zh-CN"/>
        </w:rPr>
        <w:t>，</w:t>
      </w:r>
      <w:r>
        <w:rPr>
          <w:rFonts w:hint="eastAsia" w:cs="仿宋_GB2312" w:asciiTheme="majorEastAsia" w:hAnsiTheme="majorEastAsia" w:eastAsiaTheme="majorEastAsia"/>
          <w:color w:val="auto"/>
          <w:kern w:val="0"/>
          <w:sz w:val="24"/>
          <w:highlight w:val="none"/>
          <w:u w:val="single"/>
        </w:rPr>
        <w:t>（某分包供应商名称），</w:t>
      </w:r>
      <w:r>
        <w:rPr>
          <w:rFonts w:hint="eastAsia" w:cs="仿宋_GB2312" w:asciiTheme="majorEastAsia" w:hAnsiTheme="majorEastAsia" w:eastAsiaTheme="majorEastAsia"/>
          <w:color w:val="auto"/>
          <w:kern w:val="0"/>
          <w:sz w:val="24"/>
          <w:highlight w:val="none"/>
          <w:lang w:val="zh-CN"/>
        </w:rPr>
        <w:t>具备承</w:t>
      </w:r>
      <w:r>
        <w:rPr>
          <w:rFonts w:hint="eastAsia" w:cs="仿宋_GB2312" w:asciiTheme="majorEastAsia" w:hAnsiTheme="majorEastAsia" w:eastAsiaTheme="majorEastAsia"/>
          <w:color w:val="auto"/>
          <w:kern w:val="0"/>
          <w:sz w:val="24"/>
          <w:highlight w:val="none"/>
        </w:rPr>
        <w:t>担</w:t>
      </w:r>
      <w:r>
        <w:rPr>
          <w:rFonts w:cs="仿宋_GB2312" w:asciiTheme="majorEastAsia" w:hAnsiTheme="majorEastAsia" w:eastAsiaTheme="majorEastAsia"/>
          <w:color w:val="auto"/>
          <w:kern w:val="0"/>
          <w:sz w:val="24"/>
          <w:highlight w:val="none"/>
          <w:u w:val="single"/>
          <w:lang w:val="zh-CN"/>
        </w:rPr>
        <w:t>XX工作内容</w:t>
      </w:r>
      <w:r>
        <w:rPr>
          <w:rFonts w:hint="eastAsia" w:cs="仿宋_GB2312" w:asciiTheme="majorEastAsia" w:hAnsiTheme="majorEastAsia" w:eastAsiaTheme="majorEastAsia"/>
          <w:color w:val="auto"/>
          <w:kern w:val="0"/>
          <w:sz w:val="24"/>
          <w:highlight w:val="none"/>
          <w:lang w:val="zh-CN"/>
        </w:rPr>
        <w:t>相应资质条件且不得再次分包；</w:t>
      </w:r>
    </w:p>
    <w:p>
      <w:pPr>
        <w:keepNext/>
        <w:keepLines/>
        <w:tabs>
          <w:tab w:val="left" w:pos="432"/>
        </w:tabs>
        <w:adjustRightInd w:val="0"/>
        <w:snapToGrid w:val="0"/>
        <w:spacing w:line="360" w:lineRule="auto"/>
        <w:ind w:firstLine="228" w:firstLineChars="95"/>
        <w:rPr>
          <w:rFonts w:asciiTheme="majorEastAsia" w:hAnsiTheme="majorEastAsia" w:eastAsiaTheme="majorEastAsia"/>
          <w:color w:val="auto"/>
          <w:highlight w:val="none"/>
        </w:rPr>
      </w:pPr>
      <w:r>
        <w:rPr>
          <w:rFonts w:hint="eastAsia" w:cs="仿宋_GB2312" w:asciiTheme="majorEastAsia" w:hAnsiTheme="majorEastAsia" w:eastAsiaTheme="majorEastAsia"/>
          <w:color w:val="auto"/>
          <w:kern w:val="0"/>
          <w:sz w:val="24"/>
          <w:highlight w:val="none"/>
        </w:rPr>
        <w:t>……</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二、分包工作履行期限、地点、方式</w:t>
      </w:r>
    </w:p>
    <w:p>
      <w:pPr>
        <w:adjustRightInd w:val="0"/>
        <w:snapToGrid w:val="0"/>
        <w:spacing w:line="360" w:lineRule="auto"/>
        <w:ind w:firstLine="576"/>
        <w:rPr>
          <w:rFonts w:asciiTheme="majorEastAsia" w:hAnsiTheme="majorEastAsia" w:eastAsiaTheme="majorEastAsia"/>
          <w:color w:val="auto"/>
          <w:highlight w:val="none"/>
          <w:u w:val="single"/>
        </w:rPr>
      </w:pPr>
      <w:r>
        <w:rPr>
          <w:rFonts w:asciiTheme="majorEastAsia" w:hAnsiTheme="majorEastAsia" w:eastAsiaTheme="majorEastAsia"/>
          <w:color w:val="auto"/>
          <w:highlight w:val="none"/>
          <w:u w:val="single"/>
        </w:rPr>
        <w:t xml:space="preserve">                                                                                  </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三、质量</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asciiTheme="majorEastAsia" w:hAnsiTheme="majorEastAsia" w:eastAsiaTheme="majorEastAsia"/>
          <w:color w:val="auto"/>
          <w:highlight w:val="none"/>
          <w:u w:val="single"/>
        </w:rPr>
        <w:t xml:space="preserve">                                                                                       </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四、价款或者报酬</w:t>
      </w:r>
    </w:p>
    <w:p>
      <w:pPr>
        <w:adjustRightInd w:val="0"/>
        <w:snapToGrid w:val="0"/>
        <w:spacing w:line="360" w:lineRule="auto"/>
        <w:rPr>
          <w:rFonts w:cs="仿宋_GB2312" w:asciiTheme="majorEastAsia" w:hAnsiTheme="majorEastAsia" w:eastAsiaTheme="majorEastAsia"/>
          <w:color w:val="auto"/>
          <w:kern w:val="0"/>
          <w:sz w:val="24"/>
          <w:highlight w:val="none"/>
          <w:lang w:val="zh-CN"/>
        </w:rPr>
      </w:pPr>
      <w:r>
        <w:rPr>
          <w:rFonts w:asciiTheme="majorEastAsia" w:hAnsiTheme="majorEastAsia" w:eastAsiaTheme="majorEastAsia"/>
          <w:color w:val="auto"/>
          <w:highlight w:val="none"/>
          <w:u w:val="single"/>
        </w:rPr>
        <w:t xml:space="preserve">                                                                                     </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五、违约责任</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asciiTheme="majorEastAsia" w:hAnsiTheme="majorEastAsia" w:eastAsiaTheme="majorEastAsia"/>
          <w:color w:val="auto"/>
          <w:highlight w:val="none"/>
          <w:u w:val="single"/>
        </w:rPr>
        <w:t xml:space="preserve">                                                                                     </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六、争议解决的办法</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asciiTheme="majorEastAsia" w:hAnsiTheme="majorEastAsia" w:eastAsiaTheme="majorEastAsia"/>
          <w:color w:val="auto"/>
          <w:highlight w:val="none"/>
          <w:u w:val="single"/>
        </w:rPr>
        <w:t xml:space="preserve">                                                                                  </w:t>
      </w:r>
    </w:p>
    <w:p>
      <w:pPr>
        <w:adjustRightInd w:val="0"/>
        <w:snapToGrid w:val="0"/>
        <w:spacing w:line="360" w:lineRule="auto"/>
        <w:ind w:firstLine="576"/>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七、其他</w:t>
      </w:r>
    </w:p>
    <w:p>
      <w:pPr>
        <w:adjustRightInd w:val="0"/>
        <w:snapToGrid w:val="0"/>
        <w:spacing w:line="360" w:lineRule="auto"/>
        <w:ind w:firstLine="576"/>
        <w:rPr>
          <w:rFonts w:cs="仿宋_GB2312" w:asciiTheme="majorEastAsia" w:hAnsiTheme="majorEastAsia" w:eastAsiaTheme="majorEastAsia"/>
          <w:b/>
          <w:color w:val="auto"/>
          <w:kern w:val="0"/>
          <w:sz w:val="24"/>
          <w:highlight w:val="none"/>
          <w:lang w:val="zh-CN"/>
        </w:rPr>
      </w:pPr>
      <w:r>
        <w:rPr>
          <w:rFonts w:hint="eastAsia" w:cs="仿宋_GB2312" w:asciiTheme="majorEastAsia" w:hAnsiTheme="majorEastAsia" w:eastAsiaTheme="majorEastAsia"/>
          <w:color w:val="auto"/>
          <w:kern w:val="0"/>
          <w:sz w:val="24"/>
          <w:highlight w:val="none"/>
          <w:u w:val="single"/>
        </w:rPr>
        <w:t>（分包供应商名称）提供的货物全部由小微企业制造，</w:t>
      </w:r>
      <w:r>
        <w:rPr>
          <w:rFonts w:hint="eastAsia" w:cs="仿宋_GB2312" w:asciiTheme="majorEastAsia" w:hAnsiTheme="majorEastAsia" w:eastAsiaTheme="majorEastAsia"/>
          <w:color w:val="auto"/>
          <w:kern w:val="0"/>
          <w:sz w:val="24"/>
          <w:highlight w:val="none"/>
        </w:rPr>
        <w:t>其合同份额占到合同总金额</w:t>
      </w:r>
      <w:r>
        <w:rPr>
          <w:rFonts w:cs="仿宋_GB2312" w:asciiTheme="majorEastAsia" w:hAnsiTheme="majorEastAsia" w:eastAsiaTheme="majorEastAsia"/>
          <w:color w:val="auto"/>
          <w:kern w:val="0"/>
          <w:sz w:val="24"/>
          <w:highlight w:val="none"/>
          <w:u w:val="single"/>
        </w:rPr>
        <w:t xml:space="preserve">     </w:t>
      </w:r>
      <w:r>
        <w:rPr>
          <w:rFonts w:cs="仿宋_GB2312" w:asciiTheme="majorEastAsia" w:hAnsiTheme="majorEastAsia" w:eastAsiaTheme="majorEastAsia"/>
          <w:color w:val="auto"/>
          <w:kern w:val="0"/>
          <w:sz w:val="24"/>
          <w:highlight w:val="none"/>
        </w:rPr>
        <w:t>%以上</w:t>
      </w:r>
      <w:r>
        <w:rPr>
          <w:rFonts w:hint="eastAsia" w:asciiTheme="majorEastAsia" w:hAnsiTheme="majorEastAsia" w:eastAsiaTheme="majorEastAsia"/>
          <w:color w:val="auto"/>
          <w:highlight w:val="none"/>
        </w:rPr>
        <w:t>。</w:t>
      </w:r>
      <w:r>
        <w:rPr>
          <w:rFonts w:hint="eastAsia" w:cs="仿宋_GB2312" w:asciiTheme="majorEastAsia" w:hAnsiTheme="majorEastAsia" w:eastAsiaTheme="majorEastAsia"/>
          <w:b/>
          <w:color w:val="auto"/>
          <w:kern w:val="0"/>
          <w:sz w:val="24"/>
          <w:highlight w:val="none"/>
          <w:lang w:val="zh-CN"/>
        </w:rPr>
        <w:t>（未预留份额专门面向中小企业采购的采购项目，以及预留份额中的非预留部分采购包，允许分包的，分包供应商提供的货物全部由小微企业制造，且其合同份额占到合同总金额</w:t>
      </w:r>
      <w:r>
        <w:rPr>
          <w:rFonts w:cs="仿宋_GB2312" w:asciiTheme="majorEastAsia" w:hAnsiTheme="majorEastAsia" w:eastAsiaTheme="majorEastAsia"/>
          <w:b/>
          <w:color w:val="auto"/>
          <w:kern w:val="0"/>
          <w:sz w:val="24"/>
          <w:highlight w:val="none"/>
          <w:lang w:val="zh-CN"/>
        </w:rPr>
        <w:t xml:space="preserve"> 30%以上</w:t>
      </w:r>
      <w:r>
        <w:rPr>
          <w:rFonts w:hint="eastAsia" w:cs="仿宋_GB2312" w:asciiTheme="majorEastAsia" w:hAnsiTheme="majorEastAsia" w:eastAsiaTheme="majorEastAsia"/>
          <w:b/>
          <w:color w:val="auto"/>
          <w:kern w:val="0"/>
          <w:sz w:val="24"/>
          <w:highlight w:val="none"/>
          <w:lang w:val="zh-CN"/>
        </w:rPr>
        <w:t>的，对大中型企业的报价给予</w:t>
      </w:r>
      <w:r>
        <w:rPr>
          <w:rFonts w:hint="eastAsia" w:cs="仿宋_GB2312" w:asciiTheme="majorEastAsia" w:hAnsiTheme="majorEastAsia" w:eastAsiaTheme="majorEastAsia"/>
          <w:b/>
          <w:color w:val="auto"/>
          <w:kern w:val="0"/>
          <w:sz w:val="24"/>
          <w:highlight w:val="none"/>
        </w:rPr>
        <w:t>6</w:t>
      </w:r>
      <w:r>
        <w:rPr>
          <w:rFonts w:cs="仿宋_GB2312" w:asciiTheme="majorEastAsia" w:hAnsiTheme="majorEastAsia" w:eastAsiaTheme="majorEastAsia"/>
          <w:b/>
          <w:color w:val="auto"/>
          <w:kern w:val="0"/>
          <w:sz w:val="24"/>
          <w:highlight w:val="none"/>
          <w:lang w:val="zh-CN"/>
        </w:rPr>
        <w:t>%的扣除</w:t>
      </w:r>
      <w:r>
        <w:rPr>
          <w:rFonts w:hint="eastAsia" w:cs="仿宋_GB2312" w:asciiTheme="majorEastAsia" w:hAnsiTheme="majorEastAsia" w:eastAsiaTheme="majorEastAsia"/>
          <w:b/>
          <w:color w:val="auto"/>
          <w:kern w:val="0"/>
          <w:sz w:val="24"/>
          <w:highlight w:val="none"/>
          <w:lang w:val="zh-CN"/>
        </w:rPr>
        <w:t>）</w:t>
      </w:r>
    </w:p>
    <w:p>
      <w:pPr>
        <w:adjustRightInd w:val="0"/>
        <w:snapToGrid w:val="0"/>
        <w:spacing w:line="360" w:lineRule="auto"/>
        <w:rPr>
          <w:rFonts w:cs="仿宋_GB2312" w:asciiTheme="majorEastAsia" w:hAnsiTheme="majorEastAsia" w:eastAsiaTheme="majorEastAsia"/>
          <w:color w:val="auto"/>
          <w:kern w:val="0"/>
          <w:sz w:val="24"/>
          <w:highlight w:val="none"/>
          <w:lang w:val="zh-CN"/>
        </w:rPr>
      </w:pPr>
      <w:r>
        <w:rPr>
          <w:rFonts w:cs="仿宋_GB2312" w:asciiTheme="majorEastAsia" w:hAnsiTheme="majorEastAsia" w:eastAsiaTheme="majorEastAsia"/>
          <w:color w:val="auto"/>
          <w:kern w:val="0"/>
          <w:sz w:val="24"/>
          <w:highlight w:val="none"/>
          <w:lang w:val="zh-CN"/>
        </w:rPr>
        <w:t xml:space="preserve">                                               投标人名称(电子签名)：</w:t>
      </w:r>
    </w:p>
    <w:p>
      <w:pPr>
        <w:adjustRightInd w:val="0"/>
        <w:snapToGrid w:val="0"/>
        <w:spacing w:line="360" w:lineRule="auto"/>
        <w:ind w:firstLine="5640" w:firstLineChars="2350"/>
        <w:rPr>
          <w:rFonts w:cs="仿宋_GB2312" w:asciiTheme="majorEastAsia" w:hAnsiTheme="majorEastAsia" w:eastAsiaTheme="majorEastAsia"/>
          <w:color w:val="auto"/>
          <w:kern w:val="0"/>
          <w:sz w:val="24"/>
          <w:highlight w:val="none"/>
          <w:lang w:val="zh-CN"/>
        </w:rPr>
      </w:pPr>
      <w:r>
        <w:rPr>
          <w:rFonts w:hint="eastAsia" w:cs="仿宋_GB2312" w:asciiTheme="majorEastAsia" w:hAnsiTheme="majorEastAsia" w:eastAsiaTheme="majorEastAsia"/>
          <w:color w:val="auto"/>
          <w:kern w:val="0"/>
          <w:sz w:val="24"/>
          <w:highlight w:val="none"/>
          <w:lang w:val="zh-CN"/>
        </w:rPr>
        <w:t>分包供应商名称：</w:t>
      </w:r>
    </w:p>
    <w:p>
      <w:pPr>
        <w:adjustRightInd w:val="0"/>
        <w:snapToGrid w:val="0"/>
        <w:spacing w:line="360" w:lineRule="auto"/>
        <w:ind w:firstLine="5760" w:firstLineChars="2400"/>
        <w:rPr>
          <w:rFonts w:asciiTheme="majorEastAsia" w:hAnsiTheme="majorEastAsia" w:eastAsiaTheme="majorEastAsia"/>
          <w:color w:val="auto"/>
          <w:highlight w:val="none"/>
        </w:rPr>
      </w:pPr>
      <w:r>
        <w:rPr>
          <w:rFonts w:hint="eastAsia" w:cs="仿宋_GB2312" w:asciiTheme="majorEastAsia" w:hAnsiTheme="majorEastAsia" w:eastAsiaTheme="majorEastAsia"/>
          <w:color w:val="auto"/>
          <w:kern w:val="0"/>
          <w:sz w:val="24"/>
          <w:highlight w:val="none"/>
          <w:lang w:val="zh-CN"/>
        </w:rPr>
        <w:t>……</w:t>
      </w:r>
    </w:p>
    <w:p>
      <w:pPr>
        <w:adjustRightInd w:val="0"/>
        <w:snapToGrid w:val="0"/>
        <w:spacing w:line="360" w:lineRule="auto"/>
        <w:rPr>
          <w:rFonts w:cs="仿宋" w:asciiTheme="majorEastAsia" w:hAnsiTheme="majorEastAsia" w:eastAsiaTheme="majorEastAsia"/>
          <w:color w:val="auto"/>
          <w:kern w:val="0"/>
          <w:sz w:val="24"/>
          <w:highlight w:val="none"/>
          <w:lang w:val="zh-CN"/>
        </w:rPr>
      </w:pPr>
      <w:r>
        <w:rPr>
          <w:rFonts w:cs="仿宋_GB2312" w:asciiTheme="majorEastAsia" w:hAnsiTheme="majorEastAsia" w:eastAsiaTheme="majorEastAsia"/>
          <w:color w:val="auto"/>
          <w:kern w:val="0"/>
          <w:sz w:val="24"/>
          <w:highlight w:val="none"/>
          <w:lang w:val="zh-CN"/>
        </w:rPr>
        <w:t xml:space="preserve">                                               日期：  年  月   日</w:t>
      </w:r>
    </w:p>
    <w:p>
      <w:pPr>
        <w:pStyle w:val="2"/>
        <w:rPr>
          <w:rFonts w:cs="仿宋" w:asciiTheme="majorEastAsia" w:hAnsiTheme="majorEastAsia" w:eastAsiaTheme="majorEastAsia"/>
          <w:color w:val="auto"/>
          <w:highlight w:val="none"/>
          <w:lang w:val="zh-CN"/>
        </w:rPr>
      </w:pPr>
    </w:p>
    <w:p>
      <w:pPr>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四、符合性审查资料</w:t>
      </w:r>
    </w:p>
    <w:p>
      <w:pPr>
        <w:jc w:val="center"/>
        <w:rPr>
          <w:rFonts w:cs="仿宋" w:asciiTheme="majorEastAsia" w:hAnsiTheme="majorEastAsia" w:eastAsiaTheme="majorEastAsia"/>
          <w:b/>
          <w:color w:val="auto"/>
          <w:kern w:val="0"/>
          <w:sz w:val="32"/>
          <w:szCs w:val="32"/>
          <w:highlight w:val="none"/>
        </w:rPr>
      </w:pPr>
    </w:p>
    <w:tbl>
      <w:tblPr>
        <w:tblStyle w:val="45"/>
        <w:tblW w:w="9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245"/>
        <w:gridCol w:w="2551"/>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4245" w:type="dxa"/>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实质性要求</w:t>
            </w:r>
          </w:p>
        </w:tc>
        <w:tc>
          <w:tcPr>
            <w:tcW w:w="2551" w:type="dxa"/>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需要提供的符合性审查资料</w:t>
            </w:r>
          </w:p>
        </w:tc>
        <w:tc>
          <w:tcPr>
            <w:tcW w:w="1672" w:type="dxa"/>
            <w:noWrap/>
            <w:vAlign w:val="center"/>
          </w:tcPr>
          <w:p>
            <w:pPr>
              <w:adjustRightInd w:val="0"/>
              <w:snapToGrid w:val="0"/>
              <w:spacing w:line="400" w:lineRule="exact"/>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ign w:val="center"/>
          </w:tcPr>
          <w:p>
            <w:pPr>
              <w:adjustRightInd w:val="0"/>
              <w:snapToGrid w:val="0"/>
              <w:spacing w:line="400" w:lineRule="exact"/>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1</w:t>
            </w:r>
          </w:p>
        </w:tc>
        <w:tc>
          <w:tcPr>
            <w:tcW w:w="4245" w:type="dxa"/>
            <w:noWrap/>
            <w:vAlign w:val="center"/>
          </w:tcPr>
          <w:p>
            <w:pPr>
              <w:adjustRightInd w:val="0"/>
              <w:snapToGrid w:val="0"/>
              <w:spacing w:line="40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投标文件按照招标文件要求签署、盖章。</w:t>
            </w:r>
          </w:p>
        </w:tc>
        <w:tc>
          <w:tcPr>
            <w:tcW w:w="2551" w:type="dxa"/>
            <w:noWrap/>
            <w:vAlign w:val="center"/>
          </w:tcPr>
          <w:p>
            <w:pPr>
              <w:adjustRightInd w:val="0"/>
              <w:snapToGrid w:val="0"/>
              <w:spacing w:line="40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需要使用电子签名或者签字盖章的投标文件的组成部分</w:t>
            </w:r>
          </w:p>
        </w:tc>
        <w:tc>
          <w:tcPr>
            <w:tcW w:w="1672" w:type="dxa"/>
            <w:noWrap/>
            <w:vAlign w:val="center"/>
          </w:tcPr>
          <w:p>
            <w:pPr>
              <w:adjustRightInd w:val="0"/>
              <w:snapToGrid w:val="0"/>
              <w:spacing w:line="400" w:lineRule="exact"/>
              <w:rPr>
                <w:rFonts w:cs="仿宋" w:asciiTheme="majorEastAsia" w:hAnsiTheme="majorEastAsia" w:eastAsiaTheme="majorEastAsia"/>
                <w:color w:val="auto"/>
                <w:sz w:val="24"/>
                <w:highlight w:val="none"/>
              </w:rPr>
            </w:pPr>
          </w:p>
          <w:p>
            <w:pPr>
              <w:adjustRightInd w:val="0"/>
              <w:snapToGrid w:val="0"/>
              <w:spacing w:line="40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w:t>
            </w:r>
          </w:p>
          <w:p>
            <w:pPr>
              <w:adjustRightInd w:val="0"/>
              <w:snapToGrid w:val="0"/>
              <w:spacing w:line="400" w:lineRule="exact"/>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ign w:val="center"/>
          </w:tcPr>
          <w:p>
            <w:pPr>
              <w:adjustRightInd w:val="0"/>
              <w:snapToGrid w:val="0"/>
              <w:spacing w:line="400" w:lineRule="exact"/>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2</w:t>
            </w:r>
          </w:p>
        </w:tc>
        <w:tc>
          <w:tcPr>
            <w:tcW w:w="4245" w:type="dxa"/>
            <w:noWrap/>
            <w:vAlign w:val="center"/>
          </w:tcPr>
          <w:p>
            <w:pPr>
              <w:adjustRightInd w:val="0"/>
              <w:snapToGrid w:val="0"/>
              <w:spacing w:line="40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采购人拟采购的产品属于政府强制采购的节能产品品目清单范围的，投标人按招标文件要求提供国家确定的认证机构出具的、处于有效期之内的节能产品认证证书。</w:t>
            </w:r>
          </w:p>
        </w:tc>
        <w:tc>
          <w:tcPr>
            <w:tcW w:w="2551" w:type="dxa"/>
            <w:noWrap/>
            <w:vAlign w:val="center"/>
          </w:tcPr>
          <w:p>
            <w:pPr>
              <w:adjustRightInd w:val="0"/>
              <w:snapToGrid w:val="0"/>
              <w:spacing w:line="40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节能产品认证证书（本项目拟采购的产品不属于政府强制采购的节能产品品目清单范围的，无需提供）</w:t>
            </w:r>
          </w:p>
        </w:tc>
        <w:tc>
          <w:tcPr>
            <w:tcW w:w="1672" w:type="dxa"/>
            <w:noWrap/>
            <w:vAlign w:val="center"/>
          </w:tcPr>
          <w:p>
            <w:pPr>
              <w:adjustRightInd w:val="0"/>
              <w:snapToGrid w:val="0"/>
              <w:spacing w:line="40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w:t>
            </w:r>
          </w:p>
          <w:p>
            <w:pPr>
              <w:tabs>
                <w:tab w:val="left" w:pos="432"/>
              </w:tabs>
              <w:adjustRightInd w:val="0"/>
              <w:snapToGrid w:val="0"/>
              <w:spacing w:line="400" w:lineRule="exact"/>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ign w:val="center"/>
          </w:tcPr>
          <w:p>
            <w:pPr>
              <w:adjustRightInd w:val="0"/>
              <w:snapToGrid w:val="0"/>
              <w:spacing w:line="400" w:lineRule="exact"/>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3</w:t>
            </w:r>
          </w:p>
        </w:tc>
        <w:tc>
          <w:tcPr>
            <w:tcW w:w="4245" w:type="dxa"/>
            <w:noWrap/>
            <w:vAlign w:val="center"/>
          </w:tcPr>
          <w:p>
            <w:pPr>
              <w:adjustRightInd w:val="0"/>
              <w:snapToGrid w:val="0"/>
              <w:spacing w:line="40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投标文件中承诺的投标有效期不少于招标文件中载明的投标有效期。</w:t>
            </w:r>
          </w:p>
        </w:tc>
        <w:tc>
          <w:tcPr>
            <w:tcW w:w="2551" w:type="dxa"/>
            <w:noWrap/>
            <w:vAlign w:val="center"/>
          </w:tcPr>
          <w:p>
            <w:pPr>
              <w:adjustRightInd w:val="0"/>
              <w:snapToGrid w:val="0"/>
              <w:spacing w:line="40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投标函</w:t>
            </w:r>
          </w:p>
        </w:tc>
        <w:tc>
          <w:tcPr>
            <w:tcW w:w="1672" w:type="dxa"/>
            <w:noWrap/>
            <w:vAlign w:val="center"/>
          </w:tcPr>
          <w:p>
            <w:pPr>
              <w:adjustRightInd w:val="0"/>
              <w:snapToGrid w:val="0"/>
              <w:spacing w:line="40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w:t>
            </w:r>
          </w:p>
          <w:p>
            <w:pPr>
              <w:adjustRightInd w:val="0"/>
              <w:snapToGrid w:val="0"/>
              <w:spacing w:line="400" w:lineRule="exact"/>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ign w:val="center"/>
          </w:tcPr>
          <w:p>
            <w:pPr>
              <w:adjustRightInd w:val="0"/>
              <w:snapToGrid w:val="0"/>
              <w:spacing w:line="400" w:lineRule="exact"/>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4</w:t>
            </w:r>
          </w:p>
        </w:tc>
        <w:tc>
          <w:tcPr>
            <w:tcW w:w="4245" w:type="dxa"/>
            <w:noWrap/>
            <w:vAlign w:val="center"/>
          </w:tcPr>
          <w:p>
            <w:pPr>
              <w:adjustRightInd w:val="0"/>
              <w:snapToGrid w:val="0"/>
              <w:spacing w:line="40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投标文件满足招标文件的其它实质性要求。</w:t>
            </w:r>
          </w:p>
        </w:tc>
        <w:tc>
          <w:tcPr>
            <w:tcW w:w="2551" w:type="dxa"/>
            <w:noWrap/>
            <w:vAlign w:val="center"/>
          </w:tcPr>
          <w:p>
            <w:pPr>
              <w:adjustRightInd w:val="0"/>
              <w:snapToGrid w:val="0"/>
              <w:spacing w:line="40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招标文件其它实质性要求相应的材料（“▲” 系指实质性要求条款，招标文件无其它实质性要求的，无需提供）</w:t>
            </w:r>
          </w:p>
        </w:tc>
        <w:tc>
          <w:tcPr>
            <w:tcW w:w="1672" w:type="dxa"/>
            <w:noWrap/>
            <w:vAlign w:val="center"/>
          </w:tcPr>
          <w:p>
            <w:pPr>
              <w:adjustRightInd w:val="0"/>
              <w:snapToGrid w:val="0"/>
              <w:spacing w:line="40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w:t>
            </w:r>
          </w:p>
          <w:p>
            <w:pPr>
              <w:adjustRightInd w:val="0"/>
              <w:snapToGrid w:val="0"/>
              <w:spacing w:line="400" w:lineRule="exact"/>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第页</w:t>
            </w:r>
          </w:p>
        </w:tc>
      </w:tr>
    </w:tbl>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pPr>
        <w:jc w:val="center"/>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kern w:val="0"/>
          <w:sz w:val="32"/>
          <w:szCs w:val="32"/>
          <w:highlight w:val="none"/>
        </w:rPr>
        <w:t>五、评标标准相应的商务技术资料</w:t>
      </w:r>
    </w:p>
    <w:p>
      <w:pPr>
        <w:snapToGrid w:val="0"/>
        <w:spacing w:line="360" w:lineRule="auto"/>
        <w:jc w:val="left"/>
        <w:rPr>
          <w:rFonts w:cs="仿宋" w:asciiTheme="majorEastAsia" w:hAnsiTheme="majorEastAsia" w:eastAsiaTheme="majorEastAsia"/>
          <w:b/>
          <w:color w:val="auto"/>
          <w:sz w:val="24"/>
          <w:highlight w:val="none"/>
        </w:rPr>
      </w:pPr>
    </w:p>
    <w:p>
      <w:pPr>
        <w:snapToGrid w:val="0"/>
        <w:spacing w:line="360" w:lineRule="auto"/>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（按招标文件第四部分评标办法前附表中“投标文件中评标标准相应的商务技术资料目录”提供资料）</w:t>
      </w: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jc w:val="center"/>
        <w:rPr>
          <w:rFonts w:cs="仿宋" w:asciiTheme="majorEastAsia" w:hAnsiTheme="majorEastAsia" w:eastAsiaTheme="majorEastAsia"/>
          <w:b/>
          <w:color w:val="auto"/>
          <w:kern w:val="0"/>
          <w:sz w:val="32"/>
          <w:szCs w:val="32"/>
          <w:highlight w:val="none"/>
        </w:rPr>
      </w:pPr>
    </w:p>
    <w:p>
      <w:pP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pPr>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六、商务技术偏离表</w:t>
      </w:r>
    </w:p>
    <w:p>
      <w:pPr>
        <w:jc w:val="center"/>
        <w:rPr>
          <w:rFonts w:cs="仿宋" w:asciiTheme="majorEastAsia" w:hAnsiTheme="majorEastAsia" w:eastAsiaTheme="majorEastAsia"/>
          <w:b/>
          <w:bCs/>
          <w:color w:val="auto"/>
          <w:sz w:val="24"/>
          <w:highlight w:val="none"/>
        </w:rPr>
      </w:pPr>
    </w:p>
    <w:tbl>
      <w:tblPr>
        <w:tblStyle w:val="4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noWrap/>
            <w:vAlign w:val="center"/>
          </w:tcPr>
          <w:p>
            <w:pPr>
              <w:adjustRightInd w:val="0"/>
              <w:snapToGrid w:val="0"/>
              <w:spacing w:line="400" w:lineRule="exact"/>
              <w:jc w:val="center"/>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序号</w:t>
            </w:r>
          </w:p>
        </w:tc>
        <w:tc>
          <w:tcPr>
            <w:tcW w:w="3683" w:type="dxa"/>
            <w:noWrap/>
            <w:vAlign w:val="center"/>
          </w:tcPr>
          <w:p>
            <w:pPr>
              <w:adjustRightInd w:val="0"/>
              <w:snapToGrid w:val="0"/>
              <w:spacing w:line="400" w:lineRule="exact"/>
              <w:jc w:val="center"/>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招标文件章节及具体内容</w:t>
            </w:r>
          </w:p>
        </w:tc>
        <w:tc>
          <w:tcPr>
            <w:tcW w:w="3546" w:type="dxa"/>
            <w:noWrap/>
            <w:vAlign w:val="center"/>
          </w:tcPr>
          <w:p>
            <w:pPr>
              <w:adjustRightInd w:val="0"/>
              <w:snapToGrid w:val="0"/>
              <w:spacing w:line="400" w:lineRule="exact"/>
              <w:jc w:val="center"/>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投标文件章节及具体内容</w:t>
            </w:r>
          </w:p>
        </w:tc>
        <w:tc>
          <w:tcPr>
            <w:tcW w:w="1276" w:type="dxa"/>
            <w:noWrap/>
            <w:vAlign w:val="center"/>
          </w:tcPr>
          <w:p>
            <w:pPr>
              <w:adjustRightInd w:val="0"/>
              <w:snapToGrid w:val="0"/>
              <w:spacing w:line="400" w:lineRule="exact"/>
              <w:jc w:val="center"/>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noWrap/>
            <w:vAlign w:val="center"/>
          </w:tcPr>
          <w:p>
            <w:pPr>
              <w:adjustRightInd w:val="0"/>
              <w:snapToGrid w:val="0"/>
              <w:spacing w:line="400" w:lineRule="exact"/>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w:t>
            </w:r>
          </w:p>
        </w:tc>
        <w:tc>
          <w:tcPr>
            <w:tcW w:w="3683" w:type="dxa"/>
            <w:noWrap/>
            <w:vAlign w:val="center"/>
          </w:tcPr>
          <w:p>
            <w:pPr>
              <w:adjustRightInd w:val="0"/>
              <w:snapToGrid w:val="0"/>
              <w:spacing w:line="400" w:lineRule="exact"/>
              <w:jc w:val="center"/>
              <w:rPr>
                <w:rFonts w:cs="仿宋" w:asciiTheme="majorEastAsia" w:hAnsiTheme="majorEastAsia" w:eastAsiaTheme="majorEastAsia"/>
                <w:b/>
                <w:color w:val="auto"/>
                <w:kern w:val="0"/>
                <w:sz w:val="32"/>
                <w:szCs w:val="32"/>
                <w:highlight w:val="none"/>
              </w:rPr>
            </w:pPr>
          </w:p>
        </w:tc>
        <w:tc>
          <w:tcPr>
            <w:tcW w:w="3546" w:type="dxa"/>
            <w:noWrap/>
            <w:vAlign w:val="center"/>
          </w:tcPr>
          <w:p>
            <w:pPr>
              <w:adjustRightInd w:val="0"/>
              <w:snapToGrid w:val="0"/>
              <w:spacing w:line="400" w:lineRule="exact"/>
              <w:jc w:val="center"/>
              <w:rPr>
                <w:rFonts w:cs="仿宋" w:asciiTheme="majorEastAsia" w:hAnsiTheme="majorEastAsia" w:eastAsiaTheme="majorEastAsia"/>
                <w:b/>
                <w:color w:val="auto"/>
                <w:kern w:val="0"/>
                <w:sz w:val="32"/>
                <w:szCs w:val="32"/>
                <w:highlight w:val="none"/>
              </w:rPr>
            </w:pPr>
          </w:p>
        </w:tc>
        <w:tc>
          <w:tcPr>
            <w:tcW w:w="1276" w:type="dxa"/>
            <w:noWrap/>
            <w:vAlign w:val="center"/>
          </w:tcPr>
          <w:p>
            <w:pPr>
              <w:adjustRightInd w:val="0"/>
              <w:snapToGrid w:val="0"/>
              <w:spacing w:line="400" w:lineRule="exact"/>
              <w:jc w:val="center"/>
              <w:rPr>
                <w:rFonts w:cs="仿宋" w:asciiTheme="majorEastAsia" w:hAnsiTheme="majorEastAsia" w:eastAsiaTheme="majorEastAsia"/>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noWrap/>
            <w:vAlign w:val="center"/>
          </w:tcPr>
          <w:p>
            <w:pPr>
              <w:adjustRightInd w:val="0"/>
              <w:snapToGrid w:val="0"/>
              <w:spacing w:line="400" w:lineRule="exact"/>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w:t>
            </w:r>
          </w:p>
        </w:tc>
        <w:tc>
          <w:tcPr>
            <w:tcW w:w="3683" w:type="dxa"/>
            <w:noWrap/>
            <w:vAlign w:val="center"/>
          </w:tcPr>
          <w:p>
            <w:pPr>
              <w:adjustRightInd w:val="0"/>
              <w:snapToGrid w:val="0"/>
              <w:spacing w:line="400" w:lineRule="exact"/>
              <w:jc w:val="center"/>
              <w:rPr>
                <w:rFonts w:cs="仿宋" w:asciiTheme="majorEastAsia" w:hAnsiTheme="majorEastAsia" w:eastAsiaTheme="majorEastAsia"/>
                <w:b/>
                <w:color w:val="auto"/>
                <w:kern w:val="0"/>
                <w:sz w:val="32"/>
                <w:szCs w:val="32"/>
                <w:highlight w:val="none"/>
              </w:rPr>
            </w:pPr>
          </w:p>
        </w:tc>
        <w:tc>
          <w:tcPr>
            <w:tcW w:w="3546" w:type="dxa"/>
            <w:noWrap/>
            <w:vAlign w:val="center"/>
          </w:tcPr>
          <w:p>
            <w:pPr>
              <w:adjustRightInd w:val="0"/>
              <w:snapToGrid w:val="0"/>
              <w:spacing w:line="400" w:lineRule="exact"/>
              <w:jc w:val="center"/>
              <w:rPr>
                <w:rFonts w:cs="仿宋" w:asciiTheme="majorEastAsia" w:hAnsiTheme="majorEastAsia" w:eastAsiaTheme="majorEastAsia"/>
                <w:b/>
                <w:color w:val="auto"/>
                <w:kern w:val="0"/>
                <w:sz w:val="32"/>
                <w:szCs w:val="32"/>
                <w:highlight w:val="none"/>
              </w:rPr>
            </w:pPr>
          </w:p>
        </w:tc>
        <w:tc>
          <w:tcPr>
            <w:tcW w:w="1276" w:type="dxa"/>
            <w:noWrap/>
            <w:vAlign w:val="center"/>
          </w:tcPr>
          <w:p>
            <w:pPr>
              <w:adjustRightInd w:val="0"/>
              <w:snapToGrid w:val="0"/>
              <w:spacing w:line="400" w:lineRule="exact"/>
              <w:jc w:val="center"/>
              <w:rPr>
                <w:rFonts w:cs="仿宋" w:asciiTheme="majorEastAsia" w:hAnsiTheme="majorEastAsia" w:eastAsiaTheme="majorEastAsia"/>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noWrap/>
            <w:vAlign w:val="center"/>
          </w:tcPr>
          <w:p>
            <w:pPr>
              <w:adjustRightInd w:val="0"/>
              <w:snapToGrid w:val="0"/>
              <w:spacing w:line="400" w:lineRule="exact"/>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w:t>
            </w:r>
          </w:p>
        </w:tc>
        <w:tc>
          <w:tcPr>
            <w:tcW w:w="3683" w:type="dxa"/>
            <w:noWrap/>
            <w:vAlign w:val="center"/>
          </w:tcPr>
          <w:p>
            <w:pPr>
              <w:adjustRightInd w:val="0"/>
              <w:snapToGrid w:val="0"/>
              <w:spacing w:line="400" w:lineRule="exact"/>
              <w:jc w:val="center"/>
              <w:rPr>
                <w:rFonts w:cs="仿宋" w:asciiTheme="majorEastAsia" w:hAnsiTheme="majorEastAsia" w:eastAsiaTheme="majorEastAsia"/>
                <w:b/>
                <w:color w:val="auto"/>
                <w:kern w:val="0"/>
                <w:sz w:val="32"/>
                <w:szCs w:val="32"/>
                <w:highlight w:val="none"/>
              </w:rPr>
            </w:pPr>
          </w:p>
        </w:tc>
        <w:tc>
          <w:tcPr>
            <w:tcW w:w="3546" w:type="dxa"/>
            <w:noWrap/>
            <w:vAlign w:val="center"/>
          </w:tcPr>
          <w:p>
            <w:pPr>
              <w:adjustRightInd w:val="0"/>
              <w:snapToGrid w:val="0"/>
              <w:spacing w:line="400" w:lineRule="exact"/>
              <w:jc w:val="center"/>
              <w:rPr>
                <w:rFonts w:cs="仿宋" w:asciiTheme="majorEastAsia" w:hAnsiTheme="majorEastAsia" w:eastAsiaTheme="majorEastAsia"/>
                <w:b/>
                <w:color w:val="auto"/>
                <w:kern w:val="0"/>
                <w:sz w:val="32"/>
                <w:szCs w:val="32"/>
                <w:highlight w:val="none"/>
              </w:rPr>
            </w:pPr>
          </w:p>
        </w:tc>
        <w:tc>
          <w:tcPr>
            <w:tcW w:w="1276" w:type="dxa"/>
            <w:noWrap/>
            <w:vAlign w:val="center"/>
          </w:tcPr>
          <w:p>
            <w:pPr>
              <w:adjustRightInd w:val="0"/>
              <w:snapToGrid w:val="0"/>
              <w:spacing w:line="400" w:lineRule="exact"/>
              <w:jc w:val="center"/>
              <w:rPr>
                <w:rFonts w:cs="仿宋" w:asciiTheme="majorEastAsia" w:hAnsiTheme="majorEastAsia" w:eastAsiaTheme="majorEastAsia"/>
                <w:b/>
                <w:color w:val="auto"/>
                <w:kern w:val="0"/>
                <w:sz w:val="32"/>
                <w:szCs w:val="32"/>
                <w:highlight w:val="none"/>
              </w:rPr>
            </w:pPr>
          </w:p>
        </w:tc>
      </w:tr>
    </w:tbl>
    <w:p>
      <w:pP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投标人保证：除商务技术偏离表列出的偏离外，投标人响应招标文件的全部要求</w:t>
      </w:r>
    </w:p>
    <w:p>
      <w:pPr>
        <w:jc w:val="center"/>
        <w:rPr>
          <w:rFonts w:cs="仿宋" w:asciiTheme="majorEastAsia" w:hAnsiTheme="majorEastAsia" w:eastAsiaTheme="majorEastAsia"/>
          <w:b/>
          <w:color w:val="auto"/>
          <w:kern w:val="0"/>
          <w:sz w:val="32"/>
          <w:szCs w:val="32"/>
          <w:highlight w:val="none"/>
        </w:rPr>
      </w:pPr>
    </w:p>
    <w:p>
      <w:pP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pPr>
        <w:ind w:firstLine="1911" w:firstLineChars="595"/>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七、</w:t>
      </w:r>
      <w:r>
        <w:rPr>
          <w:rFonts w:hint="eastAsia" w:cs="仿宋" w:asciiTheme="majorEastAsia" w:hAnsiTheme="majorEastAsia" w:eastAsiaTheme="majorEastAsia"/>
          <w:b/>
          <w:color w:val="auto"/>
          <w:kern w:val="0"/>
          <w:sz w:val="32"/>
          <w:szCs w:val="32"/>
          <w:highlight w:val="none"/>
          <w:lang w:val="zh-CN"/>
        </w:rPr>
        <w:t>政府采购供应商廉洁自律承诺书</w:t>
      </w:r>
    </w:p>
    <w:p>
      <w:pPr>
        <w:snapToGrid w:val="0"/>
        <w:spacing w:line="360" w:lineRule="auto"/>
        <w:rPr>
          <w:rFonts w:cs="仿宋" w:asciiTheme="majorEastAsia" w:hAnsiTheme="majorEastAsia" w:eastAsiaTheme="majorEastAsia"/>
          <w:color w:val="auto"/>
          <w:sz w:val="24"/>
          <w:highlight w:val="none"/>
        </w:rPr>
      </w:pPr>
    </w:p>
    <w:p>
      <w:pP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u w:val="single"/>
        </w:rPr>
        <w:t>（采购人）、（采购代理机构）</w:t>
      </w:r>
      <w:r>
        <w:rPr>
          <w:rFonts w:hint="eastAsia" w:cs="仿宋" w:asciiTheme="majorEastAsia" w:hAnsiTheme="majorEastAsia" w:eastAsiaTheme="majorEastAsia"/>
          <w:color w:val="auto"/>
          <w:kern w:val="0"/>
          <w:sz w:val="24"/>
          <w:highlight w:val="none"/>
          <w:lang w:val="zh-CN"/>
        </w:rPr>
        <w:t>：</w:t>
      </w:r>
    </w:p>
    <w:p>
      <w:pP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我单位响应你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好处；</w:t>
      </w:r>
    </w:p>
    <w:p>
      <w:pP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六、严格遵守《</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政府采购法》《</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招标投标</w:t>
      </w:r>
    </w:p>
    <w:p>
      <w:pP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w:t>
      </w:r>
      <w:r>
        <w:rPr>
          <w:rFonts w:hint="eastAsia" w:cs="仿宋" w:asciiTheme="majorEastAsia" w:hAnsiTheme="majorEastAsia" w:eastAsiaTheme="majorEastAsia"/>
          <w:color w:val="auto"/>
          <w:sz w:val="24"/>
          <w:highlight w:val="none"/>
          <w:lang w:val="zh-CN"/>
        </w:rPr>
        <w:t>《中华人民共和国民法典》</w:t>
      </w:r>
      <w:r>
        <w:rPr>
          <w:rFonts w:hint="eastAsia" w:cs="仿宋" w:asciiTheme="majorEastAsia" w:hAnsiTheme="majorEastAsia" w:eastAsiaTheme="majorEastAsia"/>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如违反上述承诺，你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有权立即取消我单位投标、中标或在建项目的建设资格，有权拒绝我单位在一定时期内进入你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进行项目建设或其他经营活动，并通报</w:t>
      </w:r>
      <w:r>
        <w:rPr>
          <w:rFonts w:hint="eastAsia" w:cs="仿宋" w:asciiTheme="majorEastAsia" w:hAnsiTheme="majorEastAsia" w:eastAsiaTheme="majorEastAsia"/>
          <w:color w:val="auto"/>
          <w:kern w:val="0"/>
          <w:sz w:val="24"/>
          <w:highlight w:val="none"/>
        </w:rPr>
        <w:t>监管部门</w:t>
      </w:r>
      <w:r>
        <w:rPr>
          <w:rFonts w:hint="eastAsia" w:cs="仿宋" w:asciiTheme="majorEastAsia" w:hAnsiTheme="majorEastAsia" w:eastAsiaTheme="majorEastAsia"/>
          <w:color w:val="auto"/>
          <w:kern w:val="0"/>
          <w:sz w:val="24"/>
          <w:highlight w:val="none"/>
          <w:lang w:val="zh-CN"/>
        </w:rPr>
        <w:t>。由此引起的相应损失均由我单位承担。</w:t>
      </w:r>
    </w:p>
    <w:p>
      <w:pP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pP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pP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pPr>
        <w:autoSpaceDE w:val="0"/>
        <w:autoSpaceDN w:val="0"/>
        <w:spacing w:line="360" w:lineRule="auto"/>
        <w:ind w:left="2" w:leftChars="1" w:right="1120" w:firstLine="4560" w:firstLineChars="19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投标人名称（</w:t>
      </w:r>
      <w:r>
        <w:rPr>
          <w:rFonts w:hint="eastAsia" w:cs="仿宋" w:asciiTheme="majorEastAsia" w:hAnsiTheme="majorEastAsia" w:eastAsiaTheme="majorEastAsia"/>
          <w:color w:val="auto"/>
          <w:sz w:val="24"/>
          <w:highlight w:val="none"/>
        </w:rPr>
        <w:t>电子签名</w:t>
      </w:r>
      <w:r>
        <w:rPr>
          <w:rFonts w:hint="eastAsia" w:cs="仿宋" w:asciiTheme="majorEastAsia" w:hAnsiTheme="majorEastAsia" w:eastAsiaTheme="majorEastAsia"/>
          <w:color w:val="auto"/>
          <w:kern w:val="0"/>
          <w:sz w:val="24"/>
          <w:highlight w:val="none"/>
          <w:lang w:val="zh-CN"/>
        </w:rPr>
        <w:t xml:space="preserve">）：                                                                                                                                                                                                               </w:t>
      </w:r>
    </w:p>
    <w:p>
      <w:pPr>
        <w:spacing w:line="360" w:lineRule="auto"/>
        <w:ind w:left="4620" w:leftChars="2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lang w:val="zh-CN"/>
        </w:rPr>
        <w:t>日期</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kern w:val="0"/>
          <w:sz w:val="24"/>
          <w:highlight w:val="none"/>
          <w:lang w:val="zh-CN"/>
        </w:rPr>
        <w:t xml:space="preserve">   年   月   日</w:t>
      </w:r>
    </w:p>
    <w:p>
      <w:pPr>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br w:type="page"/>
      </w:r>
    </w:p>
    <w:p>
      <w:pPr>
        <w:spacing w:line="360" w:lineRule="auto"/>
        <w:jc w:val="center"/>
        <w:outlineLvl w:val="1"/>
        <w:rPr>
          <w:rFonts w:cs="仿宋" w:asciiTheme="majorEastAsia" w:hAnsiTheme="majorEastAsia" w:eastAsiaTheme="majorEastAsia"/>
          <w:b/>
          <w:color w:val="auto"/>
          <w:kern w:val="0"/>
          <w:sz w:val="36"/>
          <w:szCs w:val="36"/>
          <w:highlight w:val="none"/>
        </w:rPr>
      </w:pPr>
      <w:bookmarkStart w:id="106" w:name="_Toc3363"/>
      <w:bookmarkStart w:id="107" w:name="_Toc5590"/>
      <w:bookmarkStart w:id="108" w:name="_Toc29208"/>
      <w:bookmarkStart w:id="109" w:name="_Toc8989"/>
      <w:r>
        <w:rPr>
          <w:rFonts w:hint="eastAsia" w:cs="仿宋" w:asciiTheme="majorEastAsia" w:hAnsiTheme="majorEastAsia" w:eastAsiaTheme="majorEastAsia"/>
          <w:b/>
          <w:color w:val="auto"/>
          <w:kern w:val="0"/>
          <w:sz w:val="36"/>
          <w:szCs w:val="36"/>
          <w:highlight w:val="none"/>
        </w:rPr>
        <w:t>报价文件部分</w:t>
      </w:r>
      <w:bookmarkEnd w:id="106"/>
      <w:bookmarkEnd w:id="107"/>
      <w:bookmarkEnd w:id="108"/>
      <w:bookmarkEnd w:id="109"/>
    </w:p>
    <w:p>
      <w:pPr>
        <w:spacing w:line="360" w:lineRule="auto"/>
        <w:jc w:val="center"/>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pPr>
        <w:spacing w:line="360" w:lineRule="auto"/>
        <w:jc w:val="center"/>
        <w:rPr>
          <w:rFonts w:cs="仿宋" w:asciiTheme="majorEastAsia" w:hAnsiTheme="majorEastAsia" w:eastAsiaTheme="majorEastAsia"/>
          <w:b/>
          <w:color w:val="auto"/>
          <w:kern w:val="0"/>
          <w:sz w:val="36"/>
          <w:szCs w:val="36"/>
          <w:highlight w:val="none"/>
        </w:rPr>
      </w:pPr>
    </w:p>
    <w:p>
      <w:pP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（1）开标一览表（报价表）………………………………………………………（页码）</w:t>
      </w: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snapToGrid w:val="0"/>
        <w:spacing w:line="360" w:lineRule="auto"/>
        <w:ind w:right="480"/>
        <w:jc w:val="center"/>
        <w:rPr>
          <w:rFonts w:cs="仿宋" w:asciiTheme="majorEastAsia" w:hAnsiTheme="majorEastAsia" w:eastAsiaTheme="majorEastAsia"/>
          <w:b/>
          <w:color w:val="auto"/>
          <w:kern w:val="0"/>
          <w:sz w:val="32"/>
          <w:szCs w:val="32"/>
          <w:highlight w:val="none"/>
        </w:rPr>
      </w:pPr>
    </w:p>
    <w:p>
      <w:pPr>
        <w:pStyle w:val="172"/>
        <w:keepNext w:val="0"/>
        <w:pageBreakBefore w:val="0"/>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sectPr>
          <w:pgSz w:w="11906" w:h="16838"/>
          <w:pgMar w:top="1276" w:right="1418" w:bottom="1247" w:left="1418" w:header="851" w:footer="992" w:gutter="0"/>
          <w:cols w:space="720" w:num="1"/>
          <w:titlePg/>
          <w:docGrid w:linePitch="312" w:charSpace="0"/>
        </w:sectPr>
      </w:pPr>
    </w:p>
    <w:p>
      <w:pPr>
        <w:pStyle w:val="172"/>
        <w:keepNext w:val="0"/>
        <w:pageBreakBefore w:val="0"/>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bookmarkStart w:id="110" w:name="_Toc303"/>
      <w:bookmarkStart w:id="111" w:name="_Toc19569"/>
      <w:bookmarkStart w:id="112" w:name="_Toc21682"/>
      <w:bookmarkStart w:id="113" w:name="_Toc26125"/>
      <w:bookmarkStart w:id="114" w:name="_Toc21526"/>
      <w:bookmarkStart w:id="115" w:name="_Toc1528"/>
      <w:bookmarkStart w:id="116" w:name="_Toc11262"/>
      <w:bookmarkStart w:id="117" w:name="_Toc8039"/>
      <w:bookmarkStart w:id="118" w:name="_Toc9655"/>
      <w:bookmarkStart w:id="119" w:name="_Toc17498"/>
      <w:bookmarkStart w:id="120" w:name="_Toc5399"/>
      <w:bookmarkStart w:id="121" w:name="_Toc13843"/>
      <w:bookmarkStart w:id="122" w:name="_Toc25033"/>
      <w:bookmarkStart w:id="123" w:name="_Toc15988"/>
      <w:r>
        <w:rPr>
          <w:rFonts w:hint="eastAsia" w:cs="仿宋" w:asciiTheme="majorEastAsia" w:hAnsiTheme="majorEastAsia" w:eastAsiaTheme="majorEastAsia"/>
          <w:color w:val="auto"/>
          <w:kern w:val="2"/>
          <w:sz w:val="32"/>
          <w:szCs w:val="32"/>
          <w:highlight w:val="none"/>
        </w:rPr>
        <w:t>一、开标一览表（报价表）</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pP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u w:val="single"/>
        </w:rPr>
        <w:t>（采购人）、（采购代理机构）</w:t>
      </w:r>
      <w:r>
        <w:rPr>
          <w:rFonts w:hint="eastAsia" w:cs="仿宋" w:asciiTheme="majorEastAsia" w:hAnsiTheme="majorEastAsia" w:eastAsiaTheme="majorEastAsia"/>
          <w:color w:val="auto"/>
          <w:kern w:val="0"/>
          <w:sz w:val="24"/>
          <w:highlight w:val="none"/>
          <w:lang w:val="zh-CN"/>
        </w:rPr>
        <w:t>：</w:t>
      </w:r>
    </w:p>
    <w:p>
      <w:pPr>
        <w:snapToGrid w:val="0"/>
        <w:spacing w:line="360" w:lineRule="auto"/>
        <w:ind w:firstLine="482"/>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color w:val="auto"/>
          <w:sz w:val="24"/>
          <w:highlight w:val="none"/>
        </w:rPr>
        <w:t>（项目名称）</w:t>
      </w:r>
      <w:r>
        <w:rPr>
          <w:rFonts w:hint="eastAsia" w:cs="仿宋" w:asciiTheme="majorEastAsia" w:hAnsiTheme="majorEastAsia" w:eastAsiaTheme="majorEastAsia"/>
          <w:color w:val="auto"/>
          <w:kern w:val="0"/>
          <w:sz w:val="24"/>
          <w:highlight w:val="none"/>
          <w:lang w:val="zh-CN"/>
        </w:rPr>
        <w:t>【招标编号：</w:t>
      </w:r>
      <w:r>
        <w:rPr>
          <w:rFonts w:hint="eastAsia" w:cs="仿宋" w:asciiTheme="majorEastAsia" w:hAnsiTheme="majorEastAsia" w:eastAsiaTheme="majorEastAsia"/>
          <w:color w:val="auto"/>
          <w:sz w:val="24"/>
          <w:highlight w:val="none"/>
        </w:rPr>
        <w:t>（采购编号）】的实施</w:t>
      </w:r>
      <w:r>
        <w:rPr>
          <w:rFonts w:hint="eastAsia" w:cs="仿宋" w:asciiTheme="majorEastAsia" w:hAnsiTheme="majorEastAsia" w:eastAsiaTheme="majorEastAsia"/>
          <w:color w:val="auto"/>
          <w:kern w:val="0"/>
          <w:sz w:val="24"/>
          <w:highlight w:val="none"/>
          <w:lang w:val="zh-CN"/>
        </w:rPr>
        <w:t>。</w:t>
      </w:r>
    </w:p>
    <w:p>
      <w:pPr>
        <w:spacing w:line="360" w:lineRule="auto"/>
        <w:jc w:val="center"/>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开标一览表（报价表）(单位均为人民币元)</w:t>
      </w:r>
    </w:p>
    <w:tbl>
      <w:tblPr>
        <w:tblStyle w:val="45"/>
        <w:tblW w:w="14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416"/>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b/>
                <w:color w:val="auto"/>
                <w:sz w:val="24"/>
                <w:highlight w:val="none"/>
              </w:rPr>
              <w:t>序号</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b/>
                <w:color w:val="auto"/>
                <w:sz w:val="24"/>
                <w:highlight w:val="none"/>
              </w:rPr>
              <w:t>名称</w:t>
            </w:r>
          </w:p>
        </w:tc>
        <w:tc>
          <w:tcPr>
            <w:tcW w:w="1843"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_GB2312" w:hAnsi="仿宋" w:eastAsia="仿宋_GB2312"/>
                <w:b/>
                <w:color w:val="auto"/>
                <w:sz w:val="24"/>
                <w:highlight w:val="none"/>
              </w:rPr>
            </w:pPr>
          </w:p>
          <w:p>
            <w:pPr>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b/>
                <w:color w:val="auto"/>
                <w:sz w:val="24"/>
                <w:highlight w:val="none"/>
              </w:rPr>
              <w:t>品牌（如果有）</w:t>
            </w:r>
          </w:p>
        </w:tc>
        <w:tc>
          <w:tcPr>
            <w:tcW w:w="3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b/>
                <w:color w:val="auto"/>
                <w:sz w:val="24"/>
                <w:highlight w:val="none"/>
              </w:rPr>
              <w:t>规格型号（或具体服务）</w:t>
            </w:r>
          </w:p>
        </w:tc>
        <w:tc>
          <w:tcPr>
            <w:tcW w:w="9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b/>
                <w:color w:val="auto"/>
                <w:sz w:val="24"/>
                <w:highlight w:val="none"/>
              </w:rPr>
              <w:t>数量</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b/>
                <w:color w:val="auto"/>
                <w:sz w:val="24"/>
                <w:highlight w:val="none"/>
              </w:rPr>
              <w:t>单价</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b/>
                <w:color w:val="auto"/>
                <w:sz w:val="24"/>
                <w:highlight w:val="none"/>
              </w:rPr>
              <w:t>总价</w:t>
            </w:r>
          </w:p>
        </w:tc>
        <w:tc>
          <w:tcPr>
            <w:tcW w:w="31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b/>
                <w:color w:val="auto"/>
                <w:sz w:val="24"/>
                <w:highlight w:val="none"/>
              </w:rPr>
            </w:pPr>
          </w:p>
          <w:p>
            <w:pPr>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b/>
                <w:color w:val="auto"/>
                <w:sz w:val="24"/>
                <w:highlight w:val="none"/>
              </w:rPr>
              <w:t>服务要求（年限）</w:t>
            </w:r>
          </w:p>
          <w:p>
            <w:pPr>
              <w:spacing w:line="360" w:lineRule="auto"/>
              <w:jc w:val="center"/>
              <w:rPr>
                <w:rFonts w:ascii="仿宋_GB2312" w:hAnsi="仿宋" w:eastAsia="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31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31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31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31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31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投标报价（小写）</w:t>
            </w:r>
          </w:p>
        </w:tc>
        <w:tc>
          <w:tcPr>
            <w:tcW w:w="7655"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投标报价（大写）</w:t>
            </w:r>
          </w:p>
        </w:tc>
        <w:tc>
          <w:tcPr>
            <w:tcW w:w="7655"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_GB2312" w:hAnsi="仿宋" w:eastAsia="仿宋_GB2312" w:cs="仿宋_GB2312"/>
                <w:color w:val="auto"/>
                <w:sz w:val="24"/>
                <w:highlight w:val="none"/>
              </w:rPr>
            </w:pPr>
          </w:p>
        </w:tc>
      </w:tr>
    </w:tbl>
    <w:p>
      <w:pPr>
        <w:adjustRightInd w:val="0"/>
        <w:snapToGrid w:val="0"/>
        <w:spacing w:line="360" w:lineRule="auto"/>
        <w:ind w:left="480"/>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注：</w:t>
      </w:r>
    </w:p>
    <w:p>
      <w:pPr>
        <w:adjustRightInd w:val="0"/>
        <w:snapToGrid w:val="0"/>
        <w:spacing w:line="360" w:lineRule="auto"/>
        <w:ind w:left="-2" w:leftChars="-1"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1、投标人需按本表格式填写，不得自行更改。</w:t>
      </w:r>
    </w:p>
    <w:p>
      <w:pPr>
        <w:adjustRightInd w:val="0"/>
        <w:snapToGrid w:val="0"/>
        <w:spacing w:line="360" w:lineRule="auto"/>
        <w:ind w:firstLine="480" w:firstLineChars="200"/>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2、有关本项目实施所涉及的一切费用均计入报价。</w:t>
      </w:r>
      <w:r>
        <w:rPr>
          <w:rFonts w:hint="eastAsia" w:cs="仿宋" w:asciiTheme="majorEastAsia" w:hAnsiTheme="majorEastAsia" w:eastAsiaTheme="majorEastAsia"/>
          <w:b/>
          <w:color w:val="auto"/>
          <w:kern w:val="0"/>
          <w:sz w:val="24"/>
          <w:highlight w:val="none"/>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color w:val="auto"/>
          <w:kern w:val="0"/>
          <w:sz w:val="24"/>
          <w:highlight w:val="none"/>
          <w:lang w:val="zh-CN"/>
        </w:rPr>
        <w:t>不得出现“0元”“免费赠送”等形式的无偿报价，</w:t>
      </w:r>
      <w:r>
        <w:rPr>
          <w:rFonts w:hint="eastAsia" w:cs="仿宋" w:asciiTheme="majorEastAsia" w:hAnsiTheme="majorEastAsia" w:eastAsiaTheme="majorEastAsia"/>
          <w:b/>
          <w:color w:val="auto"/>
          <w:kern w:val="0"/>
          <w:sz w:val="24"/>
          <w:highlight w:val="none"/>
        </w:rPr>
        <w:t>否则视为</w:t>
      </w:r>
      <w:r>
        <w:rPr>
          <w:rFonts w:hint="eastAsia" w:cs="仿宋" w:asciiTheme="majorEastAsia" w:hAnsiTheme="majorEastAsia" w:eastAsiaTheme="majorEastAsia"/>
          <w:b/>
          <w:color w:val="auto"/>
          <w:sz w:val="24"/>
          <w:highlight w:val="none"/>
        </w:rPr>
        <w:t>投标文件含有采购人不能接受的附加条件的，投标无效</w:t>
      </w:r>
      <w:r>
        <w:rPr>
          <w:rFonts w:hint="eastAsia" w:cs="仿宋" w:asciiTheme="majorEastAsia" w:hAnsiTheme="majorEastAsia" w:eastAsiaTheme="majorEastAsia"/>
          <w:b/>
          <w:color w:val="auto"/>
          <w:kern w:val="0"/>
          <w:sz w:val="24"/>
          <w:highlight w:val="none"/>
          <w:lang w:val="zh-CN"/>
        </w:rPr>
        <w:t>。</w:t>
      </w:r>
    </w:p>
    <w:p>
      <w:pPr>
        <w:spacing w:line="360" w:lineRule="auto"/>
        <w:ind w:firstLine="482" w:firstLineChars="200"/>
        <w:rPr>
          <w:rFonts w:cs="仿宋" w:asciiTheme="majorEastAsia" w:hAnsiTheme="majorEastAsia" w:eastAsiaTheme="majorEastAsia"/>
          <w:b/>
          <w:color w:val="auto"/>
          <w:kern w:val="0"/>
          <w:sz w:val="24"/>
          <w:highlight w:val="none"/>
        </w:rPr>
      </w:pPr>
    </w:p>
    <w:p>
      <w:pPr>
        <w:pStyle w:val="172"/>
        <w:keepNext w:val="0"/>
        <w:pageBreakBefore w:val="0"/>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p>
    <w:p>
      <w:pPr>
        <w:pStyle w:val="172"/>
        <w:keepNext w:val="0"/>
        <w:pageBreakBefore w:val="0"/>
        <w:tabs>
          <w:tab w:val="clear" w:pos="720"/>
        </w:tabs>
        <w:snapToGrid w:val="0"/>
        <w:spacing w:before="120" w:after="120"/>
        <w:ind w:firstLine="643"/>
        <w:jc w:val="both"/>
        <w:outlineLvl w:val="9"/>
        <w:rPr>
          <w:rFonts w:cs="仿宋" w:asciiTheme="majorEastAsia" w:hAnsiTheme="majorEastAsia" w:eastAsiaTheme="majorEastAsia"/>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spacing w:line="360" w:lineRule="auto"/>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附件1：</w:t>
      </w:r>
    </w:p>
    <w:p>
      <w:pPr>
        <w:spacing w:line="360" w:lineRule="auto"/>
        <w:jc w:val="center"/>
        <w:rPr>
          <w:rFonts w:cs="仿宋" w:asciiTheme="majorEastAsia" w:hAnsiTheme="majorEastAsia" w:eastAsiaTheme="majorEastAsia"/>
          <w:b/>
          <w:color w:val="auto"/>
          <w:spacing w:val="6"/>
          <w:sz w:val="32"/>
          <w:szCs w:val="32"/>
          <w:highlight w:val="none"/>
        </w:rPr>
      </w:pPr>
      <w:bookmarkStart w:id="124" w:name="OLE_LINK14"/>
      <w:bookmarkStart w:id="125" w:name="OLE_LINK13"/>
      <w:r>
        <w:rPr>
          <w:rFonts w:hint="eastAsia" w:cs="仿宋" w:asciiTheme="majorEastAsia" w:hAnsiTheme="majorEastAsia" w:eastAsiaTheme="majorEastAsia"/>
          <w:b/>
          <w:color w:val="auto"/>
          <w:spacing w:val="6"/>
          <w:sz w:val="32"/>
          <w:szCs w:val="32"/>
          <w:highlight w:val="none"/>
        </w:rPr>
        <w:t>残疾人福利性单位声明函</w:t>
      </w:r>
    </w:p>
    <w:bookmarkEnd w:id="124"/>
    <w:bookmarkEnd w:id="125"/>
    <w:p>
      <w:pPr>
        <w:spacing w:line="360" w:lineRule="auto"/>
        <w:rPr>
          <w:rFonts w:cs="仿宋" w:asciiTheme="majorEastAsia" w:hAnsiTheme="majorEastAsia" w:eastAsiaTheme="majorEastAsia"/>
          <w:b/>
          <w:color w:val="auto"/>
          <w:spacing w:val="6"/>
          <w:sz w:val="30"/>
          <w:szCs w:val="30"/>
          <w:highlight w:val="none"/>
        </w:rPr>
      </w:pPr>
    </w:p>
    <w:p>
      <w:pP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本单位对上述声明的真实性负责。如有虚假，将依法承担相应责任。</w:t>
      </w:r>
    </w:p>
    <w:p>
      <w:pPr>
        <w:spacing w:line="360" w:lineRule="auto"/>
        <w:ind w:firstLine="480" w:firstLineChars="200"/>
        <w:rPr>
          <w:rFonts w:cs="仿宋" w:asciiTheme="majorEastAsia" w:hAnsiTheme="majorEastAsia" w:eastAsiaTheme="majorEastAsia"/>
          <w:color w:val="auto"/>
          <w:sz w:val="24"/>
          <w:highlight w:val="none"/>
        </w:rPr>
      </w:pPr>
    </w:p>
    <w:p>
      <w:pPr>
        <w:spacing w:line="360" w:lineRule="auto"/>
        <w:ind w:firstLine="480" w:firstLineChars="200"/>
        <w:rPr>
          <w:rFonts w:cs="仿宋" w:asciiTheme="majorEastAsia" w:hAnsiTheme="majorEastAsia" w:eastAsiaTheme="majorEastAsia"/>
          <w:color w:val="auto"/>
          <w:sz w:val="24"/>
          <w:highlight w:val="none"/>
        </w:rPr>
      </w:pPr>
    </w:p>
    <w:p>
      <w:pPr>
        <w:tabs>
          <w:tab w:val="left" w:pos="4860"/>
        </w:tabs>
        <w:spacing w:line="360" w:lineRule="auto"/>
        <w:ind w:right="1560" w:firstLine="480" w:firstLineChars="200"/>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lang w:val="zh-CN"/>
        </w:rPr>
        <w:t>投标人名称（电子签名）</w:t>
      </w:r>
      <w:r>
        <w:rPr>
          <w:rFonts w:hint="eastAsia" w:cs="仿宋" w:asciiTheme="majorEastAsia" w:hAnsiTheme="majorEastAsia" w:eastAsiaTheme="majorEastAsia"/>
          <w:color w:val="auto"/>
          <w:sz w:val="24"/>
          <w:highlight w:val="none"/>
        </w:rPr>
        <w:t>：</w:t>
      </w:r>
    </w:p>
    <w:p>
      <w:pPr>
        <w:tabs>
          <w:tab w:val="left" w:pos="4860"/>
        </w:tabs>
        <w:spacing w:line="360" w:lineRule="auto"/>
        <w:ind w:right="1560" w:firstLine="480" w:firstLineChars="200"/>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  期：</w:t>
      </w:r>
    </w:p>
    <w:p>
      <w:pPr>
        <w:spacing w:line="360" w:lineRule="auto"/>
        <w:ind w:firstLine="480" w:firstLineChars="200"/>
        <w:rPr>
          <w:rFonts w:cs="仿宋" w:asciiTheme="majorEastAsia" w:hAnsiTheme="majorEastAsia" w:eastAsiaTheme="majorEastAsia"/>
          <w:color w:val="auto"/>
          <w:sz w:val="24"/>
          <w:highlight w:val="none"/>
        </w:rPr>
      </w:pPr>
    </w:p>
    <w:p>
      <w:pP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br w:type="page"/>
      </w:r>
    </w:p>
    <w:p>
      <w:pPr>
        <w:spacing w:line="360" w:lineRule="auto"/>
        <w:jc w:val="left"/>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附件2：质疑函范本及制作说明</w:t>
      </w:r>
    </w:p>
    <w:p>
      <w:pP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质疑函范本</w:t>
      </w:r>
    </w:p>
    <w:p>
      <w:pPr>
        <w:snapToGrid w:val="0"/>
        <w:spacing w:beforeLines="100"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一、质疑供应商基本信息</w:t>
      </w:r>
    </w:p>
    <w:p>
      <w:pP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质疑供应商：</w:t>
      </w:r>
    </w:p>
    <w:p>
      <w:pP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地址：邮编：</w:t>
      </w:r>
    </w:p>
    <w:p>
      <w:pP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联系人：联系电话：</w:t>
      </w:r>
    </w:p>
    <w:p>
      <w:pP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授权代表：</w:t>
      </w:r>
    </w:p>
    <w:p>
      <w:pP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联系电话：</w:t>
      </w:r>
    </w:p>
    <w:p>
      <w:pP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地址： 邮编：</w:t>
      </w:r>
    </w:p>
    <w:p>
      <w:pPr>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二、质疑项目基本情况</w:t>
      </w:r>
    </w:p>
    <w:p>
      <w:pP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质疑项目的名称：</w:t>
      </w:r>
    </w:p>
    <w:p>
      <w:pP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质疑项目的编号：包号：</w:t>
      </w:r>
    </w:p>
    <w:p>
      <w:pP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采购人名称：</w:t>
      </w:r>
    </w:p>
    <w:p>
      <w:pP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采购文件获取日期：</w:t>
      </w:r>
    </w:p>
    <w:p>
      <w:pPr>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三、质疑事项具体内容</w:t>
      </w:r>
    </w:p>
    <w:p>
      <w:pP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质疑事项1：</w:t>
      </w:r>
    </w:p>
    <w:p>
      <w:pP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事实依据：</w:t>
      </w:r>
    </w:p>
    <w:p>
      <w:pPr>
        <w:snapToGrid w:val="0"/>
        <w:spacing w:line="360" w:lineRule="auto"/>
        <w:rPr>
          <w:rFonts w:cs="仿宋" w:asciiTheme="majorEastAsia" w:hAnsiTheme="majorEastAsia" w:eastAsiaTheme="majorEastAsia"/>
          <w:color w:val="auto"/>
          <w:sz w:val="24"/>
          <w:highlight w:val="none"/>
        </w:rPr>
      </w:pPr>
    </w:p>
    <w:p>
      <w:pP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法律依据：</w:t>
      </w:r>
    </w:p>
    <w:p>
      <w:pPr>
        <w:snapToGrid w:val="0"/>
        <w:spacing w:line="360" w:lineRule="auto"/>
        <w:rPr>
          <w:rFonts w:cs="仿宋" w:asciiTheme="majorEastAsia" w:hAnsiTheme="majorEastAsia" w:eastAsiaTheme="majorEastAsia"/>
          <w:color w:val="auto"/>
          <w:sz w:val="24"/>
          <w:highlight w:val="none"/>
          <w:u w:val="dotted"/>
        </w:rPr>
      </w:pPr>
    </w:p>
    <w:p>
      <w:pP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质疑事项2</w:t>
      </w:r>
    </w:p>
    <w:p>
      <w:pP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p>
      <w:pPr>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四、与质疑事项相关的质疑请求</w:t>
      </w:r>
    </w:p>
    <w:p>
      <w:pP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请求：</w:t>
      </w: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签字(签章)：                   公章：                      </w:t>
      </w: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日期：    </w:t>
      </w:r>
    </w:p>
    <w:p>
      <w:pPr>
        <w:spacing w:line="360" w:lineRule="auto"/>
        <w:jc w:val="center"/>
        <w:rPr>
          <w:rFonts w:cs="仿宋" w:asciiTheme="majorEastAsia" w:hAnsiTheme="majorEastAsia" w:eastAsiaTheme="majorEastAsia"/>
          <w:b/>
          <w:bCs/>
          <w:color w:val="auto"/>
          <w:sz w:val="24"/>
          <w:highlight w:val="none"/>
        </w:rPr>
      </w:pPr>
    </w:p>
    <w:p>
      <w:pPr>
        <w:spacing w:line="360" w:lineRule="auto"/>
        <w:rPr>
          <w:rFonts w:cs="仿宋" w:asciiTheme="majorEastAsia" w:hAnsiTheme="majorEastAsia" w:eastAsiaTheme="majorEastAsia"/>
          <w:b/>
          <w:color w:val="auto"/>
          <w:sz w:val="24"/>
          <w:highlight w:val="none"/>
        </w:rPr>
      </w:pPr>
    </w:p>
    <w:p>
      <w:pPr>
        <w:spacing w:line="360" w:lineRule="auto"/>
        <w:rPr>
          <w:rFonts w:cs="仿宋" w:asciiTheme="majorEastAsia" w:hAnsiTheme="majorEastAsia" w:eastAsiaTheme="majorEastAsia"/>
          <w:b/>
          <w:color w:val="auto"/>
          <w:sz w:val="24"/>
          <w:highlight w:val="none"/>
        </w:rPr>
      </w:pPr>
    </w:p>
    <w:p>
      <w:pPr>
        <w:spacing w:line="360" w:lineRule="auto"/>
        <w:rPr>
          <w:rFonts w:cs="仿宋" w:asciiTheme="majorEastAsia" w:hAnsiTheme="majorEastAsia" w:eastAsiaTheme="majorEastAsia"/>
          <w:b/>
          <w:color w:val="auto"/>
          <w:sz w:val="24"/>
          <w:highlight w:val="none"/>
        </w:rPr>
      </w:pPr>
    </w:p>
    <w:p>
      <w:pP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质疑函制作说明：</w:t>
      </w:r>
    </w:p>
    <w:p>
      <w:pPr>
        <w:widowControl/>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1.供应商提出质疑时，应提交质疑函和必要的证明材料。</w:t>
      </w:r>
    </w:p>
    <w:p>
      <w:pPr>
        <w:widowControl/>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2.质疑供应商若委托代理人进行质疑的，质疑函应按要求列明“授权代表”的有关内容，并在附件中提交由质疑</w:t>
      </w:r>
      <w:r>
        <w:rPr>
          <w:rFonts w:hint="eastAsia" w:cs="仿宋" w:asciiTheme="majorEastAsia" w:hAnsiTheme="majorEastAsia" w:eastAsiaTheme="majorEastAsia"/>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3.质疑供应商若对项目的某一分包进行质疑，质疑函中应列明具体分包号。</w:t>
      </w:r>
    </w:p>
    <w:p>
      <w:pPr>
        <w:widowControl/>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4.质疑函的质疑事项应具体、明确，并有必要的事实依据和法律依据。</w:t>
      </w:r>
    </w:p>
    <w:p>
      <w:pPr>
        <w:widowControl/>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5.质疑函的质疑请求应与质疑事项相关。</w:t>
      </w:r>
    </w:p>
    <w:p>
      <w:pPr>
        <w:widowControl/>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cs="仿宋" w:asciiTheme="majorEastAsia" w:hAnsiTheme="majorEastAsia" w:eastAsiaTheme="majorEastAsia"/>
          <w:color w:val="auto"/>
          <w:sz w:val="30"/>
          <w:szCs w:val="30"/>
          <w:highlight w:val="none"/>
        </w:rPr>
      </w:pPr>
    </w:p>
    <w:p>
      <w:pPr>
        <w:spacing w:line="360" w:lineRule="auto"/>
        <w:jc w:val="center"/>
        <w:rPr>
          <w:rFonts w:cs="仿宋" w:asciiTheme="majorEastAsia" w:hAnsiTheme="majorEastAsia" w:eastAsiaTheme="majorEastAsia"/>
          <w:b/>
          <w:color w:val="auto"/>
          <w:spacing w:val="6"/>
          <w:sz w:val="32"/>
          <w:szCs w:val="32"/>
          <w:highlight w:val="none"/>
        </w:rPr>
      </w:pPr>
    </w:p>
    <w:p>
      <w:pPr>
        <w:spacing w:line="360" w:lineRule="auto"/>
        <w:jc w:val="center"/>
        <w:rPr>
          <w:rFonts w:cs="仿宋" w:asciiTheme="majorEastAsia" w:hAnsiTheme="majorEastAsia" w:eastAsiaTheme="majorEastAsia"/>
          <w:b/>
          <w:color w:val="auto"/>
          <w:spacing w:val="6"/>
          <w:sz w:val="32"/>
          <w:szCs w:val="32"/>
          <w:highlight w:val="none"/>
        </w:rPr>
      </w:pPr>
    </w:p>
    <w:p>
      <w:pPr>
        <w:spacing w:line="360" w:lineRule="auto"/>
        <w:jc w:val="center"/>
        <w:rPr>
          <w:rFonts w:cs="仿宋" w:asciiTheme="majorEastAsia" w:hAnsiTheme="majorEastAsia" w:eastAsiaTheme="majorEastAsia"/>
          <w:b/>
          <w:color w:val="auto"/>
          <w:spacing w:val="6"/>
          <w:sz w:val="32"/>
          <w:szCs w:val="32"/>
          <w:highlight w:val="none"/>
        </w:rPr>
      </w:pPr>
    </w:p>
    <w:p>
      <w:pPr>
        <w:spacing w:line="360" w:lineRule="auto"/>
        <w:jc w:val="center"/>
        <w:rPr>
          <w:rFonts w:cs="仿宋" w:asciiTheme="majorEastAsia" w:hAnsiTheme="majorEastAsia" w:eastAsiaTheme="majorEastAsia"/>
          <w:b/>
          <w:color w:val="auto"/>
          <w:spacing w:val="6"/>
          <w:sz w:val="32"/>
          <w:szCs w:val="32"/>
          <w:highlight w:val="none"/>
        </w:rPr>
      </w:pPr>
    </w:p>
    <w:p>
      <w:pPr>
        <w:spacing w:line="360" w:lineRule="auto"/>
        <w:jc w:val="center"/>
        <w:rPr>
          <w:rFonts w:cs="仿宋" w:asciiTheme="majorEastAsia" w:hAnsiTheme="majorEastAsia" w:eastAsiaTheme="majorEastAsia"/>
          <w:b/>
          <w:color w:val="auto"/>
          <w:spacing w:val="6"/>
          <w:sz w:val="32"/>
          <w:szCs w:val="32"/>
          <w:highlight w:val="none"/>
        </w:rPr>
      </w:pPr>
    </w:p>
    <w:p>
      <w:pPr>
        <w:spacing w:line="360" w:lineRule="auto"/>
        <w:jc w:val="center"/>
        <w:rPr>
          <w:rFonts w:cs="仿宋" w:asciiTheme="majorEastAsia" w:hAnsiTheme="majorEastAsia" w:eastAsiaTheme="majorEastAsia"/>
          <w:b/>
          <w:color w:val="auto"/>
          <w:spacing w:val="6"/>
          <w:sz w:val="32"/>
          <w:szCs w:val="32"/>
          <w:highlight w:val="none"/>
        </w:rPr>
      </w:pPr>
    </w:p>
    <w:p>
      <w:pPr>
        <w:spacing w:line="360" w:lineRule="auto"/>
        <w:jc w:val="center"/>
        <w:rPr>
          <w:rFonts w:cs="仿宋" w:asciiTheme="majorEastAsia" w:hAnsiTheme="majorEastAsia" w:eastAsiaTheme="majorEastAsia"/>
          <w:b/>
          <w:color w:val="auto"/>
          <w:spacing w:val="6"/>
          <w:sz w:val="32"/>
          <w:szCs w:val="32"/>
          <w:highlight w:val="none"/>
        </w:rPr>
      </w:pPr>
    </w:p>
    <w:p>
      <w:pPr>
        <w:spacing w:line="360" w:lineRule="auto"/>
        <w:jc w:val="center"/>
        <w:rPr>
          <w:rFonts w:cs="仿宋" w:asciiTheme="majorEastAsia" w:hAnsiTheme="majorEastAsia" w:eastAsiaTheme="majorEastAsia"/>
          <w:b/>
          <w:color w:val="auto"/>
          <w:spacing w:val="6"/>
          <w:sz w:val="32"/>
          <w:szCs w:val="32"/>
          <w:highlight w:val="none"/>
        </w:rPr>
      </w:pPr>
    </w:p>
    <w:p>
      <w:pPr>
        <w:spacing w:line="360" w:lineRule="auto"/>
        <w:jc w:val="center"/>
        <w:rPr>
          <w:rFonts w:cs="仿宋" w:asciiTheme="majorEastAsia" w:hAnsiTheme="majorEastAsia" w:eastAsiaTheme="majorEastAsia"/>
          <w:b/>
          <w:color w:val="auto"/>
          <w:spacing w:val="6"/>
          <w:sz w:val="32"/>
          <w:szCs w:val="32"/>
          <w:highlight w:val="none"/>
        </w:rPr>
      </w:pPr>
    </w:p>
    <w:p>
      <w:pPr>
        <w:spacing w:line="360" w:lineRule="auto"/>
        <w:jc w:val="center"/>
        <w:rPr>
          <w:rFonts w:cs="仿宋" w:asciiTheme="majorEastAsia" w:hAnsiTheme="majorEastAsia" w:eastAsiaTheme="majorEastAsia"/>
          <w:b/>
          <w:color w:val="auto"/>
          <w:spacing w:val="6"/>
          <w:sz w:val="32"/>
          <w:szCs w:val="32"/>
          <w:highlight w:val="none"/>
        </w:rPr>
      </w:pPr>
    </w:p>
    <w:p>
      <w:pPr>
        <w:spacing w:line="360" w:lineRule="auto"/>
        <w:jc w:val="center"/>
        <w:rPr>
          <w:rFonts w:cs="仿宋" w:asciiTheme="majorEastAsia" w:hAnsiTheme="majorEastAsia" w:eastAsiaTheme="majorEastAsia"/>
          <w:b/>
          <w:color w:val="auto"/>
          <w:spacing w:val="6"/>
          <w:sz w:val="32"/>
          <w:szCs w:val="32"/>
          <w:highlight w:val="none"/>
        </w:rPr>
      </w:pPr>
    </w:p>
    <w:p>
      <w:pPr>
        <w:spacing w:line="360" w:lineRule="auto"/>
        <w:jc w:val="center"/>
        <w:rPr>
          <w:rFonts w:cs="仿宋" w:asciiTheme="majorEastAsia" w:hAnsiTheme="majorEastAsia" w:eastAsiaTheme="majorEastAsia"/>
          <w:b/>
          <w:color w:val="auto"/>
          <w:spacing w:val="6"/>
          <w:sz w:val="32"/>
          <w:szCs w:val="32"/>
          <w:highlight w:val="none"/>
        </w:rPr>
      </w:pPr>
    </w:p>
    <w:p>
      <w:pPr>
        <w:spacing w:line="360" w:lineRule="auto"/>
        <w:jc w:val="left"/>
        <w:rPr>
          <w:rFonts w:cs="仿宋" w:asciiTheme="majorEastAsia" w:hAnsiTheme="majorEastAsia" w:eastAsiaTheme="majorEastAsia"/>
          <w:b/>
          <w:color w:val="auto"/>
          <w:spacing w:val="6"/>
          <w:sz w:val="32"/>
          <w:szCs w:val="32"/>
          <w:highlight w:val="none"/>
        </w:rPr>
      </w:pPr>
    </w:p>
    <w:p>
      <w:pPr>
        <w:spacing w:line="360" w:lineRule="auto"/>
        <w:jc w:val="left"/>
        <w:rPr>
          <w:rFonts w:cs="仿宋" w:asciiTheme="majorEastAsia" w:hAnsiTheme="majorEastAsia" w:eastAsiaTheme="majorEastAsia"/>
          <w:b/>
          <w:color w:val="auto"/>
          <w:spacing w:val="6"/>
          <w:sz w:val="32"/>
          <w:szCs w:val="32"/>
          <w:highlight w:val="none"/>
        </w:rPr>
      </w:pPr>
    </w:p>
    <w:p>
      <w:pPr>
        <w:spacing w:line="360" w:lineRule="auto"/>
        <w:jc w:val="left"/>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附件3：投诉书范本及制作说明</w:t>
      </w:r>
    </w:p>
    <w:p>
      <w:pPr>
        <w:spacing w:line="360" w:lineRule="auto"/>
        <w:jc w:val="center"/>
        <w:rPr>
          <w:rFonts w:cs="仿宋" w:asciiTheme="majorEastAsia" w:hAnsiTheme="majorEastAsia" w:eastAsiaTheme="majorEastAsia"/>
          <w:b/>
          <w:color w:val="auto"/>
          <w:sz w:val="24"/>
          <w:highlight w:val="none"/>
        </w:rPr>
      </w:pPr>
    </w:p>
    <w:p>
      <w:pP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投诉书范本</w:t>
      </w: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一、投诉相关主体基本情况</w:t>
      </w:r>
    </w:p>
    <w:p>
      <w:pP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投诉人：</w:t>
      </w:r>
    </w:p>
    <w:p>
      <w:pP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地     址：邮编：</w:t>
      </w:r>
    </w:p>
    <w:p>
      <w:pPr>
        <w:tabs>
          <w:tab w:val="left" w:pos="6510"/>
        </w:tabs>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法定代表人/主要负责人：</w:t>
      </w:r>
    </w:p>
    <w:p>
      <w:pPr>
        <w:tabs>
          <w:tab w:val="left" w:pos="6510"/>
        </w:tabs>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联系电话：</w:t>
      </w:r>
    </w:p>
    <w:p>
      <w:pP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授权代表：联系电话</w:t>
      </w:r>
      <w:r>
        <w:rPr>
          <w:rFonts w:hint="eastAsia" w:cs="仿宋" w:asciiTheme="majorEastAsia" w:hAnsiTheme="majorEastAsia" w:eastAsiaTheme="majorEastAsia"/>
          <w:color w:val="auto"/>
          <w:sz w:val="24"/>
          <w:highlight w:val="none"/>
          <w:u w:val="dotted"/>
        </w:rPr>
        <w:t xml:space="preserve">：                  </w:t>
      </w:r>
    </w:p>
    <w:p>
      <w:pP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地     址：邮编：</w:t>
      </w:r>
    </w:p>
    <w:p>
      <w:pP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被投诉人1：</w:t>
      </w:r>
    </w:p>
    <w:p>
      <w:pP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地     址：邮编：</w:t>
      </w:r>
    </w:p>
    <w:p>
      <w:pP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联系人：联系电话：</w:t>
      </w: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被投诉人2</w:t>
      </w:r>
    </w:p>
    <w:p>
      <w:pP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w:t>
      </w:r>
    </w:p>
    <w:p>
      <w:pP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相关供应商：</w:t>
      </w:r>
    </w:p>
    <w:p>
      <w:pP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地     址：邮编：</w:t>
      </w:r>
    </w:p>
    <w:p>
      <w:pP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联系人：联系电话：</w:t>
      </w: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二、投诉项目基本情况</w:t>
      </w:r>
    </w:p>
    <w:p>
      <w:pP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采购项目名称：</w:t>
      </w:r>
    </w:p>
    <w:p>
      <w:pP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采购项目编号：包号：</w:t>
      </w: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采购人名称：</w:t>
      </w:r>
    </w:p>
    <w:p>
      <w:pP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代理机构名称：</w:t>
      </w:r>
    </w:p>
    <w:p>
      <w:pP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采购文件公告:</w:t>
      </w:r>
      <w:r>
        <w:rPr>
          <w:rFonts w:hint="eastAsia" w:cs="仿宋" w:asciiTheme="majorEastAsia" w:hAnsiTheme="majorEastAsia" w:eastAsiaTheme="majorEastAsia"/>
          <w:color w:val="auto"/>
          <w:sz w:val="24"/>
          <w:highlight w:val="none"/>
          <w:u w:val="dotted"/>
        </w:rPr>
        <w:t xml:space="preserve">是/否 </w:t>
      </w:r>
      <w:r>
        <w:rPr>
          <w:rFonts w:hint="eastAsia" w:cs="仿宋" w:asciiTheme="majorEastAsia" w:hAnsiTheme="majorEastAsia" w:eastAsiaTheme="majorEastAsia"/>
          <w:color w:val="auto"/>
          <w:sz w:val="24"/>
          <w:highlight w:val="none"/>
        </w:rPr>
        <w:t>公告期限：</w:t>
      </w:r>
    </w:p>
    <w:p>
      <w:pP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采购结果公告:</w:t>
      </w:r>
      <w:r>
        <w:rPr>
          <w:rFonts w:hint="eastAsia" w:cs="仿宋" w:asciiTheme="majorEastAsia" w:hAnsiTheme="majorEastAsia" w:eastAsiaTheme="majorEastAsia"/>
          <w:color w:val="auto"/>
          <w:sz w:val="24"/>
          <w:highlight w:val="none"/>
          <w:u w:val="dotted"/>
        </w:rPr>
        <w:t xml:space="preserve">是/否 </w:t>
      </w:r>
      <w:r>
        <w:rPr>
          <w:rFonts w:hint="eastAsia" w:cs="仿宋" w:asciiTheme="majorEastAsia" w:hAnsiTheme="majorEastAsia" w:eastAsiaTheme="majorEastAsia"/>
          <w:color w:val="auto"/>
          <w:sz w:val="24"/>
          <w:highlight w:val="none"/>
        </w:rPr>
        <w:t>公告期限：</w:t>
      </w: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三、质疑基本情况</w:t>
      </w:r>
    </w:p>
    <w:p>
      <w:pPr>
        <w:spacing w:line="360" w:lineRule="auto"/>
        <w:ind w:firstLine="480" w:firstLineChars="200"/>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投诉人于年月日,向提出质疑，质疑事项为：</w:t>
      </w:r>
    </w:p>
    <w:p>
      <w:pPr>
        <w:spacing w:line="360" w:lineRule="auto"/>
        <w:rPr>
          <w:rFonts w:cs="仿宋" w:asciiTheme="majorEastAsia" w:hAnsiTheme="majorEastAsia" w:eastAsiaTheme="majorEastAsia"/>
          <w:color w:val="auto"/>
          <w:sz w:val="24"/>
          <w:highlight w:val="none"/>
          <w:u w:val="dotted"/>
        </w:rPr>
      </w:pPr>
    </w:p>
    <w:p>
      <w:pPr>
        <w:spacing w:line="360" w:lineRule="auto"/>
        <w:ind w:firstLine="360" w:firstLineChars="1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u w:val="dotted"/>
        </w:rPr>
        <w:t>采购人/代理机构</w:t>
      </w:r>
      <w:r>
        <w:rPr>
          <w:rFonts w:hint="eastAsia" w:cs="仿宋" w:asciiTheme="majorEastAsia" w:hAnsiTheme="majorEastAsia" w:eastAsiaTheme="majorEastAsia"/>
          <w:color w:val="auto"/>
          <w:sz w:val="24"/>
          <w:highlight w:val="none"/>
        </w:rPr>
        <w:t>于年月日,就质疑事项作出了答复/没有在法定期限内作出答复。</w:t>
      </w: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四、投诉事项具体内容</w:t>
      </w:r>
    </w:p>
    <w:p>
      <w:pP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投诉事项 1：</w:t>
      </w: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事实依据：</w:t>
      </w:r>
    </w:p>
    <w:p>
      <w:pPr>
        <w:spacing w:line="360" w:lineRule="auto"/>
        <w:rPr>
          <w:rFonts w:cs="仿宋" w:asciiTheme="majorEastAsia" w:hAnsiTheme="majorEastAsia" w:eastAsiaTheme="majorEastAsia"/>
          <w:color w:val="auto"/>
          <w:sz w:val="24"/>
          <w:highlight w:val="none"/>
          <w:u w:val="dotted"/>
        </w:rPr>
      </w:pPr>
    </w:p>
    <w:p>
      <w:pP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法律依据：</w:t>
      </w:r>
    </w:p>
    <w:p>
      <w:pPr>
        <w:spacing w:line="360" w:lineRule="auto"/>
        <w:rPr>
          <w:rFonts w:cs="仿宋" w:asciiTheme="majorEastAsia" w:hAnsiTheme="majorEastAsia" w:eastAsiaTheme="majorEastAsia"/>
          <w:color w:val="auto"/>
          <w:sz w:val="24"/>
          <w:highlight w:val="none"/>
          <w:u w:val="dotted"/>
        </w:rPr>
      </w:pP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投诉事项2</w:t>
      </w:r>
    </w:p>
    <w:p>
      <w:pP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w:t>
      </w: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五、与投诉事项相关的投诉请求</w:t>
      </w: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请求：</w:t>
      </w:r>
    </w:p>
    <w:p>
      <w:pPr>
        <w:spacing w:line="360" w:lineRule="auto"/>
        <w:rPr>
          <w:rFonts w:cs="仿宋" w:asciiTheme="majorEastAsia" w:hAnsiTheme="majorEastAsia" w:eastAsiaTheme="majorEastAsia"/>
          <w:color w:val="auto"/>
          <w:sz w:val="24"/>
          <w:highlight w:val="none"/>
          <w:u w:val="single"/>
        </w:rPr>
      </w:pP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签字(签章)：                   公章：                      </w:t>
      </w: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日期：    </w:t>
      </w:r>
    </w:p>
    <w:p>
      <w:pPr>
        <w:spacing w:line="360" w:lineRule="auto"/>
        <w:rPr>
          <w:rFonts w:cs="仿宋" w:asciiTheme="majorEastAsia" w:hAnsiTheme="majorEastAsia" w:eastAsiaTheme="majorEastAsia"/>
          <w:b/>
          <w:color w:val="auto"/>
          <w:sz w:val="24"/>
          <w:highlight w:val="none"/>
        </w:rPr>
      </w:pPr>
    </w:p>
    <w:p>
      <w:pPr>
        <w:spacing w:line="360" w:lineRule="auto"/>
        <w:rPr>
          <w:rFonts w:cs="仿宋" w:asciiTheme="majorEastAsia" w:hAnsiTheme="majorEastAsia" w:eastAsiaTheme="majorEastAsia"/>
          <w:b/>
          <w:color w:val="auto"/>
          <w:sz w:val="24"/>
          <w:highlight w:val="none"/>
        </w:rPr>
      </w:pPr>
    </w:p>
    <w:p>
      <w:pP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投诉书制作说明：</w:t>
      </w:r>
    </w:p>
    <w:p>
      <w:pPr>
        <w:widowControl/>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2.投诉人若委托代理人进行投诉的，投诉书应按照要求列明“授权代表”的有关内容，并在附件中提交由</w:t>
      </w:r>
      <w:r>
        <w:rPr>
          <w:rFonts w:hint="eastAsia" w:cs="仿宋" w:asciiTheme="majorEastAsia" w:hAnsiTheme="majorEastAsia" w:eastAsiaTheme="majorEastAsia"/>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3.投诉人若对项目的某一分包进行投诉，投诉书应列明具体分包号。</w:t>
      </w:r>
    </w:p>
    <w:p>
      <w:pPr>
        <w:widowControl/>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4.投诉书应简要列明质疑事项，质疑函、质疑答复等作为附件材料提供。</w:t>
      </w:r>
    </w:p>
    <w:p>
      <w:pPr>
        <w:widowControl/>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5.投诉书的投诉事项应具体、明确，并有必要的事实依据和法律依据。</w:t>
      </w:r>
    </w:p>
    <w:p>
      <w:pPr>
        <w:widowControl/>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6.投诉书的投诉请求应与投诉事项相关。</w:t>
      </w:r>
    </w:p>
    <w:p>
      <w:pPr>
        <w:widowControl/>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cs="仿宋" w:asciiTheme="majorEastAsia" w:hAnsiTheme="majorEastAsia" w:eastAsiaTheme="majorEastAsia"/>
          <w:b/>
          <w:color w:val="auto"/>
          <w:sz w:val="24"/>
          <w:highlight w:val="none"/>
        </w:rPr>
      </w:pPr>
    </w:p>
    <w:p>
      <w:pPr>
        <w:autoSpaceDE w:val="0"/>
        <w:autoSpaceDN w:val="0"/>
        <w:jc w:val="center"/>
        <w:rPr>
          <w:rFonts w:cs="仿宋" w:asciiTheme="majorEastAsia" w:hAnsiTheme="majorEastAsia" w:eastAsiaTheme="majorEastAsia"/>
          <w:b/>
          <w:color w:val="auto"/>
          <w:spacing w:val="6"/>
          <w:sz w:val="32"/>
          <w:szCs w:val="32"/>
          <w:highlight w:val="none"/>
        </w:rPr>
      </w:pPr>
    </w:p>
    <w:p>
      <w:pPr>
        <w:autoSpaceDE w:val="0"/>
        <w:autoSpaceDN w:val="0"/>
        <w:jc w:val="center"/>
        <w:rPr>
          <w:rFonts w:cs="仿宋" w:asciiTheme="majorEastAsia" w:hAnsiTheme="majorEastAsia" w:eastAsiaTheme="majorEastAsia"/>
          <w:b/>
          <w:color w:val="auto"/>
          <w:spacing w:val="6"/>
          <w:sz w:val="32"/>
          <w:szCs w:val="32"/>
          <w:highlight w:val="none"/>
        </w:rPr>
      </w:pPr>
    </w:p>
    <w:p>
      <w:pPr>
        <w:autoSpaceDE w:val="0"/>
        <w:autoSpaceDN w:val="0"/>
        <w:jc w:val="center"/>
        <w:rPr>
          <w:rFonts w:cs="仿宋" w:asciiTheme="majorEastAsia" w:hAnsiTheme="majorEastAsia" w:eastAsiaTheme="majorEastAsia"/>
          <w:b/>
          <w:bCs/>
          <w:color w:val="auto"/>
          <w:sz w:val="32"/>
          <w:szCs w:val="32"/>
          <w:highlight w:val="none"/>
        </w:rPr>
      </w:pPr>
      <w:r>
        <w:rPr>
          <w:rFonts w:hint="eastAsia" w:cs="仿宋" w:asciiTheme="majorEastAsia" w:hAnsiTheme="majorEastAsia" w:eastAsiaTheme="majorEastAsia"/>
          <w:b/>
          <w:color w:val="auto"/>
          <w:spacing w:val="6"/>
          <w:sz w:val="32"/>
          <w:szCs w:val="32"/>
          <w:highlight w:val="none"/>
        </w:rPr>
        <w:t>附件4：</w:t>
      </w:r>
      <w:r>
        <w:rPr>
          <w:rFonts w:hint="eastAsia" w:cs="仿宋" w:asciiTheme="majorEastAsia" w:hAnsiTheme="majorEastAsia" w:eastAsiaTheme="majorEastAsia"/>
          <w:b/>
          <w:bCs/>
          <w:color w:val="auto"/>
          <w:sz w:val="32"/>
          <w:szCs w:val="32"/>
          <w:highlight w:val="none"/>
        </w:rPr>
        <w:t>业务专用章使用说明函</w:t>
      </w:r>
    </w:p>
    <w:p>
      <w:pP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u w:val="single"/>
        </w:rPr>
        <w:t>（采购人）、（采购代理机构）</w:t>
      </w:r>
    </w:p>
    <w:p>
      <w:pP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lang w:val="zh-CN"/>
        </w:rPr>
        <w:t>我方</w:t>
      </w:r>
      <w:r>
        <w:rPr>
          <w:rFonts w:hint="eastAsia" w:cs="仿宋" w:asciiTheme="majorEastAsia" w:hAnsiTheme="majorEastAsia" w:eastAsiaTheme="majorEastAsia"/>
          <w:color w:val="auto"/>
          <w:sz w:val="24"/>
          <w:highlight w:val="none"/>
        </w:rPr>
        <w:t>(投标人全称)是中华人民共和国依法登记注册的合法企业，</w:t>
      </w:r>
      <w:r>
        <w:rPr>
          <w:rFonts w:hint="eastAsia" w:cs="仿宋" w:asciiTheme="majorEastAsia" w:hAnsiTheme="majorEastAsia" w:eastAsiaTheme="majorEastAsia"/>
          <w:bCs/>
          <w:color w:val="auto"/>
          <w:sz w:val="24"/>
          <w:highlight w:val="none"/>
        </w:rPr>
        <w:t>在参加</w:t>
      </w:r>
      <w:r>
        <w:rPr>
          <w:rFonts w:hint="eastAsia" w:cs="仿宋" w:asciiTheme="majorEastAsia" w:hAnsiTheme="majorEastAsia" w:eastAsiaTheme="majorEastAsia"/>
          <w:color w:val="auto"/>
          <w:sz w:val="24"/>
          <w:highlight w:val="none"/>
        </w:rPr>
        <w:t>你方组织的（项目名称）项目【招标编号：（采购编号）】</w:t>
      </w:r>
      <w:r>
        <w:rPr>
          <w:rFonts w:hint="eastAsia" w:cs="仿宋" w:asciiTheme="majorEastAsia" w:hAnsiTheme="majorEastAsia" w:eastAsiaTheme="majorEastAsia"/>
          <w:bCs/>
          <w:color w:val="auto"/>
          <w:sz w:val="24"/>
          <w:highlight w:val="none"/>
        </w:rPr>
        <w:t>投标活动中作如下说明：</w:t>
      </w:r>
      <w:r>
        <w:rPr>
          <w:rFonts w:hint="eastAsia" w:cs="仿宋" w:asciiTheme="majorEastAsia" w:hAnsiTheme="majorEastAsia" w:eastAsiaTheme="majorEastAsia"/>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特此说明。</w:t>
      </w:r>
    </w:p>
    <w:p>
      <w:pPr>
        <w:spacing w:line="360" w:lineRule="auto"/>
        <w:ind w:firstLine="494"/>
        <w:rPr>
          <w:rFonts w:cs="仿宋" w:asciiTheme="majorEastAsia" w:hAnsiTheme="majorEastAsia" w:eastAsiaTheme="majorEastAsia"/>
          <w:color w:val="auto"/>
          <w:sz w:val="24"/>
          <w:highlight w:val="none"/>
        </w:rPr>
      </w:pPr>
    </w:p>
    <w:p>
      <w:pPr>
        <w:spacing w:line="360" w:lineRule="auto"/>
        <w:ind w:firstLine="494"/>
        <w:rPr>
          <w:rFonts w:cs="仿宋" w:asciiTheme="majorEastAsia" w:hAnsiTheme="majorEastAsia" w:eastAsiaTheme="majorEastAsia"/>
          <w:color w:val="auto"/>
          <w:sz w:val="24"/>
          <w:highlight w:val="none"/>
        </w:rPr>
      </w:pPr>
    </w:p>
    <w:p>
      <w:pPr>
        <w:spacing w:line="360" w:lineRule="auto"/>
        <w:ind w:firstLine="494"/>
        <w:rPr>
          <w:rFonts w:cs="仿宋" w:asciiTheme="majorEastAsia" w:hAnsiTheme="majorEastAsia" w:eastAsiaTheme="majorEastAsia"/>
          <w:color w:val="auto"/>
          <w:sz w:val="24"/>
          <w:highlight w:val="none"/>
        </w:rPr>
      </w:pPr>
    </w:p>
    <w:p>
      <w:pPr>
        <w:spacing w:line="360" w:lineRule="auto"/>
        <w:ind w:firstLine="494"/>
        <w:rPr>
          <w:rFonts w:cs="仿宋" w:asciiTheme="majorEastAsia" w:hAnsiTheme="majorEastAsia" w:eastAsiaTheme="majorEastAsia"/>
          <w:color w:val="auto"/>
          <w:sz w:val="24"/>
          <w:highlight w:val="none"/>
        </w:rPr>
      </w:pPr>
    </w:p>
    <w:p>
      <w:pPr>
        <w:spacing w:line="360" w:lineRule="auto"/>
        <w:ind w:right="480" w:firstLine="4080" w:firstLineChars="17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投标单位（法定名称章）：</w:t>
      </w:r>
    </w:p>
    <w:p>
      <w:pPr>
        <w:ind w:right="1440" w:firstLine="494"/>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pPr>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bCs/>
          <w:color w:val="auto"/>
          <w:sz w:val="24"/>
          <w:highlight w:val="none"/>
        </w:rPr>
        <w:t>附：</w:t>
      </w:r>
    </w:p>
    <w:p>
      <w:pPr>
        <w:spacing w:line="360" w:lineRule="auto"/>
        <w:rPr>
          <w:rFonts w:cs="仿宋" w:asciiTheme="majorEastAsia" w:hAnsiTheme="majorEastAsia" w:eastAsiaTheme="majorEastAsia"/>
          <w:bCs/>
          <w:color w:val="auto"/>
          <w:sz w:val="24"/>
          <w:highlight w:val="none"/>
        </w:rPr>
      </w:pPr>
      <w:r>
        <w:rPr>
          <w:rFonts w:cs="仿宋" w:asciiTheme="majorEastAsia" w:hAnsiTheme="majorEastAsia" w:eastAsiaTheme="majorEastAsia"/>
          <w:b/>
          <w:bCs/>
          <w:color w:val="auto"/>
          <w:sz w:val="24"/>
          <w:highlight w:val="none"/>
        </w:rPr>
        <w:pict>
          <v:rect id="Rectangle 17" o:spid="_x0000_s2051" o:spt="1" style="position:absolute;left:0pt;margin-left:238.9pt;margin-top:28.05pt;height:177.45pt;width:212.95pt;z-index:-25165312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">
            <v:path/>
            <v:fill focussize="0,0"/>
            <v:stroke miterlimit="2"/>
            <v:imagedata o:title=""/>
            <o:lock v:ext="edit"/>
          </v:rect>
        </w:pict>
      </w:r>
      <w:r>
        <w:rPr>
          <w:rFonts w:cs="仿宋" w:asciiTheme="majorEastAsia" w:hAnsiTheme="majorEastAsia" w:eastAsiaTheme="majorEastAsia"/>
          <w:b/>
          <w:bCs/>
          <w:color w:val="auto"/>
          <w:sz w:val="24"/>
          <w:highlight w:val="none"/>
        </w:rPr>
        <w:pict>
          <v:rect id="Rectangle 16" o:spid="_x0000_s2050" o:spt="1" style="position:absolute;left:0pt;margin-left:-7.2pt;margin-top:30.3pt;height:177.45pt;width:208.5pt;z-index:-25165209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">
            <v:path/>
            <v:fill focussize="0,0"/>
            <v:stroke miterlimit="2"/>
            <v:imagedata o:title=""/>
            <o:lock v:ext="edit"/>
          </v:rect>
        </w:pict>
      </w:r>
      <w:r>
        <w:rPr>
          <w:rFonts w:hint="eastAsia" w:cs="仿宋" w:asciiTheme="majorEastAsia" w:hAnsiTheme="majorEastAsia" w:eastAsiaTheme="majorEastAsia"/>
          <w:color w:val="auto"/>
          <w:sz w:val="24"/>
          <w:highlight w:val="none"/>
        </w:rPr>
        <w:t>投标单位法定名称章（印模）                投标单位“XX专用章”（印模）</w:t>
      </w:r>
    </w:p>
    <w:p>
      <w:pPr>
        <w:autoSpaceDE w:val="0"/>
        <w:autoSpaceDN w:val="0"/>
        <w:jc w:val="center"/>
        <w:rPr>
          <w:rFonts w:cs="仿宋" w:asciiTheme="majorEastAsia" w:hAnsiTheme="majorEastAsia" w:eastAsiaTheme="majorEastAsia"/>
          <w:b/>
          <w:color w:val="auto"/>
          <w:spacing w:val="6"/>
          <w:sz w:val="32"/>
          <w:szCs w:val="32"/>
          <w:highlight w:val="none"/>
        </w:rPr>
      </w:pPr>
    </w:p>
    <w:p>
      <w:pPr>
        <w:autoSpaceDE w:val="0"/>
        <w:autoSpaceDN w:val="0"/>
        <w:jc w:val="center"/>
        <w:rPr>
          <w:rFonts w:cs="仿宋" w:asciiTheme="majorEastAsia" w:hAnsiTheme="majorEastAsia" w:eastAsiaTheme="majorEastAsia"/>
          <w:b/>
          <w:color w:val="auto"/>
          <w:spacing w:val="6"/>
          <w:sz w:val="32"/>
          <w:szCs w:val="32"/>
          <w:highlight w:val="none"/>
        </w:rPr>
      </w:pPr>
    </w:p>
    <w:p>
      <w:pPr>
        <w:autoSpaceDE w:val="0"/>
        <w:autoSpaceDN w:val="0"/>
        <w:jc w:val="center"/>
        <w:rPr>
          <w:rFonts w:cs="仿宋" w:asciiTheme="majorEastAsia" w:hAnsiTheme="majorEastAsia" w:eastAsiaTheme="majorEastAsia"/>
          <w:b/>
          <w:color w:val="auto"/>
          <w:spacing w:val="6"/>
          <w:sz w:val="32"/>
          <w:szCs w:val="32"/>
          <w:highlight w:val="none"/>
        </w:rPr>
      </w:pPr>
    </w:p>
    <w:p>
      <w:pPr>
        <w:autoSpaceDE w:val="0"/>
        <w:autoSpaceDN w:val="0"/>
        <w:jc w:val="center"/>
        <w:rPr>
          <w:rFonts w:cs="仿宋" w:asciiTheme="majorEastAsia" w:hAnsiTheme="majorEastAsia" w:eastAsiaTheme="majorEastAsia"/>
          <w:b/>
          <w:color w:val="auto"/>
          <w:spacing w:val="6"/>
          <w:sz w:val="32"/>
          <w:szCs w:val="32"/>
          <w:highlight w:val="none"/>
        </w:rPr>
      </w:pPr>
    </w:p>
    <w:p>
      <w:pPr>
        <w:autoSpaceDE w:val="0"/>
        <w:autoSpaceDN w:val="0"/>
        <w:jc w:val="center"/>
        <w:rPr>
          <w:rFonts w:cs="仿宋" w:asciiTheme="majorEastAsia" w:hAnsiTheme="majorEastAsia" w:eastAsiaTheme="majorEastAsia"/>
          <w:b/>
          <w:color w:val="auto"/>
          <w:spacing w:val="6"/>
          <w:sz w:val="32"/>
          <w:szCs w:val="32"/>
          <w:highlight w:val="none"/>
        </w:rPr>
      </w:pPr>
    </w:p>
    <w:p>
      <w:pPr>
        <w:autoSpaceDE w:val="0"/>
        <w:autoSpaceDN w:val="0"/>
        <w:jc w:val="center"/>
        <w:rPr>
          <w:rFonts w:cs="仿宋" w:asciiTheme="majorEastAsia" w:hAnsiTheme="majorEastAsia" w:eastAsiaTheme="majorEastAsia"/>
          <w:b/>
          <w:color w:val="auto"/>
          <w:spacing w:val="6"/>
          <w:sz w:val="32"/>
          <w:szCs w:val="32"/>
          <w:highlight w:val="none"/>
        </w:rPr>
      </w:pPr>
    </w:p>
    <w:p>
      <w:pPr>
        <w:autoSpaceDE w:val="0"/>
        <w:autoSpaceDN w:val="0"/>
        <w:jc w:val="center"/>
        <w:rPr>
          <w:rFonts w:cs="仿宋" w:asciiTheme="majorEastAsia" w:hAnsiTheme="majorEastAsia" w:eastAsiaTheme="majorEastAsia"/>
          <w:b/>
          <w:color w:val="auto"/>
          <w:spacing w:val="6"/>
          <w:sz w:val="32"/>
          <w:szCs w:val="32"/>
          <w:highlight w:val="none"/>
        </w:rPr>
      </w:pPr>
    </w:p>
    <w:p>
      <w:pPr>
        <w:autoSpaceDE w:val="0"/>
        <w:autoSpaceDN w:val="0"/>
        <w:jc w:val="center"/>
        <w:rPr>
          <w:rFonts w:cs="仿宋" w:asciiTheme="majorEastAsia" w:hAnsiTheme="majorEastAsia" w:eastAsiaTheme="majorEastAsia"/>
          <w:b/>
          <w:color w:val="auto"/>
          <w:spacing w:val="6"/>
          <w:sz w:val="32"/>
          <w:szCs w:val="32"/>
          <w:highlight w:val="none"/>
        </w:rPr>
      </w:pPr>
    </w:p>
    <w:p>
      <w:pPr>
        <w:autoSpaceDE w:val="0"/>
        <w:autoSpaceDN w:val="0"/>
        <w:jc w:val="center"/>
        <w:rPr>
          <w:rFonts w:cs="仿宋" w:asciiTheme="majorEastAsia" w:hAnsiTheme="majorEastAsia" w:eastAsiaTheme="majorEastAsia"/>
          <w:b/>
          <w:color w:val="auto"/>
          <w:spacing w:val="6"/>
          <w:sz w:val="32"/>
          <w:szCs w:val="32"/>
          <w:highlight w:val="none"/>
        </w:rPr>
      </w:pPr>
    </w:p>
    <w:p>
      <w:pPr>
        <w:autoSpaceDE w:val="0"/>
        <w:autoSpaceDN w:val="0"/>
        <w:jc w:val="center"/>
        <w:rPr>
          <w:rFonts w:cs="仿宋" w:asciiTheme="majorEastAsia" w:hAnsiTheme="majorEastAsia" w:eastAsiaTheme="majorEastAsia"/>
          <w:b/>
          <w:color w:val="auto"/>
          <w:spacing w:val="6"/>
          <w:sz w:val="32"/>
          <w:szCs w:val="32"/>
          <w:highlight w:val="none"/>
        </w:rPr>
      </w:pPr>
    </w:p>
    <w:p>
      <w:pPr>
        <w:autoSpaceDE w:val="0"/>
        <w:autoSpaceDN w:val="0"/>
        <w:jc w:val="center"/>
        <w:rPr>
          <w:rFonts w:cs="仿宋" w:asciiTheme="majorEastAsia" w:hAnsiTheme="majorEastAsia" w:eastAsiaTheme="majorEastAsia"/>
          <w:b/>
          <w:color w:val="auto"/>
          <w:spacing w:val="6"/>
          <w:sz w:val="32"/>
          <w:szCs w:val="32"/>
          <w:highlight w:val="none"/>
        </w:rPr>
      </w:pPr>
    </w:p>
    <w:p>
      <w:pPr>
        <w:autoSpaceDE w:val="0"/>
        <w:autoSpaceDN w:val="0"/>
        <w:jc w:val="center"/>
        <w:rPr>
          <w:rFonts w:cs="仿宋" w:asciiTheme="majorEastAsia" w:hAnsiTheme="majorEastAsia" w:eastAsiaTheme="majorEastAsia"/>
          <w:b/>
          <w:color w:val="auto"/>
          <w:spacing w:val="6"/>
          <w:sz w:val="32"/>
          <w:szCs w:val="32"/>
          <w:highlight w:val="none"/>
        </w:rPr>
      </w:pPr>
    </w:p>
    <w:p>
      <w:pPr>
        <w:autoSpaceDE w:val="0"/>
        <w:autoSpaceDN w:val="0"/>
        <w:jc w:val="center"/>
        <w:rPr>
          <w:rFonts w:cs="仿宋" w:asciiTheme="majorEastAsia" w:hAnsiTheme="majorEastAsia" w:eastAsiaTheme="majorEastAsia"/>
          <w:b/>
          <w:color w:val="auto"/>
          <w:spacing w:val="6"/>
          <w:sz w:val="32"/>
          <w:szCs w:val="32"/>
          <w:highlight w:val="none"/>
        </w:rPr>
      </w:pPr>
    </w:p>
    <w:p>
      <w:pP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br w:type="page"/>
      </w:r>
    </w:p>
    <w:p>
      <w:pPr>
        <w:autoSpaceDE w:val="0"/>
        <w:autoSpaceDN w:val="0"/>
        <w:jc w:val="center"/>
        <w:rPr>
          <w:rFonts w:cs="仿宋" w:asciiTheme="majorEastAsia" w:hAnsiTheme="majorEastAsia" w:eastAsiaTheme="majorEastAsia"/>
          <w:b/>
          <w:bCs/>
          <w:color w:val="auto"/>
          <w:sz w:val="32"/>
          <w:szCs w:val="32"/>
          <w:highlight w:val="none"/>
        </w:rPr>
      </w:pPr>
      <w:r>
        <w:rPr>
          <w:rFonts w:hint="eastAsia" w:cs="仿宋" w:asciiTheme="majorEastAsia" w:hAnsiTheme="majorEastAsia" w:eastAsiaTheme="majorEastAsia"/>
          <w:b/>
          <w:color w:val="auto"/>
          <w:spacing w:val="6"/>
          <w:sz w:val="32"/>
          <w:szCs w:val="32"/>
          <w:highlight w:val="none"/>
        </w:rPr>
        <w:t>附件5：</w:t>
      </w:r>
      <w:r>
        <w:rPr>
          <w:rFonts w:hint="eastAsia" w:cs="仿宋" w:asciiTheme="majorEastAsia" w:hAnsiTheme="majorEastAsia" w:eastAsiaTheme="majorEastAsia"/>
          <w:b/>
          <w:color w:val="auto"/>
          <w:sz w:val="32"/>
          <w:szCs w:val="32"/>
          <w:highlight w:val="none"/>
        </w:rPr>
        <w:t>中小企业声明函</w:t>
      </w:r>
    </w:p>
    <w:p>
      <w:pPr>
        <w:spacing w:line="360" w:lineRule="auto"/>
        <w:jc w:val="center"/>
        <w:rPr>
          <w:rFonts w:cs="仿宋" w:asciiTheme="majorEastAsia" w:hAnsiTheme="majorEastAsia" w:eastAsiaTheme="majorEastAsia"/>
          <w:color w:val="auto"/>
          <w:sz w:val="24"/>
          <w:highlight w:val="none"/>
          <w:u w:val="single"/>
        </w:rPr>
      </w:pPr>
    </w:p>
    <w:p>
      <w:pP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（示范见资格文件部分）</w:t>
      </w:r>
    </w:p>
    <w:p>
      <w:pPr>
        <w:spacing w:line="360" w:lineRule="auto"/>
        <w:jc w:val="center"/>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中小企业声明函（服务）</w:t>
      </w:r>
    </w:p>
    <w:p>
      <w:pPr>
        <w:spacing w:line="360" w:lineRule="auto"/>
        <w:rPr>
          <w:rFonts w:cs="仿宋" w:asciiTheme="majorEastAsia" w:hAnsiTheme="majorEastAsia" w:eastAsiaTheme="majorEastAsia"/>
          <w:color w:val="auto"/>
          <w:highlight w:val="none"/>
        </w:rPr>
      </w:pPr>
    </w:p>
    <w:p>
      <w:pPr>
        <w:spacing w:line="360" w:lineRule="auto"/>
        <w:ind w:firstLine="360" w:firstLineChars="15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本公司（联合体）郑重声明，根据《政府采购促进中小企业发展管理办法》（财库﹝2020﹞46 号）的规定，本公司（联合体）参加 </w:t>
      </w:r>
      <w:r>
        <w:rPr>
          <w:rFonts w:hint="eastAsia" w:cs="仿宋" w:asciiTheme="majorEastAsia" w:hAnsiTheme="majorEastAsia" w:eastAsiaTheme="majorEastAsia"/>
          <w:color w:val="auto"/>
          <w:sz w:val="24"/>
          <w:highlight w:val="none"/>
          <w:u w:val="single"/>
        </w:rPr>
        <w:t xml:space="preserve">      （采购人） </w:t>
      </w:r>
      <w:r>
        <w:rPr>
          <w:rFonts w:hint="eastAsia" w:cs="仿宋" w:asciiTheme="majorEastAsia" w:hAnsiTheme="majorEastAsia" w:eastAsiaTheme="majorEastAsia"/>
          <w:color w:val="auto"/>
          <w:sz w:val="24"/>
          <w:highlight w:val="none"/>
        </w:rPr>
        <w:t xml:space="preserve">的 </w:t>
      </w:r>
      <w:r>
        <w:rPr>
          <w:rFonts w:hint="eastAsia" w:cs="仿宋" w:asciiTheme="majorEastAsia" w:hAnsiTheme="majorEastAsia" w:eastAsiaTheme="majorEastAsia"/>
          <w:color w:val="auto"/>
          <w:sz w:val="24"/>
          <w:highlight w:val="none"/>
          <w:u w:val="single"/>
        </w:rPr>
        <w:t xml:space="preserve">   （项目名称） </w:t>
      </w:r>
      <w:r>
        <w:rPr>
          <w:rFonts w:hint="eastAsia" w:cs="仿宋" w:asciiTheme="majorEastAsia" w:hAnsiTheme="majorEastAsia" w:eastAsiaTheme="majorEastAsia"/>
          <w:color w:val="auto"/>
          <w:sz w:val="24"/>
          <w:highlight w:val="none"/>
        </w:rPr>
        <w:t>采购活动，服务全部由符合政策要求的中小企业承接。相关企业（含联合体中的中小企业、签订分包意向协议的中小企业）的具体情况如下：</w:t>
      </w:r>
    </w:p>
    <w:p>
      <w:pPr>
        <w:numPr>
          <w:ilvl w:val="0"/>
          <w:numId w:val="11"/>
        </w:numP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color w:val="auto"/>
          <w:sz w:val="24"/>
          <w:highlight w:val="none"/>
          <w:u w:val="single"/>
        </w:rPr>
        <w:t xml:space="preserve">          （标的）</w:t>
      </w:r>
      <w:r>
        <w:rPr>
          <w:rFonts w:hint="eastAsia" w:cs="仿宋" w:asciiTheme="majorEastAsia" w:hAnsiTheme="majorEastAsia" w:eastAsiaTheme="majorEastAsia"/>
          <w:color w:val="auto"/>
          <w:sz w:val="24"/>
          <w:highlight w:val="none"/>
        </w:rPr>
        <w:t xml:space="preserve">，属于 </w:t>
      </w:r>
      <w:r>
        <w:rPr>
          <w:rFonts w:hint="eastAsia" w:cs="仿宋" w:asciiTheme="majorEastAsia" w:hAnsiTheme="majorEastAsia" w:eastAsiaTheme="majorEastAsia"/>
          <w:color w:val="auto"/>
          <w:kern w:val="0"/>
          <w:sz w:val="24"/>
          <w:highlight w:val="none"/>
          <w:u w:val="single"/>
        </w:rPr>
        <w:t xml:space="preserve">    （行业）</w:t>
      </w:r>
      <w:r>
        <w:rPr>
          <w:rFonts w:hint="eastAsia" w:cs="仿宋" w:asciiTheme="majorEastAsia" w:hAnsiTheme="majorEastAsia" w:eastAsiaTheme="majorEastAsia"/>
          <w:color w:val="auto"/>
          <w:sz w:val="24"/>
          <w:highlight w:val="none"/>
        </w:rPr>
        <w:t xml:space="preserve"> ；承接企业为 </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人，营业收入为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万元，资产总额为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万元，属于</w:t>
      </w:r>
      <w:r>
        <w:rPr>
          <w:rFonts w:hint="eastAsia" w:cs="仿宋" w:asciiTheme="majorEastAsia" w:hAnsiTheme="majorEastAsia" w:eastAsiaTheme="majorEastAsia"/>
          <w:color w:val="auto"/>
          <w:sz w:val="24"/>
          <w:highlight w:val="none"/>
          <w:u w:val="single"/>
        </w:rPr>
        <w:t xml:space="preserve">       （填写中型企业、或者小型企业、或者微型企业的一种） </w:t>
      </w:r>
    </w:p>
    <w:p>
      <w:pP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p>
      <w:pP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本企业对上述声明内容的真实性负责。如有虚假，将依法承担相应责任。</w:t>
      </w:r>
    </w:p>
    <w:p>
      <w:pPr>
        <w:spacing w:line="360" w:lineRule="auto"/>
        <w:ind w:right="1760"/>
        <w:jc w:val="righ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投标人名称（电子签名）：</w:t>
      </w:r>
    </w:p>
    <w:p>
      <w:pPr>
        <w:spacing w:line="360" w:lineRule="auto"/>
        <w:ind w:right="1120" w:firstLine="4680" w:firstLineChars="19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日 期：</w:t>
      </w:r>
    </w:p>
    <w:p>
      <w:pPr>
        <w:spacing w:line="360" w:lineRule="auto"/>
        <w:ind w:firstLine="310" w:firstLineChars="147"/>
        <w:jc w:val="left"/>
        <w:rPr>
          <w:rFonts w:cs="仿宋" w:asciiTheme="majorEastAsia" w:hAnsiTheme="majorEastAsia" w:eastAsiaTheme="majorEastAsia"/>
          <w:b/>
          <w:color w:val="auto"/>
          <w:szCs w:val="21"/>
          <w:highlight w:val="none"/>
        </w:rPr>
      </w:pPr>
    </w:p>
    <w:p>
      <w:pPr>
        <w:spacing w:line="360" w:lineRule="auto"/>
        <w:ind w:right="420"/>
        <w:rPr>
          <w:rFonts w:cs="仿宋_GB2312" w:asciiTheme="majorEastAsia" w:hAnsiTheme="majorEastAsia" w:eastAsiaTheme="majorEastAsia"/>
          <w:color w:val="auto"/>
          <w:sz w:val="24"/>
          <w:highlight w:val="none"/>
        </w:rPr>
      </w:pPr>
    </w:p>
    <w:p>
      <w:pPr>
        <w:spacing w:line="360" w:lineRule="auto"/>
        <w:ind w:right="420"/>
        <w:rPr>
          <w:rFonts w:cs="仿宋_GB2312" w:asciiTheme="majorEastAsia" w:hAnsiTheme="majorEastAsia" w:eastAsiaTheme="majorEastAsia"/>
          <w:color w:val="auto"/>
          <w:sz w:val="24"/>
          <w:highlight w:val="none"/>
        </w:rPr>
      </w:pPr>
      <w:r>
        <w:rPr>
          <w:rFonts w:cs="仿宋_GB2312" w:asciiTheme="majorEastAsia" w:hAnsiTheme="majorEastAsia" w:eastAsiaTheme="majorEastAsia"/>
          <w:color w:val="auto"/>
          <w:sz w:val="24"/>
          <w:highlight w:val="none"/>
        </w:rPr>
        <w:t xml:space="preserve">   注：</w:t>
      </w:r>
      <w:r>
        <w:rPr>
          <w:rFonts w:hint="eastAsia" w:cs="仿宋_GB2312" w:asciiTheme="majorEastAsia" w:hAnsiTheme="majorEastAsia" w:eastAsiaTheme="majorEastAsia"/>
          <w:b/>
          <w:bCs/>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rPr>
          <w:rFonts w:cs="仿宋" w:asciiTheme="majorEastAsia" w:hAnsiTheme="majorEastAsia" w:eastAsiaTheme="majorEastAsia"/>
          <w:color w:val="auto"/>
          <w:highlight w:val="none"/>
        </w:rPr>
      </w:pPr>
      <w:r>
        <w:rPr>
          <w:rFonts w:hint="eastAsia" w:cs="仿宋_GB2312" w:asciiTheme="majorEastAsia" w:hAnsiTheme="majorEastAsia" w:eastAsiaTheme="majorEastAsia"/>
          <w:color w:val="auto"/>
          <w:sz w:val="24"/>
          <w:highlight w:val="none"/>
        </w:rPr>
        <w:t>2.</w:t>
      </w:r>
      <w:r>
        <w:rPr>
          <w:rFonts w:cs="仿宋_GB2312" w:asciiTheme="majorEastAsia" w:hAnsiTheme="majorEastAsia" w:eastAsiaTheme="majorEastAsia"/>
          <w:color w:val="auto"/>
          <w:sz w:val="24"/>
          <w:highlight w:val="none"/>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ind w:right="420"/>
        <w:rPr>
          <w:rFonts w:cs="仿宋" w:asciiTheme="majorEastAsia" w:hAnsiTheme="majorEastAsia" w:eastAsiaTheme="majorEastAsia"/>
          <w:color w:val="auto"/>
          <w:highlight w:val="none"/>
        </w:rPr>
      </w:pPr>
    </w:p>
    <w:p>
      <w:pPr>
        <w:pStyle w:val="182"/>
        <w:widowControl w:val="0"/>
        <w:adjustRightInd w:val="0"/>
        <w:snapToGrid w:val="0"/>
        <w:spacing w:line="360" w:lineRule="auto"/>
        <w:jc w:val="both"/>
        <w:rPr>
          <w:rFonts w:hint="default" w:cs="仿宋" w:asciiTheme="majorEastAsia" w:hAnsiTheme="majorEastAsia" w:eastAsiaTheme="majorEastAsia"/>
          <w:b/>
          <w:color w:val="auto"/>
          <w:sz w:val="30"/>
          <w:szCs w:val="30"/>
          <w:highlight w:val="none"/>
        </w:rPr>
        <w:sectPr>
          <w:headerReference r:id="rId11" w:type="default"/>
          <w:footerReference r:id="rId12" w:type="default"/>
          <w:pgSz w:w="11906" w:h="16838"/>
          <w:pgMar w:top="1247" w:right="1588" w:bottom="1089" w:left="1588" w:header="851" w:footer="992" w:gutter="0"/>
          <w:cols w:space="720" w:num="1"/>
          <w:docGrid w:linePitch="312" w:charSpace="0"/>
        </w:sectPr>
      </w:pPr>
    </w:p>
    <w:p>
      <w:pPr>
        <w:autoSpaceDE w:val="0"/>
        <w:autoSpaceDN w:val="0"/>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其他</w:t>
      </w:r>
    </w:p>
    <w:p>
      <w:pPr>
        <w:spacing w:line="360" w:lineRule="auto"/>
        <w:jc w:val="center"/>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关于钱塘区政府采购支持中小企业信用融资相关事项通知</w:t>
      </w:r>
    </w:p>
    <w:p>
      <w:pPr>
        <w:spacing w:line="360" w:lineRule="auto"/>
        <w:jc w:val="center"/>
        <w:rPr>
          <w:rFonts w:cs="仿宋" w:asciiTheme="majorEastAsia" w:hAnsiTheme="majorEastAsia" w:eastAsiaTheme="majorEastAsia"/>
          <w:b/>
          <w:color w:val="auto"/>
          <w:sz w:val="10"/>
          <w:szCs w:val="10"/>
          <w:highlight w:val="none"/>
        </w:rPr>
      </w:pPr>
    </w:p>
    <w:p>
      <w:pPr>
        <w:spacing w:line="360" w:lineRule="auto"/>
        <w:ind w:firstLine="420" w:firstLineChars="200"/>
        <w:rPr>
          <w:rFonts w:cs="仿宋" w:asciiTheme="majorEastAsia" w:hAnsiTheme="majorEastAsia" w:eastAsiaTheme="majorEastAsia"/>
          <w:color w:val="auto"/>
          <w:szCs w:val="21"/>
          <w:highlight w:val="none"/>
        </w:rPr>
      </w:pPr>
      <w:r>
        <w:rPr>
          <w:rFonts w:hint="eastAsia" w:cs="仿宋" w:asciiTheme="majorEastAsia" w:hAnsiTheme="majorEastAsia" w:eastAsiaTheme="majorEastAsia"/>
          <w:color w:val="auto"/>
          <w:szCs w:val="21"/>
          <w:highlight w:val="none"/>
        </w:rPr>
        <w:t>为支持和促进中小企业发展，进一步发挥政府采购政策功能，根据《杭州市政府采购支持中小企业信用融资管理办法》《关于钱塘区政府采购支持中小企业信用融资有关事项的通知》，现将相关事项通知如下：</w:t>
      </w:r>
    </w:p>
    <w:p>
      <w:pPr>
        <w:spacing w:line="360" w:lineRule="auto"/>
        <w:ind w:firstLine="422" w:firstLineChars="200"/>
        <w:rPr>
          <w:rFonts w:cs="仿宋" w:asciiTheme="majorEastAsia" w:hAnsiTheme="majorEastAsia" w:eastAsiaTheme="majorEastAsia"/>
          <w:b/>
          <w:color w:val="auto"/>
          <w:szCs w:val="21"/>
          <w:highlight w:val="none"/>
        </w:rPr>
      </w:pPr>
      <w:r>
        <w:rPr>
          <w:rFonts w:hint="eastAsia" w:cs="仿宋" w:asciiTheme="majorEastAsia" w:hAnsiTheme="majorEastAsia" w:eastAsiaTheme="majorEastAsia"/>
          <w:b/>
          <w:color w:val="auto"/>
          <w:szCs w:val="21"/>
          <w:highlight w:val="none"/>
        </w:rPr>
        <w:t>一、适用对象</w:t>
      </w:r>
    </w:p>
    <w:p>
      <w:pPr>
        <w:spacing w:line="360" w:lineRule="auto"/>
        <w:ind w:firstLine="420" w:firstLineChars="200"/>
        <w:rPr>
          <w:rFonts w:cs="仿宋" w:asciiTheme="majorEastAsia" w:hAnsiTheme="majorEastAsia" w:eastAsiaTheme="majorEastAsia"/>
          <w:color w:val="auto"/>
          <w:szCs w:val="21"/>
          <w:highlight w:val="none"/>
        </w:rPr>
      </w:pPr>
      <w:r>
        <w:rPr>
          <w:rFonts w:hint="eastAsia" w:cs="仿宋" w:asciiTheme="majorEastAsia" w:hAnsiTheme="majorEastAsia" w:eastAsiaTheme="majorEastAsia"/>
          <w:color w:val="auto"/>
          <w:szCs w:val="21"/>
          <w:highlight w:val="none"/>
        </w:rPr>
        <w:t>在浙江“政采云”平台注册入库，并取得钱塘区政府采购合同的中小企业供应商。</w:t>
      </w:r>
    </w:p>
    <w:p>
      <w:pPr>
        <w:spacing w:line="360" w:lineRule="auto"/>
        <w:ind w:firstLine="422" w:firstLineChars="200"/>
        <w:rPr>
          <w:rFonts w:cs="仿宋" w:asciiTheme="majorEastAsia" w:hAnsiTheme="majorEastAsia" w:eastAsiaTheme="majorEastAsia"/>
          <w:b/>
          <w:color w:val="auto"/>
          <w:szCs w:val="21"/>
          <w:highlight w:val="none"/>
        </w:rPr>
      </w:pPr>
      <w:r>
        <w:rPr>
          <w:rFonts w:hint="eastAsia" w:cs="仿宋" w:asciiTheme="majorEastAsia" w:hAnsiTheme="majorEastAsia" w:eastAsiaTheme="majorEastAsia"/>
          <w:b/>
          <w:color w:val="auto"/>
          <w:szCs w:val="21"/>
          <w:highlight w:val="none"/>
        </w:rPr>
        <w:t>二、相关信息获取方式</w:t>
      </w:r>
    </w:p>
    <w:p>
      <w:pPr>
        <w:spacing w:line="360" w:lineRule="auto"/>
        <w:ind w:firstLine="420" w:firstLineChars="200"/>
        <w:rPr>
          <w:rFonts w:cs="仿宋" w:asciiTheme="majorEastAsia" w:hAnsiTheme="majorEastAsia" w:eastAsiaTheme="majorEastAsia"/>
          <w:color w:val="auto"/>
          <w:szCs w:val="21"/>
          <w:highlight w:val="none"/>
        </w:rPr>
      </w:pPr>
      <w:r>
        <w:rPr>
          <w:rFonts w:hint="eastAsia" w:cs="仿宋" w:asciiTheme="majorEastAsia" w:hAnsiTheme="majorEastAsia" w:eastAsiaTheme="majorEastAsia"/>
          <w:color w:val="auto"/>
          <w:szCs w:val="21"/>
          <w:highlight w:val="none"/>
        </w:rPr>
        <w:t>请登陆杭州钱塘区管理委员会官网（http://qt.hangzhou.gov.cn） “公告公示”专栏，查看信用融资政策文件及各相关银行服务方案。</w:t>
      </w:r>
    </w:p>
    <w:p>
      <w:pPr>
        <w:spacing w:line="360" w:lineRule="auto"/>
        <w:ind w:firstLine="422" w:firstLineChars="200"/>
        <w:rPr>
          <w:rFonts w:cs="仿宋" w:asciiTheme="majorEastAsia" w:hAnsiTheme="majorEastAsia" w:eastAsiaTheme="majorEastAsia"/>
          <w:b/>
          <w:color w:val="auto"/>
          <w:szCs w:val="21"/>
          <w:highlight w:val="none"/>
        </w:rPr>
      </w:pPr>
      <w:r>
        <w:rPr>
          <w:rFonts w:hint="eastAsia" w:cs="仿宋" w:asciiTheme="majorEastAsia" w:hAnsiTheme="majorEastAsia" w:eastAsiaTheme="majorEastAsia"/>
          <w:b/>
          <w:color w:val="auto"/>
          <w:szCs w:val="21"/>
          <w:highlight w:val="none"/>
        </w:rPr>
        <w:t>三、申请方式和步骤</w:t>
      </w:r>
    </w:p>
    <w:p>
      <w:pPr>
        <w:spacing w:line="360" w:lineRule="auto"/>
        <w:ind w:firstLine="420" w:firstLineChars="200"/>
        <w:rPr>
          <w:rFonts w:cs="仿宋" w:asciiTheme="majorEastAsia" w:hAnsiTheme="majorEastAsia" w:eastAsiaTheme="majorEastAsia"/>
          <w:color w:val="auto"/>
          <w:szCs w:val="21"/>
          <w:highlight w:val="none"/>
        </w:rPr>
      </w:pPr>
      <w:r>
        <w:rPr>
          <w:rFonts w:hint="eastAsia" w:cs="仿宋" w:asciiTheme="majorEastAsia" w:hAnsiTheme="majorEastAsia" w:eastAsiaTheme="majorEastAsia"/>
          <w:color w:val="auto"/>
          <w:szCs w:val="21"/>
          <w:highlight w:val="none"/>
        </w:rPr>
        <w:t>1、供应商若有融资意向，需先与钱塘区财政金融局合作的银行对接，办理相关融资前期手续；</w:t>
      </w:r>
    </w:p>
    <w:p>
      <w:pPr>
        <w:spacing w:line="360" w:lineRule="auto"/>
        <w:ind w:firstLine="420" w:firstLineChars="200"/>
        <w:rPr>
          <w:rFonts w:cs="仿宋" w:asciiTheme="majorEastAsia" w:hAnsiTheme="majorEastAsia" w:eastAsiaTheme="majorEastAsia"/>
          <w:color w:val="auto"/>
          <w:szCs w:val="21"/>
          <w:highlight w:val="none"/>
        </w:rPr>
      </w:pPr>
      <w:r>
        <w:rPr>
          <w:rFonts w:hint="eastAsia" w:cs="仿宋" w:asciiTheme="majorEastAsia" w:hAnsiTheme="majorEastAsia" w:eastAsiaTheme="majorEastAsia"/>
          <w:color w:val="auto"/>
          <w:szCs w:val="21"/>
          <w:highlight w:val="none"/>
        </w:rPr>
        <w:t>2、中标后，供应商应与采购单位或者采购代理机构及时联系，告知融资需求；</w:t>
      </w:r>
    </w:p>
    <w:p>
      <w:pPr>
        <w:spacing w:line="360" w:lineRule="auto"/>
        <w:ind w:firstLine="420" w:firstLineChars="200"/>
        <w:rPr>
          <w:rFonts w:cs="仿宋" w:asciiTheme="majorEastAsia" w:hAnsiTheme="majorEastAsia" w:eastAsiaTheme="majorEastAsia"/>
          <w:color w:val="auto"/>
          <w:szCs w:val="21"/>
          <w:highlight w:val="none"/>
        </w:rPr>
      </w:pPr>
      <w:r>
        <w:rPr>
          <w:rFonts w:hint="eastAsia" w:cs="仿宋" w:asciiTheme="majorEastAsia" w:hAnsiTheme="majorEastAsia" w:eastAsiaTheme="majorEastAsia"/>
          <w:color w:val="auto"/>
          <w:szCs w:val="21"/>
          <w:highlight w:val="none"/>
        </w:rPr>
        <w:t>3、相关合作银行联系并审核供应商及相关中标信息，办理相关融资事宜；</w:t>
      </w:r>
    </w:p>
    <w:p>
      <w:pPr>
        <w:spacing w:line="360" w:lineRule="auto"/>
        <w:ind w:firstLine="420" w:firstLineChars="200"/>
        <w:rPr>
          <w:rFonts w:cs="仿宋" w:asciiTheme="majorEastAsia" w:hAnsiTheme="majorEastAsia" w:eastAsiaTheme="majorEastAsia"/>
          <w:color w:val="auto"/>
          <w:szCs w:val="21"/>
          <w:highlight w:val="none"/>
        </w:rPr>
      </w:pPr>
      <w:r>
        <w:rPr>
          <w:rFonts w:hint="eastAsia" w:cs="仿宋" w:asciiTheme="majorEastAsia" w:hAnsiTheme="majorEastAsia" w:eastAsiaTheme="majorEastAsia"/>
          <w:color w:val="auto"/>
          <w:szCs w:val="21"/>
          <w:highlight w:val="none"/>
        </w:rPr>
        <w:t>4、采购单位或者采购代理机构在政府采购信息系统录入中标合同信息时，须标注合同为信用融资合同，并选择相应的信用融资合作银行，录入账号信息；</w:t>
      </w:r>
    </w:p>
    <w:p>
      <w:pPr>
        <w:spacing w:line="360" w:lineRule="auto"/>
        <w:ind w:firstLine="420" w:firstLineChars="200"/>
        <w:rPr>
          <w:rFonts w:cs="仿宋" w:asciiTheme="majorEastAsia" w:hAnsiTheme="majorEastAsia" w:eastAsiaTheme="majorEastAsia"/>
          <w:color w:val="auto"/>
          <w:szCs w:val="21"/>
          <w:highlight w:val="none"/>
        </w:rPr>
      </w:pPr>
      <w:r>
        <w:rPr>
          <w:rFonts w:hint="eastAsia" w:cs="仿宋" w:asciiTheme="majorEastAsia" w:hAnsiTheme="majorEastAsia" w:eastAsiaTheme="majorEastAsia"/>
          <w:color w:val="auto"/>
          <w:szCs w:val="21"/>
          <w:highlight w:val="none"/>
        </w:rPr>
        <w:t>5、采购人应及时将信用融资合同提交财政金融局备案。</w:t>
      </w:r>
    </w:p>
    <w:p>
      <w:pPr>
        <w:spacing w:line="360" w:lineRule="auto"/>
        <w:ind w:firstLine="422" w:firstLineChars="200"/>
        <w:rPr>
          <w:rFonts w:cs="仿宋" w:asciiTheme="majorEastAsia" w:hAnsiTheme="majorEastAsia" w:eastAsiaTheme="majorEastAsia"/>
          <w:b/>
          <w:color w:val="auto"/>
          <w:szCs w:val="21"/>
          <w:highlight w:val="none"/>
        </w:rPr>
      </w:pPr>
      <w:r>
        <w:rPr>
          <w:rFonts w:hint="eastAsia" w:cs="仿宋" w:asciiTheme="majorEastAsia" w:hAnsiTheme="majorEastAsia" w:eastAsiaTheme="majorEastAsia"/>
          <w:b/>
          <w:color w:val="auto"/>
          <w:szCs w:val="21"/>
          <w:highlight w:val="none"/>
        </w:rPr>
        <w:t>四、注意事项</w:t>
      </w:r>
    </w:p>
    <w:p>
      <w:pPr>
        <w:spacing w:line="360" w:lineRule="auto"/>
        <w:ind w:firstLine="420" w:firstLineChars="200"/>
        <w:rPr>
          <w:rFonts w:cs="仿宋" w:asciiTheme="majorEastAsia" w:hAnsiTheme="majorEastAsia" w:eastAsiaTheme="majorEastAsia"/>
          <w:color w:val="auto"/>
          <w:szCs w:val="21"/>
          <w:highlight w:val="none"/>
        </w:rPr>
      </w:pPr>
      <w:r>
        <w:rPr>
          <w:rFonts w:hint="eastAsia" w:cs="仿宋" w:asciiTheme="majorEastAsia" w:hAnsiTheme="majorEastAsia" w:eastAsiaTheme="majorEastAsia"/>
          <w:color w:val="auto"/>
          <w:szCs w:val="21"/>
          <w:highlight w:val="none"/>
        </w:rPr>
        <w:t>请各采购单位和采购代理机构积极支持和配合政府采购信用融资工作，在合同备案环节务必请仔细核对收款银行、账号信息等内容，一旦录入将无法修改。</w:t>
      </w:r>
    </w:p>
    <w:p>
      <w:pPr>
        <w:spacing w:line="360" w:lineRule="auto"/>
        <w:ind w:firstLine="422" w:firstLineChars="200"/>
        <w:rPr>
          <w:rFonts w:cs="仿宋" w:asciiTheme="majorEastAsia" w:hAnsiTheme="majorEastAsia" w:eastAsiaTheme="majorEastAsia"/>
          <w:b/>
          <w:color w:val="auto"/>
          <w:szCs w:val="21"/>
          <w:highlight w:val="none"/>
        </w:rPr>
      </w:pPr>
      <w:r>
        <w:rPr>
          <w:rFonts w:hint="eastAsia" w:cs="仿宋" w:asciiTheme="majorEastAsia" w:hAnsiTheme="majorEastAsia" w:eastAsiaTheme="majorEastAsia"/>
          <w:b/>
          <w:color w:val="auto"/>
          <w:szCs w:val="21"/>
          <w:highlight w:val="none"/>
        </w:rPr>
        <w:t>五、合作银行及联系方式</w:t>
      </w:r>
    </w:p>
    <w:tbl>
      <w:tblPr>
        <w:tblStyle w:val="45"/>
        <w:tblW w:w="8740" w:type="dxa"/>
        <w:tblInd w:w="95" w:type="dxa"/>
        <w:tblLayout w:type="fixed"/>
        <w:tblCellMar>
          <w:top w:w="0" w:type="dxa"/>
          <w:left w:w="108" w:type="dxa"/>
          <w:bottom w:w="0" w:type="dxa"/>
          <w:right w:w="108" w:type="dxa"/>
        </w:tblCellMar>
      </w:tblPr>
      <w:tblGrid>
        <w:gridCol w:w="1080"/>
        <w:gridCol w:w="3020"/>
        <w:gridCol w:w="1420"/>
        <w:gridCol w:w="3220"/>
      </w:tblGrid>
      <w:tr>
        <w:tblPrEx>
          <w:tblCellMar>
            <w:top w:w="0" w:type="dxa"/>
            <w:left w:w="108" w:type="dxa"/>
            <w:bottom w:w="0" w:type="dxa"/>
            <w:right w:w="108" w:type="dxa"/>
          </w:tblCellMar>
        </w:tblPrEx>
        <w:trPr>
          <w:trHeight w:val="75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序号</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银行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联系人</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电话</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1</w:t>
            </w:r>
          </w:p>
        </w:tc>
        <w:tc>
          <w:tcPr>
            <w:tcW w:w="30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建行开发区支行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罗兴、王强</w:t>
            </w:r>
          </w:p>
        </w:tc>
        <w:tc>
          <w:tcPr>
            <w:tcW w:w="32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86910319，13588718187</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2</w:t>
            </w:r>
          </w:p>
        </w:tc>
        <w:tc>
          <w:tcPr>
            <w:tcW w:w="30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中信银行开发支行</w:t>
            </w:r>
          </w:p>
        </w:tc>
        <w:tc>
          <w:tcPr>
            <w:tcW w:w="14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左劼</w:t>
            </w:r>
          </w:p>
        </w:tc>
        <w:tc>
          <w:tcPr>
            <w:tcW w:w="32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13777889798</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3</w:t>
            </w:r>
          </w:p>
        </w:tc>
        <w:tc>
          <w:tcPr>
            <w:tcW w:w="30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民生银行下沙支行</w:t>
            </w:r>
          </w:p>
        </w:tc>
        <w:tc>
          <w:tcPr>
            <w:tcW w:w="14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吕刚</w:t>
            </w:r>
          </w:p>
        </w:tc>
        <w:tc>
          <w:tcPr>
            <w:tcW w:w="32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13906811832</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4</w:t>
            </w:r>
          </w:p>
        </w:tc>
        <w:tc>
          <w:tcPr>
            <w:tcW w:w="30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杭州银行下沙开发区支行</w:t>
            </w:r>
          </w:p>
        </w:tc>
        <w:tc>
          <w:tcPr>
            <w:tcW w:w="14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费莎</w:t>
            </w:r>
          </w:p>
        </w:tc>
        <w:tc>
          <w:tcPr>
            <w:tcW w:w="32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13388617781</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5</w:t>
            </w:r>
          </w:p>
        </w:tc>
        <w:tc>
          <w:tcPr>
            <w:tcW w:w="30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兴业银行开发区支行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丁萍</w:t>
            </w:r>
          </w:p>
        </w:tc>
        <w:tc>
          <w:tcPr>
            <w:tcW w:w="32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13777421564</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6</w:t>
            </w:r>
          </w:p>
        </w:tc>
        <w:tc>
          <w:tcPr>
            <w:tcW w:w="30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中国银行钱塘支行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高飞</w:t>
            </w:r>
          </w:p>
        </w:tc>
        <w:tc>
          <w:tcPr>
            <w:tcW w:w="32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86722499</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7</w:t>
            </w:r>
          </w:p>
        </w:tc>
        <w:tc>
          <w:tcPr>
            <w:tcW w:w="30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工行开发区支行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吴建恩</w:t>
            </w:r>
          </w:p>
        </w:tc>
        <w:tc>
          <w:tcPr>
            <w:tcW w:w="32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13646861493</w:t>
            </w:r>
          </w:p>
        </w:tc>
      </w:tr>
      <w:tr>
        <w:tblPrEx>
          <w:tblCellMar>
            <w:top w:w="0" w:type="dxa"/>
            <w:left w:w="108" w:type="dxa"/>
            <w:bottom w:w="0" w:type="dxa"/>
            <w:right w:w="108" w:type="dxa"/>
          </w:tblCellMar>
        </w:tblPrEx>
        <w:trPr>
          <w:trHeight w:val="555"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8</w:t>
            </w:r>
          </w:p>
        </w:tc>
        <w:tc>
          <w:tcPr>
            <w:tcW w:w="30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宁波银行开发区支行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贾磊</w:t>
            </w:r>
          </w:p>
        </w:tc>
        <w:tc>
          <w:tcPr>
            <w:tcW w:w="32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13575745232</w:t>
            </w: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9</w:t>
            </w:r>
          </w:p>
        </w:tc>
        <w:tc>
          <w:tcPr>
            <w:tcW w:w="30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杭州联合银行下沙支行</w:t>
            </w:r>
          </w:p>
        </w:tc>
        <w:tc>
          <w:tcPr>
            <w:tcW w:w="14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王宁</w:t>
            </w:r>
          </w:p>
        </w:tc>
        <w:tc>
          <w:tcPr>
            <w:tcW w:w="32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18906520030</w:t>
            </w:r>
          </w:p>
        </w:tc>
      </w:tr>
      <w:tr>
        <w:tblPrEx>
          <w:tblCellMar>
            <w:top w:w="0" w:type="dxa"/>
            <w:left w:w="108" w:type="dxa"/>
            <w:bottom w:w="0" w:type="dxa"/>
            <w:right w:w="108" w:type="dxa"/>
          </w:tblCellMar>
        </w:tblPrEx>
        <w:trPr>
          <w:trHeight w:val="51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10</w:t>
            </w:r>
          </w:p>
        </w:tc>
        <w:tc>
          <w:tcPr>
            <w:tcW w:w="30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农业银行杭州下沙支行</w:t>
            </w:r>
          </w:p>
        </w:tc>
        <w:tc>
          <w:tcPr>
            <w:tcW w:w="14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施伟东</w:t>
            </w:r>
          </w:p>
        </w:tc>
        <w:tc>
          <w:tcPr>
            <w:tcW w:w="32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86912948,15988106601</w:t>
            </w:r>
          </w:p>
        </w:tc>
      </w:tr>
      <w:tr>
        <w:tblPrEx>
          <w:tblCellMar>
            <w:top w:w="0" w:type="dxa"/>
            <w:left w:w="108" w:type="dxa"/>
            <w:bottom w:w="0" w:type="dxa"/>
            <w:right w:w="108" w:type="dxa"/>
          </w:tblCellMar>
        </w:tblPrEx>
        <w:trPr>
          <w:trHeight w:val="51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11</w:t>
            </w:r>
          </w:p>
        </w:tc>
        <w:tc>
          <w:tcPr>
            <w:tcW w:w="30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建行杭州大江东支行</w:t>
            </w:r>
          </w:p>
        </w:tc>
        <w:tc>
          <w:tcPr>
            <w:tcW w:w="14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朱丽丹</w:t>
            </w:r>
          </w:p>
        </w:tc>
        <w:tc>
          <w:tcPr>
            <w:tcW w:w="32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13732249271</w:t>
            </w:r>
          </w:p>
        </w:tc>
      </w:tr>
      <w:tr>
        <w:tblPrEx>
          <w:tblCellMar>
            <w:top w:w="0" w:type="dxa"/>
            <w:left w:w="108" w:type="dxa"/>
            <w:bottom w:w="0" w:type="dxa"/>
            <w:right w:w="108" w:type="dxa"/>
          </w:tblCellMar>
        </w:tblPrEx>
        <w:trPr>
          <w:trHeight w:val="51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12</w:t>
            </w:r>
          </w:p>
        </w:tc>
        <w:tc>
          <w:tcPr>
            <w:tcW w:w="30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农业银行临江支行</w:t>
            </w:r>
          </w:p>
        </w:tc>
        <w:tc>
          <w:tcPr>
            <w:tcW w:w="14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张学民</w:t>
            </w:r>
          </w:p>
        </w:tc>
        <w:tc>
          <w:tcPr>
            <w:tcW w:w="3220" w:type="dxa"/>
            <w:tcBorders>
              <w:top w:val="nil"/>
              <w:left w:val="nil"/>
              <w:bottom w:val="single" w:color="auto" w:sz="4" w:space="0"/>
              <w:right w:val="single" w:color="auto" w:sz="4" w:space="0"/>
            </w:tcBorders>
            <w:noWrap/>
            <w:vAlign w:val="center"/>
          </w:tcPr>
          <w:p>
            <w:pPr>
              <w:widowControl/>
              <w:jc w:val="center"/>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82198699，13867197838</w:t>
            </w:r>
          </w:p>
        </w:tc>
      </w:tr>
    </w:tbl>
    <w:p>
      <w:pPr>
        <w:pStyle w:val="182"/>
        <w:widowControl w:val="0"/>
        <w:adjustRightInd w:val="0"/>
        <w:snapToGrid w:val="0"/>
        <w:spacing w:line="360" w:lineRule="auto"/>
        <w:jc w:val="both"/>
        <w:rPr>
          <w:rFonts w:hint="default" w:cs="仿宋" w:asciiTheme="majorEastAsia" w:hAnsiTheme="majorEastAsia" w:eastAsiaTheme="majorEastAsia"/>
          <w:b/>
          <w:color w:val="auto"/>
          <w:sz w:val="30"/>
          <w:szCs w:val="30"/>
          <w:highlight w:val="none"/>
        </w:rPr>
        <w:sectPr>
          <w:pgSz w:w="11906" w:h="16838"/>
          <w:pgMar w:top="1247" w:right="1588" w:bottom="1089" w:left="1588" w:header="851" w:footer="992" w:gutter="0"/>
          <w:cols w:space="720" w:num="1"/>
          <w:docGrid w:linePitch="312" w:charSpace="0"/>
        </w:sectPr>
      </w:pPr>
    </w:p>
    <w:p>
      <w:pPr>
        <w:pStyle w:val="182"/>
        <w:widowControl w:val="0"/>
        <w:snapToGrid w:val="0"/>
        <w:spacing w:line="500" w:lineRule="exact"/>
        <w:rPr>
          <w:rFonts w:hint="default" w:cs="仿宋" w:asciiTheme="majorEastAsia" w:hAnsiTheme="majorEastAsia" w:eastAsiaTheme="majorEastAsia"/>
          <w:b/>
          <w:color w:val="auto"/>
          <w:sz w:val="28"/>
          <w:szCs w:val="28"/>
          <w:highlight w:val="none"/>
        </w:rPr>
      </w:pPr>
      <w:r>
        <w:rPr>
          <w:rFonts w:cs="仿宋" w:asciiTheme="majorEastAsia" w:hAnsiTheme="majorEastAsia" w:eastAsiaTheme="majorEastAsia"/>
          <w:color w:val="auto"/>
          <w:kern w:val="0"/>
          <w:szCs w:val="21"/>
          <w:highlight w:val="none"/>
        </w:rPr>
        <w:t>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pPr>
        <w:pStyle w:val="182"/>
        <w:widowControl w:val="0"/>
        <w:snapToGrid w:val="0"/>
        <w:spacing w:line="500" w:lineRule="exact"/>
        <w:jc w:val="center"/>
        <w:rPr>
          <w:rFonts w:hint="default" w:cs="仿宋" w:asciiTheme="majorEastAsia" w:hAnsiTheme="majorEastAsia" w:eastAsiaTheme="majorEastAsia"/>
          <w:b/>
          <w:color w:val="auto"/>
          <w:sz w:val="28"/>
          <w:szCs w:val="28"/>
          <w:highlight w:val="none"/>
        </w:rPr>
      </w:pPr>
      <w:r>
        <w:rPr>
          <w:rFonts w:cs="仿宋" w:asciiTheme="majorEastAsia" w:hAnsiTheme="majorEastAsia" w:eastAsiaTheme="majorEastAsia"/>
          <w:b/>
          <w:color w:val="auto"/>
          <w:sz w:val="28"/>
          <w:szCs w:val="28"/>
          <w:highlight w:val="none"/>
        </w:rPr>
        <w:t>中小企业划型标准规定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一、根据《中华人民共和国中小企业促进法》和《</w:t>
      </w:r>
      <w:r>
        <w:rPr>
          <w:color w:val="auto"/>
          <w:highlight w:val="none"/>
        </w:rPr>
        <w:fldChar w:fldCharType="begin"/>
      </w:r>
      <w:r>
        <w:rPr>
          <w:color w:val="auto"/>
          <w:highlight w:val="none"/>
        </w:rPr>
        <w:instrText xml:space="preserve"> HYPERLINK "https://www.shui5.cn/article/47/26142.html" </w:instrText>
      </w:r>
      <w:r>
        <w:rPr>
          <w:color w:val="auto"/>
          <w:highlight w:val="none"/>
        </w:rPr>
        <w:fldChar w:fldCharType="separate"/>
      </w:r>
      <w:r>
        <w:rPr>
          <w:rFonts w:cs="仿宋" w:asciiTheme="majorEastAsia" w:hAnsiTheme="majorEastAsia" w:eastAsiaTheme="majorEastAsia"/>
          <w:color w:val="auto"/>
          <w:spacing w:val="6"/>
          <w:szCs w:val="21"/>
          <w:highlight w:val="none"/>
        </w:rPr>
        <w:t>国务院关于进一步促进中小企业发展的若干意见</w:t>
      </w:r>
      <w:r>
        <w:rPr>
          <w:rFonts w:cs="仿宋" w:asciiTheme="majorEastAsia" w:hAnsiTheme="majorEastAsia" w:eastAsiaTheme="majorEastAsia"/>
          <w:color w:val="auto"/>
          <w:spacing w:val="6"/>
          <w:szCs w:val="21"/>
          <w:highlight w:val="none"/>
        </w:rPr>
        <w:fldChar w:fldCharType="end"/>
      </w:r>
      <w:r>
        <w:rPr>
          <w:rFonts w:cs="仿宋" w:asciiTheme="majorEastAsia" w:hAnsiTheme="majorEastAsia" w:eastAsiaTheme="majorEastAsia"/>
          <w:color w:val="auto"/>
          <w:spacing w:val="6"/>
          <w:szCs w:val="21"/>
          <w:highlight w:val="none"/>
        </w:rPr>
        <w:t>》（</w:t>
      </w:r>
      <w:r>
        <w:rPr>
          <w:color w:val="auto"/>
          <w:highlight w:val="none"/>
        </w:rPr>
        <w:fldChar w:fldCharType="begin"/>
      </w:r>
      <w:r>
        <w:rPr>
          <w:color w:val="auto"/>
          <w:highlight w:val="none"/>
        </w:rPr>
        <w:instrText xml:space="preserve"> HYPERLINK "https://www.shui5.cn/article/47/26142.html" </w:instrText>
      </w:r>
      <w:r>
        <w:rPr>
          <w:color w:val="auto"/>
          <w:highlight w:val="none"/>
        </w:rPr>
        <w:fldChar w:fldCharType="separate"/>
      </w:r>
      <w:r>
        <w:rPr>
          <w:rFonts w:cs="仿宋" w:asciiTheme="majorEastAsia" w:hAnsiTheme="majorEastAsia" w:eastAsiaTheme="majorEastAsia"/>
          <w:color w:val="auto"/>
          <w:spacing w:val="6"/>
          <w:szCs w:val="21"/>
          <w:highlight w:val="none"/>
        </w:rPr>
        <w:t>国发〔2009〕36号</w:t>
      </w:r>
      <w:r>
        <w:rPr>
          <w:rFonts w:cs="仿宋" w:asciiTheme="majorEastAsia" w:hAnsiTheme="majorEastAsia" w:eastAsiaTheme="majorEastAsia"/>
          <w:color w:val="auto"/>
          <w:spacing w:val="6"/>
          <w:szCs w:val="21"/>
          <w:highlight w:val="none"/>
        </w:rPr>
        <w:fldChar w:fldCharType="end"/>
      </w:r>
      <w:r>
        <w:rPr>
          <w:rFonts w:cs="仿宋" w:asciiTheme="majorEastAsia" w:hAnsiTheme="majorEastAsia" w:eastAsiaTheme="majorEastAsia"/>
          <w:color w:val="auto"/>
          <w:spacing w:val="6"/>
          <w:szCs w:val="21"/>
          <w:highlight w:val="none"/>
        </w:rPr>
        <w:t>)，制定本规定。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二、中小企业划分为中型、小型、微型三种类型，具体标准根据企业从业人员、营业收入、资产总额等指标，结合行业特点制定。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四、各行业划型标准为：</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　　（一）农、林、牧、渔业。营业收入20000万元以下的为中小微型企业。其中，营业收入500万元及以上的为中型企业，营业收入50万元及以上的为小型企业，营业收入50万元以下的为微型企业。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（十六）其他未列明行业。从业人员300人以下的为中小微型企业。其中，从业人员100人及以上的为中型企业；从业人员10人及以上的为小型企业；从业人员10人以下的为微型企业。</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五、企业类型的划分以统计部门的统计数据为依据。</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六、本规定适用于在中华人民共和国境内依法设立的各类所有制和各种组织形式的企业。个体工商户和本规定以外的行业，参照本规定进行划型。</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八、本规定由工业和信息化部、国家统计局会同有关部门根据《国民经济行业分类》修订情况和企业发展变化情况适时修订。</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pacing w:val="6"/>
          <w:szCs w:val="21"/>
          <w:highlight w:val="none"/>
        </w:rPr>
      </w:pPr>
      <w:r>
        <w:rPr>
          <w:rFonts w:cs="仿宋" w:asciiTheme="majorEastAsia" w:hAnsiTheme="majorEastAsia" w:eastAsiaTheme="majorEastAsia"/>
          <w:color w:val="auto"/>
          <w:spacing w:val="6"/>
          <w:szCs w:val="21"/>
          <w:highlight w:val="none"/>
        </w:rPr>
        <w:t>九、本规定由工业和信息化部、国家统计局会同有关部门负责解释。</w:t>
      </w:r>
    </w:p>
    <w:p>
      <w:pPr>
        <w:pStyle w:val="182"/>
        <w:widowControl w:val="0"/>
        <w:adjustRightInd w:val="0"/>
        <w:snapToGrid w:val="0"/>
        <w:spacing w:line="360" w:lineRule="auto"/>
        <w:ind w:firstLine="444" w:firstLineChars="200"/>
        <w:jc w:val="both"/>
        <w:rPr>
          <w:rFonts w:hint="default" w:cs="仿宋" w:asciiTheme="majorEastAsia" w:hAnsiTheme="majorEastAsia" w:eastAsiaTheme="majorEastAsia"/>
          <w:color w:val="auto"/>
          <w:szCs w:val="21"/>
          <w:highlight w:val="none"/>
        </w:rPr>
        <w:sectPr>
          <w:pgSz w:w="11906" w:h="16838"/>
          <w:pgMar w:top="1247" w:right="1588" w:bottom="1089" w:left="1588" w:header="851" w:footer="992" w:gutter="0"/>
          <w:cols w:space="720" w:num="1"/>
          <w:docGrid w:linePitch="312" w:charSpace="0"/>
        </w:sectPr>
      </w:pPr>
      <w:r>
        <w:rPr>
          <w:rFonts w:cs="仿宋" w:asciiTheme="majorEastAsia" w:hAnsiTheme="majorEastAsia" w:eastAsiaTheme="majorEastAsia"/>
          <w:color w:val="auto"/>
          <w:spacing w:val="6"/>
          <w:szCs w:val="21"/>
          <w:highlight w:val="none"/>
        </w:rPr>
        <w:t>十、本规定自发布之日起执行，原国家经贸委、原国家计委、财政部和国家统计局2003年颁布的《</w:t>
      </w:r>
      <w:r>
        <w:rPr>
          <w:color w:val="auto"/>
          <w:highlight w:val="none"/>
        </w:rPr>
        <w:fldChar w:fldCharType="begin"/>
      </w:r>
      <w:r>
        <w:rPr>
          <w:color w:val="auto"/>
          <w:highlight w:val="none"/>
        </w:rPr>
        <w:instrText xml:space="preserve"> HYPERLINK "https://www.shui5.cn/article/df/24263.html" </w:instrText>
      </w:r>
      <w:r>
        <w:rPr>
          <w:color w:val="auto"/>
          <w:highlight w:val="none"/>
        </w:rPr>
        <w:fldChar w:fldCharType="separate"/>
      </w:r>
      <w:r>
        <w:rPr>
          <w:rFonts w:cs="仿宋" w:asciiTheme="majorEastAsia" w:hAnsiTheme="majorEastAsia" w:eastAsiaTheme="majorEastAsia"/>
          <w:color w:val="auto"/>
          <w:spacing w:val="6"/>
          <w:szCs w:val="21"/>
          <w:highlight w:val="none"/>
        </w:rPr>
        <w:t>中小企业标准暂行规定</w:t>
      </w:r>
      <w:r>
        <w:rPr>
          <w:rFonts w:cs="仿宋" w:asciiTheme="majorEastAsia" w:hAnsiTheme="majorEastAsia" w:eastAsiaTheme="majorEastAsia"/>
          <w:color w:val="auto"/>
          <w:spacing w:val="6"/>
          <w:szCs w:val="21"/>
          <w:highlight w:val="none"/>
        </w:rPr>
        <w:fldChar w:fldCharType="end"/>
      </w:r>
      <w:r>
        <w:rPr>
          <w:rFonts w:cs="仿宋" w:asciiTheme="majorEastAsia" w:hAnsiTheme="majorEastAsia" w:eastAsiaTheme="majorEastAsia"/>
          <w:color w:val="auto"/>
          <w:spacing w:val="6"/>
          <w:szCs w:val="21"/>
          <w:highlight w:val="none"/>
        </w:rPr>
        <w:t>》</w:t>
      </w:r>
      <w:r>
        <w:rPr>
          <w:color w:val="auto"/>
          <w:highlight w:val="none"/>
        </w:rPr>
        <w:fldChar w:fldCharType="begin"/>
      </w:r>
      <w:r>
        <w:rPr>
          <w:color w:val="auto"/>
          <w:highlight w:val="none"/>
        </w:rPr>
        <w:instrText xml:space="preserve"> HYPERLINK "https://www.shui5.cn/article/df/24263.html" </w:instrText>
      </w:r>
      <w:r>
        <w:rPr>
          <w:color w:val="auto"/>
          <w:highlight w:val="none"/>
        </w:rPr>
        <w:fldChar w:fldCharType="separate"/>
      </w:r>
      <w:r>
        <w:rPr>
          <w:rFonts w:cs="仿宋" w:asciiTheme="majorEastAsia" w:hAnsiTheme="majorEastAsia" w:eastAsiaTheme="majorEastAsia"/>
          <w:color w:val="auto"/>
          <w:spacing w:val="6"/>
          <w:szCs w:val="21"/>
          <w:highlight w:val="none"/>
        </w:rPr>
        <w:t>国经贸中小企[2003]143号</w:t>
      </w:r>
      <w:r>
        <w:rPr>
          <w:rFonts w:cs="仿宋" w:asciiTheme="majorEastAsia" w:hAnsiTheme="majorEastAsia" w:eastAsiaTheme="majorEastAsia"/>
          <w:color w:val="auto"/>
          <w:spacing w:val="6"/>
          <w:szCs w:val="21"/>
          <w:highlight w:val="none"/>
        </w:rPr>
        <w:fldChar w:fldCharType="end"/>
      </w:r>
      <w:r>
        <w:rPr>
          <w:rFonts w:cs="仿宋" w:asciiTheme="majorEastAsia" w:hAnsiTheme="majorEastAsia" w:eastAsiaTheme="majorEastAsia"/>
          <w:color w:val="auto"/>
          <w:spacing w:val="6"/>
          <w:szCs w:val="21"/>
          <w:highlight w:val="none"/>
        </w:rPr>
        <w:t>同时废止。</w:t>
      </w:r>
    </w:p>
    <w:p>
      <w:pPr>
        <w:pStyle w:val="182"/>
        <w:widowControl w:val="0"/>
        <w:adjustRightInd w:val="0"/>
        <w:snapToGrid w:val="0"/>
        <w:spacing w:line="360" w:lineRule="auto"/>
        <w:jc w:val="both"/>
        <w:rPr>
          <w:rFonts w:hint="default" w:cs="仿宋" w:asciiTheme="majorEastAsia" w:hAnsiTheme="majorEastAsia" w:eastAsiaTheme="majorEastAsia"/>
          <w:b/>
          <w:color w:val="auto"/>
          <w:sz w:val="30"/>
          <w:szCs w:val="30"/>
          <w:highlight w:val="none"/>
        </w:rPr>
      </w:pPr>
      <w:r>
        <w:rPr>
          <w:rFonts w:cs="仿宋" w:asciiTheme="majorEastAsia" w:hAnsiTheme="majorEastAsia" w:eastAsiaTheme="majorEastAsia"/>
          <w:color w:val="auto"/>
          <w:highlight w:val="none"/>
        </w:rPr>
        <w:drawing>
          <wp:inline distT="0" distB="0" distL="114300" distR="114300">
            <wp:extent cx="8667115" cy="5240020"/>
            <wp:effectExtent l="0" t="0" r="698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cstate="print"/>
                    <a:stretch>
                      <a:fillRect/>
                    </a:stretch>
                  </pic:blipFill>
                  <pic:spPr>
                    <a:xfrm>
                      <a:off x="0" y="0"/>
                      <a:ext cx="8667115" cy="5240020"/>
                    </a:xfrm>
                    <a:prstGeom prst="rect">
                      <a:avLst/>
                    </a:prstGeom>
                    <a:noFill/>
                    <a:ln>
                      <a:noFill/>
                    </a:ln>
                  </pic:spPr>
                </pic:pic>
              </a:graphicData>
            </a:graphic>
          </wp:inline>
        </w:drawing>
      </w:r>
    </w:p>
    <w:sectPr>
      <w:pgSz w:w="16838" w:h="11906" w:orient="landscape"/>
      <w:pgMar w:top="1588" w:right="1247" w:bottom="1588" w:left="1089"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entury Gothic">
    <w:altName w:val="Segoe Print"/>
    <w:panose1 w:val="020B0502020202020204"/>
    <w:charset w:val="00"/>
    <w:family w:val="swiss"/>
    <w:pitch w:val="default"/>
    <w:sig w:usb0="00000000" w:usb1="00000000" w:usb2="00000000" w:usb3="00000000" w:csb0="0000009F" w:csb1="00000000"/>
  </w:font>
  <w:font w:name="楷体">
    <w:panose1 w:val="02010609060101010101"/>
    <w:charset w:val="86"/>
    <w:family w:val="modern"/>
    <w:pitch w:val="default"/>
    <w:sig w:usb0="800002BF" w:usb1="38CF7CFA" w:usb2="00000016" w:usb3="00000000" w:csb0="00040001" w:csb1="00000000"/>
  </w:font>
  <w:font w:name="MS Sans Serif">
    <w:altName w:val="Segoe Print"/>
    <w:panose1 w:val="020B0500000000000000"/>
    <w:charset w:val="00"/>
    <w:family w:val="swiss"/>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onsolas">
    <w:panose1 w:val="020B0609020204030204"/>
    <w:charset w:val="00"/>
    <w:family w:val="modern"/>
    <w:pitch w:val="default"/>
    <w:sig w:usb0="E10002FF" w:usb1="4000FCFF" w:usb2="00000009" w:usb3="00000000" w:csb0="6000019F" w:csb1="DFD70000"/>
  </w:font>
  <w:font w:name="_x000B__x000C_">
    <w:altName w:val="宋体"/>
    <w:panose1 w:val="00000000000000000000"/>
    <w:charset w:val="00"/>
    <w:family w:val="roman"/>
    <w:pitch w:val="default"/>
    <w:sig w:usb0="00000000" w:usb1="00000000" w:usb2="00000000" w:usb3="00000000" w:csb0="00040001" w:csb1="00000000"/>
  </w:font>
  <w:font w:name="Arial Narrow">
    <w:altName w:val="Arial"/>
    <w:panose1 w:val="020B0606020202030204"/>
    <w:charset w:val="00"/>
    <w:family w:val="swiss"/>
    <w:pitch w:val="default"/>
    <w:sig w:usb0="00000000" w:usb1="00000000" w:usb2="00000000" w:usb3="00000000" w:csb0="0000009F" w:csb1="00000000"/>
  </w:font>
  <w:font w:name="Helvetica">
    <w:altName w:val="Arial"/>
    <w:panose1 w:val="020B0604020202020204"/>
    <w:charset w:val="00"/>
    <w:family w:val="swiss"/>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华文细黑">
    <w:altName w:val="微软雅黑"/>
    <w:panose1 w:val="02010600040101010101"/>
    <w:charset w:val="86"/>
    <w:family w:val="auto"/>
    <w:pitch w:val="default"/>
    <w:sig w:usb0="00000000" w:usb1="00000000" w:usb2="00000010" w:usb3="00000000" w:csb0="0004009F" w:csb1="00000000"/>
  </w:font>
  <w:font w:name="??">
    <w:altName w:val="Times New Roman"/>
    <w:panose1 w:val="00000000000000000000"/>
    <w:charset w:val="00"/>
    <w:family w:val="auto"/>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DokChampa">
    <w:panose1 w:val="020B0604020202020204"/>
    <w:charset w:val="DE"/>
    <w:family w:val="swiss"/>
    <w:pitch w:val="default"/>
    <w:sig w:usb0="03000003" w:usb1="00000000" w:usb2="00000000" w:usb3="00000000" w:csb0="40010001"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MS Gothic">
    <w:panose1 w:val="020B06090702050802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">
          <v:path/>
          <v:fill on="f" focussize="0,0"/>
          <v:stroke on="f" weight="1.25pt" joinstyle="miter"/>
          <v:imagedata o:title=""/>
          <o:lock v:ext="edit"/>
          <v:textbox inset="0mm,0mm,0mm,0mm" style="mso-fit-shape-to-text:t;">
            <w:txbxContent>
              <w:p>
                <w:pPr>
                  <w:pStyle w:val="29"/>
                  <w:rPr>
                    <w:rFonts w:eastAsia="宋体"/>
                  </w:rPr>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900"/>
        <w:tab w:val="clear" w:pos="4153"/>
        <w:tab w:val="clear" w:pos="8306"/>
      </w:tabs>
      <w:jc w:val="center"/>
    </w:pPr>
    <w:r>
      <w:pict>
        <v:shape id="文本框 2"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">
          <v:path/>
          <v:fill on="f" focussize="0,0"/>
          <v:stroke on="f" weight="1.25pt" joinstyle="miter"/>
          <v:imagedata o:title=""/>
          <o:lock v:ext="edit"/>
          <v:textbox inset="0mm,0mm,0mm,0mm" style="mso-fit-shape-to-text:t;">
            <w:txbxContent>
              <w:p>
                <w:pPr>
                  <w:pStyle w:val="29"/>
                  <w:rPr>
                    <w:rFonts w:eastAsia="宋体"/>
                  </w:rPr>
                </w:pPr>
                <w:r>
                  <w:fldChar w:fldCharType="begin"/>
                </w:r>
                <w:r>
                  <w:instrText xml:space="preserve"> PAGE  \* MERGEFORMAT </w:instrText>
                </w:r>
                <w:r>
                  <w:fldChar w:fldCharType="separate"/>
                </w:r>
                <w:r>
                  <w:t>2</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pict>
        <v:shape id="文本框 3" o:spid="_x0000_s1028" o:spt="202" type="#_x0000_t202" style="position:absolute;left:0pt;margin-top:0pt;height:144pt;width:144pt;mso-position-horizontal:center;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">
          <v:path/>
          <v:fill on="f" focussize="0,0"/>
          <v:stroke on="f" weight="1.25pt" joinstyle="miter"/>
          <v:imagedata o:title=""/>
          <o:lock v:ext="edit"/>
          <v:textbox inset="0mm,0mm,0mm,0mm" style="mso-fit-shape-to-text:t;">
            <w:txbxContent>
              <w:p>
                <w:pPr>
                  <w:pStyle w:val="29"/>
                  <w:rPr>
                    <w:rFonts w:eastAsia="宋体"/>
                  </w:rPr>
                </w:pPr>
                <w:r>
                  <w:fldChar w:fldCharType="begin"/>
                </w:r>
                <w:r>
                  <w:instrText xml:space="preserve"> PAGE  \* MERGEFORMAT </w:instrText>
                </w:r>
                <w:r>
                  <w:fldChar w:fldCharType="separate"/>
                </w:r>
                <w:r>
                  <w:t>55</w:t>
                </w:r>
                <w:r>
                  <w:fldChar w:fldCharType="end"/>
                </w:r>
              </w:p>
            </w:txbxContent>
          </v:textbox>
        </v:shape>
      </w:pic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pict>
        <v:shape id="文本框 4" o:spid="_x0000_s1029" o:spt="202" type="#_x0000_t202" style="position:absolute;left:0pt;margin-top:0pt;height:144pt;width:144pt;mso-position-horizontal:center;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">
          <v:path/>
          <v:fill on="f" focussize="0,0"/>
          <v:stroke on="f" weight="1.25pt" joinstyle="miter"/>
          <v:imagedata o:title=""/>
          <o:lock v:ext="edit"/>
          <v:textbox inset="0mm,0mm,0mm,0mm" style="mso-fit-shape-to-text:t;">
            <w:txbxContent>
              <w:p>
                <w:pPr>
                  <w:pStyle w:val="29"/>
                  <w:rPr>
                    <w:rFonts w:eastAsia="宋体"/>
                  </w:rPr>
                </w:pPr>
                <w:r>
                  <w:fldChar w:fldCharType="begin"/>
                </w:r>
                <w:r>
                  <w:instrText xml:space="preserve"> PAGE  \* MERGEFORMAT </w:instrText>
                </w:r>
                <w:r>
                  <w:fldChar w:fldCharType="separate"/>
                </w:r>
                <w:r>
                  <w:t>54</w:t>
                </w:r>
                <w:r>
                  <w:fldChar w:fldCharType="end"/>
                </w:r>
              </w:p>
            </w:txbxContent>
          </v:textbox>
        </v:shape>
      </w:pic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right="360"/>
      <w:jc w:val="center"/>
    </w:pPr>
    <w:r>
      <w:pict>
        <v:shape id="文本框 5" o:spid="_x0000_s1030" o:spt="202" type="#_x0000_t202" style="position:absolute;left:0pt;margin-top:0pt;height:144pt;width:144pt;mso-position-horizontal:center;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">
          <v:path/>
          <v:fill on="f" focussize="0,0"/>
          <v:stroke on="f" weight="1.25pt" joinstyle="miter"/>
          <v:imagedata o:title=""/>
          <o:lock v:ext="edit"/>
          <v:textbox inset="0mm,0mm,0mm,0mm" style="mso-fit-shape-to-text:t;">
            <w:txbxContent>
              <w:p>
                <w:pPr>
                  <w:pStyle w:val="29"/>
                  <w:rPr>
                    <w:rFonts w:eastAsia="宋体"/>
                  </w:rPr>
                </w:pPr>
                <w:r>
                  <w:fldChar w:fldCharType="begin"/>
                </w:r>
                <w:r>
                  <w:instrText xml:space="preserve"> PAGE  \* MERGEFORMAT </w:instrText>
                </w:r>
                <w:r>
                  <w:fldChar w:fldCharType="separate"/>
                </w:r>
                <w:r>
                  <w:t>79</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jc w:val="right"/>
      <w:rPr>
        <w:rFonts w:ascii="仿宋_GB2312" w:eastAsia="仿宋_GB2312"/>
        <w:b/>
        <w:i/>
        <w:u w:val="single"/>
      </w:rPr>
    </w:pP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58A0DC"/>
    <w:multiLevelType w:val="singleLevel"/>
    <w:tmpl w:val="9E58A0DC"/>
    <w:lvl w:ilvl="0" w:tentative="0">
      <w:start w:val="1"/>
      <w:numFmt w:val="chineseCounting"/>
      <w:suff w:val="nothing"/>
      <w:lvlText w:val="%1、"/>
      <w:lvlJc w:val="left"/>
      <w:pPr>
        <w:ind w:left="0" w:firstLine="420"/>
      </w:pPr>
      <w:rPr>
        <w:rFonts w:hint="eastAsia"/>
      </w:rPr>
    </w:lvl>
  </w:abstractNum>
  <w:abstractNum w:abstractNumId="1">
    <w:nsid w:val="B6ED5973"/>
    <w:multiLevelType w:val="singleLevel"/>
    <w:tmpl w:val="B6ED5973"/>
    <w:lvl w:ilvl="0" w:tentative="0">
      <w:start w:val="1"/>
      <w:numFmt w:val="decimal"/>
      <w:lvlText w:val="(%1)"/>
      <w:lvlJc w:val="left"/>
      <w:pPr>
        <w:ind w:left="425" w:hanging="425"/>
      </w:pPr>
      <w:rPr>
        <w:rFonts w:hint="default"/>
        <w:b w:val="0"/>
        <w:bCs w:val="0"/>
      </w:rPr>
    </w:lvl>
  </w:abstractNum>
  <w:abstractNum w:abstractNumId="2">
    <w:nsid w:val="D9EC99C5"/>
    <w:multiLevelType w:val="singleLevel"/>
    <w:tmpl w:val="D9EC99C5"/>
    <w:lvl w:ilvl="0" w:tentative="0">
      <w:start w:val="1"/>
      <w:numFmt w:val="decimal"/>
      <w:lvlText w:val="(%1)"/>
      <w:lvlJc w:val="left"/>
      <w:pPr>
        <w:ind w:left="425" w:hanging="425"/>
      </w:pPr>
      <w:rPr>
        <w:rFonts w:hint="default"/>
      </w:rPr>
    </w:lvl>
  </w:abstractNum>
  <w:abstractNum w:abstractNumId="3">
    <w:nsid w:val="F3171111"/>
    <w:multiLevelType w:val="multilevel"/>
    <w:tmpl w:val="F3171111"/>
    <w:lvl w:ilvl="0" w:tentative="0">
      <w:start w:val="4"/>
      <w:numFmt w:val="decimal"/>
      <w:lvlText w:val="%1."/>
      <w:lvlJc w:val="left"/>
      <w:pPr>
        <w:tabs>
          <w:tab w:val="left" w:pos="399"/>
        </w:tabs>
        <w:ind w:left="405" w:hanging="405"/>
      </w:pPr>
      <w:rPr>
        <w:rFonts w:hint="default" w:ascii="宋体" w:hAnsi="宋体" w:eastAsia="宋体" w:cs="宋体"/>
        <w:b/>
        <w:sz w:val="24"/>
      </w:rPr>
    </w:lvl>
    <w:lvl w:ilvl="1" w:tentative="0">
      <w:start w:val="1"/>
      <w:numFmt w:val="decimal"/>
      <w:lvlText w:val="%1.%2."/>
      <w:lvlJc w:val="left"/>
      <w:pPr>
        <w:ind w:left="567" w:hanging="567"/>
      </w:pPr>
      <w:rPr>
        <w:rFonts w:hint="default"/>
        <w:b/>
        <w:sz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0203A10E"/>
    <w:multiLevelType w:val="multilevel"/>
    <w:tmpl w:val="0203A10E"/>
    <w:lvl w:ilvl="0" w:tentative="0">
      <w:start w:val="7"/>
      <w:numFmt w:val="decimal"/>
      <w:lvlText w:val="%1."/>
      <w:lvlJc w:val="left"/>
      <w:pPr>
        <w:tabs>
          <w:tab w:val="left" w:pos="399"/>
        </w:tabs>
        <w:ind w:left="405" w:hanging="405"/>
      </w:pPr>
      <w:rPr>
        <w:rFonts w:hint="default" w:ascii="宋体" w:hAnsi="宋体" w:eastAsia="宋体" w:cs="宋体"/>
        <w:b w:val="0"/>
        <w:sz w:val="24"/>
      </w:rPr>
    </w:lvl>
    <w:lvl w:ilvl="1" w:tentative="0">
      <w:start w:val="1"/>
      <w:numFmt w:val="decimal"/>
      <w:lvlText w:val="%1.%2."/>
      <w:lvlJc w:val="left"/>
      <w:pPr>
        <w:ind w:left="567" w:hanging="567"/>
      </w:pPr>
      <w:rPr>
        <w:rFonts w:hint="default"/>
        <w:b w:val="0"/>
        <w:sz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0D6315F5"/>
    <w:multiLevelType w:val="singleLevel"/>
    <w:tmpl w:val="0D6315F5"/>
    <w:lvl w:ilvl="0" w:tentative="0">
      <w:start w:val="1"/>
      <w:numFmt w:val="decimal"/>
      <w:suff w:val="space"/>
      <w:lvlText w:val="%1."/>
      <w:lvlJc w:val="left"/>
    </w:lvl>
  </w:abstractNum>
  <w:abstractNum w:abstractNumId="6">
    <w:nsid w:val="1818B8E5"/>
    <w:multiLevelType w:val="multilevel"/>
    <w:tmpl w:val="1818B8E5"/>
    <w:lvl w:ilvl="0" w:tentative="0">
      <w:start w:val="1"/>
      <w:numFmt w:val="decimal"/>
      <w:lvlText w:val="%1."/>
      <w:lvlJc w:val="left"/>
      <w:pPr>
        <w:tabs>
          <w:tab w:val="left" w:pos="399"/>
        </w:tabs>
        <w:ind w:left="405" w:hanging="405"/>
      </w:pPr>
      <w:rPr>
        <w:rFonts w:hint="default"/>
        <w:b/>
        <w:sz w:val="24"/>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4CF30369"/>
    <w:multiLevelType w:val="multilevel"/>
    <w:tmpl w:val="4CF30369"/>
    <w:lvl w:ilvl="0" w:tentative="0">
      <w:start w:val="1"/>
      <w:numFmt w:val="decimal"/>
      <w:lvlText w:val="%1."/>
      <w:lvlJc w:val="left"/>
      <w:pPr>
        <w:ind w:left="323" w:hanging="323"/>
      </w:pPr>
      <w:rPr>
        <w:rFonts w:hint="default"/>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850" w:hanging="85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68BD6464"/>
    <w:multiLevelType w:val="multilevel"/>
    <w:tmpl w:val="68BD6464"/>
    <w:lvl w:ilvl="0" w:tentative="0">
      <w:start w:val="3"/>
      <w:numFmt w:val="decimal"/>
      <w:lvlText w:val="%1."/>
      <w:lvlJc w:val="left"/>
      <w:pPr>
        <w:tabs>
          <w:tab w:val="left" w:pos="399"/>
        </w:tabs>
        <w:ind w:left="405" w:hanging="405"/>
      </w:pPr>
      <w:rPr>
        <w:rFonts w:hint="default" w:ascii="宋体" w:hAnsi="宋体" w:eastAsia="宋体" w:cs="宋体"/>
        <w:b/>
        <w:sz w:val="24"/>
      </w:rPr>
    </w:lvl>
    <w:lvl w:ilvl="1" w:tentative="0">
      <w:start w:val="1"/>
      <w:numFmt w:val="decimal"/>
      <w:lvlText w:val="%1.%2."/>
      <w:lvlJc w:val="left"/>
      <w:pPr>
        <w:ind w:left="567" w:hanging="567"/>
      </w:pPr>
      <w:rPr>
        <w:rFonts w:hint="default"/>
        <w:b/>
        <w:sz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6BCB5E2A"/>
    <w:multiLevelType w:val="singleLevel"/>
    <w:tmpl w:val="6BCB5E2A"/>
    <w:lvl w:ilvl="0" w:tentative="0">
      <w:start w:val="1"/>
      <w:numFmt w:val="decimal"/>
      <w:suff w:val="space"/>
      <w:lvlText w:val="%1."/>
      <w:lvlJc w:val="left"/>
    </w:lvl>
  </w:abstractNum>
  <w:abstractNum w:abstractNumId="10">
    <w:nsid w:val="74FF28C7"/>
    <w:multiLevelType w:val="multilevel"/>
    <w:tmpl w:val="74FF28C7"/>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1"/>
  </w:num>
  <w:num w:numId="3">
    <w:abstractNumId w:val="7"/>
  </w:num>
  <w:num w:numId="4">
    <w:abstractNumId w:val="10"/>
  </w:num>
  <w:num w:numId="5">
    <w:abstractNumId w:val="0"/>
  </w:num>
  <w:num w:numId="6">
    <w:abstractNumId w:val="6"/>
  </w:num>
  <w:num w:numId="7">
    <w:abstractNumId w:val="8"/>
  </w:num>
  <w:num w:numId="8">
    <w:abstractNumId w:val="3"/>
  </w:num>
  <w:num w:numId="9">
    <w:abstractNumId w:val="4"/>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E1ZjM1ZjljZjc3NmZiMTRjMThiODBmOTg5OTdmYWYifQ=="/>
  </w:docVars>
  <w:rsids>
    <w:rsidRoot w:val="00172A27"/>
    <w:rsid w:val="00000693"/>
    <w:rsid w:val="00000CB0"/>
    <w:rsid w:val="00001E56"/>
    <w:rsid w:val="0000396E"/>
    <w:rsid w:val="000041FD"/>
    <w:rsid w:val="00004478"/>
    <w:rsid w:val="00006FBB"/>
    <w:rsid w:val="00011AE8"/>
    <w:rsid w:val="000128E2"/>
    <w:rsid w:val="000151EB"/>
    <w:rsid w:val="00015A40"/>
    <w:rsid w:val="000173D9"/>
    <w:rsid w:val="00020EBC"/>
    <w:rsid w:val="00023C95"/>
    <w:rsid w:val="00024054"/>
    <w:rsid w:val="00026AFD"/>
    <w:rsid w:val="00033168"/>
    <w:rsid w:val="00033EE6"/>
    <w:rsid w:val="000364DE"/>
    <w:rsid w:val="00036535"/>
    <w:rsid w:val="000371E8"/>
    <w:rsid w:val="000445EB"/>
    <w:rsid w:val="00044C38"/>
    <w:rsid w:val="00044E0A"/>
    <w:rsid w:val="00045960"/>
    <w:rsid w:val="00046A23"/>
    <w:rsid w:val="00050BD9"/>
    <w:rsid w:val="00053E49"/>
    <w:rsid w:val="00054AB6"/>
    <w:rsid w:val="0005711D"/>
    <w:rsid w:val="00057B97"/>
    <w:rsid w:val="00062E5D"/>
    <w:rsid w:val="00063A1A"/>
    <w:rsid w:val="00063C10"/>
    <w:rsid w:val="00065EDE"/>
    <w:rsid w:val="0006711B"/>
    <w:rsid w:val="0006742A"/>
    <w:rsid w:val="00067A80"/>
    <w:rsid w:val="00067D63"/>
    <w:rsid w:val="000740E5"/>
    <w:rsid w:val="000744B7"/>
    <w:rsid w:val="00074D21"/>
    <w:rsid w:val="00075E82"/>
    <w:rsid w:val="0007753E"/>
    <w:rsid w:val="000776B6"/>
    <w:rsid w:val="00080EDD"/>
    <w:rsid w:val="0008108E"/>
    <w:rsid w:val="00082EC3"/>
    <w:rsid w:val="000833C0"/>
    <w:rsid w:val="00084499"/>
    <w:rsid w:val="00086D73"/>
    <w:rsid w:val="00091E58"/>
    <w:rsid w:val="00093619"/>
    <w:rsid w:val="000960A4"/>
    <w:rsid w:val="000961B6"/>
    <w:rsid w:val="00096A49"/>
    <w:rsid w:val="000A26A0"/>
    <w:rsid w:val="000A3DD6"/>
    <w:rsid w:val="000A7899"/>
    <w:rsid w:val="000B0696"/>
    <w:rsid w:val="000B5D16"/>
    <w:rsid w:val="000B7C98"/>
    <w:rsid w:val="000C296B"/>
    <w:rsid w:val="000C2F65"/>
    <w:rsid w:val="000C314E"/>
    <w:rsid w:val="000C7C36"/>
    <w:rsid w:val="000D021A"/>
    <w:rsid w:val="000D17E7"/>
    <w:rsid w:val="000D45A6"/>
    <w:rsid w:val="000D6467"/>
    <w:rsid w:val="000E5537"/>
    <w:rsid w:val="000F7411"/>
    <w:rsid w:val="00100AB6"/>
    <w:rsid w:val="0011022C"/>
    <w:rsid w:val="0011283B"/>
    <w:rsid w:val="00112CD4"/>
    <w:rsid w:val="00114CF3"/>
    <w:rsid w:val="00116F1F"/>
    <w:rsid w:val="00120DB1"/>
    <w:rsid w:val="001236DA"/>
    <w:rsid w:val="001307EB"/>
    <w:rsid w:val="00132794"/>
    <w:rsid w:val="00132FF2"/>
    <w:rsid w:val="00137837"/>
    <w:rsid w:val="0014060C"/>
    <w:rsid w:val="00140949"/>
    <w:rsid w:val="0014692D"/>
    <w:rsid w:val="001474A4"/>
    <w:rsid w:val="001503C2"/>
    <w:rsid w:val="001505B8"/>
    <w:rsid w:val="0015619F"/>
    <w:rsid w:val="0015799C"/>
    <w:rsid w:val="00163236"/>
    <w:rsid w:val="00163F29"/>
    <w:rsid w:val="00164FC3"/>
    <w:rsid w:val="0016537A"/>
    <w:rsid w:val="001662B9"/>
    <w:rsid w:val="00167D55"/>
    <w:rsid w:val="00172A27"/>
    <w:rsid w:val="00177349"/>
    <w:rsid w:val="00187917"/>
    <w:rsid w:val="00196AB7"/>
    <w:rsid w:val="001A1B64"/>
    <w:rsid w:val="001A2705"/>
    <w:rsid w:val="001A2D89"/>
    <w:rsid w:val="001A3C11"/>
    <w:rsid w:val="001A42DB"/>
    <w:rsid w:val="001A74D9"/>
    <w:rsid w:val="001B3D36"/>
    <w:rsid w:val="001B666B"/>
    <w:rsid w:val="001B7A47"/>
    <w:rsid w:val="001C1815"/>
    <w:rsid w:val="001C3846"/>
    <w:rsid w:val="001C3E5B"/>
    <w:rsid w:val="001C45D1"/>
    <w:rsid w:val="001C5282"/>
    <w:rsid w:val="001C61F4"/>
    <w:rsid w:val="001D028B"/>
    <w:rsid w:val="001D0DE0"/>
    <w:rsid w:val="001D2F82"/>
    <w:rsid w:val="001E035C"/>
    <w:rsid w:val="001E07E0"/>
    <w:rsid w:val="001F08E9"/>
    <w:rsid w:val="001F136F"/>
    <w:rsid w:val="001F4AAA"/>
    <w:rsid w:val="001F5FDA"/>
    <w:rsid w:val="002011AD"/>
    <w:rsid w:val="0020144A"/>
    <w:rsid w:val="00202D63"/>
    <w:rsid w:val="00202E28"/>
    <w:rsid w:val="00205FDC"/>
    <w:rsid w:val="00207AE5"/>
    <w:rsid w:val="00212A5F"/>
    <w:rsid w:val="00215C15"/>
    <w:rsid w:val="002161CA"/>
    <w:rsid w:val="00216329"/>
    <w:rsid w:val="00216906"/>
    <w:rsid w:val="00222740"/>
    <w:rsid w:val="00222F7A"/>
    <w:rsid w:val="00223F62"/>
    <w:rsid w:val="002261A8"/>
    <w:rsid w:val="0022730E"/>
    <w:rsid w:val="00231B07"/>
    <w:rsid w:val="00240555"/>
    <w:rsid w:val="00240D7E"/>
    <w:rsid w:val="002433D2"/>
    <w:rsid w:val="00244BE9"/>
    <w:rsid w:val="00252D74"/>
    <w:rsid w:val="00254D31"/>
    <w:rsid w:val="00255979"/>
    <w:rsid w:val="00255D75"/>
    <w:rsid w:val="002561BF"/>
    <w:rsid w:val="00260A47"/>
    <w:rsid w:val="00261C5B"/>
    <w:rsid w:val="00264DD5"/>
    <w:rsid w:val="00270D92"/>
    <w:rsid w:val="00271A3C"/>
    <w:rsid w:val="00273D40"/>
    <w:rsid w:val="00275D45"/>
    <w:rsid w:val="00276FA1"/>
    <w:rsid w:val="0027757B"/>
    <w:rsid w:val="00280335"/>
    <w:rsid w:val="002851C3"/>
    <w:rsid w:val="002868A7"/>
    <w:rsid w:val="002925D3"/>
    <w:rsid w:val="00292E70"/>
    <w:rsid w:val="00297F15"/>
    <w:rsid w:val="002A0A4C"/>
    <w:rsid w:val="002A1790"/>
    <w:rsid w:val="002A4342"/>
    <w:rsid w:val="002A6597"/>
    <w:rsid w:val="002B1842"/>
    <w:rsid w:val="002B35FC"/>
    <w:rsid w:val="002B5CC9"/>
    <w:rsid w:val="002B5F03"/>
    <w:rsid w:val="002B7F8B"/>
    <w:rsid w:val="002C0D02"/>
    <w:rsid w:val="002C2B43"/>
    <w:rsid w:val="002C3E6B"/>
    <w:rsid w:val="002C413D"/>
    <w:rsid w:val="002C4630"/>
    <w:rsid w:val="002D3FEA"/>
    <w:rsid w:val="002D6BB8"/>
    <w:rsid w:val="002D780C"/>
    <w:rsid w:val="002E16D4"/>
    <w:rsid w:val="002E4523"/>
    <w:rsid w:val="002E5354"/>
    <w:rsid w:val="002E6548"/>
    <w:rsid w:val="002E7540"/>
    <w:rsid w:val="002E78C0"/>
    <w:rsid w:val="002F1BCB"/>
    <w:rsid w:val="002F27F9"/>
    <w:rsid w:val="002F5751"/>
    <w:rsid w:val="002F716B"/>
    <w:rsid w:val="0030170F"/>
    <w:rsid w:val="00301A3B"/>
    <w:rsid w:val="0030358B"/>
    <w:rsid w:val="00306D13"/>
    <w:rsid w:val="00310A86"/>
    <w:rsid w:val="00311BFC"/>
    <w:rsid w:val="00312338"/>
    <w:rsid w:val="003167FF"/>
    <w:rsid w:val="003217B8"/>
    <w:rsid w:val="003217C0"/>
    <w:rsid w:val="003237D9"/>
    <w:rsid w:val="003277DA"/>
    <w:rsid w:val="003309B8"/>
    <w:rsid w:val="0033361A"/>
    <w:rsid w:val="00333D18"/>
    <w:rsid w:val="00337214"/>
    <w:rsid w:val="0033728A"/>
    <w:rsid w:val="00340FBD"/>
    <w:rsid w:val="003437FB"/>
    <w:rsid w:val="00343EC5"/>
    <w:rsid w:val="00344E97"/>
    <w:rsid w:val="003458DD"/>
    <w:rsid w:val="00346FD6"/>
    <w:rsid w:val="003472F5"/>
    <w:rsid w:val="003510EC"/>
    <w:rsid w:val="003515A8"/>
    <w:rsid w:val="0035269E"/>
    <w:rsid w:val="00355298"/>
    <w:rsid w:val="00356AB6"/>
    <w:rsid w:val="00356B73"/>
    <w:rsid w:val="003577F6"/>
    <w:rsid w:val="00361C53"/>
    <w:rsid w:val="00362447"/>
    <w:rsid w:val="00371116"/>
    <w:rsid w:val="0037302D"/>
    <w:rsid w:val="00373515"/>
    <w:rsid w:val="00373E7F"/>
    <w:rsid w:val="00375001"/>
    <w:rsid w:val="00375AD5"/>
    <w:rsid w:val="00376577"/>
    <w:rsid w:val="00377D84"/>
    <w:rsid w:val="00380738"/>
    <w:rsid w:val="00383306"/>
    <w:rsid w:val="00384482"/>
    <w:rsid w:val="003846B2"/>
    <w:rsid w:val="00385E52"/>
    <w:rsid w:val="00387970"/>
    <w:rsid w:val="00391928"/>
    <w:rsid w:val="003919E1"/>
    <w:rsid w:val="00392692"/>
    <w:rsid w:val="00395172"/>
    <w:rsid w:val="003A0651"/>
    <w:rsid w:val="003A34DC"/>
    <w:rsid w:val="003A360E"/>
    <w:rsid w:val="003A48E1"/>
    <w:rsid w:val="003A7211"/>
    <w:rsid w:val="003B0B64"/>
    <w:rsid w:val="003B3663"/>
    <w:rsid w:val="003B38C4"/>
    <w:rsid w:val="003B4E45"/>
    <w:rsid w:val="003C1FBD"/>
    <w:rsid w:val="003C2091"/>
    <w:rsid w:val="003C2474"/>
    <w:rsid w:val="003C34D8"/>
    <w:rsid w:val="003C7DB6"/>
    <w:rsid w:val="003D0F5F"/>
    <w:rsid w:val="003D4FE5"/>
    <w:rsid w:val="003D62AA"/>
    <w:rsid w:val="003D7857"/>
    <w:rsid w:val="003E078E"/>
    <w:rsid w:val="003E1944"/>
    <w:rsid w:val="003E3A02"/>
    <w:rsid w:val="003E3B36"/>
    <w:rsid w:val="003E445D"/>
    <w:rsid w:val="003E4D6D"/>
    <w:rsid w:val="003E76A2"/>
    <w:rsid w:val="003F03B2"/>
    <w:rsid w:val="003F19B5"/>
    <w:rsid w:val="003F1CA1"/>
    <w:rsid w:val="003F298D"/>
    <w:rsid w:val="003F58B4"/>
    <w:rsid w:val="003F710E"/>
    <w:rsid w:val="004041E5"/>
    <w:rsid w:val="0040513D"/>
    <w:rsid w:val="004074F3"/>
    <w:rsid w:val="00410BB9"/>
    <w:rsid w:val="004137FD"/>
    <w:rsid w:val="00413EFB"/>
    <w:rsid w:val="00416D63"/>
    <w:rsid w:val="0041740B"/>
    <w:rsid w:val="00421230"/>
    <w:rsid w:val="004241E3"/>
    <w:rsid w:val="00424FA0"/>
    <w:rsid w:val="004278F1"/>
    <w:rsid w:val="004279A4"/>
    <w:rsid w:val="0043095A"/>
    <w:rsid w:val="00431055"/>
    <w:rsid w:val="00433B4B"/>
    <w:rsid w:val="0043486C"/>
    <w:rsid w:val="00436CA8"/>
    <w:rsid w:val="00437005"/>
    <w:rsid w:val="00452379"/>
    <w:rsid w:val="004535C1"/>
    <w:rsid w:val="00455128"/>
    <w:rsid w:val="0046312D"/>
    <w:rsid w:val="004652D2"/>
    <w:rsid w:val="004663CB"/>
    <w:rsid w:val="0047157C"/>
    <w:rsid w:val="00471CFD"/>
    <w:rsid w:val="00474574"/>
    <w:rsid w:val="004814E7"/>
    <w:rsid w:val="0048307C"/>
    <w:rsid w:val="004921BB"/>
    <w:rsid w:val="004943B1"/>
    <w:rsid w:val="004A1324"/>
    <w:rsid w:val="004A14C9"/>
    <w:rsid w:val="004A2A96"/>
    <w:rsid w:val="004A3F59"/>
    <w:rsid w:val="004A51F3"/>
    <w:rsid w:val="004B212A"/>
    <w:rsid w:val="004B2422"/>
    <w:rsid w:val="004B5524"/>
    <w:rsid w:val="004C0F6C"/>
    <w:rsid w:val="004C3143"/>
    <w:rsid w:val="004C3774"/>
    <w:rsid w:val="004C636A"/>
    <w:rsid w:val="004D09F0"/>
    <w:rsid w:val="004D1FE1"/>
    <w:rsid w:val="004D2CBC"/>
    <w:rsid w:val="004D4D0B"/>
    <w:rsid w:val="004E0204"/>
    <w:rsid w:val="004E0815"/>
    <w:rsid w:val="004E2CF8"/>
    <w:rsid w:val="004F010A"/>
    <w:rsid w:val="004F220B"/>
    <w:rsid w:val="004F29EC"/>
    <w:rsid w:val="004F2FE1"/>
    <w:rsid w:val="004F3A58"/>
    <w:rsid w:val="004F54AA"/>
    <w:rsid w:val="004F550E"/>
    <w:rsid w:val="004F653D"/>
    <w:rsid w:val="00500F82"/>
    <w:rsid w:val="00505E44"/>
    <w:rsid w:val="005100A3"/>
    <w:rsid w:val="0052516E"/>
    <w:rsid w:val="00527334"/>
    <w:rsid w:val="00527F3E"/>
    <w:rsid w:val="00532AC3"/>
    <w:rsid w:val="00542801"/>
    <w:rsid w:val="0054542F"/>
    <w:rsid w:val="005465D1"/>
    <w:rsid w:val="00550C9D"/>
    <w:rsid w:val="0055186A"/>
    <w:rsid w:val="00554D43"/>
    <w:rsid w:val="00556628"/>
    <w:rsid w:val="0056001B"/>
    <w:rsid w:val="00565B42"/>
    <w:rsid w:val="00566AEF"/>
    <w:rsid w:val="005671D0"/>
    <w:rsid w:val="00572057"/>
    <w:rsid w:val="005730A2"/>
    <w:rsid w:val="00575415"/>
    <w:rsid w:val="00577D97"/>
    <w:rsid w:val="00585068"/>
    <w:rsid w:val="005923FB"/>
    <w:rsid w:val="0059694F"/>
    <w:rsid w:val="005A1025"/>
    <w:rsid w:val="005A19B1"/>
    <w:rsid w:val="005A1B3F"/>
    <w:rsid w:val="005A325F"/>
    <w:rsid w:val="005A4A6C"/>
    <w:rsid w:val="005A5089"/>
    <w:rsid w:val="005B5322"/>
    <w:rsid w:val="005C1A23"/>
    <w:rsid w:val="005C1AB3"/>
    <w:rsid w:val="005C57E0"/>
    <w:rsid w:val="005C5869"/>
    <w:rsid w:val="005D3123"/>
    <w:rsid w:val="005D5AA2"/>
    <w:rsid w:val="005D7F80"/>
    <w:rsid w:val="005E0958"/>
    <w:rsid w:val="005E181F"/>
    <w:rsid w:val="005E6149"/>
    <w:rsid w:val="005F4032"/>
    <w:rsid w:val="00600A3F"/>
    <w:rsid w:val="00602112"/>
    <w:rsid w:val="00602465"/>
    <w:rsid w:val="00603844"/>
    <w:rsid w:val="0060554C"/>
    <w:rsid w:val="00612BAB"/>
    <w:rsid w:val="00612C94"/>
    <w:rsid w:val="00613CC5"/>
    <w:rsid w:val="00614865"/>
    <w:rsid w:val="00616459"/>
    <w:rsid w:val="006169F8"/>
    <w:rsid w:val="00620666"/>
    <w:rsid w:val="006237B1"/>
    <w:rsid w:val="006237BB"/>
    <w:rsid w:val="00623EAF"/>
    <w:rsid w:val="0062725D"/>
    <w:rsid w:val="0063089E"/>
    <w:rsid w:val="00633363"/>
    <w:rsid w:val="00633EE9"/>
    <w:rsid w:val="006357EE"/>
    <w:rsid w:val="006358C5"/>
    <w:rsid w:val="0064230B"/>
    <w:rsid w:val="006430A0"/>
    <w:rsid w:val="0064529F"/>
    <w:rsid w:val="00646EED"/>
    <w:rsid w:val="00652C80"/>
    <w:rsid w:val="00652C89"/>
    <w:rsid w:val="006636FB"/>
    <w:rsid w:val="0066425D"/>
    <w:rsid w:val="00670568"/>
    <w:rsid w:val="00675EBC"/>
    <w:rsid w:val="00677BE4"/>
    <w:rsid w:val="006802A2"/>
    <w:rsid w:val="006907C1"/>
    <w:rsid w:val="0069218D"/>
    <w:rsid w:val="006939FC"/>
    <w:rsid w:val="006948D7"/>
    <w:rsid w:val="00697C01"/>
    <w:rsid w:val="006A1BBD"/>
    <w:rsid w:val="006A232A"/>
    <w:rsid w:val="006A31F3"/>
    <w:rsid w:val="006A54AB"/>
    <w:rsid w:val="006A5767"/>
    <w:rsid w:val="006A7204"/>
    <w:rsid w:val="006B43BE"/>
    <w:rsid w:val="006B55CD"/>
    <w:rsid w:val="006B7043"/>
    <w:rsid w:val="006C1236"/>
    <w:rsid w:val="006C5936"/>
    <w:rsid w:val="006C6366"/>
    <w:rsid w:val="006D1682"/>
    <w:rsid w:val="006D1F6D"/>
    <w:rsid w:val="006D3A10"/>
    <w:rsid w:val="006D753A"/>
    <w:rsid w:val="006E1167"/>
    <w:rsid w:val="006E284A"/>
    <w:rsid w:val="006E2A6C"/>
    <w:rsid w:val="006E3886"/>
    <w:rsid w:val="006E4B6B"/>
    <w:rsid w:val="006F15FC"/>
    <w:rsid w:val="006F27C9"/>
    <w:rsid w:val="006F3E6E"/>
    <w:rsid w:val="006F4AC7"/>
    <w:rsid w:val="006F6A39"/>
    <w:rsid w:val="006F6D41"/>
    <w:rsid w:val="00700BC8"/>
    <w:rsid w:val="0070194D"/>
    <w:rsid w:val="007031BD"/>
    <w:rsid w:val="007060EC"/>
    <w:rsid w:val="007112C6"/>
    <w:rsid w:val="0071174F"/>
    <w:rsid w:val="00714842"/>
    <w:rsid w:val="0071519C"/>
    <w:rsid w:val="007206D2"/>
    <w:rsid w:val="00720826"/>
    <w:rsid w:val="00722C13"/>
    <w:rsid w:val="00722E58"/>
    <w:rsid w:val="007239AA"/>
    <w:rsid w:val="00723BA4"/>
    <w:rsid w:val="007336DD"/>
    <w:rsid w:val="007347A8"/>
    <w:rsid w:val="00734FB0"/>
    <w:rsid w:val="00736912"/>
    <w:rsid w:val="007477CE"/>
    <w:rsid w:val="00750320"/>
    <w:rsid w:val="007524E0"/>
    <w:rsid w:val="00753344"/>
    <w:rsid w:val="007536BE"/>
    <w:rsid w:val="007539DE"/>
    <w:rsid w:val="00754522"/>
    <w:rsid w:val="00755513"/>
    <w:rsid w:val="007606DF"/>
    <w:rsid w:val="00760BAB"/>
    <w:rsid w:val="00764575"/>
    <w:rsid w:val="007663A6"/>
    <w:rsid w:val="007704B1"/>
    <w:rsid w:val="007704D8"/>
    <w:rsid w:val="00772D82"/>
    <w:rsid w:val="00775D40"/>
    <w:rsid w:val="0077691E"/>
    <w:rsid w:val="00781837"/>
    <w:rsid w:val="00782352"/>
    <w:rsid w:val="007823CF"/>
    <w:rsid w:val="00785412"/>
    <w:rsid w:val="00792D0A"/>
    <w:rsid w:val="0079652A"/>
    <w:rsid w:val="007A13A6"/>
    <w:rsid w:val="007A5DE1"/>
    <w:rsid w:val="007B2FD0"/>
    <w:rsid w:val="007B3A50"/>
    <w:rsid w:val="007C552C"/>
    <w:rsid w:val="007C69C5"/>
    <w:rsid w:val="007D22C7"/>
    <w:rsid w:val="007D3403"/>
    <w:rsid w:val="007D5983"/>
    <w:rsid w:val="007D5F7A"/>
    <w:rsid w:val="007E1963"/>
    <w:rsid w:val="007E380E"/>
    <w:rsid w:val="007E4E1F"/>
    <w:rsid w:val="007F0641"/>
    <w:rsid w:val="007F2E55"/>
    <w:rsid w:val="007F5CA2"/>
    <w:rsid w:val="0080136F"/>
    <w:rsid w:val="0080168E"/>
    <w:rsid w:val="008049C7"/>
    <w:rsid w:val="00806699"/>
    <w:rsid w:val="00807C1C"/>
    <w:rsid w:val="00811AE1"/>
    <w:rsid w:val="00813D33"/>
    <w:rsid w:val="00817233"/>
    <w:rsid w:val="00823BDB"/>
    <w:rsid w:val="008249DC"/>
    <w:rsid w:val="008249DD"/>
    <w:rsid w:val="0082579B"/>
    <w:rsid w:val="00827882"/>
    <w:rsid w:val="00831073"/>
    <w:rsid w:val="00831871"/>
    <w:rsid w:val="00831C85"/>
    <w:rsid w:val="008340DA"/>
    <w:rsid w:val="00834AEB"/>
    <w:rsid w:val="00835279"/>
    <w:rsid w:val="00843933"/>
    <w:rsid w:val="008523D4"/>
    <w:rsid w:val="008561C8"/>
    <w:rsid w:val="00863B15"/>
    <w:rsid w:val="0086431F"/>
    <w:rsid w:val="00864943"/>
    <w:rsid w:val="00866FE0"/>
    <w:rsid w:val="00873832"/>
    <w:rsid w:val="00882251"/>
    <w:rsid w:val="0088474D"/>
    <w:rsid w:val="00886E7D"/>
    <w:rsid w:val="00886E83"/>
    <w:rsid w:val="008877CA"/>
    <w:rsid w:val="00890235"/>
    <w:rsid w:val="008928ED"/>
    <w:rsid w:val="00893C95"/>
    <w:rsid w:val="0089426F"/>
    <w:rsid w:val="008957F8"/>
    <w:rsid w:val="00896DBE"/>
    <w:rsid w:val="00897B38"/>
    <w:rsid w:val="008A0D51"/>
    <w:rsid w:val="008A27A6"/>
    <w:rsid w:val="008A2DFE"/>
    <w:rsid w:val="008A58C0"/>
    <w:rsid w:val="008B2B43"/>
    <w:rsid w:val="008B365F"/>
    <w:rsid w:val="008B5440"/>
    <w:rsid w:val="008B6EF3"/>
    <w:rsid w:val="008C194F"/>
    <w:rsid w:val="008C3443"/>
    <w:rsid w:val="008C4537"/>
    <w:rsid w:val="008C4BC7"/>
    <w:rsid w:val="008C597D"/>
    <w:rsid w:val="008C6342"/>
    <w:rsid w:val="008C7B40"/>
    <w:rsid w:val="008D0582"/>
    <w:rsid w:val="008D38ED"/>
    <w:rsid w:val="008D3C24"/>
    <w:rsid w:val="008E1482"/>
    <w:rsid w:val="008E1AD7"/>
    <w:rsid w:val="008E2546"/>
    <w:rsid w:val="008E3E0C"/>
    <w:rsid w:val="008E637C"/>
    <w:rsid w:val="008E63ED"/>
    <w:rsid w:val="008F38D9"/>
    <w:rsid w:val="008F7D01"/>
    <w:rsid w:val="00902C20"/>
    <w:rsid w:val="00902CBE"/>
    <w:rsid w:val="00902DA8"/>
    <w:rsid w:val="00904A11"/>
    <w:rsid w:val="009072E5"/>
    <w:rsid w:val="00910F4C"/>
    <w:rsid w:val="00917251"/>
    <w:rsid w:val="00917B9E"/>
    <w:rsid w:val="00917D8D"/>
    <w:rsid w:val="00921D9A"/>
    <w:rsid w:val="009221B0"/>
    <w:rsid w:val="00924071"/>
    <w:rsid w:val="00930024"/>
    <w:rsid w:val="00932140"/>
    <w:rsid w:val="00932BD4"/>
    <w:rsid w:val="0093363C"/>
    <w:rsid w:val="0093430C"/>
    <w:rsid w:val="00934CB3"/>
    <w:rsid w:val="009353C6"/>
    <w:rsid w:val="0093710F"/>
    <w:rsid w:val="00937E5F"/>
    <w:rsid w:val="00941770"/>
    <w:rsid w:val="009432AF"/>
    <w:rsid w:val="009506F2"/>
    <w:rsid w:val="00950B8B"/>
    <w:rsid w:val="00953BD5"/>
    <w:rsid w:val="00955C4D"/>
    <w:rsid w:val="0095633B"/>
    <w:rsid w:val="00956499"/>
    <w:rsid w:val="00957596"/>
    <w:rsid w:val="009677C0"/>
    <w:rsid w:val="00970C02"/>
    <w:rsid w:val="00971B09"/>
    <w:rsid w:val="00972503"/>
    <w:rsid w:val="00972F0D"/>
    <w:rsid w:val="00973D4B"/>
    <w:rsid w:val="00975676"/>
    <w:rsid w:val="00981962"/>
    <w:rsid w:val="00990003"/>
    <w:rsid w:val="00991B32"/>
    <w:rsid w:val="009937E4"/>
    <w:rsid w:val="0099473A"/>
    <w:rsid w:val="00997B4B"/>
    <w:rsid w:val="009A0651"/>
    <w:rsid w:val="009A2BF5"/>
    <w:rsid w:val="009A5E7E"/>
    <w:rsid w:val="009A5F06"/>
    <w:rsid w:val="009B2C10"/>
    <w:rsid w:val="009B3BC2"/>
    <w:rsid w:val="009B589E"/>
    <w:rsid w:val="009B59D2"/>
    <w:rsid w:val="009C0591"/>
    <w:rsid w:val="009C090E"/>
    <w:rsid w:val="009C0E6D"/>
    <w:rsid w:val="009C1567"/>
    <w:rsid w:val="009C33D5"/>
    <w:rsid w:val="009C56CE"/>
    <w:rsid w:val="009C5B37"/>
    <w:rsid w:val="009C67E9"/>
    <w:rsid w:val="009C797E"/>
    <w:rsid w:val="009D0543"/>
    <w:rsid w:val="009D0DDC"/>
    <w:rsid w:val="009D1220"/>
    <w:rsid w:val="009D25EA"/>
    <w:rsid w:val="009D7429"/>
    <w:rsid w:val="009D7EFB"/>
    <w:rsid w:val="009E060E"/>
    <w:rsid w:val="009E20C5"/>
    <w:rsid w:val="009E281B"/>
    <w:rsid w:val="009E29F7"/>
    <w:rsid w:val="009E4950"/>
    <w:rsid w:val="009F206D"/>
    <w:rsid w:val="009F2627"/>
    <w:rsid w:val="009F3DCA"/>
    <w:rsid w:val="009F4908"/>
    <w:rsid w:val="009F557F"/>
    <w:rsid w:val="009F7369"/>
    <w:rsid w:val="009F78C8"/>
    <w:rsid w:val="00A00775"/>
    <w:rsid w:val="00A02ABC"/>
    <w:rsid w:val="00A03707"/>
    <w:rsid w:val="00A047AA"/>
    <w:rsid w:val="00A04A75"/>
    <w:rsid w:val="00A04F8F"/>
    <w:rsid w:val="00A10C7D"/>
    <w:rsid w:val="00A12B47"/>
    <w:rsid w:val="00A1343F"/>
    <w:rsid w:val="00A21BFB"/>
    <w:rsid w:val="00A23CA2"/>
    <w:rsid w:val="00A24A90"/>
    <w:rsid w:val="00A2501C"/>
    <w:rsid w:val="00A33282"/>
    <w:rsid w:val="00A33491"/>
    <w:rsid w:val="00A34D63"/>
    <w:rsid w:val="00A34F2B"/>
    <w:rsid w:val="00A36443"/>
    <w:rsid w:val="00A412F8"/>
    <w:rsid w:val="00A44745"/>
    <w:rsid w:val="00A50C08"/>
    <w:rsid w:val="00A57527"/>
    <w:rsid w:val="00A64A15"/>
    <w:rsid w:val="00A702A9"/>
    <w:rsid w:val="00A70D13"/>
    <w:rsid w:val="00A73497"/>
    <w:rsid w:val="00A75327"/>
    <w:rsid w:val="00A8066B"/>
    <w:rsid w:val="00A80F56"/>
    <w:rsid w:val="00A82145"/>
    <w:rsid w:val="00A92FFB"/>
    <w:rsid w:val="00A93FC0"/>
    <w:rsid w:val="00A94D98"/>
    <w:rsid w:val="00A94F6C"/>
    <w:rsid w:val="00A97D06"/>
    <w:rsid w:val="00AA190E"/>
    <w:rsid w:val="00AA410D"/>
    <w:rsid w:val="00AA6793"/>
    <w:rsid w:val="00AA7912"/>
    <w:rsid w:val="00AB1869"/>
    <w:rsid w:val="00AB1E3E"/>
    <w:rsid w:val="00AC0163"/>
    <w:rsid w:val="00AC0256"/>
    <w:rsid w:val="00AC2B0D"/>
    <w:rsid w:val="00AC5D27"/>
    <w:rsid w:val="00AC5E3E"/>
    <w:rsid w:val="00AD1B07"/>
    <w:rsid w:val="00AD4DAB"/>
    <w:rsid w:val="00AD5656"/>
    <w:rsid w:val="00AD77EE"/>
    <w:rsid w:val="00AE0282"/>
    <w:rsid w:val="00AE0385"/>
    <w:rsid w:val="00AE1009"/>
    <w:rsid w:val="00AE1A20"/>
    <w:rsid w:val="00AE4E6E"/>
    <w:rsid w:val="00AE5958"/>
    <w:rsid w:val="00AF341D"/>
    <w:rsid w:val="00B00363"/>
    <w:rsid w:val="00B012CD"/>
    <w:rsid w:val="00B01301"/>
    <w:rsid w:val="00B01644"/>
    <w:rsid w:val="00B04046"/>
    <w:rsid w:val="00B0444C"/>
    <w:rsid w:val="00B057FD"/>
    <w:rsid w:val="00B06D74"/>
    <w:rsid w:val="00B12E13"/>
    <w:rsid w:val="00B14E38"/>
    <w:rsid w:val="00B1695A"/>
    <w:rsid w:val="00B234C2"/>
    <w:rsid w:val="00B23F78"/>
    <w:rsid w:val="00B27DD7"/>
    <w:rsid w:val="00B330B3"/>
    <w:rsid w:val="00B345BB"/>
    <w:rsid w:val="00B35E3D"/>
    <w:rsid w:val="00B37663"/>
    <w:rsid w:val="00B46A67"/>
    <w:rsid w:val="00B46D44"/>
    <w:rsid w:val="00B5153E"/>
    <w:rsid w:val="00B51E27"/>
    <w:rsid w:val="00B53656"/>
    <w:rsid w:val="00B53D13"/>
    <w:rsid w:val="00B63DF2"/>
    <w:rsid w:val="00B65DFA"/>
    <w:rsid w:val="00B700E2"/>
    <w:rsid w:val="00B70CAD"/>
    <w:rsid w:val="00B71FCC"/>
    <w:rsid w:val="00B7334B"/>
    <w:rsid w:val="00B750BD"/>
    <w:rsid w:val="00B75445"/>
    <w:rsid w:val="00B76950"/>
    <w:rsid w:val="00B8058F"/>
    <w:rsid w:val="00B8103A"/>
    <w:rsid w:val="00B83E0D"/>
    <w:rsid w:val="00B85CD0"/>
    <w:rsid w:val="00B878F6"/>
    <w:rsid w:val="00B92CBD"/>
    <w:rsid w:val="00B92F23"/>
    <w:rsid w:val="00B96E56"/>
    <w:rsid w:val="00BA10CB"/>
    <w:rsid w:val="00BA1E0D"/>
    <w:rsid w:val="00BA30BC"/>
    <w:rsid w:val="00BA577A"/>
    <w:rsid w:val="00BA64EB"/>
    <w:rsid w:val="00BA78D7"/>
    <w:rsid w:val="00BB2521"/>
    <w:rsid w:val="00BB4518"/>
    <w:rsid w:val="00BB6771"/>
    <w:rsid w:val="00BC170D"/>
    <w:rsid w:val="00BC46F3"/>
    <w:rsid w:val="00BC518A"/>
    <w:rsid w:val="00BD10F2"/>
    <w:rsid w:val="00BD2331"/>
    <w:rsid w:val="00BD2D21"/>
    <w:rsid w:val="00BE4640"/>
    <w:rsid w:val="00BE4F5F"/>
    <w:rsid w:val="00BF40B3"/>
    <w:rsid w:val="00BF5027"/>
    <w:rsid w:val="00C022FB"/>
    <w:rsid w:val="00C056B3"/>
    <w:rsid w:val="00C06B0F"/>
    <w:rsid w:val="00C105E7"/>
    <w:rsid w:val="00C12F00"/>
    <w:rsid w:val="00C1372F"/>
    <w:rsid w:val="00C13CF4"/>
    <w:rsid w:val="00C146B3"/>
    <w:rsid w:val="00C14E03"/>
    <w:rsid w:val="00C15D7E"/>
    <w:rsid w:val="00C17F0A"/>
    <w:rsid w:val="00C239C7"/>
    <w:rsid w:val="00C33DC5"/>
    <w:rsid w:val="00C346E8"/>
    <w:rsid w:val="00C36642"/>
    <w:rsid w:val="00C3672B"/>
    <w:rsid w:val="00C36CB6"/>
    <w:rsid w:val="00C379B8"/>
    <w:rsid w:val="00C37ACA"/>
    <w:rsid w:val="00C40DE5"/>
    <w:rsid w:val="00C43D33"/>
    <w:rsid w:val="00C43E3F"/>
    <w:rsid w:val="00C45A11"/>
    <w:rsid w:val="00C4636D"/>
    <w:rsid w:val="00C5391A"/>
    <w:rsid w:val="00C54003"/>
    <w:rsid w:val="00C568C3"/>
    <w:rsid w:val="00C623D9"/>
    <w:rsid w:val="00C708E4"/>
    <w:rsid w:val="00C747A1"/>
    <w:rsid w:val="00C76B54"/>
    <w:rsid w:val="00C76F02"/>
    <w:rsid w:val="00C77444"/>
    <w:rsid w:val="00C80386"/>
    <w:rsid w:val="00C81CE0"/>
    <w:rsid w:val="00C83733"/>
    <w:rsid w:val="00C85117"/>
    <w:rsid w:val="00C85FC2"/>
    <w:rsid w:val="00C9094B"/>
    <w:rsid w:val="00C90DED"/>
    <w:rsid w:val="00C91CF0"/>
    <w:rsid w:val="00C95402"/>
    <w:rsid w:val="00CA4188"/>
    <w:rsid w:val="00CA4F76"/>
    <w:rsid w:val="00CA5C47"/>
    <w:rsid w:val="00CA64AB"/>
    <w:rsid w:val="00CA68DD"/>
    <w:rsid w:val="00CB0DFD"/>
    <w:rsid w:val="00CB1099"/>
    <w:rsid w:val="00CB22AE"/>
    <w:rsid w:val="00CB5D2B"/>
    <w:rsid w:val="00CB6394"/>
    <w:rsid w:val="00CB705B"/>
    <w:rsid w:val="00CB7A0A"/>
    <w:rsid w:val="00CC089A"/>
    <w:rsid w:val="00CC09DA"/>
    <w:rsid w:val="00CC1307"/>
    <w:rsid w:val="00CC1AE6"/>
    <w:rsid w:val="00CC1D10"/>
    <w:rsid w:val="00CC6586"/>
    <w:rsid w:val="00CC7090"/>
    <w:rsid w:val="00CD00BB"/>
    <w:rsid w:val="00CD0199"/>
    <w:rsid w:val="00CD4ED5"/>
    <w:rsid w:val="00CD6124"/>
    <w:rsid w:val="00CE70F7"/>
    <w:rsid w:val="00CE78DD"/>
    <w:rsid w:val="00CF365B"/>
    <w:rsid w:val="00CF4CC8"/>
    <w:rsid w:val="00CF77A8"/>
    <w:rsid w:val="00D027DA"/>
    <w:rsid w:val="00D0540A"/>
    <w:rsid w:val="00D05FAF"/>
    <w:rsid w:val="00D11F79"/>
    <w:rsid w:val="00D1761F"/>
    <w:rsid w:val="00D20019"/>
    <w:rsid w:val="00D20B54"/>
    <w:rsid w:val="00D2195C"/>
    <w:rsid w:val="00D21A9B"/>
    <w:rsid w:val="00D227EA"/>
    <w:rsid w:val="00D2534B"/>
    <w:rsid w:val="00D269E9"/>
    <w:rsid w:val="00D26CA6"/>
    <w:rsid w:val="00D3126C"/>
    <w:rsid w:val="00D31DA9"/>
    <w:rsid w:val="00D3350D"/>
    <w:rsid w:val="00D33FC0"/>
    <w:rsid w:val="00D34B9F"/>
    <w:rsid w:val="00D35A66"/>
    <w:rsid w:val="00D35E8E"/>
    <w:rsid w:val="00D36681"/>
    <w:rsid w:val="00D42BD4"/>
    <w:rsid w:val="00D439A9"/>
    <w:rsid w:val="00D457B6"/>
    <w:rsid w:val="00D515D2"/>
    <w:rsid w:val="00D52879"/>
    <w:rsid w:val="00D61159"/>
    <w:rsid w:val="00D61F52"/>
    <w:rsid w:val="00D62ED8"/>
    <w:rsid w:val="00D65057"/>
    <w:rsid w:val="00D70C12"/>
    <w:rsid w:val="00D71BDF"/>
    <w:rsid w:val="00D71F9C"/>
    <w:rsid w:val="00D755AB"/>
    <w:rsid w:val="00D75C8A"/>
    <w:rsid w:val="00D84EE2"/>
    <w:rsid w:val="00D85686"/>
    <w:rsid w:val="00D92A03"/>
    <w:rsid w:val="00D95431"/>
    <w:rsid w:val="00D97C70"/>
    <w:rsid w:val="00DA0114"/>
    <w:rsid w:val="00DA2635"/>
    <w:rsid w:val="00DA289C"/>
    <w:rsid w:val="00DA692B"/>
    <w:rsid w:val="00DB1250"/>
    <w:rsid w:val="00DB3BE4"/>
    <w:rsid w:val="00DB7248"/>
    <w:rsid w:val="00DC2544"/>
    <w:rsid w:val="00DC2D9B"/>
    <w:rsid w:val="00DC3E7C"/>
    <w:rsid w:val="00DC518F"/>
    <w:rsid w:val="00DC7119"/>
    <w:rsid w:val="00DC71BF"/>
    <w:rsid w:val="00DD12E1"/>
    <w:rsid w:val="00DD1A81"/>
    <w:rsid w:val="00DD699C"/>
    <w:rsid w:val="00DE01F1"/>
    <w:rsid w:val="00DE7222"/>
    <w:rsid w:val="00DF070C"/>
    <w:rsid w:val="00DF2E31"/>
    <w:rsid w:val="00DF4AA0"/>
    <w:rsid w:val="00DF56AD"/>
    <w:rsid w:val="00DF5723"/>
    <w:rsid w:val="00E00A58"/>
    <w:rsid w:val="00E01F08"/>
    <w:rsid w:val="00E03B78"/>
    <w:rsid w:val="00E04E07"/>
    <w:rsid w:val="00E05071"/>
    <w:rsid w:val="00E0708F"/>
    <w:rsid w:val="00E131F7"/>
    <w:rsid w:val="00E15D29"/>
    <w:rsid w:val="00E16921"/>
    <w:rsid w:val="00E169CF"/>
    <w:rsid w:val="00E16BA3"/>
    <w:rsid w:val="00E20818"/>
    <w:rsid w:val="00E23444"/>
    <w:rsid w:val="00E25909"/>
    <w:rsid w:val="00E260E6"/>
    <w:rsid w:val="00E27795"/>
    <w:rsid w:val="00E30990"/>
    <w:rsid w:val="00E309C7"/>
    <w:rsid w:val="00E32D71"/>
    <w:rsid w:val="00E3691C"/>
    <w:rsid w:val="00E415BC"/>
    <w:rsid w:val="00E41D4E"/>
    <w:rsid w:val="00E41F23"/>
    <w:rsid w:val="00E42E5E"/>
    <w:rsid w:val="00E42F2B"/>
    <w:rsid w:val="00E43723"/>
    <w:rsid w:val="00E438FF"/>
    <w:rsid w:val="00E43DC1"/>
    <w:rsid w:val="00E465CF"/>
    <w:rsid w:val="00E50A45"/>
    <w:rsid w:val="00E50AC6"/>
    <w:rsid w:val="00E53716"/>
    <w:rsid w:val="00E56245"/>
    <w:rsid w:val="00E568CF"/>
    <w:rsid w:val="00E61F24"/>
    <w:rsid w:val="00E631AC"/>
    <w:rsid w:val="00E63BF1"/>
    <w:rsid w:val="00E63DB4"/>
    <w:rsid w:val="00E63FAF"/>
    <w:rsid w:val="00E716A6"/>
    <w:rsid w:val="00E7367E"/>
    <w:rsid w:val="00E76F26"/>
    <w:rsid w:val="00E81D48"/>
    <w:rsid w:val="00E901C8"/>
    <w:rsid w:val="00E90AD7"/>
    <w:rsid w:val="00E90F53"/>
    <w:rsid w:val="00E93E0F"/>
    <w:rsid w:val="00E94094"/>
    <w:rsid w:val="00E941BD"/>
    <w:rsid w:val="00EA55DA"/>
    <w:rsid w:val="00EA717C"/>
    <w:rsid w:val="00EB1799"/>
    <w:rsid w:val="00EB17DC"/>
    <w:rsid w:val="00EC359A"/>
    <w:rsid w:val="00EC4FF2"/>
    <w:rsid w:val="00ED0811"/>
    <w:rsid w:val="00ED23D6"/>
    <w:rsid w:val="00ED2A0D"/>
    <w:rsid w:val="00ED581F"/>
    <w:rsid w:val="00ED7E04"/>
    <w:rsid w:val="00EE5966"/>
    <w:rsid w:val="00EF222F"/>
    <w:rsid w:val="00EF231F"/>
    <w:rsid w:val="00EF2A1A"/>
    <w:rsid w:val="00EF502F"/>
    <w:rsid w:val="00F04998"/>
    <w:rsid w:val="00F057E6"/>
    <w:rsid w:val="00F05FFE"/>
    <w:rsid w:val="00F11557"/>
    <w:rsid w:val="00F1486C"/>
    <w:rsid w:val="00F16532"/>
    <w:rsid w:val="00F173C6"/>
    <w:rsid w:val="00F17641"/>
    <w:rsid w:val="00F20DC4"/>
    <w:rsid w:val="00F251D9"/>
    <w:rsid w:val="00F263DC"/>
    <w:rsid w:val="00F27055"/>
    <w:rsid w:val="00F32409"/>
    <w:rsid w:val="00F3248B"/>
    <w:rsid w:val="00F3307C"/>
    <w:rsid w:val="00F33F05"/>
    <w:rsid w:val="00F36DFF"/>
    <w:rsid w:val="00F3767D"/>
    <w:rsid w:val="00F37FDF"/>
    <w:rsid w:val="00F42052"/>
    <w:rsid w:val="00F46ECA"/>
    <w:rsid w:val="00F52B2E"/>
    <w:rsid w:val="00F53CE7"/>
    <w:rsid w:val="00F548C4"/>
    <w:rsid w:val="00F5592B"/>
    <w:rsid w:val="00F6312D"/>
    <w:rsid w:val="00F64AA5"/>
    <w:rsid w:val="00F6671F"/>
    <w:rsid w:val="00F67079"/>
    <w:rsid w:val="00F723A9"/>
    <w:rsid w:val="00F75EB6"/>
    <w:rsid w:val="00F804AD"/>
    <w:rsid w:val="00F8405C"/>
    <w:rsid w:val="00F8490D"/>
    <w:rsid w:val="00F84D4B"/>
    <w:rsid w:val="00F86D16"/>
    <w:rsid w:val="00F93265"/>
    <w:rsid w:val="00F93EFE"/>
    <w:rsid w:val="00F96135"/>
    <w:rsid w:val="00FA18E4"/>
    <w:rsid w:val="00FA1C44"/>
    <w:rsid w:val="00FA348E"/>
    <w:rsid w:val="00FA3B25"/>
    <w:rsid w:val="00FB2B49"/>
    <w:rsid w:val="00FB352D"/>
    <w:rsid w:val="00FB4431"/>
    <w:rsid w:val="00FB6DBC"/>
    <w:rsid w:val="00FC1946"/>
    <w:rsid w:val="00FC38CF"/>
    <w:rsid w:val="00FC43EC"/>
    <w:rsid w:val="00FC6360"/>
    <w:rsid w:val="00FD09D1"/>
    <w:rsid w:val="00FD5426"/>
    <w:rsid w:val="00FE00BE"/>
    <w:rsid w:val="00FE2BA1"/>
    <w:rsid w:val="00FE431D"/>
    <w:rsid w:val="00FE56AD"/>
    <w:rsid w:val="00FE5CC3"/>
    <w:rsid w:val="00FE61FC"/>
    <w:rsid w:val="00FE6D09"/>
    <w:rsid w:val="00FF0D46"/>
    <w:rsid w:val="00FF26E4"/>
    <w:rsid w:val="00FF3F0D"/>
    <w:rsid w:val="00FF466A"/>
    <w:rsid w:val="00FF4774"/>
    <w:rsid w:val="00FF5203"/>
    <w:rsid w:val="00FF5B62"/>
    <w:rsid w:val="011C7C7F"/>
    <w:rsid w:val="01242C13"/>
    <w:rsid w:val="0126127D"/>
    <w:rsid w:val="012F6D31"/>
    <w:rsid w:val="013F0BAE"/>
    <w:rsid w:val="01426CB7"/>
    <w:rsid w:val="014C15F0"/>
    <w:rsid w:val="016A18BB"/>
    <w:rsid w:val="01767F39"/>
    <w:rsid w:val="01837032"/>
    <w:rsid w:val="01891C53"/>
    <w:rsid w:val="018F3568"/>
    <w:rsid w:val="01A026F0"/>
    <w:rsid w:val="01AF1DEF"/>
    <w:rsid w:val="01B5447A"/>
    <w:rsid w:val="01C23D30"/>
    <w:rsid w:val="01D85D7E"/>
    <w:rsid w:val="01DD653E"/>
    <w:rsid w:val="01F03100"/>
    <w:rsid w:val="01FC6168"/>
    <w:rsid w:val="02205968"/>
    <w:rsid w:val="023C6877"/>
    <w:rsid w:val="023D593B"/>
    <w:rsid w:val="024A4B3B"/>
    <w:rsid w:val="02546DDA"/>
    <w:rsid w:val="025E069A"/>
    <w:rsid w:val="02676E1B"/>
    <w:rsid w:val="02731095"/>
    <w:rsid w:val="02772BD8"/>
    <w:rsid w:val="029F7028"/>
    <w:rsid w:val="02A77100"/>
    <w:rsid w:val="02C00B3F"/>
    <w:rsid w:val="02EF19D6"/>
    <w:rsid w:val="02F77757"/>
    <w:rsid w:val="02FA23A8"/>
    <w:rsid w:val="032062CB"/>
    <w:rsid w:val="032F0848"/>
    <w:rsid w:val="033A0E9D"/>
    <w:rsid w:val="033F29FA"/>
    <w:rsid w:val="034641C3"/>
    <w:rsid w:val="03485A0F"/>
    <w:rsid w:val="035B47DA"/>
    <w:rsid w:val="036D3BCF"/>
    <w:rsid w:val="036D5065"/>
    <w:rsid w:val="037557A7"/>
    <w:rsid w:val="03756445"/>
    <w:rsid w:val="038652C6"/>
    <w:rsid w:val="03936BB9"/>
    <w:rsid w:val="03A9328A"/>
    <w:rsid w:val="03C17E5B"/>
    <w:rsid w:val="03DB2543"/>
    <w:rsid w:val="03FC0994"/>
    <w:rsid w:val="042451DA"/>
    <w:rsid w:val="04266BBA"/>
    <w:rsid w:val="04281C40"/>
    <w:rsid w:val="042E4DD9"/>
    <w:rsid w:val="04325931"/>
    <w:rsid w:val="044029A5"/>
    <w:rsid w:val="04513859"/>
    <w:rsid w:val="045F036E"/>
    <w:rsid w:val="046532AA"/>
    <w:rsid w:val="04735F53"/>
    <w:rsid w:val="04757F77"/>
    <w:rsid w:val="047D6AB5"/>
    <w:rsid w:val="04813F74"/>
    <w:rsid w:val="049B4ADB"/>
    <w:rsid w:val="04A21EFD"/>
    <w:rsid w:val="04A76479"/>
    <w:rsid w:val="04B63BFF"/>
    <w:rsid w:val="04BB391E"/>
    <w:rsid w:val="04D57147"/>
    <w:rsid w:val="04F11AB8"/>
    <w:rsid w:val="04FA4853"/>
    <w:rsid w:val="04FC5702"/>
    <w:rsid w:val="04FE5BD1"/>
    <w:rsid w:val="050B0CD7"/>
    <w:rsid w:val="050E113B"/>
    <w:rsid w:val="051F15AE"/>
    <w:rsid w:val="052203F1"/>
    <w:rsid w:val="053179BA"/>
    <w:rsid w:val="053921E2"/>
    <w:rsid w:val="053E62FD"/>
    <w:rsid w:val="05407769"/>
    <w:rsid w:val="0549386E"/>
    <w:rsid w:val="054E5ED7"/>
    <w:rsid w:val="056B4BA9"/>
    <w:rsid w:val="059557B1"/>
    <w:rsid w:val="059F0331"/>
    <w:rsid w:val="05A0616A"/>
    <w:rsid w:val="05A133AA"/>
    <w:rsid w:val="05D62E8D"/>
    <w:rsid w:val="05F077D4"/>
    <w:rsid w:val="060D4D85"/>
    <w:rsid w:val="06136FCC"/>
    <w:rsid w:val="063F1073"/>
    <w:rsid w:val="06477A15"/>
    <w:rsid w:val="064C7D14"/>
    <w:rsid w:val="065426BE"/>
    <w:rsid w:val="06545B13"/>
    <w:rsid w:val="06565F89"/>
    <w:rsid w:val="065E3C59"/>
    <w:rsid w:val="06711361"/>
    <w:rsid w:val="0676065B"/>
    <w:rsid w:val="0686189B"/>
    <w:rsid w:val="069B792B"/>
    <w:rsid w:val="06A11AE7"/>
    <w:rsid w:val="06AD2B3B"/>
    <w:rsid w:val="06B4101E"/>
    <w:rsid w:val="06D74D2C"/>
    <w:rsid w:val="06D87FE9"/>
    <w:rsid w:val="06DD48E9"/>
    <w:rsid w:val="06E40402"/>
    <w:rsid w:val="06F14E7D"/>
    <w:rsid w:val="06F15F3E"/>
    <w:rsid w:val="070736C4"/>
    <w:rsid w:val="07272FEF"/>
    <w:rsid w:val="072A05F0"/>
    <w:rsid w:val="07387D99"/>
    <w:rsid w:val="074618E0"/>
    <w:rsid w:val="0756170A"/>
    <w:rsid w:val="07611FC2"/>
    <w:rsid w:val="07701844"/>
    <w:rsid w:val="07810992"/>
    <w:rsid w:val="078656CD"/>
    <w:rsid w:val="07881B83"/>
    <w:rsid w:val="079F1279"/>
    <w:rsid w:val="07A267CB"/>
    <w:rsid w:val="07A85F84"/>
    <w:rsid w:val="07C766EF"/>
    <w:rsid w:val="07D37E8D"/>
    <w:rsid w:val="07DB1942"/>
    <w:rsid w:val="07DB6632"/>
    <w:rsid w:val="07E6588F"/>
    <w:rsid w:val="07E67990"/>
    <w:rsid w:val="07EB52FC"/>
    <w:rsid w:val="07F6398C"/>
    <w:rsid w:val="08007C66"/>
    <w:rsid w:val="08066D92"/>
    <w:rsid w:val="080F5EFD"/>
    <w:rsid w:val="08163E4D"/>
    <w:rsid w:val="081E7C8D"/>
    <w:rsid w:val="08444D3B"/>
    <w:rsid w:val="084F6F27"/>
    <w:rsid w:val="085B2896"/>
    <w:rsid w:val="085B47AE"/>
    <w:rsid w:val="08752AC1"/>
    <w:rsid w:val="08757F68"/>
    <w:rsid w:val="08895C65"/>
    <w:rsid w:val="089153C7"/>
    <w:rsid w:val="08936E11"/>
    <w:rsid w:val="08A344C0"/>
    <w:rsid w:val="08B7057E"/>
    <w:rsid w:val="08BD56F0"/>
    <w:rsid w:val="08BF66FF"/>
    <w:rsid w:val="08DD1D65"/>
    <w:rsid w:val="08DD2846"/>
    <w:rsid w:val="08E13796"/>
    <w:rsid w:val="08E21174"/>
    <w:rsid w:val="08E32E74"/>
    <w:rsid w:val="08F740E9"/>
    <w:rsid w:val="08F84BFB"/>
    <w:rsid w:val="09023E0B"/>
    <w:rsid w:val="091D5275"/>
    <w:rsid w:val="092422D4"/>
    <w:rsid w:val="092E0CF2"/>
    <w:rsid w:val="0941147D"/>
    <w:rsid w:val="094E5EB9"/>
    <w:rsid w:val="09503F28"/>
    <w:rsid w:val="09625C26"/>
    <w:rsid w:val="09647A9E"/>
    <w:rsid w:val="0967778B"/>
    <w:rsid w:val="0972141D"/>
    <w:rsid w:val="098B5CEE"/>
    <w:rsid w:val="09B0689E"/>
    <w:rsid w:val="09E0485F"/>
    <w:rsid w:val="09EF6144"/>
    <w:rsid w:val="09FD39CA"/>
    <w:rsid w:val="0A030A5B"/>
    <w:rsid w:val="0A110ED0"/>
    <w:rsid w:val="0A2A682C"/>
    <w:rsid w:val="0A2C7D49"/>
    <w:rsid w:val="0A4707FD"/>
    <w:rsid w:val="0A4D6348"/>
    <w:rsid w:val="0A690634"/>
    <w:rsid w:val="0A9E7219"/>
    <w:rsid w:val="0AA350C7"/>
    <w:rsid w:val="0AA867C8"/>
    <w:rsid w:val="0AB16EAD"/>
    <w:rsid w:val="0AE67C59"/>
    <w:rsid w:val="0AEB64A8"/>
    <w:rsid w:val="0AED3445"/>
    <w:rsid w:val="0AF315E8"/>
    <w:rsid w:val="0AF344E1"/>
    <w:rsid w:val="0AFE6184"/>
    <w:rsid w:val="0B1449F6"/>
    <w:rsid w:val="0B1A1E43"/>
    <w:rsid w:val="0B2912D0"/>
    <w:rsid w:val="0B361B49"/>
    <w:rsid w:val="0B476BBC"/>
    <w:rsid w:val="0B48684A"/>
    <w:rsid w:val="0B4D48A4"/>
    <w:rsid w:val="0B533B29"/>
    <w:rsid w:val="0B631A54"/>
    <w:rsid w:val="0B823FD1"/>
    <w:rsid w:val="0B9630C2"/>
    <w:rsid w:val="0B975356"/>
    <w:rsid w:val="0BA7004E"/>
    <w:rsid w:val="0BA8144D"/>
    <w:rsid w:val="0BAD7ADF"/>
    <w:rsid w:val="0BBD4675"/>
    <w:rsid w:val="0BE0144B"/>
    <w:rsid w:val="0BE10566"/>
    <w:rsid w:val="0BE16AA9"/>
    <w:rsid w:val="0C013897"/>
    <w:rsid w:val="0C176CBC"/>
    <w:rsid w:val="0C3236E7"/>
    <w:rsid w:val="0C352A19"/>
    <w:rsid w:val="0C494A35"/>
    <w:rsid w:val="0C49575D"/>
    <w:rsid w:val="0C6D71DA"/>
    <w:rsid w:val="0C6F619B"/>
    <w:rsid w:val="0C756558"/>
    <w:rsid w:val="0C7905D8"/>
    <w:rsid w:val="0C952C04"/>
    <w:rsid w:val="0C95435A"/>
    <w:rsid w:val="0CA87625"/>
    <w:rsid w:val="0CAD6CD5"/>
    <w:rsid w:val="0CAF4411"/>
    <w:rsid w:val="0CB02F58"/>
    <w:rsid w:val="0CB71182"/>
    <w:rsid w:val="0CC7607D"/>
    <w:rsid w:val="0CD31EEE"/>
    <w:rsid w:val="0D2B6157"/>
    <w:rsid w:val="0D3244DD"/>
    <w:rsid w:val="0D5864B2"/>
    <w:rsid w:val="0D6A1AC0"/>
    <w:rsid w:val="0D6B0852"/>
    <w:rsid w:val="0D6D3302"/>
    <w:rsid w:val="0D7F3975"/>
    <w:rsid w:val="0D8C26CD"/>
    <w:rsid w:val="0D9A0057"/>
    <w:rsid w:val="0DA27718"/>
    <w:rsid w:val="0DB1010B"/>
    <w:rsid w:val="0DBB55AD"/>
    <w:rsid w:val="0DE57D7F"/>
    <w:rsid w:val="0DFC3B4A"/>
    <w:rsid w:val="0E096E39"/>
    <w:rsid w:val="0E1C1EC9"/>
    <w:rsid w:val="0E4C3071"/>
    <w:rsid w:val="0E60507D"/>
    <w:rsid w:val="0E971A66"/>
    <w:rsid w:val="0EA72BA6"/>
    <w:rsid w:val="0EAA475B"/>
    <w:rsid w:val="0EAC11AD"/>
    <w:rsid w:val="0EC74501"/>
    <w:rsid w:val="0ED73C0E"/>
    <w:rsid w:val="0EDA0876"/>
    <w:rsid w:val="0EEB4C90"/>
    <w:rsid w:val="0EF162BD"/>
    <w:rsid w:val="0F032F2D"/>
    <w:rsid w:val="0F14495A"/>
    <w:rsid w:val="0F305AAD"/>
    <w:rsid w:val="0F321605"/>
    <w:rsid w:val="0F3353B7"/>
    <w:rsid w:val="0F48505B"/>
    <w:rsid w:val="0F5342DC"/>
    <w:rsid w:val="0F566845"/>
    <w:rsid w:val="0F684F69"/>
    <w:rsid w:val="0F68565B"/>
    <w:rsid w:val="0F687084"/>
    <w:rsid w:val="0F8A27DB"/>
    <w:rsid w:val="0F96006E"/>
    <w:rsid w:val="0F9F1B67"/>
    <w:rsid w:val="0FA56B5C"/>
    <w:rsid w:val="0FBF5BD9"/>
    <w:rsid w:val="0FC05753"/>
    <w:rsid w:val="0FC05E5A"/>
    <w:rsid w:val="0FC30C2E"/>
    <w:rsid w:val="0FC929CF"/>
    <w:rsid w:val="0FD41F31"/>
    <w:rsid w:val="0FDB7383"/>
    <w:rsid w:val="0FDD6D95"/>
    <w:rsid w:val="0FE81479"/>
    <w:rsid w:val="0FFE1577"/>
    <w:rsid w:val="100737A9"/>
    <w:rsid w:val="100B5A31"/>
    <w:rsid w:val="101A342B"/>
    <w:rsid w:val="101A606C"/>
    <w:rsid w:val="101F7C33"/>
    <w:rsid w:val="103C541A"/>
    <w:rsid w:val="1042335F"/>
    <w:rsid w:val="104735C4"/>
    <w:rsid w:val="1051038C"/>
    <w:rsid w:val="10804688"/>
    <w:rsid w:val="1082485A"/>
    <w:rsid w:val="10884916"/>
    <w:rsid w:val="109673A7"/>
    <w:rsid w:val="109C580E"/>
    <w:rsid w:val="10A55503"/>
    <w:rsid w:val="10A82ECB"/>
    <w:rsid w:val="10A906A7"/>
    <w:rsid w:val="10AD7AF8"/>
    <w:rsid w:val="10B15399"/>
    <w:rsid w:val="10E87676"/>
    <w:rsid w:val="10F378F4"/>
    <w:rsid w:val="10F55783"/>
    <w:rsid w:val="111649EF"/>
    <w:rsid w:val="111C76BD"/>
    <w:rsid w:val="111F3BCF"/>
    <w:rsid w:val="11382462"/>
    <w:rsid w:val="114306D4"/>
    <w:rsid w:val="11506166"/>
    <w:rsid w:val="11567833"/>
    <w:rsid w:val="116228F0"/>
    <w:rsid w:val="1163689E"/>
    <w:rsid w:val="117F37A7"/>
    <w:rsid w:val="11896F02"/>
    <w:rsid w:val="118D0A84"/>
    <w:rsid w:val="118E3A37"/>
    <w:rsid w:val="1194645C"/>
    <w:rsid w:val="11967803"/>
    <w:rsid w:val="11A163D0"/>
    <w:rsid w:val="11B23EB0"/>
    <w:rsid w:val="11B562D3"/>
    <w:rsid w:val="11D83EE0"/>
    <w:rsid w:val="11DB1F31"/>
    <w:rsid w:val="11DC0428"/>
    <w:rsid w:val="11E7187D"/>
    <w:rsid w:val="11F65457"/>
    <w:rsid w:val="1203249B"/>
    <w:rsid w:val="1207675D"/>
    <w:rsid w:val="122E4B3D"/>
    <w:rsid w:val="12361FE3"/>
    <w:rsid w:val="12491D3D"/>
    <w:rsid w:val="125011C5"/>
    <w:rsid w:val="125A77DD"/>
    <w:rsid w:val="12665CAA"/>
    <w:rsid w:val="126A3793"/>
    <w:rsid w:val="1273400A"/>
    <w:rsid w:val="127759F8"/>
    <w:rsid w:val="1288457B"/>
    <w:rsid w:val="128B45A0"/>
    <w:rsid w:val="12A30010"/>
    <w:rsid w:val="12A400B1"/>
    <w:rsid w:val="12B94748"/>
    <w:rsid w:val="12CE6A83"/>
    <w:rsid w:val="12EB69CE"/>
    <w:rsid w:val="12ED3A80"/>
    <w:rsid w:val="12F2222C"/>
    <w:rsid w:val="12F2530F"/>
    <w:rsid w:val="13021A2C"/>
    <w:rsid w:val="13152DB4"/>
    <w:rsid w:val="132A3E1B"/>
    <w:rsid w:val="133632F5"/>
    <w:rsid w:val="13465BC3"/>
    <w:rsid w:val="13500091"/>
    <w:rsid w:val="136620F4"/>
    <w:rsid w:val="1366701C"/>
    <w:rsid w:val="1379231B"/>
    <w:rsid w:val="139713B3"/>
    <w:rsid w:val="139E5A9A"/>
    <w:rsid w:val="13A4359A"/>
    <w:rsid w:val="13B445A5"/>
    <w:rsid w:val="13BB084D"/>
    <w:rsid w:val="13BC32D0"/>
    <w:rsid w:val="13CA1266"/>
    <w:rsid w:val="13D72474"/>
    <w:rsid w:val="13D971D2"/>
    <w:rsid w:val="13E94203"/>
    <w:rsid w:val="13F15346"/>
    <w:rsid w:val="14120CA8"/>
    <w:rsid w:val="141D6D49"/>
    <w:rsid w:val="142B1664"/>
    <w:rsid w:val="144759A8"/>
    <w:rsid w:val="14587641"/>
    <w:rsid w:val="145B492E"/>
    <w:rsid w:val="146769B7"/>
    <w:rsid w:val="147B2758"/>
    <w:rsid w:val="1495686D"/>
    <w:rsid w:val="14961447"/>
    <w:rsid w:val="149B3737"/>
    <w:rsid w:val="149D6626"/>
    <w:rsid w:val="149F2901"/>
    <w:rsid w:val="14A44639"/>
    <w:rsid w:val="14A7200E"/>
    <w:rsid w:val="14AF52CE"/>
    <w:rsid w:val="14B34ACE"/>
    <w:rsid w:val="14B8155B"/>
    <w:rsid w:val="14C678DA"/>
    <w:rsid w:val="14CB4D1A"/>
    <w:rsid w:val="14D64FA0"/>
    <w:rsid w:val="14DE22A2"/>
    <w:rsid w:val="14F54092"/>
    <w:rsid w:val="14F64B17"/>
    <w:rsid w:val="14F942C5"/>
    <w:rsid w:val="1525553B"/>
    <w:rsid w:val="15296903"/>
    <w:rsid w:val="152B75D2"/>
    <w:rsid w:val="153C5776"/>
    <w:rsid w:val="154C573A"/>
    <w:rsid w:val="155265F4"/>
    <w:rsid w:val="15604361"/>
    <w:rsid w:val="157B0A32"/>
    <w:rsid w:val="15847260"/>
    <w:rsid w:val="15896493"/>
    <w:rsid w:val="15B51DDE"/>
    <w:rsid w:val="15B55363"/>
    <w:rsid w:val="15B61275"/>
    <w:rsid w:val="15C169AC"/>
    <w:rsid w:val="15EE0A89"/>
    <w:rsid w:val="15F00A00"/>
    <w:rsid w:val="15F65082"/>
    <w:rsid w:val="160024AA"/>
    <w:rsid w:val="160B2645"/>
    <w:rsid w:val="161578BF"/>
    <w:rsid w:val="16162EF0"/>
    <w:rsid w:val="16337E88"/>
    <w:rsid w:val="163A465A"/>
    <w:rsid w:val="1640771C"/>
    <w:rsid w:val="16455A79"/>
    <w:rsid w:val="164E4741"/>
    <w:rsid w:val="164E668F"/>
    <w:rsid w:val="165635D9"/>
    <w:rsid w:val="1658525F"/>
    <w:rsid w:val="167673A4"/>
    <w:rsid w:val="16A1133A"/>
    <w:rsid w:val="16B001AD"/>
    <w:rsid w:val="16F5338F"/>
    <w:rsid w:val="1700661C"/>
    <w:rsid w:val="17193A6D"/>
    <w:rsid w:val="171D2783"/>
    <w:rsid w:val="171F52F1"/>
    <w:rsid w:val="172C3D13"/>
    <w:rsid w:val="175A32D2"/>
    <w:rsid w:val="176424DC"/>
    <w:rsid w:val="1767731A"/>
    <w:rsid w:val="176C179B"/>
    <w:rsid w:val="17790994"/>
    <w:rsid w:val="1783643C"/>
    <w:rsid w:val="178B7F80"/>
    <w:rsid w:val="17A54A43"/>
    <w:rsid w:val="17BA78E4"/>
    <w:rsid w:val="17E97420"/>
    <w:rsid w:val="17E979B2"/>
    <w:rsid w:val="17F36885"/>
    <w:rsid w:val="18004438"/>
    <w:rsid w:val="180E3449"/>
    <w:rsid w:val="18105287"/>
    <w:rsid w:val="18110CF1"/>
    <w:rsid w:val="182527C9"/>
    <w:rsid w:val="183E5722"/>
    <w:rsid w:val="187637AB"/>
    <w:rsid w:val="187D6A8B"/>
    <w:rsid w:val="188B0AC6"/>
    <w:rsid w:val="18902376"/>
    <w:rsid w:val="18AB7E54"/>
    <w:rsid w:val="18D27241"/>
    <w:rsid w:val="18E17C22"/>
    <w:rsid w:val="18ED7DF7"/>
    <w:rsid w:val="190D3E7D"/>
    <w:rsid w:val="19221422"/>
    <w:rsid w:val="19250B27"/>
    <w:rsid w:val="19264BDF"/>
    <w:rsid w:val="19346A4B"/>
    <w:rsid w:val="193B3A99"/>
    <w:rsid w:val="1940592C"/>
    <w:rsid w:val="195722CB"/>
    <w:rsid w:val="19671C74"/>
    <w:rsid w:val="19776586"/>
    <w:rsid w:val="199146A9"/>
    <w:rsid w:val="19930F16"/>
    <w:rsid w:val="19AB7B63"/>
    <w:rsid w:val="19AC7816"/>
    <w:rsid w:val="19C31A2B"/>
    <w:rsid w:val="19CE2FCC"/>
    <w:rsid w:val="19D27DA3"/>
    <w:rsid w:val="19D34CDE"/>
    <w:rsid w:val="19D4436D"/>
    <w:rsid w:val="19DC7A10"/>
    <w:rsid w:val="19E26DAC"/>
    <w:rsid w:val="19ED3CEA"/>
    <w:rsid w:val="1A0770C2"/>
    <w:rsid w:val="1A343559"/>
    <w:rsid w:val="1A3641C6"/>
    <w:rsid w:val="1A4F04C3"/>
    <w:rsid w:val="1A4F1C7C"/>
    <w:rsid w:val="1A5176FD"/>
    <w:rsid w:val="1A617DCC"/>
    <w:rsid w:val="1A6C2697"/>
    <w:rsid w:val="1A6D1B43"/>
    <w:rsid w:val="1A831294"/>
    <w:rsid w:val="1A8D3F8F"/>
    <w:rsid w:val="1A9100C3"/>
    <w:rsid w:val="1A9D75F4"/>
    <w:rsid w:val="1ABB3DE0"/>
    <w:rsid w:val="1AC62341"/>
    <w:rsid w:val="1AC6675E"/>
    <w:rsid w:val="1AEA7E63"/>
    <w:rsid w:val="1AEE0B2F"/>
    <w:rsid w:val="1AEE1B94"/>
    <w:rsid w:val="1AFD065A"/>
    <w:rsid w:val="1B03409D"/>
    <w:rsid w:val="1B111517"/>
    <w:rsid w:val="1B152B4D"/>
    <w:rsid w:val="1B2A45D6"/>
    <w:rsid w:val="1B55025B"/>
    <w:rsid w:val="1B5A2E9D"/>
    <w:rsid w:val="1B8C3039"/>
    <w:rsid w:val="1B9A3B85"/>
    <w:rsid w:val="1B9E46F5"/>
    <w:rsid w:val="1BAF5235"/>
    <w:rsid w:val="1BB3174C"/>
    <w:rsid w:val="1BC06EA2"/>
    <w:rsid w:val="1BC34FCD"/>
    <w:rsid w:val="1BC50628"/>
    <w:rsid w:val="1BC50972"/>
    <w:rsid w:val="1BC55301"/>
    <w:rsid w:val="1BC57B47"/>
    <w:rsid w:val="1BC82618"/>
    <w:rsid w:val="1BD74EFE"/>
    <w:rsid w:val="1BDE3B4C"/>
    <w:rsid w:val="1C0E3977"/>
    <w:rsid w:val="1C1A6FEC"/>
    <w:rsid w:val="1C1E2754"/>
    <w:rsid w:val="1C225C02"/>
    <w:rsid w:val="1C254629"/>
    <w:rsid w:val="1C2D471C"/>
    <w:rsid w:val="1C3768C3"/>
    <w:rsid w:val="1C3C55D4"/>
    <w:rsid w:val="1C4A6789"/>
    <w:rsid w:val="1C577B84"/>
    <w:rsid w:val="1C5C3956"/>
    <w:rsid w:val="1C654987"/>
    <w:rsid w:val="1C723F66"/>
    <w:rsid w:val="1C746750"/>
    <w:rsid w:val="1C825C78"/>
    <w:rsid w:val="1C8E121B"/>
    <w:rsid w:val="1C8F233B"/>
    <w:rsid w:val="1CA86307"/>
    <w:rsid w:val="1CBA6E7B"/>
    <w:rsid w:val="1CBE2B3D"/>
    <w:rsid w:val="1CD90366"/>
    <w:rsid w:val="1CEE2D5A"/>
    <w:rsid w:val="1D185B98"/>
    <w:rsid w:val="1D185C82"/>
    <w:rsid w:val="1D1F3740"/>
    <w:rsid w:val="1D2E4533"/>
    <w:rsid w:val="1D361885"/>
    <w:rsid w:val="1D45790F"/>
    <w:rsid w:val="1D542175"/>
    <w:rsid w:val="1D625BC2"/>
    <w:rsid w:val="1D763161"/>
    <w:rsid w:val="1D767C76"/>
    <w:rsid w:val="1D7F6A99"/>
    <w:rsid w:val="1D8E03FA"/>
    <w:rsid w:val="1D8F2F1D"/>
    <w:rsid w:val="1D982ACF"/>
    <w:rsid w:val="1DB14064"/>
    <w:rsid w:val="1DC23D0F"/>
    <w:rsid w:val="1DD71650"/>
    <w:rsid w:val="1DEE1EFA"/>
    <w:rsid w:val="1E12611C"/>
    <w:rsid w:val="1E157A3A"/>
    <w:rsid w:val="1E3078D5"/>
    <w:rsid w:val="1E4644CC"/>
    <w:rsid w:val="1E61167C"/>
    <w:rsid w:val="1E7077F5"/>
    <w:rsid w:val="1E873F99"/>
    <w:rsid w:val="1E8B73A7"/>
    <w:rsid w:val="1E970166"/>
    <w:rsid w:val="1E9811D0"/>
    <w:rsid w:val="1EAA335B"/>
    <w:rsid w:val="1EAE6ECC"/>
    <w:rsid w:val="1EBB2DC6"/>
    <w:rsid w:val="1EBE7E01"/>
    <w:rsid w:val="1F161228"/>
    <w:rsid w:val="1F1906B6"/>
    <w:rsid w:val="1F1D3032"/>
    <w:rsid w:val="1F390D89"/>
    <w:rsid w:val="1F3E7F5B"/>
    <w:rsid w:val="1F4A124B"/>
    <w:rsid w:val="1F513ECC"/>
    <w:rsid w:val="1F583E13"/>
    <w:rsid w:val="1F6A3BAE"/>
    <w:rsid w:val="1F6F027D"/>
    <w:rsid w:val="1F885F5F"/>
    <w:rsid w:val="1F8B0D13"/>
    <w:rsid w:val="1FB3007D"/>
    <w:rsid w:val="1FC86FB2"/>
    <w:rsid w:val="1FE039FF"/>
    <w:rsid w:val="1FFD682A"/>
    <w:rsid w:val="20017C8D"/>
    <w:rsid w:val="200E563D"/>
    <w:rsid w:val="2022167F"/>
    <w:rsid w:val="203C1C0C"/>
    <w:rsid w:val="20570026"/>
    <w:rsid w:val="20583861"/>
    <w:rsid w:val="2071673B"/>
    <w:rsid w:val="207724C8"/>
    <w:rsid w:val="20831771"/>
    <w:rsid w:val="208D5545"/>
    <w:rsid w:val="2097311F"/>
    <w:rsid w:val="20A84CA6"/>
    <w:rsid w:val="20BA620C"/>
    <w:rsid w:val="20BD50EA"/>
    <w:rsid w:val="20C22280"/>
    <w:rsid w:val="20C51FFF"/>
    <w:rsid w:val="20C90FE1"/>
    <w:rsid w:val="20CB1F1C"/>
    <w:rsid w:val="20CE35DC"/>
    <w:rsid w:val="20D91FEB"/>
    <w:rsid w:val="20EC236D"/>
    <w:rsid w:val="20F862CA"/>
    <w:rsid w:val="20FA4D71"/>
    <w:rsid w:val="20FB633F"/>
    <w:rsid w:val="20FF4C3E"/>
    <w:rsid w:val="210260CC"/>
    <w:rsid w:val="211E47B1"/>
    <w:rsid w:val="213B0E23"/>
    <w:rsid w:val="21410A8D"/>
    <w:rsid w:val="214915A6"/>
    <w:rsid w:val="214F3C0C"/>
    <w:rsid w:val="21535276"/>
    <w:rsid w:val="21A56EDA"/>
    <w:rsid w:val="21B002AA"/>
    <w:rsid w:val="21B5199E"/>
    <w:rsid w:val="21BF6859"/>
    <w:rsid w:val="21C32279"/>
    <w:rsid w:val="21D867B6"/>
    <w:rsid w:val="21DB0BBB"/>
    <w:rsid w:val="21F029E2"/>
    <w:rsid w:val="21F5181A"/>
    <w:rsid w:val="22054352"/>
    <w:rsid w:val="221701F3"/>
    <w:rsid w:val="2244378B"/>
    <w:rsid w:val="224C7E9B"/>
    <w:rsid w:val="2254079F"/>
    <w:rsid w:val="22795451"/>
    <w:rsid w:val="228372A6"/>
    <w:rsid w:val="22855412"/>
    <w:rsid w:val="228B768D"/>
    <w:rsid w:val="22AC4FD3"/>
    <w:rsid w:val="22B1623E"/>
    <w:rsid w:val="22B22C63"/>
    <w:rsid w:val="22B318BC"/>
    <w:rsid w:val="22B83C0A"/>
    <w:rsid w:val="22C71DA9"/>
    <w:rsid w:val="22DA316B"/>
    <w:rsid w:val="22E80A9D"/>
    <w:rsid w:val="22EC0514"/>
    <w:rsid w:val="22F70D69"/>
    <w:rsid w:val="23061CAF"/>
    <w:rsid w:val="230963C7"/>
    <w:rsid w:val="230B64DF"/>
    <w:rsid w:val="230C09DF"/>
    <w:rsid w:val="231A52F5"/>
    <w:rsid w:val="231F64C9"/>
    <w:rsid w:val="232E7024"/>
    <w:rsid w:val="233A4131"/>
    <w:rsid w:val="233A4278"/>
    <w:rsid w:val="233E4A36"/>
    <w:rsid w:val="23846FD7"/>
    <w:rsid w:val="23860CCB"/>
    <w:rsid w:val="23B25529"/>
    <w:rsid w:val="23B420F8"/>
    <w:rsid w:val="23BC0851"/>
    <w:rsid w:val="23C1595F"/>
    <w:rsid w:val="23CD6B0E"/>
    <w:rsid w:val="23ED1676"/>
    <w:rsid w:val="23FE2357"/>
    <w:rsid w:val="24487B4F"/>
    <w:rsid w:val="24624308"/>
    <w:rsid w:val="246F5780"/>
    <w:rsid w:val="247C28FF"/>
    <w:rsid w:val="2499166B"/>
    <w:rsid w:val="24A905E3"/>
    <w:rsid w:val="24AA7332"/>
    <w:rsid w:val="24AF4AB0"/>
    <w:rsid w:val="24B81E16"/>
    <w:rsid w:val="24C63A20"/>
    <w:rsid w:val="24D63B62"/>
    <w:rsid w:val="24DE0E5E"/>
    <w:rsid w:val="24FB111E"/>
    <w:rsid w:val="251F3280"/>
    <w:rsid w:val="25203277"/>
    <w:rsid w:val="253E3EBC"/>
    <w:rsid w:val="25404CD9"/>
    <w:rsid w:val="25416241"/>
    <w:rsid w:val="254B1650"/>
    <w:rsid w:val="2553463D"/>
    <w:rsid w:val="255B0BA0"/>
    <w:rsid w:val="25603169"/>
    <w:rsid w:val="25763B01"/>
    <w:rsid w:val="25931026"/>
    <w:rsid w:val="25BC5CB5"/>
    <w:rsid w:val="25BE7846"/>
    <w:rsid w:val="25C757F6"/>
    <w:rsid w:val="25CA0C55"/>
    <w:rsid w:val="25DB00D2"/>
    <w:rsid w:val="25E70335"/>
    <w:rsid w:val="25EB0B51"/>
    <w:rsid w:val="25ED2BD0"/>
    <w:rsid w:val="260B3108"/>
    <w:rsid w:val="260C5E52"/>
    <w:rsid w:val="26140373"/>
    <w:rsid w:val="26280C7C"/>
    <w:rsid w:val="26460C0D"/>
    <w:rsid w:val="26517D5A"/>
    <w:rsid w:val="265A1637"/>
    <w:rsid w:val="265D4D90"/>
    <w:rsid w:val="266427D3"/>
    <w:rsid w:val="266A6683"/>
    <w:rsid w:val="2675674A"/>
    <w:rsid w:val="26843375"/>
    <w:rsid w:val="26846979"/>
    <w:rsid w:val="268B606C"/>
    <w:rsid w:val="269359D8"/>
    <w:rsid w:val="26A4798B"/>
    <w:rsid w:val="26D1232B"/>
    <w:rsid w:val="26EE0FB2"/>
    <w:rsid w:val="273A03D9"/>
    <w:rsid w:val="27515A3B"/>
    <w:rsid w:val="27540081"/>
    <w:rsid w:val="275A1503"/>
    <w:rsid w:val="27707D9F"/>
    <w:rsid w:val="277736B5"/>
    <w:rsid w:val="2777522A"/>
    <w:rsid w:val="27A256BD"/>
    <w:rsid w:val="27AE05E7"/>
    <w:rsid w:val="27B0758A"/>
    <w:rsid w:val="27BC244A"/>
    <w:rsid w:val="27C93226"/>
    <w:rsid w:val="27E04F87"/>
    <w:rsid w:val="27E3520A"/>
    <w:rsid w:val="280C2F29"/>
    <w:rsid w:val="280E3E73"/>
    <w:rsid w:val="286B3E9F"/>
    <w:rsid w:val="286D568F"/>
    <w:rsid w:val="28771649"/>
    <w:rsid w:val="287A5694"/>
    <w:rsid w:val="28907A65"/>
    <w:rsid w:val="289F2FF8"/>
    <w:rsid w:val="28A74874"/>
    <w:rsid w:val="28AC48F5"/>
    <w:rsid w:val="28AF48FE"/>
    <w:rsid w:val="28B30360"/>
    <w:rsid w:val="28B700D8"/>
    <w:rsid w:val="28B81A59"/>
    <w:rsid w:val="28BC0025"/>
    <w:rsid w:val="28BD749A"/>
    <w:rsid w:val="28BF5BE1"/>
    <w:rsid w:val="28DE736F"/>
    <w:rsid w:val="28E215E7"/>
    <w:rsid w:val="28E75C23"/>
    <w:rsid w:val="28F66F27"/>
    <w:rsid w:val="28F74D45"/>
    <w:rsid w:val="28FE3091"/>
    <w:rsid w:val="28FF44FC"/>
    <w:rsid w:val="29004CA4"/>
    <w:rsid w:val="29060DC1"/>
    <w:rsid w:val="29077127"/>
    <w:rsid w:val="2908154A"/>
    <w:rsid w:val="29122857"/>
    <w:rsid w:val="293E708B"/>
    <w:rsid w:val="29594737"/>
    <w:rsid w:val="295E4802"/>
    <w:rsid w:val="2967522D"/>
    <w:rsid w:val="296E63D4"/>
    <w:rsid w:val="297D2E22"/>
    <w:rsid w:val="29931A80"/>
    <w:rsid w:val="299E45D3"/>
    <w:rsid w:val="299F2675"/>
    <w:rsid w:val="29A671D2"/>
    <w:rsid w:val="29AD6F45"/>
    <w:rsid w:val="29B444FC"/>
    <w:rsid w:val="29BD120F"/>
    <w:rsid w:val="29C769C8"/>
    <w:rsid w:val="29E2264F"/>
    <w:rsid w:val="29E4464B"/>
    <w:rsid w:val="29F36D30"/>
    <w:rsid w:val="29F84CE2"/>
    <w:rsid w:val="2A0343F7"/>
    <w:rsid w:val="2A277F19"/>
    <w:rsid w:val="2A4B31B4"/>
    <w:rsid w:val="2A676A61"/>
    <w:rsid w:val="2A77544F"/>
    <w:rsid w:val="2A7C4B41"/>
    <w:rsid w:val="2AA059B0"/>
    <w:rsid w:val="2AA2170A"/>
    <w:rsid w:val="2AAC3BC6"/>
    <w:rsid w:val="2AC15811"/>
    <w:rsid w:val="2ACE3624"/>
    <w:rsid w:val="2ACF5A8C"/>
    <w:rsid w:val="2ADF4AAE"/>
    <w:rsid w:val="2AF51552"/>
    <w:rsid w:val="2AFE28F4"/>
    <w:rsid w:val="2B0C00B5"/>
    <w:rsid w:val="2B0F60E3"/>
    <w:rsid w:val="2B171B79"/>
    <w:rsid w:val="2B2621F1"/>
    <w:rsid w:val="2B2E661F"/>
    <w:rsid w:val="2B3561CA"/>
    <w:rsid w:val="2B3E61BC"/>
    <w:rsid w:val="2B4C4DC5"/>
    <w:rsid w:val="2B5E3EC2"/>
    <w:rsid w:val="2B646A04"/>
    <w:rsid w:val="2B833DCF"/>
    <w:rsid w:val="2B9C72A6"/>
    <w:rsid w:val="2BA867E1"/>
    <w:rsid w:val="2BAA72ED"/>
    <w:rsid w:val="2BAD5346"/>
    <w:rsid w:val="2BB03333"/>
    <w:rsid w:val="2BC67E03"/>
    <w:rsid w:val="2BCC0AF7"/>
    <w:rsid w:val="2BDA19F5"/>
    <w:rsid w:val="2BDC54EB"/>
    <w:rsid w:val="2BF93228"/>
    <w:rsid w:val="2BFC41C0"/>
    <w:rsid w:val="2BFF6824"/>
    <w:rsid w:val="2C0E1ED5"/>
    <w:rsid w:val="2C37329E"/>
    <w:rsid w:val="2C3A254F"/>
    <w:rsid w:val="2C4D331F"/>
    <w:rsid w:val="2C7E0919"/>
    <w:rsid w:val="2C8F010A"/>
    <w:rsid w:val="2C963466"/>
    <w:rsid w:val="2CA05BB5"/>
    <w:rsid w:val="2CA820AE"/>
    <w:rsid w:val="2CB949F3"/>
    <w:rsid w:val="2CCA2003"/>
    <w:rsid w:val="2CD10B96"/>
    <w:rsid w:val="2CD52350"/>
    <w:rsid w:val="2D0A3C12"/>
    <w:rsid w:val="2D1947D7"/>
    <w:rsid w:val="2D200AE1"/>
    <w:rsid w:val="2D2D366D"/>
    <w:rsid w:val="2D485824"/>
    <w:rsid w:val="2D6B7AAF"/>
    <w:rsid w:val="2D7979A9"/>
    <w:rsid w:val="2D90359F"/>
    <w:rsid w:val="2D962D8D"/>
    <w:rsid w:val="2DA210D2"/>
    <w:rsid w:val="2DA65AC5"/>
    <w:rsid w:val="2DAD5937"/>
    <w:rsid w:val="2DD11D00"/>
    <w:rsid w:val="2DDC0D17"/>
    <w:rsid w:val="2DDD3AA0"/>
    <w:rsid w:val="2DE07B9D"/>
    <w:rsid w:val="2DE87C4A"/>
    <w:rsid w:val="2DE90351"/>
    <w:rsid w:val="2E0C73C5"/>
    <w:rsid w:val="2E273777"/>
    <w:rsid w:val="2E3E1438"/>
    <w:rsid w:val="2E4B657B"/>
    <w:rsid w:val="2E5712A5"/>
    <w:rsid w:val="2E6469A0"/>
    <w:rsid w:val="2E7656FD"/>
    <w:rsid w:val="2E7F2143"/>
    <w:rsid w:val="2E822F30"/>
    <w:rsid w:val="2E857D2F"/>
    <w:rsid w:val="2E8E5CB9"/>
    <w:rsid w:val="2E9417EC"/>
    <w:rsid w:val="2E9C1C84"/>
    <w:rsid w:val="2EAD0874"/>
    <w:rsid w:val="2EB53575"/>
    <w:rsid w:val="2EE16EB1"/>
    <w:rsid w:val="2EE72AF7"/>
    <w:rsid w:val="2EE87514"/>
    <w:rsid w:val="2EF36922"/>
    <w:rsid w:val="2EF62E8D"/>
    <w:rsid w:val="2EFF15EE"/>
    <w:rsid w:val="2F000DF7"/>
    <w:rsid w:val="2F10450B"/>
    <w:rsid w:val="2F130058"/>
    <w:rsid w:val="2F1468C2"/>
    <w:rsid w:val="2F277E48"/>
    <w:rsid w:val="2F5F5B1B"/>
    <w:rsid w:val="2F6971AB"/>
    <w:rsid w:val="2F6C5CA5"/>
    <w:rsid w:val="2F6C7A55"/>
    <w:rsid w:val="2F957CAF"/>
    <w:rsid w:val="2FC836E2"/>
    <w:rsid w:val="2FCF2A28"/>
    <w:rsid w:val="2FD97E44"/>
    <w:rsid w:val="2FE23FCB"/>
    <w:rsid w:val="2FEA3641"/>
    <w:rsid w:val="2FF454EA"/>
    <w:rsid w:val="2FFB9F57"/>
    <w:rsid w:val="30042D9F"/>
    <w:rsid w:val="30194492"/>
    <w:rsid w:val="302152AE"/>
    <w:rsid w:val="30235E16"/>
    <w:rsid w:val="30387810"/>
    <w:rsid w:val="303956AD"/>
    <w:rsid w:val="30424923"/>
    <w:rsid w:val="30442EDE"/>
    <w:rsid w:val="30527FC5"/>
    <w:rsid w:val="3053398E"/>
    <w:rsid w:val="306D31AB"/>
    <w:rsid w:val="307427C9"/>
    <w:rsid w:val="309950F4"/>
    <w:rsid w:val="30B73992"/>
    <w:rsid w:val="30BD6ACE"/>
    <w:rsid w:val="30BF415F"/>
    <w:rsid w:val="30C72B81"/>
    <w:rsid w:val="30C82D31"/>
    <w:rsid w:val="30CB5389"/>
    <w:rsid w:val="3106371A"/>
    <w:rsid w:val="310D28FD"/>
    <w:rsid w:val="31132938"/>
    <w:rsid w:val="312622CD"/>
    <w:rsid w:val="31282B8E"/>
    <w:rsid w:val="312C75A1"/>
    <w:rsid w:val="313A3CC4"/>
    <w:rsid w:val="315A1862"/>
    <w:rsid w:val="316049FB"/>
    <w:rsid w:val="317A2589"/>
    <w:rsid w:val="3188610E"/>
    <w:rsid w:val="318A4E74"/>
    <w:rsid w:val="318D5CFE"/>
    <w:rsid w:val="319627F6"/>
    <w:rsid w:val="319F3C19"/>
    <w:rsid w:val="31C132B8"/>
    <w:rsid w:val="31D16BBF"/>
    <w:rsid w:val="31F65A58"/>
    <w:rsid w:val="320B1A06"/>
    <w:rsid w:val="3210733A"/>
    <w:rsid w:val="32263C46"/>
    <w:rsid w:val="32267886"/>
    <w:rsid w:val="322B2A37"/>
    <w:rsid w:val="322B6746"/>
    <w:rsid w:val="3237213F"/>
    <w:rsid w:val="323E147B"/>
    <w:rsid w:val="3240048E"/>
    <w:rsid w:val="32435C17"/>
    <w:rsid w:val="325724E4"/>
    <w:rsid w:val="326738A9"/>
    <w:rsid w:val="327A0086"/>
    <w:rsid w:val="327B7538"/>
    <w:rsid w:val="32816F96"/>
    <w:rsid w:val="328B3D6E"/>
    <w:rsid w:val="32903F19"/>
    <w:rsid w:val="32A457A0"/>
    <w:rsid w:val="32A503EC"/>
    <w:rsid w:val="32AD4FBB"/>
    <w:rsid w:val="32AE10A0"/>
    <w:rsid w:val="32B54566"/>
    <w:rsid w:val="32B76E6E"/>
    <w:rsid w:val="32B84446"/>
    <w:rsid w:val="32C67C77"/>
    <w:rsid w:val="32E7022E"/>
    <w:rsid w:val="330271CA"/>
    <w:rsid w:val="330E5872"/>
    <w:rsid w:val="330E7FD6"/>
    <w:rsid w:val="33161561"/>
    <w:rsid w:val="331E7F08"/>
    <w:rsid w:val="331F6A4D"/>
    <w:rsid w:val="334603F1"/>
    <w:rsid w:val="3353338A"/>
    <w:rsid w:val="33701A05"/>
    <w:rsid w:val="337C00DB"/>
    <w:rsid w:val="33C62D00"/>
    <w:rsid w:val="33CE4A55"/>
    <w:rsid w:val="33DE50CB"/>
    <w:rsid w:val="33E123CD"/>
    <w:rsid w:val="33E23E40"/>
    <w:rsid w:val="33EC1514"/>
    <w:rsid w:val="33FF0C21"/>
    <w:rsid w:val="341A06B8"/>
    <w:rsid w:val="344D5388"/>
    <w:rsid w:val="346E46B7"/>
    <w:rsid w:val="3471177D"/>
    <w:rsid w:val="34726277"/>
    <w:rsid w:val="347B23B3"/>
    <w:rsid w:val="34832720"/>
    <w:rsid w:val="34915EA2"/>
    <w:rsid w:val="34940253"/>
    <w:rsid w:val="34983684"/>
    <w:rsid w:val="34A57D6A"/>
    <w:rsid w:val="34A913BC"/>
    <w:rsid w:val="34BC2226"/>
    <w:rsid w:val="34C03AF1"/>
    <w:rsid w:val="34D5003A"/>
    <w:rsid w:val="34E87B0F"/>
    <w:rsid w:val="34F26658"/>
    <w:rsid w:val="34FB7282"/>
    <w:rsid w:val="34FC4642"/>
    <w:rsid w:val="3520042F"/>
    <w:rsid w:val="3521031A"/>
    <w:rsid w:val="35210A8D"/>
    <w:rsid w:val="35216B3A"/>
    <w:rsid w:val="35354DFA"/>
    <w:rsid w:val="35393D99"/>
    <w:rsid w:val="35485A54"/>
    <w:rsid w:val="354E3B51"/>
    <w:rsid w:val="35522C36"/>
    <w:rsid w:val="355B4C65"/>
    <w:rsid w:val="356C52F9"/>
    <w:rsid w:val="35852EE6"/>
    <w:rsid w:val="35936C62"/>
    <w:rsid w:val="359B56A3"/>
    <w:rsid w:val="35A270E4"/>
    <w:rsid w:val="35D30C65"/>
    <w:rsid w:val="35D61456"/>
    <w:rsid w:val="35D65B34"/>
    <w:rsid w:val="35DA5022"/>
    <w:rsid w:val="35E644CB"/>
    <w:rsid w:val="35E81A7F"/>
    <w:rsid w:val="35F3004D"/>
    <w:rsid w:val="35FF175E"/>
    <w:rsid w:val="360139B8"/>
    <w:rsid w:val="36256DC5"/>
    <w:rsid w:val="36290C2F"/>
    <w:rsid w:val="36301CAE"/>
    <w:rsid w:val="36374784"/>
    <w:rsid w:val="3637718E"/>
    <w:rsid w:val="36384921"/>
    <w:rsid w:val="366B14B6"/>
    <w:rsid w:val="36900EB9"/>
    <w:rsid w:val="36A24CBE"/>
    <w:rsid w:val="36A85C45"/>
    <w:rsid w:val="36AF6AB1"/>
    <w:rsid w:val="36B36BA8"/>
    <w:rsid w:val="36BC7D30"/>
    <w:rsid w:val="36C515C6"/>
    <w:rsid w:val="36C7685E"/>
    <w:rsid w:val="36C8518D"/>
    <w:rsid w:val="36D70F63"/>
    <w:rsid w:val="36D911EF"/>
    <w:rsid w:val="36E93F55"/>
    <w:rsid w:val="36EE3F4B"/>
    <w:rsid w:val="36F679D7"/>
    <w:rsid w:val="36FE1C40"/>
    <w:rsid w:val="37035E09"/>
    <w:rsid w:val="37110A52"/>
    <w:rsid w:val="371C79AA"/>
    <w:rsid w:val="371F3DE4"/>
    <w:rsid w:val="372248E3"/>
    <w:rsid w:val="37230362"/>
    <w:rsid w:val="37283FBD"/>
    <w:rsid w:val="373A41EA"/>
    <w:rsid w:val="37465029"/>
    <w:rsid w:val="37543839"/>
    <w:rsid w:val="37585C03"/>
    <w:rsid w:val="376B44C4"/>
    <w:rsid w:val="376D0E2E"/>
    <w:rsid w:val="37802D3A"/>
    <w:rsid w:val="37850091"/>
    <w:rsid w:val="379116A8"/>
    <w:rsid w:val="37A60983"/>
    <w:rsid w:val="37A93BCE"/>
    <w:rsid w:val="37B71B23"/>
    <w:rsid w:val="37BB194B"/>
    <w:rsid w:val="37BF843D"/>
    <w:rsid w:val="37DA2CF5"/>
    <w:rsid w:val="37DF0D06"/>
    <w:rsid w:val="37EF25FC"/>
    <w:rsid w:val="37F7120E"/>
    <w:rsid w:val="37FE5FF1"/>
    <w:rsid w:val="38035DBC"/>
    <w:rsid w:val="380D2520"/>
    <w:rsid w:val="380F56A1"/>
    <w:rsid w:val="38134DDD"/>
    <w:rsid w:val="381B6DB3"/>
    <w:rsid w:val="383B13D4"/>
    <w:rsid w:val="38546D78"/>
    <w:rsid w:val="385566B6"/>
    <w:rsid w:val="386144A9"/>
    <w:rsid w:val="38785F5F"/>
    <w:rsid w:val="388B52AB"/>
    <w:rsid w:val="389D5144"/>
    <w:rsid w:val="38A34CC6"/>
    <w:rsid w:val="38A66177"/>
    <w:rsid w:val="38A74DA6"/>
    <w:rsid w:val="38AB6509"/>
    <w:rsid w:val="38C67BAB"/>
    <w:rsid w:val="38D47011"/>
    <w:rsid w:val="38E9013C"/>
    <w:rsid w:val="38F65019"/>
    <w:rsid w:val="38FD5AC6"/>
    <w:rsid w:val="38FF2F74"/>
    <w:rsid w:val="38FF4EFB"/>
    <w:rsid w:val="390B3713"/>
    <w:rsid w:val="391928A0"/>
    <w:rsid w:val="391C5320"/>
    <w:rsid w:val="39243F17"/>
    <w:rsid w:val="392B7BAB"/>
    <w:rsid w:val="392C18C2"/>
    <w:rsid w:val="39481B04"/>
    <w:rsid w:val="394C66DD"/>
    <w:rsid w:val="396122B0"/>
    <w:rsid w:val="396A3375"/>
    <w:rsid w:val="39730461"/>
    <w:rsid w:val="397440DA"/>
    <w:rsid w:val="39764D37"/>
    <w:rsid w:val="399D5052"/>
    <w:rsid w:val="39AE5A5B"/>
    <w:rsid w:val="39B72078"/>
    <w:rsid w:val="39B96310"/>
    <w:rsid w:val="39BB0FB8"/>
    <w:rsid w:val="39C830C2"/>
    <w:rsid w:val="39EC7D3C"/>
    <w:rsid w:val="3A2053A6"/>
    <w:rsid w:val="3A26050E"/>
    <w:rsid w:val="3A271F33"/>
    <w:rsid w:val="3A446E54"/>
    <w:rsid w:val="3A6B361F"/>
    <w:rsid w:val="3A714511"/>
    <w:rsid w:val="3A7FA0D8"/>
    <w:rsid w:val="3A894E1A"/>
    <w:rsid w:val="3A985B80"/>
    <w:rsid w:val="3AA51A0D"/>
    <w:rsid w:val="3ABD00AF"/>
    <w:rsid w:val="3AC76E36"/>
    <w:rsid w:val="3ACB56B9"/>
    <w:rsid w:val="3ADF037E"/>
    <w:rsid w:val="3AE22C48"/>
    <w:rsid w:val="3AEF41B2"/>
    <w:rsid w:val="3AF07D51"/>
    <w:rsid w:val="3AFD60FD"/>
    <w:rsid w:val="3B040FE4"/>
    <w:rsid w:val="3B0D0484"/>
    <w:rsid w:val="3B1744D9"/>
    <w:rsid w:val="3B2B14C0"/>
    <w:rsid w:val="3B3D0765"/>
    <w:rsid w:val="3B510961"/>
    <w:rsid w:val="3B5B2B6C"/>
    <w:rsid w:val="3B641997"/>
    <w:rsid w:val="3B6762C9"/>
    <w:rsid w:val="3B723AD4"/>
    <w:rsid w:val="3B7B4897"/>
    <w:rsid w:val="3B7B4EF3"/>
    <w:rsid w:val="3B802375"/>
    <w:rsid w:val="3B8D4FDE"/>
    <w:rsid w:val="3B90605D"/>
    <w:rsid w:val="3BA53444"/>
    <w:rsid w:val="3BA81601"/>
    <w:rsid w:val="3BAC507F"/>
    <w:rsid w:val="3BB13E90"/>
    <w:rsid w:val="3BC242CB"/>
    <w:rsid w:val="3BC255BB"/>
    <w:rsid w:val="3BEA2018"/>
    <w:rsid w:val="3C1C68FB"/>
    <w:rsid w:val="3C266052"/>
    <w:rsid w:val="3C322630"/>
    <w:rsid w:val="3C390C19"/>
    <w:rsid w:val="3C5D3905"/>
    <w:rsid w:val="3C5E7B6B"/>
    <w:rsid w:val="3C720A34"/>
    <w:rsid w:val="3C731522"/>
    <w:rsid w:val="3C7B26C4"/>
    <w:rsid w:val="3C8D6778"/>
    <w:rsid w:val="3C935899"/>
    <w:rsid w:val="3C9E74DC"/>
    <w:rsid w:val="3CA40291"/>
    <w:rsid w:val="3CB35C1A"/>
    <w:rsid w:val="3CB46D18"/>
    <w:rsid w:val="3D066D21"/>
    <w:rsid w:val="3D0E1D7A"/>
    <w:rsid w:val="3D146378"/>
    <w:rsid w:val="3D1A551E"/>
    <w:rsid w:val="3D2364DC"/>
    <w:rsid w:val="3D3313E5"/>
    <w:rsid w:val="3D3B13BE"/>
    <w:rsid w:val="3D4F68C0"/>
    <w:rsid w:val="3D617252"/>
    <w:rsid w:val="3D636911"/>
    <w:rsid w:val="3D6A2163"/>
    <w:rsid w:val="3D8865AD"/>
    <w:rsid w:val="3D9D0729"/>
    <w:rsid w:val="3DA8145F"/>
    <w:rsid w:val="3DA917B8"/>
    <w:rsid w:val="3DAC39CF"/>
    <w:rsid w:val="3DAE434A"/>
    <w:rsid w:val="3DB377D0"/>
    <w:rsid w:val="3DC44B1D"/>
    <w:rsid w:val="3DCB1B13"/>
    <w:rsid w:val="3DCD4D10"/>
    <w:rsid w:val="3DD223B2"/>
    <w:rsid w:val="3DEA0E7D"/>
    <w:rsid w:val="3DEA4188"/>
    <w:rsid w:val="3DFD3C46"/>
    <w:rsid w:val="3E234D34"/>
    <w:rsid w:val="3E28157C"/>
    <w:rsid w:val="3E313576"/>
    <w:rsid w:val="3E36697B"/>
    <w:rsid w:val="3E493FE3"/>
    <w:rsid w:val="3E4B6981"/>
    <w:rsid w:val="3E672EB4"/>
    <w:rsid w:val="3E695273"/>
    <w:rsid w:val="3E6D11EF"/>
    <w:rsid w:val="3E89310E"/>
    <w:rsid w:val="3E8D5C11"/>
    <w:rsid w:val="3EA22D08"/>
    <w:rsid w:val="3EA610B6"/>
    <w:rsid w:val="3EA6508A"/>
    <w:rsid w:val="3EA82CAC"/>
    <w:rsid w:val="3EB70181"/>
    <w:rsid w:val="3EBB151E"/>
    <w:rsid w:val="3EBC352D"/>
    <w:rsid w:val="3EBE084F"/>
    <w:rsid w:val="3EC076B5"/>
    <w:rsid w:val="3EC32B74"/>
    <w:rsid w:val="3ED715C1"/>
    <w:rsid w:val="3ED71712"/>
    <w:rsid w:val="3ED92825"/>
    <w:rsid w:val="3EDB7087"/>
    <w:rsid w:val="3F040999"/>
    <w:rsid w:val="3F062266"/>
    <w:rsid w:val="3F2179D0"/>
    <w:rsid w:val="3F265678"/>
    <w:rsid w:val="3F28434E"/>
    <w:rsid w:val="3F326DBB"/>
    <w:rsid w:val="3F360EA4"/>
    <w:rsid w:val="3F3A7F44"/>
    <w:rsid w:val="3F3E3276"/>
    <w:rsid w:val="3F4D6969"/>
    <w:rsid w:val="3F4E4B32"/>
    <w:rsid w:val="3F59010B"/>
    <w:rsid w:val="3F5E56C6"/>
    <w:rsid w:val="3F6C4251"/>
    <w:rsid w:val="3F9135C0"/>
    <w:rsid w:val="3F9A3294"/>
    <w:rsid w:val="3FA834DC"/>
    <w:rsid w:val="3FAE7BFF"/>
    <w:rsid w:val="3FB079D9"/>
    <w:rsid w:val="3FB44390"/>
    <w:rsid w:val="3FD010CB"/>
    <w:rsid w:val="3FD049EC"/>
    <w:rsid w:val="3FDA1D33"/>
    <w:rsid w:val="3FE815EE"/>
    <w:rsid w:val="3FF76861"/>
    <w:rsid w:val="40023C70"/>
    <w:rsid w:val="40086A92"/>
    <w:rsid w:val="402158C5"/>
    <w:rsid w:val="402F7539"/>
    <w:rsid w:val="404264F9"/>
    <w:rsid w:val="405F542D"/>
    <w:rsid w:val="406518C8"/>
    <w:rsid w:val="40736AAC"/>
    <w:rsid w:val="40774C91"/>
    <w:rsid w:val="40872663"/>
    <w:rsid w:val="408847A8"/>
    <w:rsid w:val="40A36975"/>
    <w:rsid w:val="40A92D7E"/>
    <w:rsid w:val="40DC05C4"/>
    <w:rsid w:val="40EC294D"/>
    <w:rsid w:val="41112814"/>
    <w:rsid w:val="41220DC3"/>
    <w:rsid w:val="41336AA7"/>
    <w:rsid w:val="413A078C"/>
    <w:rsid w:val="413C022C"/>
    <w:rsid w:val="41465A7C"/>
    <w:rsid w:val="414A27E7"/>
    <w:rsid w:val="41567FFC"/>
    <w:rsid w:val="416C6812"/>
    <w:rsid w:val="417A2E1B"/>
    <w:rsid w:val="419A3818"/>
    <w:rsid w:val="419C55D6"/>
    <w:rsid w:val="419F3437"/>
    <w:rsid w:val="41CC0CFB"/>
    <w:rsid w:val="41CE1449"/>
    <w:rsid w:val="41E31636"/>
    <w:rsid w:val="41E6684E"/>
    <w:rsid w:val="42007BC3"/>
    <w:rsid w:val="42187677"/>
    <w:rsid w:val="421A7F9D"/>
    <w:rsid w:val="422723C1"/>
    <w:rsid w:val="422E7705"/>
    <w:rsid w:val="42347BEE"/>
    <w:rsid w:val="4239502A"/>
    <w:rsid w:val="42397651"/>
    <w:rsid w:val="423D7BE4"/>
    <w:rsid w:val="423F278B"/>
    <w:rsid w:val="42902FAB"/>
    <w:rsid w:val="42954F65"/>
    <w:rsid w:val="42974896"/>
    <w:rsid w:val="429F402B"/>
    <w:rsid w:val="42AB6297"/>
    <w:rsid w:val="42AC1AFD"/>
    <w:rsid w:val="42BD5589"/>
    <w:rsid w:val="42C13E24"/>
    <w:rsid w:val="42C260BF"/>
    <w:rsid w:val="42C304D8"/>
    <w:rsid w:val="42C80099"/>
    <w:rsid w:val="42D03DF9"/>
    <w:rsid w:val="42DA2207"/>
    <w:rsid w:val="42DC4996"/>
    <w:rsid w:val="42DF438F"/>
    <w:rsid w:val="42E04ECD"/>
    <w:rsid w:val="42EE5C1F"/>
    <w:rsid w:val="42F052B7"/>
    <w:rsid w:val="42F80A8C"/>
    <w:rsid w:val="431E6379"/>
    <w:rsid w:val="431E7646"/>
    <w:rsid w:val="432039E0"/>
    <w:rsid w:val="432675D2"/>
    <w:rsid w:val="432A1D61"/>
    <w:rsid w:val="433208D1"/>
    <w:rsid w:val="4338529B"/>
    <w:rsid w:val="433F7EB7"/>
    <w:rsid w:val="43463727"/>
    <w:rsid w:val="43470476"/>
    <w:rsid w:val="4348702B"/>
    <w:rsid w:val="4351111A"/>
    <w:rsid w:val="43804A43"/>
    <w:rsid w:val="43891467"/>
    <w:rsid w:val="43963B42"/>
    <w:rsid w:val="43994D0F"/>
    <w:rsid w:val="43A05748"/>
    <w:rsid w:val="43B07F6C"/>
    <w:rsid w:val="43BA09D8"/>
    <w:rsid w:val="43BE2A16"/>
    <w:rsid w:val="43C9547E"/>
    <w:rsid w:val="43DC17D0"/>
    <w:rsid w:val="43DF4ED4"/>
    <w:rsid w:val="43F84BB0"/>
    <w:rsid w:val="441060A4"/>
    <w:rsid w:val="441B5933"/>
    <w:rsid w:val="441C6B00"/>
    <w:rsid w:val="441F3CEF"/>
    <w:rsid w:val="442C445F"/>
    <w:rsid w:val="44304E5A"/>
    <w:rsid w:val="443B5510"/>
    <w:rsid w:val="445B5D66"/>
    <w:rsid w:val="445C25FF"/>
    <w:rsid w:val="446272E5"/>
    <w:rsid w:val="446374FE"/>
    <w:rsid w:val="44643E47"/>
    <w:rsid w:val="44836571"/>
    <w:rsid w:val="44897E3F"/>
    <w:rsid w:val="448C6DF0"/>
    <w:rsid w:val="449A179A"/>
    <w:rsid w:val="44A92E36"/>
    <w:rsid w:val="44C25CAA"/>
    <w:rsid w:val="44DF52E6"/>
    <w:rsid w:val="44F17CAA"/>
    <w:rsid w:val="45184507"/>
    <w:rsid w:val="451F4451"/>
    <w:rsid w:val="45201CD0"/>
    <w:rsid w:val="45261C17"/>
    <w:rsid w:val="45297843"/>
    <w:rsid w:val="4533463C"/>
    <w:rsid w:val="453426AB"/>
    <w:rsid w:val="45360362"/>
    <w:rsid w:val="453B4135"/>
    <w:rsid w:val="453B4205"/>
    <w:rsid w:val="453F19E0"/>
    <w:rsid w:val="454049A0"/>
    <w:rsid w:val="454436DE"/>
    <w:rsid w:val="45521467"/>
    <w:rsid w:val="455A7EC7"/>
    <w:rsid w:val="45705E8D"/>
    <w:rsid w:val="45766896"/>
    <w:rsid w:val="458B08FC"/>
    <w:rsid w:val="458B1BBC"/>
    <w:rsid w:val="45956E7E"/>
    <w:rsid w:val="45A95584"/>
    <w:rsid w:val="45AE4A0E"/>
    <w:rsid w:val="45B60FB3"/>
    <w:rsid w:val="45C412DE"/>
    <w:rsid w:val="45C42B72"/>
    <w:rsid w:val="45C65B0E"/>
    <w:rsid w:val="45C70A4F"/>
    <w:rsid w:val="45D16D59"/>
    <w:rsid w:val="45E10B02"/>
    <w:rsid w:val="45E56CA3"/>
    <w:rsid w:val="45EB06EF"/>
    <w:rsid w:val="45F17488"/>
    <w:rsid w:val="45FD6F20"/>
    <w:rsid w:val="460F492E"/>
    <w:rsid w:val="46186197"/>
    <w:rsid w:val="461934A2"/>
    <w:rsid w:val="461A4C1A"/>
    <w:rsid w:val="46332BF8"/>
    <w:rsid w:val="463E476D"/>
    <w:rsid w:val="46445707"/>
    <w:rsid w:val="464610B0"/>
    <w:rsid w:val="465638A4"/>
    <w:rsid w:val="4675215E"/>
    <w:rsid w:val="467B0514"/>
    <w:rsid w:val="467B30A8"/>
    <w:rsid w:val="467B4EE0"/>
    <w:rsid w:val="4691113B"/>
    <w:rsid w:val="469C3D47"/>
    <w:rsid w:val="46A85E78"/>
    <w:rsid w:val="46B04AE1"/>
    <w:rsid w:val="46B40B6B"/>
    <w:rsid w:val="46BA47C2"/>
    <w:rsid w:val="46BB765E"/>
    <w:rsid w:val="46D64DD7"/>
    <w:rsid w:val="46D7495C"/>
    <w:rsid w:val="46E14440"/>
    <w:rsid w:val="46F427C7"/>
    <w:rsid w:val="46F43BD9"/>
    <w:rsid w:val="46F95916"/>
    <w:rsid w:val="46FE5DB8"/>
    <w:rsid w:val="470D2F62"/>
    <w:rsid w:val="4718603E"/>
    <w:rsid w:val="471D4CB0"/>
    <w:rsid w:val="4723541D"/>
    <w:rsid w:val="47256588"/>
    <w:rsid w:val="472C3214"/>
    <w:rsid w:val="473050C1"/>
    <w:rsid w:val="47326D4E"/>
    <w:rsid w:val="475B786F"/>
    <w:rsid w:val="477B2B8E"/>
    <w:rsid w:val="47814304"/>
    <w:rsid w:val="47843F76"/>
    <w:rsid w:val="478B7614"/>
    <w:rsid w:val="479F6D48"/>
    <w:rsid w:val="47A74A6E"/>
    <w:rsid w:val="47B2140D"/>
    <w:rsid w:val="47B70B10"/>
    <w:rsid w:val="47C76806"/>
    <w:rsid w:val="47F241AB"/>
    <w:rsid w:val="48025E63"/>
    <w:rsid w:val="48164085"/>
    <w:rsid w:val="48282106"/>
    <w:rsid w:val="484564C5"/>
    <w:rsid w:val="4854681C"/>
    <w:rsid w:val="485D351D"/>
    <w:rsid w:val="485E64DF"/>
    <w:rsid w:val="48797688"/>
    <w:rsid w:val="487F180D"/>
    <w:rsid w:val="488327FF"/>
    <w:rsid w:val="489C71D2"/>
    <w:rsid w:val="48A279E5"/>
    <w:rsid w:val="48AE07FB"/>
    <w:rsid w:val="48CA5BDD"/>
    <w:rsid w:val="48D91E9A"/>
    <w:rsid w:val="48E1229C"/>
    <w:rsid w:val="48FD3F53"/>
    <w:rsid w:val="48FE483B"/>
    <w:rsid w:val="49204394"/>
    <w:rsid w:val="49273E0A"/>
    <w:rsid w:val="49295B00"/>
    <w:rsid w:val="493605C1"/>
    <w:rsid w:val="49383978"/>
    <w:rsid w:val="49422109"/>
    <w:rsid w:val="494F77BB"/>
    <w:rsid w:val="495163FD"/>
    <w:rsid w:val="498F6B83"/>
    <w:rsid w:val="4990050C"/>
    <w:rsid w:val="49905F6E"/>
    <w:rsid w:val="49926105"/>
    <w:rsid w:val="49984919"/>
    <w:rsid w:val="499968D8"/>
    <w:rsid w:val="49A202BD"/>
    <w:rsid w:val="49B7467B"/>
    <w:rsid w:val="49BB4DFF"/>
    <w:rsid w:val="49DA6140"/>
    <w:rsid w:val="49ED5CD0"/>
    <w:rsid w:val="49F6782D"/>
    <w:rsid w:val="4A13062D"/>
    <w:rsid w:val="4A247656"/>
    <w:rsid w:val="4A27484B"/>
    <w:rsid w:val="4A35554B"/>
    <w:rsid w:val="4A4D4AF3"/>
    <w:rsid w:val="4A551DC2"/>
    <w:rsid w:val="4A5C4BFA"/>
    <w:rsid w:val="4A637FA2"/>
    <w:rsid w:val="4A683F6B"/>
    <w:rsid w:val="4A7578C9"/>
    <w:rsid w:val="4A7D7891"/>
    <w:rsid w:val="4A922B5E"/>
    <w:rsid w:val="4AAB7AF7"/>
    <w:rsid w:val="4AAF78C3"/>
    <w:rsid w:val="4AB2178A"/>
    <w:rsid w:val="4ABA6312"/>
    <w:rsid w:val="4ACF6D04"/>
    <w:rsid w:val="4ADB0F88"/>
    <w:rsid w:val="4AE9143A"/>
    <w:rsid w:val="4AE9280F"/>
    <w:rsid w:val="4AF20E05"/>
    <w:rsid w:val="4AF67242"/>
    <w:rsid w:val="4AFA0424"/>
    <w:rsid w:val="4B054CFE"/>
    <w:rsid w:val="4B117368"/>
    <w:rsid w:val="4B257BC2"/>
    <w:rsid w:val="4B3B31C8"/>
    <w:rsid w:val="4B3D4D2C"/>
    <w:rsid w:val="4B432B93"/>
    <w:rsid w:val="4B4817B5"/>
    <w:rsid w:val="4B660844"/>
    <w:rsid w:val="4B975535"/>
    <w:rsid w:val="4BA44B18"/>
    <w:rsid w:val="4BB12A34"/>
    <w:rsid w:val="4BB15C21"/>
    <w:rsid w:val="4BCD4D56"/>
    <w:rsid w:val="4BDB6776"/>
    <w:rsid w:val="4BE06EB7"/>
    <w:rsid w:val="4BE33950"/>
    <w:rsid w:val="4BEB7DF9"/>
    <w:rsid w:val="4BF63E77"/>
    <w:rsid w:val="4C171611"/>
    <w:rsid w:val="4C3103F7"/>
    <w:rsid w:val="4C3C127F"/>
    <w:rsid w:val="4C427B95"/>
    <w:rsid w:val="4C4669D2"/>
    <w:rsid w:val="4C871830"/>
    <w:rsid w:val="4C8B0174"/>
    <w:rsid w:val="4C9926CC"/>
    <w:rsid w:val="4CA62D4C"/>
    <w:rsid w:val="4CA75A70"/>
    <w:rsid w:val="4CAA3342"/>
    <w:rsid w:val="4CAA7011"/>
    <w:rsid w:val="4CB656F2"/>
    <w:rsid w:val="4CC3103C"/>
    <w:rsid w:val="4CCB42C5"/>
    <w:rsid w:val="4CCF0711"/>
    <w:rsid w:val="4CCF17BD"/>
    <w:rsid w:val="4CD55BEB"/>
    <w:rsid w:val="4CE81FC6"/>
    <w:rsid w:val="4CF520EB"/>
    <w:rsid w:val="4D020122"/>
    <w:rsid w:val="4D026969"/>
    <w:rsid w:val="4D0C2C77"/>
    <w:rsid w:val="4D1A1400"/>
    <w:rsid w:val="4D1E4578"/>
    <w:rsid w:val="4D447064"/>
    <w:rsid w:val="4D47165D"/>
    <w:rsid w:val="4D4F3090"/>
    <w:rsid w:val="4D722A68"/>
    <w:rsid w:val="4D7C0D00"/>
    <w:rsid w:val="4D87352F"/>
    <w:rsid w:val="4D931243"/>
    <w:rsid w:val="4DBC6539"/>
    <w:rsid w:val="4DC9239F"/>
    <w:rsid w:val="4DD776AB"/>
    <w:rsid w:val="4DF831B6"/>
    <w:rsid w:val="4E216E25"/>
    <w:rsid w:val="4E3653FD"/>
    <w:rsid w:val="4E37755B"/>
    <w:rsid w:val="4E3E4076"/>
    <w:rsid w:val="4E473566"/>
    <w:rsid w:val="4E503CDF"/>
    <w:rsid w:val="4E5972CA"/>
    <w:rsid w:val="4E647908"/>
    <w:rsid w:val="4E681FAD"/>
    <w:rsid w:val="4E790CD6"/>
    <w:rsid w:val="4E837F79"/>
    <w:rsid w:val="4E8B47DA"/>
    <w:rsid w:val="4E971287"/>
    <w:rsid w:val="4E9D0C5E"/>
    <w:rsid w:val="4EA5389D"/>
    <w:rsid w:val="4EA82125"/>
    <w:rsid w:val="4EA968C2"/>
    <w:rsid w:val="4EB173C6"/>
    <w:rsid w:val="4EB733D6"/>
    <w:rsid w:val="4EE17B83"/>
    <w:rsid w:val="4EE6611F"/>
    <w:rsid w:val="4F0AE590"/>
    <w:rsid w:val="4F321DBF"/>
    <w:rsid w:val="4F452886"/>
    <w:rsid w:val="4F4D1362"/>
    <w:rsid w:val="4F510335"/>
    <w:rsid w:val="4F5E4B10"/>
    <w:rsid w:val="4F7864E2"/>
    <w:rsid w:val="4FB91209"/>
    <w:rsid w:val="4FBD1A1F"/>
    <w:rsid w:val="4FBE1DF5"/>
    <w:rsid w:val="4FC24E8A"/>
    <w:rsid w:val="4FF10B69"/>
    <w:rsid w:val="4FFD57A5"/>
    <w:rsid w:val="500D5DB3"/>
    <w:rsid w:val="5010374D"/>
    <w:rsid w:val="50144361"/>
    <w:rsid w:val="501613EA"/>
    <w:rsid w:val="503E0ED2"/>
    <w:rsid w:val="505356F4"/>
    <w:rsid w:val="5067527D"/>
    <w:rsid w:val="506816E0"/>
    <w:rsid w:val="50744D60"/>
    <w:rsid w:val="50803083"/>
    <w:rsid w:val="508865A2"/>
    <w:rsid w:val="50A34C80"/>
    <w:rsid w:val="50AD68A1"/>
    <w:rsid w:val="50B65562"/>
    <w:rsid w:val="50C3153F"/>
    <w:rsid w:val="50C833CB"/>
    <w:rsid w:val="50EE3A87"/>
    <w:rsid w:val="510224A3"/>
    <w:rsid w:val="51096FBC"/>
    <w:rsid w:val="510C0E2E"/>
    <w:rsid w:val="511023D2"/>
    <w:rsid w:val="513833F4"/>
    <w:rsid w:val="513B4C0C"/>
    <w:rsid w:val="51431745"/>
    <w:rsid w:val="516171A0"/>
    <w:rsid w:val="5162232C"/>
    <w:rsid w:val="51636DAE"/>
    <w:rsid w:val="51722F47"/>
    <w:rsid w:val="51767FF0"/>
    <w:rsid w:val="51A551DA"/>
    <w:rsid w:val="51AE6FCB"/>
    <w:rsid w:val="51B63DF6"/>
    <w:rsid w:val="51E473ED"/>
    <w:rsid w:val="51F9411A"/>
    <w:rsid w:val="51FD1A5C"/>
    <w:rsid w:val="52211C80"/>
    <w:rsid w:val="5226155A"/>
    <w:rsid w:val="522639F0"/>
    <w:rsid w:val="522B3864"/>
    <w:rsid w:val="523C2CD5"/>
    <w:rsid w:val="5241072B"/>
    <w:rsid w:val="524C3FFD"/>
    <w:rsid w:val="52523205"/>
    <w:rsid w:val="52634BD2"/>
    <w:rsid w:val="52682C3F"/>
    <w:rsid w:val="52760D63"/>
    <w:rsid w:val="527F6CB5"/>
    <w:rsid w:val="528668E2"/>
    <w:rsid w:val="52A36D3A"/>
    <w:rsid w:val="52B61074"/>
    <w:rsid w:val="52BE0A67"/>
    <w:rsid w:val="52CC22C8"/>
    <w:rsid w:val="52F3427A"/>
    <w:rsid w:val="52F5267F"/>
    <w:rsid w:val="52FA0223"/>
    <w:rsid w:val="530144F2"/>
    <w:rsid w:val="53074D0E"/>
    <w:rsid w:val="531C6B04"/>
    <w:rsid w:val="53346DCF"/>
    <w:rsid w:val="53365130"/>
    <w:rsid w:val="535F4C6A"/>
    <w:rsid w:val="53615D77"/>
    <w:rsid w:val="537428F6"/>
    <w:rsid w:val="537A110E"/>
    <w:rsid w:val="538A3FFC"/>
    <w:rsid w:val="539908EE"/>
    <w:rsid w:val="53F47C07"/>
    <w:rsid w:val="53FA7012"/>
    <w:rsid w:val="54017C77"/>
    <w:rsid w:val="5405643C"/>
    <w:rsid w:val="54154D59"/>
    <w:rsid w:val="54282813"/>
    <w:rsid w:val="544A47D3"/>
    <w:rsid w:val="545B53C8"/>
    <w:rsid w:val="54730839"/>
    <w:rsid w:val="547D2F9E"/>
    <w:rsid w:val="547D731B"/>
    <w:rsid w:val="54895F6F"/>
    <w:rsid w:val="5496345A"/>
    <w:rsid w:val="54B30C5E"/>
    <w:rsid w:val="54B8031D"/>
    <w:rsid w:val="54BC4F94"/>
    <w:rsid w:val="54BD088F"/>
    <w:rsid w:val="54DB1C81"/>
    <w:rsid w:val="54DD0277"/>
    <w:rsid w:val="54E36374"/>
    <w:rsid w:val="54EF288B"/>
    <w:rsid w:val="550B5058"/>
    <w:rsid w:val="5515023E"/>
    <w:rsid w:val="551D5901"/>
    <w:rsid w:val="552176E2"/>
    <w:rsid w:val="5535086A"/>
    <w:rsid w:val="553B15EC"/>
    <w:rsid w:val="55692886"/>
    <w:rsid w:val="55781630"/>
    <w:rsid w:val="55787787"/>
    <w:rsid w:val="5588360C"/>
    <w:rsid w:val="558C23AE"/>
    <w:rsid w:val="55B70915"/>
    <w:rsid w:val="55BF392A"/>
    <w:rsid w:val="55C335FF"/>
    <w:rsid w:val="55D24AB8"/>
    <w:rsid w:val="55D70A42"/>
    <w:rsid w:val="55D903ED"/>
    <w:rsid w:val="55FF46FF"/>
    <w:rsid w:val="56124F67"/>
    <w:rsid w:val="56253E24"/>
    <w:rsid w:val="562770B6"/>
    <w:rsid w:val="562F0650"/>
    <w:rsid w:val="56325048"/>
    <w:rsid w:val="564E5475"/>
    <w:rsid w:val="565270C9"/>
    <w:rsid w:val="56556039"/>
    <w:rsid w:val="565D713B"/>
    <w:rsid w:val="566E43CB"/>
    <w:rsid w:val="567134D1"/>
    <w:rsid w:val="567601AC"/>
    <w:rsid w:val="56817115"/>
    <w:rsid w:val="568D1ECF"/>
    <w:rsid w:val="56A81C1A"/>
    <w:rsid w:val="56B778AE"/>
    <w:rsid w:val="56C4326C"/>
    <w:rsid w:val="56CB1868"/>
    <w:rsid w:val="56CC25C8"/>
    <w:rsid w:val="56E056D4"/>
    <w:rsid w:val="56EE30C2"/>
    <w:rsid w:val="56F813A0"/>
    <w:rsid w:val="5701658C"/>
    <w:rsid w:val="57032046"/>
    <w:rsid w:val="57096108"/>
    <w:rsid w:val="571662CD"/>
    <w:rsid w:val="57455942"/>
    <w:rsid w:val="574B0213"/>
    <w:rsid w:val="574F2990"/>
    <w:rsid w:val="57B45537"/>
    <w:rsid w:val="57CA30B6"/>
    <w:rsid w:val="57D17F4B"/>
    <w:rsid w:val="57F934C0"/>
    <w:rsid w:val="57F93FED"/>
    <w:rsid w:val="58013D55"/>
    <w:rsid w:val="58233E6B"/>
    <w:rsid w:val="583F6838"/>
    <w:rsid w:val="58634DD0"/>
    <w:rsid w:val="586844B6"/>
    <w:rsid w:val="58786C58"/>
    <w:rsid w:val="58951C97"/>
    <w:rsid w:val="58AF735F"/>
    <w:rsid w:val="58B0410D"/>
    <w:rsid w:val="58BB21A4"/>
    <w:rsid w:val="58C62C27"/>
    <w:rsid w:val="58C963C2"/>
    <w:rsid w:val="58CC2A45"/>
    <w:rsid w:val="58D222ED"/>
    <w:rsid w:val="58E86451"/>
    <w:rsid w:val="58FC5AEF"/>
    <w:rsid w:val="59035AFA"/>
    <w:rsid w:val="5904247D"/>
    <w:rsid w:val="591E45BB"/>
    <w:rsid w:val="59201ECA"/>
    <w:rsid w:val="592F1BA0"/>
    <w:rsid w:val="593E64CA"/>
    <w:rsid w:val="594556FD"/>
    <w:rsid w:val="595A2183"/>
    <w:rsid w:val="596379A9"/>
    <w:rsid w:val="596A2DDF"/>
    <w:rsid w:val="597115A7"/>
    <w:rsid w:val="59787FEA"/>
    <w:rsid w:val="597D0736"/>
    <w:rsid w:val="59834524"/>
    <w:rsid w:val="5991071A"/>
    <w:rsid w:val="59934B4F"/>
    <w:rsid w:val="59AA1CA3"/>
    <w:rsid w:val="59C02604"/>
    <w:rsid w:val="59CF1ADD"/>
    <w:rsid w:val="59D17D75"/>
    <w:rsid w:val="59D471D7"/>
    <w:rsid w:val="59E61693"/>
    <w:rsid w:val="5A1317F0"/>
    <w:rsid w:val="5A2646DB"/>
    <w:rsid w:val="5A2B57AE"/>
    <w:rsid w:val="5A321BEA"/>
    <w:rsid w:val="5A366F84"/>
    <w:rsid w:val="5A3F0176"/>
    <w:rsid w:val="5A6D2DB1"/>
    <w:rsid w:val="5A6E407A"/>
    <w:rsid w:val="5A7E74F9"/>
    <w:rsid w:val="5A8E165E"/>
    <w:rsid w:val="5AAE0441"/>
    <w:rsid w:val="5AAE5BEC"/>
    <w:rsid w:val="5AD1351F"/>
    <w:rsid w:val="5AD339D9"/>
    <w:rsid w:val="5AD85B99"/>
    <w:rsid w:val="5AE8322E"/>
    <w:rsid w:val="5AEF1185"/>
    <w:rsid w:val="5AF11C14"/>
    <w:rsid w:val="5AFA3298"/>
    <w:rsid w:val="5B016D34"/>
    <w:rsid w:val="5B0D7295"/>
    <w:rsid w:val="5B206399"/>
    <w:rsid w:val="5B224853"/>
    <w:rsid w:val="5B4C2ADE"/>
    <w:rsid w:val="5B51735D"/>
    <w:rsid w:val="5B673616"/>
    <w:rsid w:val="5B681B2C"/>
    <w:rsid w:val="5B694FAE"/>
    <w:rsid w:val="5B83792C"/>
    <w:rsid w:val="5B902EC7"/>
    <w:rsid w:val="5B9E223B"/>
    <w:rsid w:val="5BA14F87"/>
    <w:rsid w:val="5BAD3BAD"/>
    <w:rsid w:val="5BAD73DC"/>
    <w:rsid w:val="5BBB4917"/>
    <w:rsid w:val="5BD133DF"/>
    <w:rsid w:val="5BD366A4"/>
    <w:rsid w:val="5BE3130E"/>
    <w:rsid w:val="5BED3C29"/>
    <w:rsid w:val="5BF51E6A"/>
    <w:rsid w:val="5C093177"/>
    <w:rsid w:val="5C0D0073"/>
    <w:rsid w:val="5C3E78DA"/>
    <w:rsid w:val="5C5342DE"/>
    <w:rsid w:val="5C5E1DE9"/>
    <w:rsid w:val="5C611C30"/>
    <w:rsid w:val="5C640E34"/>
    <w:rsid w:val="5C654CF3"/>
    <w:rsid w:val="5C6D3417"/>
    <w:rsid w:val="5C8D2EAA"/>
    <w:rsid w:val="5C9256E7"/>
    <w:rsid w:val="5CA531D1"/>
    <w:rsid w:val="5CAD5B70"/>
    <w:rsid w:val="5CB75213"/>
    <w:rsid w:val="5CBC5D91"/>
    <w:rsid w:val="5CC20563"/>
    <w:rsid w:val="5CCA12C8"/>
    <w:rsid w:val="5CFB164F"/>
    <w:rsid w:val="5D160E63"/>
    <w:rsid w:val="5D170048"/>
    <w:rsid w:val="5D17051D"/>
    <w:rsid w:val="5D40035D"/>
    <w:rsid w:val="5D49706D"/>
    <w:rsid w:val="5D5F77DD"/>
    <w:rsid w:val="5D717B18"/>
    <w:rsid w:val="5D840C43"/>
    <w:rsid w:val="5D980CA6"/>
    <w:rsid w:val="5DAA3645"/>
    <w:rsid w:val="5DAE77A4"/>
    <w:rsid w:val="5DB57EF0"/>
    <w:rsid w:val="5DE8676B"/>
    <w:rsid w:val="5DF47894"/>
    <w:rsid w:val="5E1044A2"/>
    <w:rsid w:val="5E162F9C"/>
    <w:rsid w:val="5E192361"/>
    <w:rsid w:val="5E1F592C"/>
    <w:rsid w:val="5E2B3F08"/>
    <w:rsid w:val="5E366F27"/>
    <w:rsid w:val="5E386453"/>
    <w:rsid w:val="5E415746"/>
    <w:rsid w:val="5E67210D"/>
    <w:rsid w:val="5E6C4EC7"/>
    <w:rsid w:val="5E7D126D"/>
    <w:rsid w:val="5E8001BD"/>
    <w:rsid w:val="5E915FF6"/>
    <w:rsid w:val="5E9206AE"/>
    <w:rsid w:val="5EAE638C"/>
    <w:rsid w:val="5EB455C5"/>
    <w:rsid w:val="5ED351EB"/>
    <w:rsid w:val="5EE335F7"/>
    <w:rsid w:val="5EFF0ED2"/>
    <w:rsid w:val="5F126D05"/>
    <w:rsid w:val="5F204F1D"/>
    <w:rsid w:val="5F2B1DCB"/>
    <w:rsid w:val="5F401BE4"/>
    <w:rsid w:val="5F461386"/>
    <w:rsid w:val="5F4A1EBB"/>
    <w:rsid w:val="5F4B5E88"/>
    <w:rsid w:val="5F595662"/>
    <w:rsid w:val="5F5B7782"/>
    <w:rsid w:val="5F5E1936"/>
    <w:rsid w:val="5F675B22"/>
    <w:rsid w:val="5F732EBB"/>
    <w:rsid w:val="5F7D448F"/>
    <w:rsid w:val="5F8250FF"/>
    <w:rsid w:val="5F906917"/>
    <w:rsid w:val="5F912ACF"/>
    <w:rsid w:val="5F9173F4"/>
    <w:rsid w:val="5FA20BE3"/>
    <w:rsid w:val="5FBE282E"/>
    <w:rsid w:val="5FD15BC7"/>
    <w:rsid w:val="5FD367A6"/>
    <w:rsid w:val="5FD73AA6"/>
    <w:rsid w:val="5FD85EAF"/>
    <w:rsid w:val="5FF41C37"/>
    <w:rsid w:val="60104EE3"/>
    <w:rsid w:val="602533C0"/>
    <w:rsid w:val="6027337A"/>
    <w:rsid w:val="605B4538"/>
    <w:rsid w:val="60896264"/>
    <w:rsid w:val="608F1BD3"/>
    <w:rsid w:val="60A13248"/>
    <w:rsid w:val="60C5330A"/>
    <w:rsid w:val="60D11BBA"/>
    <w:rsid w:val="60D43683"/>
    <w:rsid w:val="60EB7AA8"/>
    <w:rsid w:val="60EF15B2"/>
    <w:rsid w:val="61001229"/>
    <w:rsid w:val="6121322E"/>
    <w:rsid w:val="61243429"/>
    <w:rsid w:val="61296ACD"/>
    <w:rsid w:val="612C2A9A"/>
    <w:rsid w:val="613D24A2"/>
    <w:rsid w:val="613D3287"/>
    <w:rsid w:val="614149F3"/>
    <w:rsid w:val="61476428"/>
    <w:rsid w:val="616638A2"/>
    <w:rsid w:val="617B424D"/>
    <w:rsid w:val="6180258F"/>
    <w:rsid w:val="61862C2F"/>
    <w:rsid w:val="618C70A4"/>
    <w:rsid w:val="61A23F59"/>
    <w:rsid w:val="61B90BF2"/>
    <w:rsid w:val="61BC1E65"/>
    <w:rsid w:val="61E8288B"/>
    <w:rsid w:val="62033646"/>
    <w:rsid w:val="6203710A"/>
    <w:rsid w:val="620904AB"/>
    <w:rsid w:val="621F3FC7"/>
    <w:rsid w:val="62320ECD"/>
    <w:rsid w:val="62321792"/>
    <w:rsid w:val="623873CB"/>
    <w:rsid w:val="62420D5E"/>
    <w:rsid w:val="624256F1"/>
    <w:rsid w:val="62461BBC"/>
    <w:rsid w:val="62480825"/>
    <w:rsid w:val="62540C44"/>
    <w:rsid w:val="625A4E9B"/>
    <w:rsid w:val="62635350"/>
    <w:rsid w:val="626A7DDF"/>
    <w:rsid w:val="6283706E"/>
    <w:rsid w:val="62871B8B"/>
    <w:rsid w:val="628B5453"/>
    <w:rsid w:val="62983D63"/>
    <w:rsid w:val="62AB4430"/>
    <w:rsid w:val="62C671FE"/>
    <w:rsid w:val="62CD11E8"/>
    <w:rsid w:val="62DF39AC"/>
    <w:rsid w:val="62F7131A"/>
    <w:rsid w:val="63111189"/>
    <w:rsid w:val="6337309B"/>
    <w:rsid w:val="633A09A7"/>
    <w:rsid w:val="633C776F"/>
    <w:rsid w:val="636176F3"/>
    <w:rsid w:val="63877230"/>
    <w:rsid w:val="638C249A"/>
    <w:rsid w:val="63A8579E"/>
    <w:rsid w:val="63AF2E7A"/>
    <w:rsid w:val="63B1353D"/>
    <w:rsid w:val="63B425DD"/>
    <w:rsid w:val="63BE7084"/>
    <w:rsid w:val="63CD3460"/>
    <w:rsid w:val="63DF1582"/>
    <w:rsid w:val="63E646FF"/>
    <w:rsid w:val="63EF3DEF"/>
    <w:rsid w:val="63FE569C"/>
    <w:rsid w:val="6412191B"/>
    <w:rsid w:val="641240B1"/>
    <w:rsid w:val="64161F52"/>
    <w:rsid w:val="64171D73"/>
    <w:rsid w:val="642B3479"/>
    <w:rsid w:val="642F70DC"/>
    <w:rsid w:val="64425440"/>
    <w:rsid w:val="644E2285"/>
    <w:rsid w:val="647F7413"/>
    <w:rsid w:val="648B6776"/>
    <w:rsid w:val="64A14C54"/>
    <w:rsid w:val="64A55457"/>
    <w:rsid w:val="64AF0893"/>
    <w:rsid w:val="64B0068F"/>
    <w:rsid w:val="64B0634B"/>
    <w:rsid w:val="64B7DBF3"/>
    <w:rsid w:val="64BC5A53"/>
    <w:rsid w:val="64BD61FD"/>
    <w:rsid w:val="64C60289"/>
    <w:rsid w:val="64D03662"/>
    <w:rsid w:val="64E71808"/>
    <w:rsid w:val="64F302E2"/>
    <w:rsid w:val="64F44A85"/>
    <w:rsid w:val="64FC3B23"/>
    <w:rsid w:val="650F4BE9"/>
    <w:rsid w:val="651E0B7C"/>
    <w:rsid w:val="65301037"/>
    <w:rsid w:val="653D4887"/>
    <w:rsid w:val="655D27A0"/>
    <w:rsid w:val="65691302"/>
    <w:rsid w:val="656B45D6"/>
    <w:rsid w:val="6577186E"/>
    <w:rsid w:val="6583118B"/>
    <w:rsid w:val="6583791F"/>
    <w:rsid w:val="658F1D57"/>
    <w:rsid w:val="658F6146"/>
    <w:rsid w:val="658F6F58"/>
    <w:rsid w:val="65995DFE"/>
    <w:rsid w:val="659A3745"/>
    <w:rsid w:val="65A62B21"/>
    <w:rsid w:val="65AD379D"/>
    <w:rsid w:val="65B84DEC"/>
    <w:rsid w:val="65BB7BCB"/>
    <w:rsid w:val="65CE14C4"/>
    <w:rsid w:val="65D63B34"/>
    <w:rsid w:val="65DB4320"/>
    <w:rsid w:val="65DD0D4C"/>
    <w:rsid w:val="65E6167B"/>
    <w:rsid w:val="65E842FE"/>
    <w:rsid w:val="65F21C27"/>
    <w:rsid w:val="65F63A27"/>
    <w:rsid w:val="660A6E49"/>
    <w:rsid w:val="66124991"/>
    <w:rsid w:val="661360BB"/>
    <w:rsid w:val="66253C88"/>
    <w:rsid w:val="663C2578"/>
    <w:rsid w:val="663F36BF"/>
    <w:rsid w:val="66482D7B"/>
    <w:rsid w:val="66497400"/>
    <w:rsid w:val="66517729"/>
    <w:rsid w:val="66866840"/>
    <w:rsid w:val="66950E06"/>
    <w:rsid w:val="66A12504"/>
    <w:rsid w:val="66A46015"/>
    <w:rsid w:val="66BB34F8"/>
    <w:rsid w:val="66CF4C55"/>
    <w:rsid w:val="66D11DEE"/>
    <w:rsid w:val="66D63CEA"/>
    <w:rsid w:val="66E40448"/>
    <w:rsid w:val="670871A8"/>
    <w:rsid w:val="672D3127"/>
    <w:rsid w:val="67420658"/>
    <w:rsid w:val="674533A1"/>
    <w:rsid w:val="675178A4"/>
    <w:rsid w:val="67782CEF"/>
    <w:rsid w:val="67802496"/>
    <w:rsid w:val="6788348E"/>
    <w:rsid w:val="67A400CA"/>
    <w:rsid w:val="67A50830"/>
    <w:rsid w:val="67A538BA"/>
    <w:rsid w:val="67A73955"/>
    <w:rsid w:val="67A90441"/>
    <w:rsid w:val="67C20C79"/>
    <w:rsid w:val="67C57F48"/>
    <w:rsid w:val="67DE4EEE"/>
    <w:rsid w:val="67E46554"/>
    <w:rsid w:val="67ED5955"/>
    <w:rsid w:val="68022E63"/>
    <w:rsid w:val="68052F36"/>
    <w:rsid w:val="6808141A"/>
    <w:rsid w:val="681A272F"/>
    <w:rsid w:val="68400AB2"/>
    <w:rsid w:val="6841737C"/>
    <w:rsid w:val="68536D0C"/>
    <w:rsid w:val="686B3644"/>
    <w:rsid w:val="687122A5"/>
    <w:rsid w:val="68827E4E"/>
    <w:rsid w:val="68866D0B"/>
    <w:rsid w:val="688C2726"/>
    <w:rsid w:val="689474C6"/>
    <w:rsid w:val="689A44D2"/>
    <w:rsid w:val="68AD5620"/>
    <w:rsid w:val="68BA7E2F"/>
    <w:rsid w:val="68CE48DE"/>
    <w:rsid w:val="68D044F1"/>
    <w:rsid w:val="68E47A64"/>
    <w:rsid w:val="68E94352"/>
    <w:rsid w:val="68EC7D6D"/>
    <w:rsid w:val="68F058E5"/>
    <w:rsid w:val="68F20AA9"/>
    <w:rsid w:val="6902255E"/>
    <w:rsid w:val="69081F0D"/>
    <w:rsid w:val="69185E16"/>
    <w:rsid w:val="6922628D"/>
    <w:rsid w:val="69243CCB"/>
    <w:rsid w:val="692D10A8"/>
    <w:rsid w:val="694006B0"/>
    <w:rsid w:val="694E1343"/>
    <w:rsid w:val="69527455"/>
    <w:rsid w:val="696778E1"/>
    <w:rsid w:val="6976628D"/>
    <w:rsid w:val="69781887"/>
    <w:rsid w:val="6979522C"/>
    <w:rsid w:val="69945F1A"/>
    <w:rsid w:val="69A264FB"/>
    <w:rsid w:val="69A463E4"/>
    <w:rsid w:val="69C159B6"/>
    <w:rsid w:val="69C356D6"/>
    <w:rsid w:val="69CE074D"/>
    <w:rsid w:val="69D152E0"/>
    <w:rsid w:val="69D54C7F"/>
    <w:rsid w:val="69DA7E3E"/>
    <w:rsid w:val="69E00A4D"/>
    <w:rsid w:val="69EB2D32"/>
    <w:rsid w:val="69FB5FAE"/>
    <w:rsid w:val="69FD50EC"/>
    <w:rsid w:val="6A0D33A8"/>
    <w:rsid w:val="6A1C386D"/>
    <w:rsid w:val="6A276531"/>
    <w:rsid w:val="6A2E5337"/>
    <w:rsid w:val="6A345BC3"/>
    <w:rsid w:val="6A3B1068"/>
    <w:rsid w:val="6A4E57F6"/>
    <w:rsid w:val="6A4F412A"/>
    <w:rsid w:val="6A5F7EB4"/>
    <w:rsid w:val="6A7202D9"/>
    <w:rsid w:val="6A856090"/>
    <w:rsid w:val="6A8E7D3F"/>
    <w:rsid w:val="6A9B7BF1"/>
    <w:rsid w:val="6A9F3D8E"/>
    <w:rsid w:val="6AA04EB0"/>
    <w:rsid w:val="6ABD3F83"/>
    <w:rsid w:val="6AC86960"/>
    <w:rsid w:val="6ACB1AF0"/>
    <w:rsid w:val="6AF14EA4"/>
    <w:rsid w:val="6B004DE3"/>
    <w:rsid w:val="6B0933D8"/>
    <w:rsid w:val="6B2347F8"/>
    <w:rsid w:val="6B2D2415"/>
    <w:rsid w:val="6B353BDC"/>
    <w:rsid w:val="6B810BED"/>
    <w:rsid w:val="6B8428B4"/>
    <w:rsid w:val="6B851189"/>
    <w:rsid w:val="6B91457B"/>
    <w:rsid w:val="6B930274"/>
    <w:rsid w:val="6BA47A68"/>
    <w:rsid w:val="6BBFA03B"/>
    <w:rsid w:val="6BCF2AB2"/>
    <w:rsid w:val="6C0D7E8A"/>
    <w:rsid w:val="6C261FA5"/>
    <w:rsid w:val="6C267CEF"/>
    <w:rsid w:val="6C271424"/>
    <w:rsid w:val="6C4F3C53"/>
    <w:rsid w:val="6C63308B"/>
    <w:rsid w:val="6C736123"/>
    <w:rsid w:val="6C7A1C7C"/>
    <w:rsid w:val="6C915824"/>
    <w:rsid w:val="6C98717A"/>
    <w:rsid w:val="6C9A696F"/>
    <w:rsid w:val="6C9E3F84"/>
    <w:rsid w:val="6C9F2ED4"/>
    <w:rsid w:val="6CA45DFE"/>
    <w:rsid w:val="6CB77895"/>
    <w:rsid w:val="6CC32DC1"/>
    <w:rsid w:val="6CCB2A5C"/>
    <w:rsid w:val="6CCB57A9"/>
    <w:rsid w:val="6CCE109B"/>
    <w:rsid w:val="6CDF3AA2"/>
    <w:rsid w:val="6CE47F86"/>
    <w:rsid w:val="6CEF474A"/>
    <w:rsid w:val="6D0E6DEA"/>
    <w:rsid w:val="6D2C27DC"/>
    <w:rsid w:val="6D3A60CF"/>
    <w:rsid w:val="6D3E2220"/>
    <w:rsid w:val="6D3F63B2"/>
    <w:rsid w:val="6D4548B0"/>
    <w:rsid w:val="6D552A99"/>
    <w:rsid w:val="6D626FF2"/>
    <w:rsid w:val="6D652811"/>
    <w:rsid w:val="6D7573C9"/>
    <w:rsid w:val="6D9C0D39"/>
    <w:rsid w:val="6D9D3448"/>
    <w:rsid w:val="6DA45E1A"/>
    <w:rsid w:val="6DB02E03"/>
    <w:rsid w:val="6DB3306B"/>
    <w:rsid w:val="6DC00159"/>
    <w:rsid w:val="6DD72E6A"/>
    <w:rsid w:val="6DED76D5"/>
    <w:rsid w:val="6DEF3963"/>
    <w:rsid w:val="6DF1261C"/>
    <w:rsid w:val="6DF633D0"/>
    <w:rsid w:val="6E090707"/>
    <w:rsid w:val="6E0D2F31"/>
    <w:rsid w:val="6E35541C"/>
    <w:rsid w:val="6E451788"/>
    <w:rsid w:val="6E541B46"/>
    <w:rsid w:val="6E561BF6"/>
    <w:rsid w:val="6E641F84"/>
    <w:rsid w:val="6E7D66A2"/>
    <w:rsid w:val="6E8C7D79"/>
    <w:rsid w:val="6E957A3F"/>
    <w:rsid w:val="6EA77046"/>
    <w:rsid w:val="6EC553D5"/>
    <w:rsid w:val="6EE7018C"/>
    <w:rsid w:val="6EF76DEC"/>
    <w:rsid w:val="6F074349"/>
    <w:rsid w:val="6F0B05C6"/>
    <w:rsid w:val="6F130C23"/>
    <w:rsid w:val="6F150B51"/>
    <w:rsid w:val="6F193BD1"/>
    <w:rsid w:val="6F270A73"/>
    <w:rsid w:val="6F364C63"/>
    <w:rsid w:val="6F5702B1"/>
    <w:rsid w:val="6F572727"/>
    <w:rsid w:val="6F5A0718"/>
    <w:rsid w:val="6F5C26F0"/>
    <w:rsid w:val="6F68212E"/>
    <w:rsid w:val="6F76658A"/>
    <w:rsid w:val="6F792725"/>
    <w:rsid w:val="6F88611E"/>
    <w:rsid w:val="6FA303AB"/>
    <w:rsid w:val="6FAA58A9"/>
    <w:rsid w:val="6FB6420C"/>
    <w:rsid w:val="6FB81081"/>
    <w:rsid w:val="6FBC0361"/>
    <w:rsid w:val="6FC844B0"/>
    <w:rsid w:val="6FC91D09"/>
    <w:rsid w:val="6FCF744E"/>
    <w:rsid w:val="6FE27002"/>
    <w:rsid w:val="6FEA3F10"/>
    <w:rsid w:val="6FEA761E"/>
    <w:rsid w:val="6FEC76E2"/>
    <w:rsid w:val="6FF925B2"/>
    <w:rsid w:val="70062004"/>
    <w:rsid w:val="700F02F2"/>
    <w:rsid w:val="701D4C6D"/>
    <w:rsid w:val="702211B8"/>
    <w:rsid w:val="70285C83"/>
    <w:rsid w:val="70360700"/>
    <w:rsid w:val="704B6227"/>
    <w:rsid w:val="704F480E"/>
    <w:rsid w:val="70531176"/>
    <w:rsid w:val="70CE3CD6"/>
    <w:rsid w:val="70D5200B"/>
    <w:rsid w:val="70D77435"/>
    <w:rsid w:val="70D86A93"/>
    <w:rsid w:val="70F30CAD"/>
    <w:rsid w:val="70FC164A"/>
    <w:rsid w:val="70FE3E55"/>
    <w:rsid w:val="711F5147"/>
    <w:rsid w:val="712B73F4"/>
    <w:rsid w:val="71347A4D"/>
    <w:rsid w:val="713664A7"/>
    <w:rsid w:val="713E00F5"/>
    <w:rsid w:val="713F2452"/>
    <w:rsid w:val="714C1973"/>
    <w:rsid w:val="714F7DC5"/>
    <w:rsid w:val="7164280C"/>
    <w:rsid w:val="716B28F4"/>
    <w:rsid w:val="717568BB"/>
    <w:rsid w:val="7176061E"/>
    <w:rsid w:val="71A71FCA"/>
    <w:rsid w:val="71A861A9"/>
    <w:rsid w:val="71AE1825"/>
    <w:rsid w:val="71B23F18"/>
    <w:rsid w:val="71BF7712"/>
    <w:rsid w:val="71CF510A"/>
    <w:rsid w:val="71D11979"/>
    <w:rsid w:val="71D23CA4"/>
    <w:rsid w:val="71D821BD"/>
    <w:rsid w:val="71E54C93"/>
    <w:rsid w:val="71FB2A90"/>
    <w:rsid w:val="720B2724"/>
    <w:rsid w:val="72264CCC"/>
    <w:rsid w:val="722A0E8A"/>
    <w:rsid w:val="72361EFD"/>
    <w:rsid w:val="72391B27"/>
    <w:rsid w:val="724D0CB0"/>
    <w:rsid w:val="725E5BA2"/>
    <w:rsid w:val="728D3332"/>
    <w:rsid w:val="729B26AC"/>
    <w:rsid w:val="72D1040D"/>
    <w:rsid w:val="72DE24DB"/>
    <w:rsid w:val="72EA0498"/>
    <w:rsid w:val="72EA3482"/>
    <w:rsid w:val="72F40F30"/>
    <w:rsid w:val="72F56855"/>
    <w:rsid w:val="7304299B"/>
    <w:rsid w:val="730A2B08"/>
    <w:rsid w:val="730A558D"/>
    <w:rsid w:val="731A35C3"/>
    <w:rsid w:val="731A6169"/>
    <w:rsid w:val="73223DF1"/>
    <w:rsid w:val="733116B7"/>
    <w:rsid w:val="73330D90"/>
    <w:rsid w:val="733A737E"/>
    <w:rsid w:val="7351635F"/>
    <w:rsid w:val="73582E26"/>
    <w:rsid w:val="735F45EB"/>
    <w:rsid w:val="736572B2"/>
    <w:rsid w:val="73877A4C"/>
    <w:rsid w:val="738A46F3"/>
    <w:rsid w:val="739F7602"/>
    <w:rsid w:val="73A40733"/>
    <w:rsid w:val="73B9469D"/>
    <w:rsid w:val="73D3764A"/>
    <w:rsid w:val="73DB223E"/>
    <w:rsid w:val="73DB32B4"/>
    <w:rsid w:val="73EA000A"/>
    <w:rsid w:val="73F67F63"/>
    <w:rsid w:val="73FE361A"/>
    <w:rsid w:val="740800C7"/>
    <w:rsid w:val="74187158"/>
    <w:rsid w:val="74225CAE"/>
    <w:rsid w:val="74232A0F"/>
    <w:rsid w:val="74356168"/>
    <w:rsid w:val="7438012B"/>
    <w:rsid w:val="74394754"/>
    <w:rsid w:val="744276DF"/>
    <w:rsid w:val="74450836"/>
    <w:rsid w:val="744566B3"/>
    <w:rsid w:val="744E15D3"/>
    <w:rsid w:val="744F5D6A"/>
    <w:rsid w:val="745500FA"/>
    <w:rsid w:val="74591A28"/>
    <w:rsid w:val="74633D61"/>
    <w:rsid w:val="74897BA8"/>
    <w:rsid w:val="74921949"/>
    <w:rsid w:val="74981804"/>
    <w:rsid w:val="74A62A32"/>
    <w:rsid w:val="74C303AA"/>
    <w:rsid w:val="74DA01CE"/>
    <w:rsid w:val="74E11CE7"/>
    <w:rsid w:val="74EA0887"/>
    <w:rsid w:val="74F54377"/>
    <w:rsid w:val="751B69AC"/>
    <w:rsid w:val="75227415"/>
    <w:rsid w:val="75285984"/>
    <w:rsid w:val="752B18E8"/>
    <w:rsid w:val="75462718"/>
    <w:rsid w:val="75550DBA"/>
    <w:rsid w:val="75562889"/>
    <w:rsid w:val="756225D4"/>
    <w:rsid w:val="75646065"/>
    <w:rsid w:val="75716A6B"/>
    <w:rsid w:val="757A24EA"/>
    <w:rsid w:val="758868F7"/>
    <w:rsid w:val="75913442"/>
    <w:rsid w:val="759D41D5"/>
    <w:rsid w:val="759F6E47"/>
    <w:rsid w:val="75AE3429"/>
    <w:rsid w:val="75BD26ED"/>
    <w:rsid w:val="75D32087"/>
    <w:rsid w:val="75E53387"/>
    <w:rsid w:val="75E874E8"/>
    <w:rsid w:val="760602D2"/>
    <w:rsid w:val="760729A8"/>
    <w:rsid w:val="761C63DD"/>
    <w:rsid w:val="76204870"/>
    <w:rsid w:val="762215B7"/>
    <w:rsid w:val="762F415E"/>
    <w:rsid w:val="76342A16"/>
    <w:rsid w:val="76521AC3"/>
    <w:rsid w:val="76674DB7"/>
    <w:rsid w:val="7673773D"/>
    <w:rsid w:val="7679161C"/>
    <w:rsid w:val="76873085"/>
    <w:rsid w:val="76976535"/>
    <w:rsid w:val="769774FD"/>
    <w:rsid w:val="769B0408"/>
    <w:rsid w:val="76A7418D"/>
    <w:rsid w:val="76B157DF"/>
    <w:rsid w:val="76B51266"/>
    <w:rsid w:val="76BA1A53"/>
    <w:rsid w:val="76BB6653"/>
    <w:rsid w:val="76C54672"/>
    <w:rsid w:val="76D65D10"/>
    <w:rsid w:val="76F26294"/>
    <w:rsid w:val="77052BDB"/>
    <w:rsid w:val="770E458F"/>
    <w:rsid w:val="772623E4"/>
    <w:rsid w:val="773847AD"/>
    <w:rsid w:val="775D7B56"/>
    <w:rsid w:val="77645A0B"/>
    <w:rsid w:val="778234EF"/>
    <w:rsid w:val="778612B4"/>
    <w:rsid w:val="779A3B25"/>
    <w:rsid w:val="77A16F59"/>
    <w:rsid w:val="77A61A19"/>
    <w:rsid w:val="77A8713B"/>
    <w:rsid w:val="77B024F4"/>
    <w:rsid w:val="77BB27AB"/>
    <w:rsid w:val="77C7030D"/>
    <w:rsid w:val="77D12E2D"/>
    <w:rsid w:val="77D40517"/>
    <w:rsid w:val="77DB1D1B"/>
    <w:rsid w:val="77E66747"/>
    <w:rsid w:val="77E804AB"/>
    <w:rsid w:val="77E85E69"/>
    <w:rsid w:val="780D018B"/>
    <w:rsid w:val="781A0DB5"/>
    <w:rsid w:val="78256ACF"/>
    <w:rsid w:val="782D7B09"/>
    <w:rsid w:val="78346968"/>
    <w:rsid w:val="783D7C3D"/>
    <w:rsid w:val="78417EEA"/>
    <w:rsid w:val="784C03CB"/>
    <w:rsid w:val="784D2006"/>
    <w:rsid w:val="7855282E"/>
    <w:rsid w:val="787A665F"/>
    <w:rsid w:val="7884180F"/>
    <w:rsid w:val="788B44C4"/>
    <w:rsid w:val="78915BE9"/>
    <w:rsid w:val="78957992"/>
    <w:rsid w:val="78B3587F"/>
    <w:rsid w:val="78B86EC2"/>
    <w:rsid w:val="78C141FE"/>
    <w:rsid w:val="78C20890"/>
    <w:rsid w:val="78D665EA"/>
    <w:rsid w:val="78D66912"/>
    <w:rsid w:val="78E05ACF"/>
    <w:rsid w:val="78E9231B"/>
    <w:rsid w:val="78ED13FE"/>
    <w:rsid w:val="78EE54C1"/>
    <w:rsid w:val="78F27200"/>
    <w:rsid w:val="78F82D58"/>
    <w:rsid w:val="78F856CB"/>
    <w:rsid w:val="7903679E"/>
    <w:rsid w:val="7903780E"/>
    <w:rsid w:val="790C6E07"/>
    <w:rsid w:val="791A21AC"/>
    <w:rsid w:val="791F2A74"/>
    <w:rsid w:val="7953089D"/>
    <w:rsid w:val="795403AF"/>
    <w:rsid w:val="795A247F"/>
    <w:rsid w:val="79647BD1"/>
    <w:rsid w:val="796513FD"/>
    <w:rsid w:val="79660E3F"/>
    <w:rsid w:val="79683E73"/>
    <w:rsid w:val="797236C0"/>
    <w:rsid w:val="797876C3"/>
    <w:rsid w:val="797A12D2"/>
    <w:rsid w:val="79821501"/>
    <w:rsid w:val="798F5BB2"/>
    <w:rsid w:val="79A57893"/>
    <w:rsid w:val="79A64908"/>
    <w:rsid w:val="79C721B0"/>
    <w:rsid w:val="79CC3B9C"/>
    <w:rsid w:val="79CF4756"/>
    <w:rsid w:val="79D17055"/>
    <w:rsid w:val="79D81A97"/>
    <w:rsid w:val="79DB0FFE"/>
    <w:rsid w:val="79E93CD4"/>
    <w:rsid w:val="79EA3EAF"/>
    <w:rsid w:val="79F15391"/>
    <w:rsid w:val="7A122883"/>
    <w:rsid w:val="7A37269B"/>
    <w:rsid w:val="7A3F46A8"/>
    <w:rsid w:val="7A3F6A69"/>
    <w:rsid w:val="7A4260F2"/>
    <w:rsid w:val="7A511CEA"/>
    <w:rsid w:val="7A5B6BF1"/>
    <w:rsid w:val="7A745689"/>
    <w:rsid w:val="7A74617C"/>
    <w:rsid w:val="7A882AAB"/>
    <w:rsid w:val="7A8935AA"/>
    <w:rsid w:val="7A8C5A62"/>
    <w:rsid w:val="7A9B02A0"/>
    <w:rsid w:val="7AAC493D"/>
    <w:rsid w:val="7AB70A93"/>
    <w:rsid w:val="7AC77AD7"/>
    <w:rsid w:val="7AE56790"/>
    <w:rsid w:val="7AF67022"/>
    <w:rsid w:val="7AFF5BCE"/>
    <w:rsid w:val="7B10013E"/>
    <w:rsid w:val="7B326C07"/>
    <w:rsid w:val="7B362E62"/>
    <w:rsid w:val="7B556837"/>
    <w:rsid w:val="7B676012"/>
    <w:rsid w:val="7B6A7511"/>
    <w:rsid w:val="7B711CC9"/>
    <w:rsid w:val="7B890DF9"/>
    <w:rsid w:val="7B9C2817"/>
    <w:rsid w:val="7BA311A3"/>
    <w:rsid w:val="7BA46460"/>
    <w:rsid w:val="7BBA247E"/>
    <w:rsid w:val="7BBA2AA5"/>
    <w:rsid w:val="7BBB6AF8"/>
    <w:rsid w:val="7BBF2239"/>
    <w:rsid w:val="7BD84BDB"/>
    <w:rsid w:val="7BE72A58"/>
    <w:rsid w:val="7BEA1821"/>
    <w:rsid w:val="7BEF2D8B"/>
    <w:rsid w:val="7C1773FB"/>
    <w:rsid w:val="7C1E7985"/>
    <w:rsid w:val="7C2A362D"/>
    <w:rsid w:val="7C2F634D"/>
    <w:rsid w:val="7C304464"/>
    <w:rsid w:val="7C357268"/>
    <w:rsid w:val="7C394685"/>
    <w:rsid w:val="7C3946D8"/>
    <w:rsid w:val="7C3C1819"/>
    <w:rsid w:val="7C41114A"/>
    <w:rsid w:val="7C470595"/>
    <w:rsid w:val="7C5442D6"/>
    <w:rsid w:val="7C5A528B"/>
    <w:rsid w:val="7C620617"/>
    <w:rsid w:val="7C7878E3"/>
    <w:rsid w:val="7C826ECF"/>
    <w:rsid w:val="7C8C0A8D"/>
    <w:rsid w:val="7C8E3BC1"/>
    <w:rsid w:val="7C927AF3"/>
    <w:rsid w:val="7C97014B"/>
    <w:rsid w:val="7CA273D9"/>
    <w:rsid w:val="7CA874EC"/>
    <w:rsid w:val="7CB14A8A"/>
    <w:rsid w:val="7CBC0EDA"/>
    <w:rsid w:val="7CBE6E05"/>
    <w:rsid w:val="7CC01527"/>
    <w:rsid w:val="7CC318EA"/>
    <w:rsid w:val="7CCE5944"/>
    <w:rsid w:val="7CE4315C"/>
    <w:rsid w:val="7CF242BC"/>
    <w:rsid w:val="7CFE6AE4"/>
    <w:rsid w:val="7CFF2B54"/>
    <w:rsid w:val="7D001143"/>
    <w:rsid w:val="7D0905C7"/>
    <w:rsid w:val="7D180251"/>
    <w:rsid w:val="7D2E5F39"/>
    <w:rsid w:val="7D345D3C"/>
    <w:rsid w:val="7D3D4510"/>
    <w:rsid w:val="7D512219"/>
    <w:rsid w:val="7D6A7CF0"/>
    <w:rsid w:val="7DA77B7C"/>
    <w:rsid w:val="7DAB26E8"/>
    <w:rsid w:val="7DAF5F30"/>
    <w:rsid w:val="7DB41313"/>
    <w:rsid w:val="7DB8125E"/>
    <w:rsid w:val="7DBC38D5"/>
    <w:rsid w:val="7DC139F6"/>
    <w:rsid w:val="7DC927EE"/>
    <w:rsid w:val="7DCD34A9"/>
    <w:rsid w:val="7DD1602F"/>
    <w:rsid w:val="7DDD79F9"/>
    <w:rsid w:val="7DDE2123"/>
    <w:rsid w:val="7DE37724"/>
    <w:rsid w:val="7DE7410A"/>
    <w:rsid w:val="7DED0007"/>
    <w:rsid w:val="7DEE0D61"/>
    <w:rsid w:val="7DFB187B"/>
    <w:rsid w:val="7DFFCB28"/>
    <w:rsid w:val="7E0B4B47"/>
    <w:rsid w:val="7E2447D7"/>
    <w:rsid w:val="7E3201EE"/>
    <w:rsid w:val="7E3A3239"/>
    <w:rsid w:val="7E3B60E6"/>
    <w:rsid w:val="7E5656C0"/>
    <w:rsid w:val="7E5A3003"/>
    <w:rsid w:val="7E694EB9"/>
    <w:rsid w:val="7E73447D"/>
    <w:rsid w:val="7E746479"/>
    <w:rsid w:val="7E8412AD"/>
    <w:rsid w:val="7E8D6A07"/>
    <w:rsid w:val="7E936085"/>
    <w:rsid w:val="7E955A58"/>
    <w:rsid w:val="7E962A62"/>
    <w:rsid w:val="7EBE700C"/>
    <w:rsid w:val="7EC2393B"/>
    <w:rsid w:val="7ECA5B6E"/>
    <w:rsid w:val="7ED20926"/>
    <w:rsid w:val="7ED95003"/>
    <w:rsid w:val="7EDC604B"/>
    <w:rsid w:val="7EE1028D"/>
    <w:rsid w:val="7EEE78CB"/>
    <w:rsid w:val="7F093C4D"/>
    <w:rsid w:val="7F0D5DAE"/>
    <w:rsid w:val="7F0F6AEE"/>
    <w:rsid w:val="7F176427"/>
    <w:rsid w:val="7F181840"/>
    <w:rsid w:val="7F2B63DB"/>
    <w:rsid w:val="7F396F3C"/>
    <w:rsid w:val="7F434859"/>
    <w:rsid w:val="7F505FC9"/>
    <w:rsid w:val="7F556937"/>
    <w:rsid w:val="7F6A4DD4"/>
    <w:rsid w:val="7F8830F2"/>
    <w:rsid w:val="7F8D64E6"/>
    <w:rsid w:val="7F930B43"/>
    <w:rsid w:val="7F942DB0"/>
    <w:rsid w:val="7F9C24B0"/>
    <w:rsid w:val="7FB73304"/>
    <w:rsid w:val="7FC03CB9"/>
    <w:rsid w:val="7FE45991"/>
    <w:rsid w:val="7FF11F9E"/>
    <w:rsid w:val="AE2FD64D"/>
    <w:rsid w:val="AFF7847B"/>
    <w:rsid w:val="BBFF417C"/>
    <w:rsid w:val="BF5E733C"/>
    <w:rsid w:val="BF7D0E26"/>
    <w:rsid w:val="CCBF4163"/>
    <w:rsid w:val="D4BF86C9"/>
    <w:rsid w:val="D7FF16CF"/>
    <w:rsid w:val="DB2DDDA8"/>
    <w:rsid w:val="DDF7DAF1"/>
    <w:rsid w:val="EE7FBE7D"/>
    <w:rsid w:val="EFD9372C"/>
    <w:rsid w:val="EFDF81C4"/>
    <w:rsid w:val="EFFE9AA7"/>
    <w:rsid w:val="F7D393A2"/>
    <w:rsid w:val="F9D7F67F"/>
    <w:rsid w:val="FDD82E6C"/>
    <w:rsid w:val="FE5B8028"/>
    <w:rsid w:val="FF75CE6E"/>
    <w:rsid w:val="FF9EA0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60"/>
    <w:qFormat/>
    <w:uiPriority w:val="0"/>
    <w:pPr>
      <w:keepNext/>
      <w:keepLines/>
      <w:spacing w:line="578" w:lineRule="auto"/>
      <w:outlineLvl w:val="0"/>
    </w:pPr>
    <w:rPr>
      <w:rFonts w:ascii="Times New Roman" w:hAnsi="Times New Roman" w:eastAsia="Century Gothic"/>
      <w:b/>
      <w:bCs/>
      <w:kern w:val="44"/>
      <w:sz w:val="44"/>
      <w:szCs w:val="44"/>
    </w:rPr>
  </w:style>
  <w:style w:type="paragraph" w:styleId="4">
    <w:name w:val="heading 2"/>
    <w:basedOn w:val="1"/>
    <w:next w:val="1"/>
    <w:qFormat/>
    <w:uiPriority w:val="0"/>
    <w:pPr>
      <w:keepNext/>
      <w:keepLines/>
      <w:adjustRightInd w:val="0"/>
      <w:spacing w:line="415" w:lineRule="auto"/>
      <w:jc w:val="left"/>
      <w:outlineLvl w:val="1"/>
    </w:pPr>
    <w:rPr>
      <w:rFonts w:ascii="黑体" w:hAnsi="黑体" w:eastAsia="楷体"/>
      <w:b/>
      <w:bCs/>
      <w:sz w:val="32"/>
      <w:szCs w:val="32"/>
    </w:rPr>
  </w:style>
  <w:style w:type="paragraph" w:styleId="5">
    <w:name w:val="heading 3"/>
    <w:basedOn w:val="1"/>
    <w:next w:val="1"/>
    <w:qFormat/>
    <w:uiPriority w:val="0"/>
    <w:pPr>
      <w:keepNext/>
      <w:keepLines/>
      <w:spacing w:line="416" w:lineRule="auto"/>
      <w:outlineLvl w:val="2"/>
    </w:pPr>
    <w:rPr>
      <w:b/>
      <w:bCs/>
      <w:sz w:val="32"/>
      <w:szCs w:val="32"/>
    </w:rPr>
  </w:style>
  <w:style w:type="paragraph" w:styleId="6">
    <w:name w:val="heading 4"/>
    <w:basedOn w:val="1"/>
    <w:next w:val="1"/>
    <w:qFormat/>
    <w:uiPriority w:val="0"/>
    <w:pPr>
      <w:keepNext/>
      <w:widowControl/>
      <w:jc w:val="center"/>
      <w:outlineLvl w:val="3"/>
    </w:pPr>
    <w:rPr>
      <w:rFonts w:ascii="MS Sans Serif" w:hAnsi="仿宋_GB2312" w:eastAsia="MS Sans Serif"/>
      <w:snapToGrid w:val="0"/>
      <w:kern w:val="0"/>
      <w:sz w:val="24"/>
      <w:szCs w:val="20"/>
    </w:rPr>
  </w:style>
  <w:style w:type="paragraph" w:styleId="7">
    <w:name w:val="heading 5"/>
    <w:basedOn w:val="1"/>
    <w:next w:val="1"/>
    <w:qFormat/>
    <w:uiPriority w:val="0"/>
    <w:pPr>
      <w:widowControl/>
      <w:jc w:val="left"/>
      <w:outlineLvl w:val="4"/>
    </w:pPr>
    <w:rPr>
      <w:rFonts w:ascii="MS Sans Serif" w:eastAsia="MS Sans Serif"/>
      <w:kern w:val="0"/>
      <w:sz w:val="24"/>
      <w:szCs w:val="20"/>
    </w:rPr>
  </w:style>
  <w:style w:type="paragraph" w:styleId="8">
    <w:name w:val="heading 6"/>
    <w:basedOn w:val="1"/>
    <w:next w:val="1"/>
    <w:qFormat/>
    <w:uiPriority w:val="0"/>
    <w:pPr>
      <w:keepNext/>
      <w:keepLines/>
      <w:spacing w:line="320" w:lineRule="auto"/>
      <w:outlineLvl w:val="5"/>
    </w:pPr>
    <w:rPr>
      <w:rFonts w:ascii="黑体" w:hAnsi="黑体" w:eastAsia="楷体"/>
      <w:b/>
      <w:sz w:val="24"/>
      <w:szCs w:val="20"/>
    </w:rPr>
  </w:style>
  <w:style w:type="paragraph" w:styleId="9">
    <w:name w:val="heading 7"/>
    <w:basedOn w:val="1"/>
    <w:next w:val="1"/>
    <w:qFormat/>
    <w:uiPriority w:val="0"/>
    <w:pPr>
      <w:keepNext/>
      <w:keepLines/>
      <w:spacing w:line="320" w:lineRule="auto"/>
      <w:outlineLvl w:val="6"/>
    </w:pPr>
    <w:rPr>
      <w:b/>
      <w:sz w:val="24"/>
      <w:szCs w:val="20"/>
    </w:rPr>
  </w:style>
  <w:style w:type="paragraph" w:styleId="10">
    <w:name w:val="heading 8"/>
    <w:basedOn w:val="1"/>
    <w:next w:val="11"/>
    <w:qFormat/>
    <w:uiPriority w:val="0"/>
    <w:pPr>
      <w:keepNext/>
      <w:keepLines/>
      <w:spacing w:line="320" w:lineRule="auto"/>
      <w:outlineLvl w:val="7"/>
    </w:pPr>
    <w:rPr>
      <w:rFonts w:ascii="黑体" w:hAnsi="黑体" w:eastAsia="楷体"/>
      <w:sz w:val="24"/>
      <w:szCs w:val="20"/>
    </w:rPr>
  </w:style>
  <w:style w:type="paragraph" w:styleId="12">
    <w:name w:val="heading 9"/>
    <w:basedOn w:val="1"/>
    <w:next w:val="11"/>
    <w:qFormat/>
    <w:uiPriority w:val="0"/>
    <w:pPr>
      <w:keepNext/>
      <w:keepLines/>
      <w:spacing w:line="320" w:lineRule="auto"/>
      <w:outlineLvl w:val="8"/>
    </w:pPr>
    <w:rPr>
      <w:rFonts w:ascii="黑体" w:hAnsi="黑体" w:eastAsia="楷体"/>
      <w:szCs w:val="20"/>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1"/>
    <w:link w:val="62"/>
    <w:qFormat/>
    <w:uiPriority w:val="0"/>
    <w:pPr>
      <w:adjustRightInd w:val="0"/>
      <w:spacing w:line="360" w:lineRule="auto"/>
      <w:ind w:firstLine="490"/>
      <w:jc w:val="left"/>
    </w:pPr>
    <w:rPr>
      <w:rFonts w:ascii="Century Gothic" w:hAnsi="Century Gothic" w:eastAsia="Century Gothic"/>
      <w:sz w:val="24"/>
      <w:szCs w:val="20"/>
    </w:rPr>
  </w:style>
  <w:style w:type="paragraph" w:styleId="11">
    <w:name w:val="Normal Indent"/>
    <w:basedOn w:val="1"/>
    <w:next w:val="1"/>
    <w:link w:val="61"/>
    <w:qFormat/>
    <w:uiPriority w:val="0"/>
    <w:pPr>
      <w:widowControl/>
      <w:ind w:firstLine="420"/>
      <w:jc w:val="left"/>
    </w:pPr>
    <w:rPr>
      <w:rFonts w:ascii="Arial" w:hAnsi="Arial" w:cs="Arial"/>
      <w:kern w:val="0"/>
      <w:sz w:val="20"/>
      <w:szCs w:val="20"/>
    </w:rPr>
  </w:style>
  <w:style w:type="paragraph" w:styleId="13">
    <w:name w:val="toc 7"/>
    <w:basedOn w:val="1"/>
    <w:next w:val="1"/>
    <w:semiHidden/>
    <w:qFormat/>
    <w:uiPriority w:val="0"/>
    <w:pPr>
      <w:ind w:left="1260"/>
      <w:jc w:val="left"/>
    </w:pPr>
    <w:rPr>
      <w:sz w:val="18"/>
      <w:szCs w:val="18"/>
    </w:rPr>
  </w:style>
  <w:style w:type="paragraph" w:styleId="14">
    <w:name w:val="List Number"/>
    <w:basedOn w:val="1"/>
    <w:qFormat/>
    <w:uiPriority w:val="0"/>
    <w:pPr>
      <w:widowControl/>
      <w:tabs>
        <w:tab w:val="left" w:pos="420"/>
        <w:tab w:val="left" w:pos="454"/>
      </w:tabs>
      <w:spacing w:afterLines="50"/>
      <w:ind w:left="454" w:hanging="284"/>
      <w:jc w:val="left"/>
    </w:pPr>
    <w:rPr>
      <w:kern w:val="0"/>
      <w:sz w:val="24"/>
      <w:szCs w:val="20"/>
    </w:rPr>
  </w:style>
  <w:style w:type="paragraph" w:styleId="15">
    <w:name w:val="caption"/>
    <w:basedOn w:val="1"/>
    <w:next w:val="1"/>
    <w:qFormat/>
    <w:uiPriority w:val="0"/>
    <w:rPr>
      <w:rFonts w:ascii="黑体" w:hAnsi="黑体" w:eastAsia="楷体" w:cs="黑体"/>
      <w:sz w:val="20"/>
      <w:szCs w:val="20"/>
    </w:rPr>
  </w:style>
  <w:style w:type="paragraph" w:styleId="16">
    <w:name w:val="Document Map"/>
    <w:basedOn w:val="1"/>
    <w:semiHidden/>
    <w:qFormat/>
    <w:uiPriority w:val="0"/>
    <w:pPr>
      <w:shd w:val="clear" w:color="auto" w:fill="000080"/>
    </w:pPr>
  </w:style>
  <w:style w:type="paragraph" w:styleId="17">
    <w:name w:val="annotation text"/>
    <w:basedOn w:val="1"/>
    <w:semiHidden/>
    <w:qFormat/>
    <w:uiPriority w:val="0"/>
    <w:pPr>
      <w:jc w:val="left"/>
    </w:pPr>
  </w:style>
  <w:style w:type="paragraph" w:styleId="18">
    <w:name w:val="Body Text"/>
    <w:basedOn w:val="1"/>
    <w:next w:val="19"/>
    <w:qFormat/>
    <w:uiPriority w:val="0"/>
  </w:style>
  <w:style w:type="paragraph" w:styleId="19">
    <w:name w:val="Body Text First Indent"/>
    <w:basedOn w:val="18"/>
    <w:next w:val="1"/>
    <w:qFormat/>
    <w:uiPriority w:val="0"/>
    <w:pPr>
      <w:ind w:firstLine="420"/>
    </w:pPr>
  </w:style>
  <w:style w:type="paragraph" w:styleId="20">
    <w:name w:val="List Number 3"/>
    <w:basedOn w:val="1"/>
    <w:qFormat/>
    <w:uiPriority w:val="0"/>
    <w:pPr>
      <w:widowControl/>
      <w:tabs>
        <w:tab w:val="left" w:pos="482"/>
        <w:tab w:val="left" w:pos="1157"/>
      </w:tabs>
      <w:spacing w:afterLines="50"/>
      <w:ind w:left="482" w:hanging="340"/>
      <w:jc w:val="left"/>
    </w:pPr>
    <w:rPr>
      <w:kern w:val="0"/>
      <w:sz w:val="24"/>
      <w:szCs w:val="20"/>
    </w:rPr>
  </w:style>
  <w:style w:type="paragraph" w:styleId="21">
    <w:name w:val="Block Text"/>
    <w:basedOn w:val="1"/>
    <w:qFormat/>
    <w:uiPriority w:val="0"/>
    <w:pPr>
      <w:adjustRightInd w:val="0"/>
      <w:snapToGrid w:val="0"/>
      <w:spacing w:line="300" w:lineRule="auto"/>
      <w:ind w:left="958" w:right="-120" w:rightChars="-120"/>
      <w:jc w:val="left"/>
    </w:pPr>
    <w:rPr>
      <w:rFonts w:hint="eastAsia" w:ascii="Century Gothic" w:hAnsi="Century Gothic"/>
      <w:sz w:val="28"/>
      <w:szCs w:val="20"/>
    </w:rPr>
  </w:style>
  <w:style w:type="paragraph" w:styleId="22">
    <w:name w:val="toc 5"/>
    <w:basedOn w:val="1"/>
    <w:next w:val="1"/>
    <w:semiHidden/>
    <w:qFormat/>
    <w:uiPriority w:val="0"/>
    <w:pPr>
      <w:ind w:left="840"/>
      <w:jc w:val="left"/>
    </w:pPr>
    <w:rPr>
      <w:sz w:val="18"/>
      <w:szCs w:val="18"/>
    </w:rPr>
  </w:style>
  <w:style w:type="paragraph" w:styleId="23">
    <w:name w:val="toc 3"/>
    <w:basedOn w:val="1"/>
    <w:next w:val="1"/>
    <w:semiHidden/>
    <w:qFormat/>
    <w:uiPriority w:val="0"/>
    <w:pPr>
      <w:ind w:left="420"/>
      <w:jc w:val="left"/>
    </w:pPr>
    <w:rPr>
      <w:i/>
      <w:iCs/>
      <w:sz w:val="20"/>
      <w:szCs w:val="20"/>
    </w:rPr>
  </w:style>
  <w:style w:type="paragraph" w:styleId="24">
    <w:name w:val="Plain Text"/>
    <w:basedOn w:val="1"/>
    <w:next w:val="1"/>
    <w:link w:val="63"/>
    <w:qFormat/>
    <w:uiPriority w:val="0"/>
    <w:rPr>
      <w:rFonts w:ascii="Century Gothic" w:hAnsi="楷体_GB2312" w:eastAsia="Century Gothic" w:cs="楷体_GB2312"/>
      <w:szCs w:val="21"/>
    </w:rPr>
  </w:style>
  <w:style w:type="paragraph" w:styleId="25">
    <w:name w:val="toc 8"/>
    <w:basedOn w:val="1"/>
    <w:next w:val="1"/>
    <w:semiHidden/>
    <w:qFormat/>
    <w:uiPriority w:val="0"/>
    <w:pPr>
      <w:ind w:left="1470"/>
      <w:jc w:val="left"/>
    </w:pPr>
    <w:rPr>
      <w:sz w:val="18"/>
      <w:szCs w:val="18"/>
    </w:rPr>
  </w:style>
  <w:style w:type="paragraph" w:styleId="26">
    <w:name w:val="Date"/>
    <w:basedOn w:val="1"/>
    <w:next w:val="1"/>
    <w:qFormat/>
    <w:uiPriority w:val="0"/>
    <w:pPr>
      <w:ind w:left="100" w:leftChars="2500"/>
    </w:pPr>
  </w:style>
  <w:style w:type="paragraph" w:styleId="27">
    <w:name w:val="Body Text Indent 2"/>
    <w:basedOn w:val="1"/>
    <w:qFormat/>
    <w:uiPriority w:val="0"/>
    <w:pPr>
      <w:adjustRightInd w:val="0"/>
      <w:spacing w:line="360" w:lineRule="auto"/>
      <w:ind w:firstLine="504" w:firstLineChars="210"/>
      <w:jc w:val="left"/>
    </w:pPr>
    <w:rPr>
      <w:rFonts w:hint="eastAsia" w:ascii="Century Gothic" w:hAnsi="Century Gothic"/>
      <w:sz w:val="24"/>
      <w:szCs w:val="20"/>
    </w:rPr>
  </w:style>
  <w:style w:type="paragraph" w:styleId="28">
    <w:name w:val="Balloon Text"/>
    <w:basedOn w:val="1"/>
    <w:semiHidden/>
    <w:qFormat/>
    <w:uiPriority w:val="0"/>
    <w:rPr>
      <w:sz w:val="18"/>
      <w:szCs w:val="18"/>
    </w:rPr>
  </w:style>
  <w:style w:type="paragraph" w:styleId="29">
    <w:name w:val="footer"/>
    <w:basedOn w:val="1"/>
    <w:link w:val="64"/>
    <w:qFormat/>
    <w:uiPriority w:val="0"/>
    <w:pPr>
      <w:tabs>
        <w:tab w:val="center" w:pos="4153"/>
        <w:tab w:val="right" w:pos="8306"/>
      </w:tabs>
      <w:adjustRightInd w:val="0"/>
      <w:jc w:val="left"/>
    </w:pPr>
    <w:rPr>
      <w:rFonts w:ascii="Times New Roman" w:hAnsi="Times New Roman" w:eastAsia="Century Gothic"/>
      <w:sz w:val="18"/>
      <w:szCs w:val="20"/>
    </w:rPr>
  </w:style>
  <w:style w:type="paragraph" w:styleId="30">
    <w:name w:val="envelope return"/>
    <w:basedOn w:val="1"/>
    <w:qFormat/>
    <w:uiPriority w:val="0"/>
    <w:pPr>
      <w:snapToGrid w:val="0"/>
    </w:pPr>
    <w:rPr>
      <w:rFonts w:ascii="Arial" w:hAnsi="Arial"/>
    </w:rPr>
  </w:style>
  <w:style w:type="paragraph" w:styleId="31">
    <w:name w:val="header"/>
    <w:basedOn w:val="1"/>
    <w:qFormat/>
    <w:uiPriority w:val="0"/>
    <w:pPr>
      <w:pBdr>
        <w:bottom w:val="single" w:color="auto" w:sz="6" w:space="1"/>
      </w:pBdr>
      <w:tabs>
        <w:tab w:val="center" w:pos="4153"/>
        <w:tab w:val="right" w:pos="8306"/>
      </w:tabs>
      <w:adjustRightInd w:val="0"/>
      <w:jc w:val="center"/>
    </w:pPr>
    <w:rPr>
      <w:sz w:val="18"/>
      <w:szCs w:val="20"/>
    </w:rPr>
  </w:style>
  <w:style w:type="paragraph" w:styleId="32">
    <w:name w:val="toc 1"/>
    <w:basedOn w:val="1"/>
    <w:next w:val="1"/>
    <w:qFormat/>
    <w:uiPriority w:val="39"/>
    <w:pPr>
      <w:tabs>
        <w:tab w:val="right" w:leader="dot" w:pos="8720"/>
      </w:tabs>
      <w:jc w:val="left"/>
    </w:pPr>
    <w:rPr>
      <w:rFonts w:ascii="Century Gothic" w:hAnsi="Century Gothic"/>
      <w:bCs/>
      <w:caps/>
      <w:sz w:val="20"/>
      <w:szCs w:val="20"/>
    </w:rPr>
  </w:style>
  <w:style w:type="paragraph" w:styleId="33">
    <w:name w:val="toc 4"/>
    <w:basedOn w:val="1"/>
    <w:next w:val="1"/>
    <w:semiHidden/>
    <w:qFormat/>
    <w:uiPriority w:val="0"/>
    <w:pPr>
      <w:ind w:left="630"/>
      <w:jc w:val="left"/>
    </w:pPr>
    <w:rPr>
      <w:sz w:val="18"/>
      <w:szCs w:val="18"/>
    </w:rPr>
  </w:style>
  <w:style w:type="paragraph" w:styleId="34">
    <w:name w:val="toc 6"/>
    <w:basedOn w:val="1"/>
    <w:next w:val="1"/>
    <w:semiHidden/>
    <w:qFormat/>
    <w:uiPriority w:val="0"/>
    <w:pPr>
      <w:ind w:left="1050"/>
      <w:jc w:val="left"/>
    </w:pPr>
    <w:rPr>
      <w:sz w:val="18"/>
      <w:szCs w:val="18"/>
    </w:rPr>
  </w:style>
  <w:style w:type="paragraph" w:styleId="35">
    <w:name w:val="List 5"/>
    <w:basedOn w:val="1"/>
    <w:qFormat/>
    <w:uiPriority w:val="0"/>
    <w:pPr>
      <w:ind w:left="100" w:leftChars="800" w:hanging="200" w:hangingChars="200"/>
    </w:pPr>
    <w:rPr>
      <w:szCs w:val="20"/>
    </w:rPr>
  </w:style>
  <w:style w:type="paragraph" w:styleId="36">
    <w:name w:val="Body Text Indent 3"/>
    <w:basedOn w:val="1"/>
    <w:qFormat/>
    <w:uiPriority w:val="0"/>
    <w:pPr>
      <w:ind w:left="420" w:leftChars="200"/>
    </w:pPr>
    <w:rPr>
      <w:sz w:val="16"/>
      <w:szCs w:val="16"/>
    </w:rPr>
  </w:style>
  <w:style w:type="paragraph" w:styleId="37">
    <w:name w:val="toc 2"/>
    <w:basedOn w:val="1"/>
    <w:next w:val="1"/>
    <w:qFormat/>
    <w:uiPriority w:val="39"/>
    <w:pPr>
      <w:tabs>
        <w:tab w:val="right" w:leader="dot" w:pos="8720"/>
      </w:tabs>
      <w:adjustRightInd w:val="0"/>
      <w:snapToGrid w:val="0"/>
      <w:jc w:val="left"/>
    </w:pPr>
    <w:rPr>
      <w:smallCaps/>
      <w:sz w:val="20"/>
      <w:szCs w:val="20"/>
    </w:rPr>
  </w:style>
  <w:style w:type="paragraph" w:styleId="38">
    <w:name w:val="toc 9"/>
    <w:basedOn w:val="1"/>
    <w:next w:val="1"/>
    <w:semiHidden/>
    <w:qFormat/>
    <w:uiPriority w:val="0"/>
    <w:pPr>
      <w:ind w:left="1680"/>
      <w:jc w:val="left"/>
    </w:pPr>
    <w:rPr>
      <w:sz w:val="18"/>
      <w:szCs w:val="18"/>
    </w:rPr>
  </w:style>
  <w:style w:type="paragraph" w:styleId="39">
    <w:name w:val="Body Text 2"/>
    <w:basedOn w:val="1"/>
    <w:qFormat/>
    <w:uiPriority w:val="0"/>
    <w:rPr>
      <w:sz w:val="24"/>
    </w:rPr>
  </w:style>
  <w:style w:type="paragraph" w:styleId="4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41">
    <w:name w:val="Normal (Web)"/>
    <w:basedOn w:val="1"/>
    <w:qFormat/>
    <w:uiPriority w:val="99"/>
    <w:pPr>
      <w:widowControl/>
      <w:shd w:val="clear" w:color="auto" w:fill="FFFFFF"/>
      <w:spacing w:beforeAutospacing="1" w:afterAutospacing="1"/>
      <w:jc w:val="left"/>
    </w:pPr>
    <w:rPr>
      <w:rFonts w:ascii="Century Gothic" w:hAnsi="Century Gothic"/>
      <w:kern w:val="0"/>
      <w:sz w:val="18"/>
      <w:szCs w:val="18"/>
    </w:rPr>
  </w:style>
  <w:style w:type="paragraph" w:styleId="42">
    <w:name w:val="Title"/>
    <w:basedOn w:val="1"/>
    <w:next w:val="1"/>
    <w:qFormat/>
    <w:uiPriority w:val="0"/>
    <w:pPr>
      <w:tabs>
        <w:tab w:val="left" w:pos="1200"/>
      </w:tabs>
      <w:spacing w:afterLines="200"/>
      <w:ind w:left="1440" w:hanging="720"/>
      <w:jc w:val="center"/>
    </w:pPr>
    <w:rPr>
      <w:b/>
      <w:bCs/>
      <w:spacing w:val="60"/>
      <w:sz w:val="32"/>
    </w:rPr>
  </w:style>
  <w:style w:type="paragraph" w:styleId="43">
    <w:name w:val="annotation subject"/>
    <w:basedOn w:val="17"/>
    <w:next w:val="17"/>
    <w:semiHidden/>
    <w:qFormat/>
    <w:uiPriority w:val="0"/>
    <w:rPr>
      <w:b/>
      <w:bCs/>
    </w:rPr>
  </w:style>
  <w:style w:type="paragraph" w:styleId="44">
    <w:name w:val="Body Text First Indent 2"/>
    <w:basedOn w:val="2"/>
    <w:qFormat/>
    <w:uiPriority w:val="0"/>
    <w:pPr>
      <w:ind w:firstLine="420" w:firstLineChars="200"/>
    </w:pPr>
  </w:style>
  <w:style w:type="table" w:styleId="46">
    <w:name w:val="Table Grid"/>
    <w:basedOn w:val="45"/>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qFormat/>
    <w:uiPriority w:val="0"/>
    <w:rPr>
      <w:b/>
    </w:rPr>
  </w:style>
  <w:style w:type="character" w:styleId="49">
    <w:name w:val="page number"/>
    <w:qFormat/>
    <w:uiPriority w:val="0"/>
  </w:style>
  <w:style w:type="character" w:styleId="50">
    <w:name w:val="FollowedHyperlink"/>
    <w:qFormat/>
    <w:uiPriority w:val="0"/>
    <w:rPr>
      <w:color w:val="3177FD"/>
      <w:sz w:val="21"/>
      <w:szCs w:val="21"/>
      <w:u w:val="none"/>
    </w:rPr>
  </w:style>
  <w:style w:type="character" w:styleId="51">
    <w:name w:val="HTML Definition"/>
    <w:qFormat/>
    <w:uiPriority w:val="0"/>
    <w:rPr>
      <w:i/>
      <w:color w:val="FFFFFF"/>
      <w:u w:val="none"/>
    </w:rPr>
  </w:style>
  <w:style w:type="character" w:styleId="52">
    <w:name w:val="Hyperlink"/>
    <w:qFormat/>
    <w:uiPriority w:val="0"/>
    <w:rPr>
      <w:color w:val="3177FD"/>
      <w:u w:val="none"/>
    </w:rPr>
  </w:style>
  <w:style w:type="character" w:styleId="53">
    <w:name w:val="HTML Code"/>
    <w:qFormat/>
    <w:uiPriority w:val="0"/>
    <w:rPr>
      <w:rFonts w:hint="default" w:ascii="Consolas" w:hAnsi="Consolas" w:eastAsia="Consolas" w:cs="Consolas"/>
      <w:sz w:val="21"/>
      <w:szCs w:val="21"/>
    </w:rPr>
  </w:style>
  <w:style w:type="character" w:styleId="54">
    <w:name w:val="annotation reference"/>
    <w:semiHidden/>
    <w:qFormat/>
    <w:uiPriority w:val="0"/>
    <w:rPr>
      <w:sz w:val="21"/>
      <w:szCs w:val="21"/>
    </w:rPr>
  </w:style>
  <w:style w:type="character" w:styleId="55">
    <w:name w:val="HTML Keyboard"/>
    <w:qFormat/>
    <w:uiPriority w:val="0"/>
    <w:rPr>
      <w:rFonts w:ascii="Consolas" w:hAnsi="Consolas" w:eastAsia="Consolas" w:cs="Consolas"/>
      <w:sz w:val="21"/>
      <w:szCs w:val="21"/>
    </w:rPr>
  </w:style>
  <w:style w:type="character" w:styleId="56">
    <w:name w:val="HTML Sample"/>
    <w:qFormat/>
    <w:uiPriority w:val="0"/>
    <w:rPr>
      <w:rFonts w:hint="default" w:ascii="Consolas" w:hAnsi="Consolas" w:eastAsia="Consolas" w:cs="Consolas"/>
      <w:sz w:val="21"/>
      <w:szCs w:val="21"/>
    </w:rPr>
  </w:style>
  <w:style w:type="paragraph" w:customStyle="1" w:styleId="57">
    <w:name w:val="BodyText"/>
    <w:basedOn w:val="1"/>
    <w:next w:val="58"/>
    <w:qFormat/>
    <w:uiPriority w:val="0"/>
    <w:rPr>
      <w:sz w:val="20"/>
    </w:rPr>
  </w:style>
  <w:style w:type="paragraph" w:customStyle="1" w:styleId="58">
    <w:name w:val="BodyText1I"/>
    <w:basedOn w:val="57"/>
    <w:qFormat/>
    <w:uiPriority w:val="0"/>
    <w:pPr>
      <w:spacing w:after="120"/>
      <w:ind w:firstLine="420" w:firstLineChars="100"/>
    </w:pPr>
  </w:style>
  <w:style w:type="paragraph" w:customStyle="1" w:styleId="59">
    <w:name w:val="_Style 1"/>
    <w:qFormat/>
    <w:uiPriority w:val="34"/>
    <w:rPr>
      <w:rFonts w:ascii="Calibri" w:hAnsi="Calibri" w:eastAsia="宋体" w:cs="Times New Roman"/>
      <w:kern w:val="2"/>
      <w:sz w:val="28"/>
      <w:szCs w:val="22"/>
      <w:lang w:val="en-US" w:eastAsia="zh-CN" w:bidi="ar-SA"/>
    </w:rPr>
  </w:style>
  <w:style w:type="character" w:customStyle="1" w:styleId="60">
    <w:name w:val="标题 1 Char"/>
    <w:link w:val="3"/>
    <w:qFormat/>
    <w:uiPriority w:val="0"/>
    <w:rPr>
      <w:rFonts w:eastAsia="Century Gothic"/>
      <w:b/>
      <w:bCs/>
      <w:kern w:val="44"/>
      <w:sz w:val="44"/>
      <w:szCs w:val="44"/>
      <w:lang w:val="en-US" w:eastAsia="zh-CN" w:bidi="ar-SA"/>
    </w:rPr>
  </w:style>
  <w:style w:type="character" w:customStyle="1" w:styleId="61">
    <w:name w:val="正文缩进 Char"/>
    <w:link w:val="11"/>
    <w:qFormat/>
    <w:uiPriority w:val="0"/>
    <w:rPr>
      <w:rFonts w:ascii="Arial" w:hAnsi="Arial" w:eastAsia="宋体" w:cs="Arial"/>
      <w:lang w:val="en-US" w:eastAsia="zh-CN" w:bidi="ar-SA"/>
    </w:rPr>
  </w:style>
  <w:style w:type="character" w:customStyle="1" w:styleId="62">
    <w:name w:val="正文文本缩进 Char"/>
    <w:link w:val="2"/>
    <w:semiHidden/>
    <w:qFormat/>
    <w:uiPriority w:val="0"/>
    <w:rPr>
      <w:rFonts w:ascii="Century Gothic" w:hAnsi="Century Gothic" w:eastAsia="Century Gothic"/>
      <w:kern w:val="2"/>
      <w:sz w:val="24"/>
      <w:lang w:val="en-US" w:eastAsia="zh-CN" w:bidi="ar-SA"/>
    </w:rPr>
  </w:style>
  <w:style w:type="character" w:customStyle="1" w:styleId="63">
    <w:name w:val="纯文本 Char"/>
    <w:link w:val="24"/>
    <w:qFormat/>
    <w:uiPriority w:val="0"/>
    <w:rPr>
      <w:rFonts w:ascii="Century Gothic" w:hAnsi="楷体_GB2312" w:eastAsia="Century Gothic" w:cs="楷体_GB2312"/>
      <w:kern w:val="2"/>
      <w:sz w:val="21"/>
      <w:szCs w:val="21"/>
      <w:lang w:val="en-US" w:eastAsia="zh-CN" w:bidi="ar-SA"/>
    </w:rPr>
  </w:style>
  <w:style w:type="character" w:customStyle="1" w:styleId="64">
    <w:name w:val="页脚 Char"/>
    <w:link w:val="29"/>
    <w:qFormat/>
    <w:uiPriority w:val="0"/>
    <w:rPr>
      <w:rFonts w:eastAsia="Century Gothic"/>
      <w:kern w:val="2"/>
      <w:sz w:val="18"/>
      <w:lang w:val="en-US" w:eastAsia="zh-CN" w:bidi="ar-SA"/>
    </w:rPr>
  </w:style>
  <w:style w:type="character" w:customStyle="1" w:styleId="65">
    <w:name w:val="zbggmain style9"/>
    <w:qFormat/>
    <w:uiPriority w:val="0"/>
    <w:rPr>
      <w:rFonts w:ascii="Courier New" w:eastAsia="Courier New"/>
      <w:b/>
      <w:kern w:val="2"/>
      <w:sz w:val="32"/>
      <w:szCs w:val="32"/>
      <w:lang w:val="en-US" w:eastAsia="zh-CN" w:bidi="ar-SA"/>
    </w:rPr>
  </w:style>
  <w:style w:type="character" w:customStyle="1" w:styleId="66">
    <w:name w:val="temp1"/>
    <w:qFormat/>
    <w:uiPriority w:val="0"/>
  </w:style>
  <w:style w:type="character" w:customStyle="1" w:styleId="67">
    <w:name w:val="Char Char21"/>
    <w:qFormat/>
    <w:uiPriority w:val="0"/>
    <w:rPr>
      <w:rFonts w:eastAsia="Century Gothic"/>
      <w:b/>
      <w:bCs/>
      <w:kern w:val="44"/>
      <w:sz w:val="32"/>
      <w:szCs w:val="44"/>
      <w:lang w:val="en-US" w:eastAsia="zh-CN" w:bidi="ar-SA"/>
    </w:rPr>
  </w:style>
  <w:style w:type="character" w:customStyle="1" w:styleId="68">
    <w:name w:val="Char Char12"/>
    <w:qFormat/>
    <w:uiPriority w:val="0"/>
    <w:rPr>
      <w:rFonts w:ascii="Century Gothic" w:hAnsi="楷体_GB2312" w:eastAsia="Century Gothic" w:cs="楷体_GB2312"/>
      <w:kern w:val="2"/>
      <w:sz w:val="21"/>
      <w:szCs w:val="21"/>
      <w:lang w:val="en-US" w:eastAsia="zh-CN" w:bidi="ar-SA"/>
    </w:rPr>
  </w:style>
  <w:style w:type="character" w:customStyle="1" w:styleId="69">
    <w:name w:val="first-child7"/>
    <w:qFormat/>
    <w:uiPriority w:val="0"/>
  </w:style>
  <w:style w:type="character" w:customStyle="1" w:styleId="70">
    <w:name w:val="ant-select-tree-checkbox"/>
    <w:qFormat/>
    <w:uiPriority w:val="0"/>
  </w:style>
  <w:style w:type="character" w:customStyle="1" w:styleId="71">
    <w:name w:val="tag-type"/>
    <w:qFormat/>
    <w:uiPriority w:val="0"/>
    <w:rPr>
      <w:color w:val="FFFFFF"/>
      <w:sz w:val="18"/>
      <w:szCs w:val="18"/>
      <w:shd w:val="clear" w:color="auto" w:fill="317FFD"/>
    </w:rPr>
  </w:style>
  <w:style w:type="character" w:customStyle="1" w:styleId="72">
    <w:name w:val="ant-select-tree-switcher"/>
    <w:qFormat/>
    <w:uiPriority w:val="0"/>
  </w:style>
  <w:style w:type="character" w:customStyle="1" w:styleId="73">
    <w:name w:val="Default Char"/>
    <w:link w:val="74"/>
    <w:qFormat/>
    <w:uiPriority w:val="0"/>
    <w:rPr>
      <w:rFonts w:ascii="楷体" w:eastAsia="楷体"/>
      <w:color w:val="000000"/>
      <w:sz w:val="24"/>
      <w:szCs w:val="24"/>
      <w:lang w:val="en-US" w:eastAsia="zh-CN" w:bidi="ar-SA"/>
    </w:rPr>
  </w:style>
  <w:style w:type="paragraph" w:customStyle="1" w:styleId="74">
    <w:name w:val="Default"/>
    <w:next w:val="75"/>
    <w:link w:val="73"/>
    <w:qFormat/>
    <w:uiPriority w:val="0"/>
    <w:pPr>
      <w:widowControl w:val="0"/>
      <w:autoSpaceDE w:val="0"/>
      <w:autoSpaceDN w:val="0"/>
      <w:adjustRightInd w:val="0"/>
    </w:pPr>
    <w:rPr>
      <w:rFonts w:ascii="楷体" w:hAnsi="Times New Roman" w:eastAsia="楷体" w:cs="Times New Roman"/>
      <w:color w:val="000000"/>
      <w:sz w:val="24"/>
      <w:szCs w:val="24"/>
      <w:lang w:val="en-US" w:eastAsia="zh-CN" w:bidi="ar-SA"/>
    </w:rPr>
  </w:style>
  <w:style w:type="paragraph" w:customStyle="1" w:styleId="75">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76">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77">
    <w:name w:val="普通文字 Char Char1"/>
    <w:qFormat/>
    <w:uiPriority w:val="0"/>
    <w:rPr>
      <w:rFonts w:ascii="Century Gothic" w:hAnsi="楷体_GB2312" w:eastAsia="Century Gothic" w:cs="楷体_GB2312"/>
      <w:kern w:val="2"/>
      <w:sz w:val="21"/>
      <w:szCs w:val="21"/>
      <w:lang w:val="en-US" w:eastAsia="zh-CN" w:bidi="ar-SA"/>
    </w:rPr>
  </w:style>
  <w:style w:type="character" w:customStyle="1" w:styleId="78">
    <w:name w:val="font71"/>
    <w:qFormat/>
    <w:uiPriority w:val="0"/>
    <w:rPr>
      <w:rFonts w:hint="eastAsia" w:ascii="宋体" w:hAnsi="宋体" w:eastAsia="宋体" w:cs="宋体"/>
      <w:color w:val="000000"/>
      <w:sz w:val="20"/>
      <w:szCs w:val="20"/>
      <w:u w:val="none"/>
    </w:rPr>
  </w:style>
  <w:style w:type="character" w:customStyle="1" w:styleId="79">
    <w:name w:val="current"/>
    <w:qFormat/>
    <w:uiPriority w:val="0"/>
    <w:rPr>
      <w:color w:val="00C1DE"/>
    </w:rPr>
  </w:style>
  <w:style w:type="character" w:customStyle="1" w:styleId="80">
    <w:name w:val="last-of-type"/>
    <w:qFormat/>
    <w:uiPriority w:val="0"/>
    <w:rPr>
      <w:color w:val="FF4A44"/>
      <w:sz w:val="27"/>
      <w:szCs w:val="27"/>
    </w:rPr>
  </w:style>
  <w:style w:type="character" w:customStyle="1" w:styleId="81">
    <w:name w:val="font121"/>
    <w:qFormat/>
    <w:uiPriority w:val="0"/>
    <w:rPr>
      <w:rFonts w:hint="eastAsia" w:ascii="宋体" w:hAnsi="宋体" w:eastAsia="宋体" w:cs="宋体"/>
      <w:b/>
      <w:color w:val="000000"/>
      <w:sz w:val="20"/>
      <w:szCs w:val="20"/>
      <w:u w:val="none"/>
    </w:rPr>
  </w:style>
  <w:style w:type="character" w:customStyle="1" w:styleId="82">
    <w:name w:val="font01"/>
    <w:qFormat/>
    <w:uiPriority w:val="0"/>
    <w:rPr>
      <w:rFonts w:hint="eastAsia" w:ascii="宋体" w:hAnsi="宋体" w:eastAsia="宋体" w:cs="宋体"/>
      <w:color w:val="000000"/>
      <w:sz w:val="20"/>
      <w:szCs w:val="20"/>
      <w:u w:val="none"/>
      <w:vertAlign w:val="superscript"/>
    </w:rPr>
  </w:style>
  <w:style w:type="character" w:customStyle="1" w:styleId="83">
    <w:name w:val="first-child"/>
    <w:qFormat/>
    <w:uiPriority w:val="0"/>
  </w:style>
  <w:style w:type="character" w:customStyle="1" w:styleId="84">
    <w:name w:val="current1"/>
    <w:qFormat/>
    <w:uiPriority w:val="0"/>
    <w:rPr>
      <w:color w:val="00C1DE"/>
    </w:rPr>
  </w:style>
  <w:style w:type="character" w:customStyle="1" w:styleId="85">
    <w:name w:val="zbggtop11 style5"/>
    <w:qFormat/>
    <w:uiPriority w:val="0"/>
  </w:style>
  <w:style w:type="character" w:customStyle="1" w:styleId="86">
    <w:name w:val="style1"/>
    <w:qFormat/>
    <w:uiPriority w:val="0"/>
  </w:style>
  <w:style w:type="character" w:customStyle="1" w:styleId="87">
    <w:name w:val="ant-tree-iconele"/>
    <w:qFormat/>
    <w:uiPriority w:val="0"/>
  </w:style>
  <w:style w:type="character" w:customStyle="1" w:styleId="88">
    <w:name w:val="content"/>
    <w:qFormat/>
    <w:uiPriority w:val="0"/>
  </w:style>
  <w:style w:type="character" w:customStyle="1" w:styleId="89">
    <w:name w:val="font51"/>
    <w:qFormat/>
    <w:uiPriority w:val="0"/>
    <w:rPr>
      <w:rFonts w:hint="eastAsia" w:ascii="宋体" w:hAnsi="宋体" w:eastAsia="宋体" w:cs="宋体"/>
      <w:color w:val="000000"/>
      <w:sz w:val="20"/>
      <w:szCs w:val="20"/>
      <w:u w:val="none"/>
    </w:rPr>
  </w:style>
  <w:style w:type="character" w:customStyle="1" w:styleId="90">
    <w:name w:val="列出段落 Char"/>
    <w:link w:val="91"/>
    <w:qFormat/>
    <w:uiPriority w:val="34"/>
    <w:rPr>
      <w:kern w:val="2"/>
      <w:sz w:val="21"/>
      <w:szCs w:val="24"/>
    </w:rPr>
  </w:style>
  <w:style w:type="paragraph" w:styleId="91">
    <w:name w:val="List Paragraph"/>
    <w:basedOn w:val="1"/>
    <w:link w:val="90"/>
    <w:qFormat/>
    <w:uiPriority w:val="34"/>
    <w:pPr>
      <w:ind w:firstLine="420" w:firstLineChars="200"/>
    </w:pPr>
    <w:rPr>
      <w:rFonts w:ascii="Times New Roman" w:hAnsi="Times New Roman"/>
    </w:rPr>
  </w:style>
  <w:style w:type="character" w:customStyle="1" w:styleId="92">
    <w:name w:val="ant-select-tree-iconele"/>
    <w:qFormat/>
    <w:uiPriority w:val="0"/>
  </w:style>
  <w:style w:type="character" w:customStyle="1" w:styleId="93">
    <w:name w:val="bookmark-item uuid-1588129097073 code-23007 addword single-line-text-input-box-cls readonly"/>
    <w:qFormat/>
    <w:uiPriority w:val="0"/>
  </w:style>
  <w:style w:type="character" w:customStyle="1" w:styleId="94">
    <w:name w:val="ant-badge-status-dot2"/>
    <w:qFormat/>
    <w:uiPriority w:val="0"/>
    <w:rPr>
      <w:shd w:val="clear" w:color="auto" w:fill="FFFFFF"/>
    </w:rPr>
  </w:style>
  <w:style w:type="character" w:customStyle="1" w:styleId="95">
    <w:name w:val="change-camera-place"/>
    <w:qFormat/>
    <w:uiPriority w:val="0"/>
    <w:rPr>
      <w:color w:val="3177FD"/>
    </w:rPr>
  </w:style>
  <w:style w:type="character" w:customStyle="1" w:styleId="96">
    <w:name w:val="last-child1"/>
    <w:qFormat/>
    <w:uiPriority w:val="0"/>
  </w:style>
  <w:style w:type="character" w:customStyle="1" w:styleId="97">
    <w:name w:val="first-child9"/>
    <w:qFormat/>
    <w:uiPriority w:val="0"/>
  </w:style>
  <w:style w:type="character" w:customStyle="1" w:styleId="98">
    <w:name w:val="all-fit-info2"/>
    <w:qFormat/>
    <w:uiPriority w:val="0"/>
    <w:rPr>
      <w:color w:val="939393"/>
    </w:rPr>
  </w:style>
  <w:style w:type="character" w:customStyle="1" w:styleId="99">
    <w:name w:val="ant-tree-switcher"/>
    <w:qFormat/>
    <w:uiPriority w:val="0"/>
  </w:style>
  <w:style w:type="character" w:customStyle="1" w:styleId="100">
    <w:name w:val="temp2"/>
    <w:qFormat/>
    <w:uiPriority w:val="0"/>
  </w:style>
  <w:style w:type="character" w:customStyle="1" w:styleId="101">
    <w:name w:val="tpc_content1"/>
    <w:qFormat/>
    <w:uiPriority w:val="0"/>
    <w:rPr>
      <w:sz w:val="20"/>
      <w:szCs w:val="20"/>
    </w:rPr>
  </w:style>
  <w:style w:type="character" w:customStyle="1" w:styleId="102">
    <w:name w:val="font81"/>
    <w:basedOn w:val="47"/>
    <w:qFormat/>
    <w:uiPriority w:val="0"/>
    <w:rPr>
      <w:rFonts w:hint="eastAsia" w:ascii="宋体" w:hAnsi="宋体" w:eastAsia="宋体" w:cs="宋体"/>
      <w:color w:val="FF0000"/>
      <w:sz w:val="24"/>
      <w:szCs w:val="24"/>
      <w:u w:val="none"/>
    </w:rPr>
  </w:style>
  <w:style w:type="character" w:customStyle="1" w:styleId="103">
    <w:name w:val="tag-type1"/>
    <w:qFormat/>
    <w:uiPriority w:val="0"/>
    <w:rPr>
      <w:color w:val="FFFFFF"/>
      <w:sz w:val="18"/>
      <w:szCs w:val="18"/>
      <w:shd w:val="clear" w:color="auto" w:fill="317FFD"/>
    </w:rPr>
  </w:style>
  <w:style w:type="character" w:customStyle="1" w:styleId="104">
    <w:name w:val="font21"/>
    <w:qFormat/>
    <w:uiPriority w:val="0"/>
    <w:rPr>
      <w:rFonts w:hint="default" w:ascii="Arial" w:hAnsi="Arial" w:cs="Arial"/>
      <w:color w:val="000000"/>
      <w:sz w:val="21"/>
      <w:szCs w:val="21"/>
      <w:u w:val="none"/>
    </w:rPr>
  </w:style>
  <w:style w:type="character" w:customStyle="1" w:styleId="105">
    <w:name w:val="last-child2"/>
    <w:qFormat/>
    <w:uiPriority w:val="0"/>
  </w:style>
  <w:style w:type="character" w:customStyle="1" w:styleId="106">
    <w:name w:val="info-content"/>
    <w:qFormat/>
    <w:uiPriority w:val="0"/>
    <w:rPr>
      <w:color w:val="808080"/>
    </w:rPr>
  </w:style>
  <w:style w:type="character" w:customStyle="1" w:styleId="107">
    <w:name w:val="Char Char"/>
    <w:qFormat/>
    <w:uiPriority w:val="0"/>
    <w:rPr>
      <w:rFonts w:ascii="Courier New" w:eastAsia="Courier New"/>
      <w:color w:val="FF0000"/>
      <w:kern w:val="2"/>
      <w:sz w:val="24"/>
      <w:szCs w:val="24"/>
      <w:u w:val="single"/>
      <w:lang w:val="en-US" w:eastAsia="zh-CN" w:bidi="ar-SA"/>
    </w:rPr>
  </w:style>
  <w:style w:type="character" w:customStyle="1" w:styleId="108">
    <w:name w:val="ant-tree-checkbox2"/>
    <w:qFormat/>
    <w:uiPriority w:val="0"/>
  </w:style>
  <w:style w:type="character" w:customStyle="1" w:styleId="109">
    <w:name w:val="label2"/>
    <w:qFormat/>
    <w:uiPriority w:val="0"/>
  </w:style>
  <w:style w:type="character" w:customStyle="1" w:styleId="110">
    <w:name w:val="标准文本 Char"/>
    <w:link w:val="111"/>
    <w:qFormat/>
    <w:uiPriority w:val="0"/>
    <w:rPr>
      <w:rFonts w:eastAsia="宋体" w:cs="宋体"/>
      <w:kern w:val="2"/>
      <w:sz w:val="24"/>
      <w:lang w:val="en-US" w:eastAsia="zh-CN" w:bidi="ar-SA"/>
    </w:rPr>
  </w:style>
  <w:style w:type="paragraph" w:customStyle="1" w:styleId="111">
    <w:name w:val="标准文本"/>
    <w:basedOn w:val="1"/>
    <w:link w:val="110"/>
    <w:qFormat/>
    <w:uiPriority w:val="0"/>
    <w:pPr>
      <w:spacing w:line="360" w:lineRule="auto"/>
      <w:ind w:firstLine="480" w:firstLineChars="200"/>
    </w:pPr>
    <w:rPr>
      <w:rFonts w:ascii="Times New Roman" w:hAnsi="Times New Roman" w:cs="宋体"/>
      <w:sz w:val="24"/>
      <w:szCs w:val="20"/>
    </w:rPr>
  </w:style>
  <w:style w:type="character" w:customStyle="1" w:styleId="112">
    <w:name w:val="正文2 Char"/>
    <w:link w:val="113"/>
    <w:qFormat/>
    <w:uiPriority w:val="0"/>
    <w:rPr>
      <w:rFonts w:eastAsia="宋体"/>
      <w:kern w:val="2"/>
      <w:sz w:val="24"/>
      <w:lang w:val="en-US" w:eastAsia="zh-CN" w:bidi="ar-SA"/>
    </w:rPr>
  </w:style>
  <w:style w:type="paragraph" w:customStyle="1" w:styleId="113">
    <w:name w:val="正文2"/>
    <w:basedOn w:val="1"/>
    <w:link w:val="112"/>
    <w:qFormat/>
    <w:uiPriority w:val="0"/>
    <w:pPr>
      <w:spacing w:line="360" w:lineRule="auto"/>
      <w:ind w:firstLine="510" w:firstLineChars="200"/>
    </w:pPr>
    <w:rPr>
      <w:rFonts w:ascii="Times New Roman" w:hAnsi="Times New Roman"/>
      <w:sz w:val="24"/>
      <w:szCs w:val="20"/>
    </w:rPr>
  </w:style>
  <w:style w:type="character" w:customStyle="1" w:styleId="114">
    <w:name w:val="bulletintext1"/>
    <w:qFormat/>
    <w:uiPriority w:val="0"/>
    <w:rPr>
      <w:color w:val="000000"/>
      <w:sz w:val="18"/>
    </w:rPr>
  </w:style>
  <w:style w:type="character" w:customStyle="1" w:styleId="115">
    <w:name w:val="last-child"/>
    <w:qFormat/>
    <w:uiPriority w:val="0"/>
  </w:style>
  <w:style w:type="character" w:customStyle="1" w:styleId="116">
    <w:name w:val="font101"/>
    <w:qFormat/>
    <w:uiPriority w:val="0"/>
    <w:rPr>
      <w:rFonts w:ascii="Calibri" w:hAnsi="Calibri" w:cs="Calibri"/>
      <w:color w:val="000000"/>
      <w:sz w:val="20"/>
      <w:szCs w:val="20"/>
      <w:u w:val="none"/>
    </w:rPr>
  </w:style>
  <w:style w:type="character" w:customStyle="1" w:styleId="117">
    <w:name w:val="font61"/>
    <w:basedOn w:val="47"/>
    <w:qFormat/>
    <w:uiPriority w:val="0"/>
    <w:rPr>
      <w:rFonts w:hint="eastAsia" w:ascii="宋体" w:hAnsi="宋体" w:eastAsia="宋体" w:cs="宋体"/>
      <w:color w:val="161616"/>
      <w:sz w:val="20"/>
      <w:szCs w:val="20"/>
      <w:u w:val="none"/>
    </w:rPr>
  </w:style>
  <w:style w:type="character" w:customStyle="1" w:styleId="118">
    <w:name w:val="all-fit-info"/>
    <w:qFormat/>
    <w:uiPriority w:val="0"/>
    <w:rPr>
      <w:color w:val="939393"/>
    </w:rPr>
  </w:style>
  <w:style w:type="character" w:customStyle="1" w:styleId="119">
    <w:name w:val="ant-tree-checkbox"/>
    <w:qFormat/>
    <w:uiPriority w:val="0"/>
  </w:style>
  <w:style w:type="character" w:customStyle="1" w:styleId="120">
    <w:name w:val="ant-badge-status-dot"/>
    <w:qFormat/>
    <w:uiPriority w:val="0"/>
    <w:rPr>
      <w:shd w:val="clear" w:color="auto" w:fill="FFFFFF"/>
    </w:rPr>
  </w:style>
  <w:style w:type="character" w:customStyle="1" w:styleId="121">
    <w:name w:val="bookmark-item uuid-1591619842642 code-23011 addword date-time-selection-cls"/>
    <w:qFormat/>
    <w:uiPriority w:val="0"/>
  </w:style>
  <w:style w:type="character" w:customStyle="1" w:styleId="122">
    <w:name w:val="content8"/>
    <w:qFormat/>
    <w:uiPriority w:val="0"/>
  </w:style>
  <w:style w:type="character" w:customStyle="1" w:styleId="123">
    <w:name w:val="info-label"/>
    <w:qFormat/>
    <w:uiPriority w:val="0"/>
    <w:rPr>
      <w:b/>
    </w:rPr>
  </w:style>
  <w:style w:type="character" w:customStyle="1" w:styleId="124">
    <w:name w:val="ant-select-tree-checkbox2"/>
    <w:qFormat/>
    <w:uiPriority w:val="0"/>
  </w:style>
  <w:style w:type="character" w:customStyle="1" w:styleId="125">
    <w:name w:val="temp"/>
    <w:qFormat/>
    <w:uiPriority w:val="0"/>
  </w:style>
  <w:style w:type="character" w:customStyle="1" w:styleId="126">
    <w:name w:val="label"/>
    <w:qFormat/>
    <w:uiPriority w:val="0"/>
  </w:style>
  <w:style w:type="character" w:customStyle="1" w:styleId="127">
    <w:name w:val="ant-tree-icon_loading"/>
    <w:qFormat/>
    <w:uiPriority w:val="0"/>
    <w:rPr>
      <w:shd w:val="clear" w:color="auto" w:fill="FFFFFF"/>
    </w:rPr>
  </w:style>
  <w:style w:type="character" w:customStyle="1" w:styleId="128">
    <w:name w:val="last-child3"/>
    <w:qFormat/>
    <w:uiPriority w:val="0"/>
  </w:style>
  <w:style w:type="character" w:customStyle="1" w:styleId="129">
    <w:name w:val="font11"/>
    <w:qFormat/>
    <w:uiPriority w:val="0"/>
    <w:rPr>
      <w:rFonts w:hint="eastAsia" w:ascii="宋体" w:hAnsi="宋体" w:eastAsia="宋体" w:cs="宋体"/>
      <w:color w:val="000000"/>
      <w:sz w:val="21"/>
      <w:szCs w:val="21"/>
      <w:u w:val="none"/>
    </w:rPr>
  </w:style>
  <w:style w:type="character" w:customStyle="1" w:styleId="130">
    <w:name w:val="all-fit-info1"/>
    <w:qFormat/>
    <w:uiPriority w:val="0"/>
    <w:rPr>
      <w:color w:val="939393"/>
    </w:rPr>
  </w:style>
  <w:style w:type="paragraph" w:customStyle="1" w:styleId="131">
    <w:name w:val="[Normal]"/>
    <w:qFormat/>
    <w:uiPriority w:val="0"/>
    <w:rPr>
      <w:rFonts w:ascii="宋体" w:hAnsi="宋体" w:eastAsia="宋体" w:cs="Arial"/>
      <w:sz w:val="24"/>
      <w:szCs w:val="22"/>
      <w:lang w:val="zh-CN" w:eastAsia="zh-CN" w:bidi="ar-SA"/>
    </w:rPr>
  </w:style>
  <w:style w:type="paragraph" w:customStyle="1" w:styleId="132">
    <w:name w:val="font5"/>
    <w:basedOn w:val="1"/>
    <w:qFormat/>
    <w:uiPriority w:val="0"/>
    <w:pPr>
      <w:widowControl/>
      <w:spacing w:beforeAutospacing="1" w:afterAutospacing="1"/>
      <w:jc w:val="left"/>
    </w:pPr>
    <w:rPr>
      <w:rFonts w:ascii="Century Gothic" w:hAnsi="Century Gothic" w:cs="Century Gothic"/>
      <w:kern w:val="0"/>
      <w:sz w:val="18"/>
      <w:szCs w:val="18"/>
    </w:rPr>
  </w:style>
  <w:style w:type="paragraph" w:customStyle="1" w:styleId="133">
    <w:name w:val="样式5"/>
    <w:basedOn w:val="6"/>
    <w:qFormat/>
    <w:uiPriority w:val="0"/>
    <w:pPr>
      <w:keepLines/>
      <w:widowControl w:val="0"/>
      <w:spacing w:line="376" w:lineRule="auto"/>
    </w:pPr>
    <w:rPr>
      <w:rFonts w:ascii="Century Gothic" w:hAnsi="Century Gothic" w:eastAsia="Century Gothic"/>
      <w:b/>
      <w:bCs/>
      <w:snapToGrid/>
      <w:kern w:val="2"/>
      <w:sz w:val="32"/>
      <w:szCs w:val="32"/>
    </w:rPr>
  </w:style>
  <w:style w:type="paragraph" w:customStyle="1" w:styleId="134">
    <w:name w:val="普通(网站)_0"/>
    <w:basedOn w:val="1"/>
    <w:unhideWhenUsed/>
    <w:qFormat/>
    <w:uiPriority w:val="0"/>
    <w:pPr>
      <w:widowControl/>
      <w:spacing w:before="100" w:beforeAutospacing="1" w:after="100" w:afterAutospacing="1"/>
      <w:jc w:val="left"/>
    </w:pPr>
    <w:rPr>
      <w:rFonts w:ascii="宋体" w:hAnsi="宋体"/>
      <w:kern w:val="0"/>
      <w:sz w:val="24"/>
      <w:szCs w:val="22"/>
    </w:rPr>
  </w:style>
  <w:style w:type="paragraph" w:customStyle="1" w:styleId="135">
    <w:name w:val="标书标题4"/>
    <w:basedOn w:val="6"/>
    <w:qFormat/>
    <w:uiPriority w:val="0"/>
    <w:pPr>
      <w:widowControl w:val="0"/>
      <w:adjustRightInd w:val="0"/>
      <w:snapToGrid w:val="0"/>
      <w:spacing w:line="300" w:lineRule="auto"/>
      <w:jc w:val="both"/>
    </w:pPr>
    <w:rPr>
      <w:rFonts w:ascii="_x000B__x000C_" w:hAnsi="_x000B__x000C_" w:eastAsia="Courier New"/>
      <w:b/>
      <w:snapToGrid/>
      <w:color w:val="000000"/>
      <w:sz w:val="28"/>
      <w:szCs w:val="32"/>
    </w:rPr>
  </w:style>
  <w:style w:type="paragraph" w:customStyle="1" w:styleId="136">
    <w:name w:val="xl34"/>
    <w:basedOn w:val="1"/>
    <w:qFormat/>
    <w:uiPriority w:val="0"/>
    <w:pPr>
      <w:widowControl/>
      <w:pBdr>
        <w:left w:val="single" w:color="auto" w:sz="4" w:space="0"/>
        <w:bottom w:val="single" w:color="auto" w:sz="4" w:space="0"/>
        <w:right w:val="single" w:color="auto" w:sz="4" w:space="0"/>
      </w:pBdr>
      <w:spacing w:beforeAutospacing="1" w:afterAutospacing="1"/>
      <w:jc w:val="center"/>
      <w:textAlignment w:val="center"/>
    </w:pPr>
    <w:rPr>
      <w:rFonts w:ascii="Arial Narrow" w:hAnsi="Century Gothic" w:eastAsia="Arial Narrow" w:cs="Century Gothic"/>
      <w:kern w:val="0"/>
      <w:sz w:val="24"/>
    </w:rPr>
  </w:style>
  <w:style w:type="paragraph" w:customStyle="1" w:styleId="137">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3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139">
    <w:name w:val="xl36"/>
    <w:basedOn w:val="1"/>
    <w:qFormat/>
    <w:uiPriority w:val="0"/>
    <w:pPr>
      <w:widowControl/>
      <w:pBdr>
        <w:left w:val="single" w:color="auto" w:sz="4" w:space="0"/>
        <w:right w:val="single" w:color="auto" w:sz="4" w:space="0"/>
      </w:pBdr>
      <w:spacing w:beforeAutospacing="1" w:afterAutospacing="1"/>
      <w:jc w:val="center"/>
      <w:textAlignment w:val="center"/>
    </w:pPr>
    <w:rPr>
      <w:rFonts w:ascii="Arial Narrow" w:hAnsi="Century Gothic" w:eastAsia="Arial Narrow" w:cs="Century Gothic"/>
      <w:kern w:val="0"/>
      <w:sz w:val="24"/>
    </w:rPr>
  </w:style>
  <w:style w:type="paragraph" w:customStyle="1" w:styleId="140">
    <w:name w:val="xl29"/>
    <w:basedOn w:val="1"/>
    <w:qFormat/>
    <w:uiPriority w:val="0"/>
    <w:pPr>
      <w:widowControl/>
      <w:pBdr>
        <w:top w:val="single" w:color="auto" w:sz="4" w:space="0"/>
        <w:left w:val="single" w:color="auto" w:sz="4" w:space="0"/>
        <w:right w:val="single" w:color="auto" w:sz="4" w:space="0"/>
      </w:pBdr>
      <w:spacing w:beforeAutospacing="1" w:afterAutospacing="1"/>
      <w:jc w:val="center"/>
      <w:textAlignment w:val="center"/>
    </w:pPr>
    <w:rPr>
      <w:rFonts w:ascii="Arial Narrow" w:hAnsi="Century Gothic" w:eastAsia="Arial Narrow" w:cs="Century Gothic"/>
      <w:kern w:val="0"/>
      <w:sz w:val="24"/>
    </w:rPr>
  </w:style>
  <w:style w:type="paragraph" w:customStyle="1" w:styleId="14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2">
    <w:name w:val="font6"/>
    <w:basedOn w:val="1"/>
    <w:qFormat/>
    <w:uiPriority w:val="0"/>
    <w:pPr>
      <w:widowControl/>
      <w:spacing w:beforeAutospacing="1" w:afterAutospacing="1"/>
      <w:jc w:val="left"/>
    </w:pPr>
    <w:rPr>
      <w:kern w:val="0"/>
      <w:sz w:val="18"/>
      <w:szCs w:val="18"/>
    </w:rPr>
  </w:style>
  <w:style w:type="paragraph" w:customStyle="1" w:styleId="14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44">
    <w:name w:val="列出段落1"/>
    <w:basedOn w:val="1"/>
    <w:qFormat/>
    <w:uiPriority w:val="0"/>
    <w:pPr>
      <w:ind w:firstLine="420" w:firstLineChars="200"/>
    </w:pPr>
    <w:rPr>
      <w:rFonts w:ascii="等线" w:hAnsi="等线"/>
      <w:szCs w:val="21"/>
    </w:rPr>
  </w:style>
  <w:style w:type="paragraph" w:customStyle="1" w:styleId="145">
    <w:name w:val="xl27"/>
    <w:basedOn w:val="1"/>
    <w:qFormat/>
    <w:uiPriority w:val="0"/>
    <w:pPr>
      <w:widowControl/>
      <w:pBdr>
        <w:bottom w:val="single" w:color="auto" w:sz="4" w:space="0"/>
      </w:pBdr>
      <w:spacing w:beforeAutospacing="1" w:afterAutospacing="1"/>
      <w:jc w:val="center"/>
      <w:textAlignment w:val="center"/>
    </w:pPr>
    <w:rPr>
      <w:rFonts w:ascii="Arial Narrow" w:hAnsi="Century Gothic" w:eastAsia="Arial Narrow" w:cs="Century Gothic"/>
      <w:kern w:val="0"/>
      <w:sz w:val="36"/>
      <w:szCs w:val="36"/>
    </w:rPr>
  </w:style>
  <w:style w:type="paragraph" w:customStyle="1" w:styleId="146">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147">
    <w:name w:val="索引 11"/>
    <w:basedOn w:val="1"/>
    <w:next w:val="1"/>
    <w:qFormat/>
    <w:uiPriority w:val="99"/>
    <w:pPr>
      <w:spacing w:line="360" w:lineRule="auto"/>
    </w:pPr>
    <w:rPr>
      <w:rFonts w:ascii="仿宋_GB2312" w:eastAsia="仿宋_GB2312"/>
      <w:sz w:val="24"/>
      <w:szCs w:val="20"/>
    </w:rPr>
  </w:style>
  <w:style w:type="paragraph" w:customStyle="1" w:styleId="148">
    <w:name w:val="Char Char Char Char Char"/>
    <w:basedOn w:val="1"/>
    <w:qFormat/>
    <w:uiPriority w:val="0"/>
    <w:pPr>
      <w:widowControl/>
      <w:spacing w:line="240" w:lineRule="exact"/>
      <w:jc w:val="left"/>
    </w:pPr>
    <w:rPr>
      <w:rFonts w:ascii="Verdana" w:hAnsi="Verdana" w:eastAsia="华文细黑"/>
    </w:rPr>
  </w:style>
  <w:style w:type="paragraph" w:customStyle="1" w:styleId="149">
    <w:name w:val="无间距1"/>
    <w:qFormat/>
    <w:uiPriority w:val="0"/>
    <w:rPr>
      <w:rFonts w:ascii="Times New Roman" w:hAnsi="Times New Roman" w:eastAsia="??" w:cs="宋体"/>
      <w:sz w:val="22"/>
      <w:szCs w:val="22"/>
      <w:lang w:val="en-US" w:eastAsia="en-US" w:bidi="ar-SA"/>
    </w:rPr>
  </w:style>
  <w:style w:type="paragraph" w:customStyle="1" w:styleId="150">
    <w:name w:val="x正文"/>
    <w:basedOn w:val="1"/>
    <w:qFormat/>
    <w:uiPriority w:val="0"/>
    <w:pPr>
      <w:spacing w:line="360" w:lineRule="auto"/>
      <w:ind w:left="482" w:firstLine="480" w:firstLineChars="200"/>
    </w:pPr>
    <w:rPr>
      <w:rFonts w:ascii="宋体" w:hAnsi="宋体"/>
      <w:color w:val="000000"/>
      <w:sz w:val="24"/>
      <w:szCs w:val="22"/>
    </w:rPr>
  </w:style>
  <w:style w:type="paragraph" w:customStyle="1" w:styleId="151">
    <w:name w:val="xl2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Narrow" w:hAnsi="Century Gothic" w:eastAsia="Arial Narrow" w:cs="Century Gothic"/>
      <w:kern w:val="0"/>
      <w:sz w:val="24"/>
    </w:rPr>
  </w:style>
  <w:style w:type="paragraph" w:customStyle="1" w:styleId="152">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53">
    <w:name w:val="方案三级标题"/>
    <w:basedOn w:val="4"/>
    <w:qFormat/>
    <w:uiPriority w:val="0"/>
    <w:pPr>
      <w:spacing w:before="120" w:after="120" w:line="300" w:lineRule="auto"/>
    </w:pPr>
    <w:rPr>
      <w:rFonts w:ascii="宋体" w:hAnsi="宋体" w:eastAsia="宋体"/>
      <w:sz w:val="30"/>
    </w:rPr>
  </w:style>
  <w:style w:type="paragraph" w:customStyle="1" w:styleId="154">
    <w:name w:val="标书标题2"/>
    <w:basedOn w:val="4"/>
    <w:qFormat/>
    <w:uiPriority w:val="0"/>
    <w:pPr>
      <w:keepLines w:val="0"/>
      <w:widowControl/>
      <w:tabs>
        <w:tab w:val="left" w:pos="1320"/>
      </w:tabs>
      <w:snapToGrid w:val="0"/>
      <w:spacing w:beforeLines="50" w:line="300" w:lineRule="auto"/>
      <w:ind w:left="1320" w:hanging="420"/>
      <w:jc w:val="both"/>
    </w:pPr>
    <w:rPr>
      <w:rFonts w:ascii="_x000B__x000C_" w:hAnsi="_x000B__x000C_" w:eastAsia="Courier New"/>
      <w:color w:val="000000"/>
      <w:kern w:val="0"/>
      <w:sz w:val="28"/>
      <w:szCs w:val="20"/>
    </w:rPr>
  </w:style>
  <w:style w:type="paragraph" w:customStyle="1" w:styleId="155">
    <w:name w:val="xl22"/>
    <w:basedOn w:val="1"/>
    <w:qFormat/>
    <w:uiPriority w:val="0"/>
    <w:pPr>
      <w:widowControl/>
      <w:pBdr>
        <w:left w:val="single" w:color="auto" w:sz="4" w:space="0"/>
        <w:bottom w:val="single" w:color="auto" w:sz="4" w:space="0"/>
        <w:right w:val="single" w:color="auto" w:sz="4" w:space="0"/>
      </w:pBdr>
      <w:spacing w:beforeAutospacing="1" w:afterAutospacing="1"/>
      <w:jc w:val="center"/>
    </w:pPr>
    <w:rPr>
      <w:rFonts w:hint="eastAsia" w:ascii="Arial Unicode MS" w:hAnsi="Arial Unicode MS" w:eastAsia="Arial Unicode MS"/>
      <w:kern w:val="0"/>
      <w:sz w:val="24"/>
      <w:szCs w:val="20"/>
    </w:rPr>
  </w:style>
  <w:style w:type="paragraph" w:customStyle="1" w:styleId="156">
    <w:name w:val="正文（缩进）"/>
    <w:basedOn w:val="1"/>
    <w:qFormat/>
    <w:uiPriority w:val="0"/>
    <w:pPr>
      <w:spacing w:before="156" w:after="156"/>
      <w:ind w:firstLine="480"/>
    </w:pPr>
    <w:rPr>
      <w:rFonts w:ascii="Times New Roman" w:hAnsi="Times New Roman"/>
    </w:rPr>
  </w:style>
  <w:style w:type="paragraph" w:customStyle="1" w:styleId="157">
    <w:name w:val="Body Text Indent1"/>
    <w:basedOn w:val="1"/>
    <w:qFormat/>
    <w:uiPriority w:val="0"/>
    <w:pPr>
      <w:spacing w:line="200" w:lineRule="exact"/>
      <w:ind w:firstLine="301"/>
    </w:pPr>
    <w:rPr>
      <w:rFonts w:ascii="宋体" w:hAnsi="Courier New"/>
      <w:spacing w:val="-4"/>
      <w:sz w:val="18"/>
    </w:rPr>
  </w:style>
  <w:style w:type="paragraph" w:customStyle="1" w:styleId="158">
    <w:name w:val="title11"/>
    <w:basedOn w:val="1"/>
    <w:qFormat/>
    <w:uiPriority w:val="0"/>
    <w:pPr>
      <w:spacing w:before="150"/>
      <w:jc w:val="left"/>
    </w:pPr>
    <w:rPr>
      <w:b/>
      <w:kern w:val="0"/>
    </w:rPr>
  </w:style>
  <w:style w:type="paragraph" w:customStyle="1" w:styleId="159">
    <w:name w:val="Char Char Char Char"/>
    <w:basedOn w:val="1"/>
    <w:qFormat/>
    <w:uiPriority w:val="0"/>
    <w:rPr>
      <w:szCs w:val="20"/>
    </w:rPr>
  </w:style>
  <w:style w:type="paragraph" w:customStyle="1" w:styleId="160">
    <w:name w:val="_Style 158"/>
    <w:unhideWhenUsed/>
    <w:qFormat/>
    <w:uiPriority w:val="99"/>
    <w:rPr>
      <w:rFonts w:ascii="Times New Roman" w:hAnsi="Times New Roman" w:eastAsia="宋体" w:cs="Times New Roman"/>
      <w:kern w:val="2"/>
      <w:sz w:val="21"/>
      <w:szCs w:val="24"/>
      <w:lang w:val="en-US" w:eastAsia="zh-CN" w:bidi="ar-SA"/>
    </w:rPr>
  </w:style>
  <w:style w:type="paragraph" w:customStyle="1" w:styleId="161">
    <w:name w:val="纯文本1"/>
    <w:basedOn w:val="1"/>
    <w:qFormat/>
    <w:uiPriority w:val="0"/>
    <w:rPr>
      <w:rFonts w:ascii="宋体" w:hAnsi="Courier New"/>
      <w:kern w:val="0"/>
      <w:sz w:val="20"/>
      <w:szCs w:val="20"/>
    </w:rPr>
  </w:style>
  <w:style w:type="paragraph" w:customStyle="1" w:styleId="162">
    <w:name w:val="xl38"/>
    <w:basedOn w:val="1"/>
    <w:qFormat/>
    <w:uiPriority w:val="0"/>
    <w:pPr>
      <w:widowControl/>
      <w:spacing w:beforeAutospacing="1" w:afterAutospacing="1"/>
      <w:jc w:val="left"/>
    </w:pPr>
    <w:rPr>
      <w:rFonts w:ascii="Century Gothic" w:hAnsi="Century Gothic" w:cs="Century Gothic"/>
      <w:kern w:val="0"/>
      <w:sz w:val="18"/>
      <w:szCs w:val="18"/>
    </w:rPr>
  </w:style>
  <w:style w:type="paragraph" w:customStyle="1" w:styleId="163">
    <w:name w:val="Table Paragraph"/>
    <w:basedOn w:val="1"/>
    <w:qFormat/>
    <w:uiPriority w:val="1"/>
    <w:pPr>
      <w:autoSpaceDE w:val="0"/>
      <w:autoSpaceDN w:val="0"/>
      <w:adjustRightInd w:val="0"/>
      <w:jc w:val="left"/>
    </w:pPr>
    <w:rPr>
      <w:rFonts w:ascii="宋体" w:hAnsi="Times New Roman" w:cs="宋体"/>
      <w:kern w:val="0"/>
      <w:sz w:val="24"/>
    </w:rPr>
  </w:style>
  <w:style w:type="paragraph" w:customStyle="1" w:styleId="164">
    <w:name w:val="标书标题3"/>
    <w:basedOn w:val="5"/>
    <w:qFormat/>
    <w:uiPriority w:val="0"/>
    <w:pPr>
      <w:keepLines w:val="0"/>
      <w:widowControl/>
      <w:adjustRightInd w:val="0"/>
      <w:snapToGrid w:val="0"/>
      <w:spacing w:line="300" w:lineRule="auto"/>
      <w:jc w:val="left"/>
    </w:pPr>
    <w:rPr>
      <w:rFonts w:ascii="_x000B__x000C_" w:hAnsi="_x000B__x000C_" w:eastAsia="Courier New"/>
      <w:b w:val="0"/>
      <w:bCs w:val="0"/>
      <w:color w:val="000000"/>
      <w:kern w:val="0"/>
      <w:sz w:val="28"/>
    </w:rPr>
  </w:style>
  <w:style w:type="paragraph" w:customStyle="1" w:styleId="165">
    <w:name w:val="xl33"/>
    <w:basedOn w:val="1"/>
    <w:qFormat/>
    <w:uiPriority w:val="0"/>
    <w:pPr>
      <w:widowControl/>
      <w:pBdr>
        <w:left w:val="single" w:color="auto" w:sz="4" w:space="0"/>
        <w:right w:val="single" w:color="auto" w:sz="4" w:space="0"/>
      </w:pBdr>
      <w:spacing w:beforeAutospacing="1" w:afterAutospacing="1"/>
      <w:jc w:val="center"/>
      <w:textAlignment w:val="center"/>
    </w:pPr>
    <w:rPr>
      <w:rFonts w:ascii="Arial Narrow" w:hAnsi="Century Gothic" w:eastAsia="Arial Narrow" w:cs="Century Gothic"/>
      <w:kern w:val="0"/>
      <w:sz w:val="24"/>
    </w:rPr>
  </w:style>
  <w:style w:type="paragraph" w:customStyle="1" w:styleId="166">
    <w:name w:val="p0"/>
    <w:basedOn w:val="1"/>
    <w:unhideWhenUsed/>
    <w:qFormat/>
    <w:uiPriority w:val="0"/>
    <w:pPr>
      <w:widowControl/>
    </w:pPr>
    <w:rPr>
      <w:rFonts w:hint="eastAsia"/>
    </w:rPr>
  </w:style>
  <w:style w:type="paragraph" w:customStyle="1" w:styleId="167">
    <w:name w:val="正文段"/>
    <w:basedOn w:val="1"/>
    <w:qFormat/>
    <w:uiPriority w:val="0"/>
    <w:pPr>
      <w:widowControl/>
      <w:snapToGrid w:val="0"/>
      <w:spacing w:afterLines="50"/>
      <w:ind w:firstLine="200" w:firstLineChars="200"/>
    </w:pPr>
    <w:rPr>
      <w:kern w:val="0"/>
      <w:sz w:val="24"/>
      <w:szCs w:val="20"/>
    </w:rPr>
  </w:style>
  <w:style w:type="paragraph" w:customStyle="1" w:styleId="168">
    <w:name w:val="节"/>
    <w:basedOn w:val="4"/>
    <w:qFormat/>
    <w:uiPriority w:val="0"/>
    <w:pPr>
      <w:adjustRightInd/>
      <w:spacing w:line="720" w:lineRule="exact"/>
      <w:jc w:val="center"/>
    </w:pPr>
    <w:rPr>
      <w:rFonts w:ascii="Arial" w:hAnsi="Arial"/>
      <w:b w:val="0"/>
      <w:color w:val="000000"/>
      <w:spacing w:val="14"/>
      <w:kern w:val="24"/>
      <w:sz w:val="28"/>
      <w:szCs w:val="20"/>
    </w:rPr>
  </w:style>
  <w:style w:type="paragraph" w:customStyle="1" w:styleId="169">
    <w:name w:val="正文文字"/>
    <w:basedOn w:val="1"/>
    <w:qFormat/>
    <w:uiPriority w:val="0"/>
    <w:pPr>
      <w:widowControl/>
      <w:spacing w:line="952" w:lineRule="atLeast"/>
      <w:ind w:firstLine="419"/>
    </w:pPr>
    <w:rPr>
      <w:b/>
      <w:color w:val="000000"/>
      <w:sz w:val="44"/>
      <w:szCs w:val="20"/>
    </w:rPr>
  </w:style>
  <w:style w:type="paragraph" w:customStyle="1" w:styleId="170">
    <w:name w:val="表头"/>
    <w:basedOn w:val="1"/>
    <w:qFormat/>
    <w:uiPriority w:val="0"/>
    <w:pPr>
      <w:adjustRightInd w:val="0"/>
      <w:spacing w:before="60" w:after="60" w:line="420" w:lineRule="atLeast"/>
      <w:jc w:val="left"/>
      <w:textAlignment w:val="baseline"/>
    </w:pPr>
    <w:rPr>
      <w:rFonts w:ascii="黑体" w:hAnsi="Times New Roman" w:eastAsia="黑体"/>
      <w:b/>
      <w:kern w:val="0"/>
      <w:szCs w:val="20"/>
    </w:rPr>
  </w:style>
  <w:style w:type="paragraph" w:customStyle="1" w:styleId="171">
    <w:name w:val="Char3 Char Char Char"/>
    <w:basedOn w:val="1"/>
    <w:qFormat/>
    <w:uiPriority w:val="0"/>
    <w:pPr>
      <w:widowControl/>
      <w:spacing w:line="240" w:lineRule="exact"/>
      <w:jc w:val="left"/>
    </w:pPr>
    <w:rPr>
      <w:szCs w:val="20"/>
    </w:rPr>
  </w:style>
  <w:style w:type="paragraph" w:customStyle="1" w:styleId="17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73">
    <w:name w:val="xl2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kern w:val="0"/>
      <w:sz w:val="24"/>
    </w:rPr>
  </w:style>
  <w:style w:type="paragraph" w:customStyle="1" w:styleId="174">
    <w:name w:val="小节"/>
    <w:basedOn w:val="5"/>
    <w:qFormat/>
    <w:uiPriority w:val="0"/>
    <w:pPr>
      <w:spacing w:line="560" w:lineRule="exact"/>
      <w:jc w:val="left"/>
    </w:pPr>
    <w:rPr>
      <w:rFonts w:ascii="Century Gothic" w:hAnsi="Century Gothic"/>
      <w:bCs w:val="0"/>
      <w:color w:val="000000"/>
      <w:spacing w:val="10"/>
      <w:kern w:val="24"/>
      <w:sz w:val="28"/>
    </w:rPr>
  </w:style>
  <w:style w:type="paragraph" w:customStyle="1" w:styleId="175">
    <w:name w:val="Heading1"/>
    <w:basedOn w:val="1"/>
    <w:next w:val="1"/>
    <w:qFormat/>
    <w:uiPriority w:val="0"/>
    <w:pPr>
      <w:keepNext/>
      <w:widowControl/>
      <w:spacing w:line="360" w:lineRule="auto"/>
      <w:jc w:val="center"/>
      <w:textAlignment w:val="baseline"/>
    </w:pPr>
    <w:rPr>
      <w:rFonts w:ascii="??" w:hAnsi="??" w:eastAsia="??"/>
      <w:b/>
      <w:kern w:val="36"/>
      <w:sz w:val="32"/>
      <w:szCs w:val="28"/>
    </w:rPr>
  </w:style>
  <w:style w:type="paragraph" w:customStyle="1" w:styleId="176">
    <w:name w:val="1正文"/>
    <w:basedOn w:val="1"/>
    <w:qFormat/>
    <w:uiPriority w:val="0"/>
    <w:rPr>
      <w:rFonts w:ascii="仿宋_GB2312" w:hAnsi="仿宋_GB2312"/>
      <w:szCs w:val="28"/>
    </w:rPr>
  </w:style>
  <w:style w:type="paragraph" w:customStyle="1" w:styleId="177">
    <w:name w:val="xl37"/>
    <w:basedOn w:val="1"/>
    <w:qFormat/>
    <w:uiPriority w:val="0"/>
    <w:pPr>
      <w:widowControl/>
      <w:pBdr>
        <w:left w:val="single" w:color="auto" w:sz="4" w:space="0"/>
        <w:bottom w:val="single" w:color="auto" w:sz="4" w:space="0"/>
        <w:right w:val="single" w:color="auto" w:sz="4" w:space="0"/>
      </w:pBdr>
      <w:spacing w:beforeAutospacing="1" w:afterAutospacing="1"/>
      <w:jc w:val="center"/>
      <w:textAlignment w:val="center"/>
    </w:pPr>
    <w:rPr>
      <w:rFonts w:ascii="Arial Narrow" w:hAnsi="Century Gothic" w:eastAsia="Arial Narrow" w:cs="Century Gothic"/>
      <w:kern w:val="0"/>
      <w:sz w:val="24"/>
    </w:rPr>
  </w:style>
  <w:style w:type="paragraph" w:customStyle="1" w:styleId="178">
    <w:name w:val="Char1"/>
    <w:basedOn w:val="1"/>
    <w:qFormat/>
    <w:uiPriority w:val="0"/>
    <w:pPr>
      <w:widowControl/>
      <w:spacing w:line="240" w:lineRule="exact"/>
      <w:jc w:val="left"/>
    </w:pPr>
    <w:rPr>
      <w:szCs w:val="20"/>
    </w:rPr>
  </w:style>
  <w:style w:type="paragraph" w:customStyle="1" w:styleId="179">
    <w:name w:val="Char"/>
    <w:basedOn w:val="1"/>
    <w:qFormat/>
    <w:uiPriority w:val="0"/>
  </w:style>
  <w:style w:type="paragraph" w:customStyle="1" w:styleId="180">
    <w:name w:val="正文文字格式"/>
    <w:basedOn w:val="1"/>
    <w:qFormat/>
    <w:uiPriority w:val="0"/>
    <w:pPr>
      <w:spacing w:line="460" w:lineRule="exact"/>
      <w:ind w:firstLine="505"/>
      <w:jc w:val="left"/>
    </w:pPr>
    <w:rPr>
      <w:rFonts w:ascii="Century Gothic"/>
      <w:kern w:val="24"/>
      <w:sz w:val="24"/>
      <w:szCs w:val="20"/>
    </w:rPr>
  </w:style>
  <w:style w:type="paragraph" w:customStyle="1" w:styleId="181">
    <w:name w:val="Char Char11 Char Char Char Char Char Char Char Char Char Char Char"/>
    <w:basedOn w:val="1"/>
    <w:qFormat/>
    <w:uiPriority w:val="0"/>
    <w:pPr>
      <w:spacing w:line="360" w:lineRule="auto"/>
    </w:pPr>
    <w:rPr>
      <w:rFonts w:eastAsia="黑体"/>
      <w:snapToGrid w:val="0"/>
      <w:kern w:val="0"/>
      <w:szCs w:val="21"/>
    </w:rPr>
  </w:style>
  <w:style w:type="paragraph" w:customStyle="1" w:styleId="182">
    <w:name w:val="纯文本2"/>
    <w:basedOn w:val="137"/>
    <w:qFormat/>
    <w:uiPriority w:val="0"/>
    <w:pPr>
      <w:widowControl/>
      <w:jc w:val="left"/>
    </w:pPr>
    <w:rPr>
      <w:rFonts w:ascii="宋体" w:hAnsi="Courier New"/>
    </w:rPr>
  </w:style>
  <w:style w:type="paragraph" w:customStyle="1" w:styleId="183">
    <w:name w:val="Heading2"/>
    <w:basedOn w:val="175"/>
    <w:next w:val="1"/>
    <w:qFormat/>
    <w:uiPriority w:val="0"/>
    <w:pPr>
      <w:keepLines/>
      <w:tabs>
        <w:tab w:val="left" w:pos="706"/>
        <w:tab w:val="left" w:pos="1110"/>
      </w:tabs>
      <w:ind w:left="106" w:firstLine="454"/>
    </w:pPr>
    <w:rPr>
      <w:rFonts w:ascii="Arial" w:hAnsi="Arial" w:cs="Arial"/>
      <w:bCs/>
      <w:szCs w:val="32"/>
    </w:rPr>
  </w:style>
  <w:style w:type="paragraph" w:customStyle="1" w:styleId="184">
    <w:name w:val="样式 标题 1 + 四号 加粗"/>
    <w:basedOn w:val="3"/>
    <w:qFormat/>
    <w:uiPriority w:val="0"/>
    <w:rPr>
      <w:rFonts w:eastAsia="黑体"/>
    </w:rPr>
  </w:style>
  <w:style w:type="paragraph" w:customStyle="1" w:styleId="185">
    <w:name w:val="xl30"/>
    <w:basedOn w:val="1"/>
    <w:qFormat/>
    <w:uiPriority w:val="0"/>
    <w:pPr>
      <w:widowControl/>
      <w:pBdr>
        <w:left w:val="single" w:color="auto" w:sz="4" w:space="0"/>
        <w:right w:val="single" w:color="auto" w:sz="4" w:space="0"/>
      </w:pBdr>
      <w:spacing w:beforeAutospacing="1" w:afterAutospacing="1"/>
      <w:jc w:val="center"/>
      <w:textAlignment w:val="center"/>
    </w:pPr>
    <w:rPr>
      <w:rFonts w:ascii="Arial Narrow" w:hAnsi="Century Gothic" w:eastAsia="Arial Narrow" w:cs="Century Gothic"/>
      <w:kern w:val="0"/>
      <w:sz w:val="24"/>
    </w:rPr>
  </w:style>
  <w:style w:type="paragraph" w:customStyle="1" w:styleId="186">
    <w:name w:val="DAS正文"/>
    <w:basedOn w:val="1"/>
    <w:qFormat/>
    <w:uiPriority w:val="0"/>
    <w:pPr>
      <w:spacing w:line="360" w:lineRule="auto"/>
      <w:ind w:right="181" w:firstLine="480" w:firstLineChars="200"/>
    </w:pPr>
    <w:rPr>
      <w:rFonts w:ascii="Verdana" w:hAnsi="Verdana"/>
      <w:sz w:val="24"/>
      <w:szCs w:val="20"/>
    </w:rPr>
  </w:style>
  <w:style w:type="paragraph" w:customStyle="1" w:styleId="18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8">
    <w:name w:val="xl24"/>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Narrow" w:hAnsi="Century Gothic" w:eastAsia="Arial Narrow" w:cs="Century Gothic"/>
      <w:kern w:val="0"/>
      <w:sz w:val="24"/>
    </w:rPr>
  </w:style>
  <w:style w:type="paragraph" w:customStyle="1" w:styleId="189">
    <w:name w:val="xl25"/>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Narrow" w:hAnsi="Century Gothic" w:eastAsia="Arial Narrow" w:cs="Century Gothic"/>
      <w:kern w:val="0"/>
      <w:sz w:val="24"/>
    </w:rPr>
  </w:style>
  <w:style w:type="paragraph" w:customStyle="1" w:styleId="190">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List Paragraph1"/>
    <w:basedOn w:val="1"/>
    <w:qFormat/>
    <w:uiPriority w:val="0"/>
    <w:pPr>
      <w:ind w:firstLine="420" w:firstLineChars="200"/>
    </w:pPr>
  </w:style>
  <w:style w:type="paragraph" w:customStyle="1" w:styleId="192">
    <w:name w:val="纯文本_0_0"/>
    <w:basedOn w:val="141"/>
    <w:qFormat/>
    <w:uiPriority w:val="0"/>
    <w:rPr>
      <w:rFonts w:ascii="宋体" w:hAnsi="Courier New"/>
      <w:szCs w:val="21"/>
    </w:rPr>
  </w:style>
  <w:style w:type="paragraph" w:customStyle="1" w:styleId="193">
    <w:name w:val="p15"/>
    <w:basedOn w:val="1"/>
    <w:qFormat/>
    <w:uiPriority w:val="0"/>
    <w:pPr>
      <w:widowControl/>
      <w:ind w:firstLine="420"/>
    </w:pPr>
    <w:rPr>
      <w:rFonts w:cs="宋体"/>
      <w:kern w:val="0"/>
      <w:szCs w:val="21"/>
    </w:rPr>
  </w:style>
  <w:style w:type="paragraph" w:customStyle="1" w:styleId="194">
    <w:name w:val="xl35"/>
    <w:basedOn w:val="1"/>
    <w:qFormat/>
    <w:uiPriority w:val="0"/>
    <w:pPr>
      <w:widowControl/>
      <w:pBdr>
        <w:top w:val="single" w:color="auto" w:sz="4" w:space="0"/>
        <w:left w:val="single" w:color="auto" w:sz="4" w:space="0"/>
        <w:right w:val="single" w:color="auto" w:sz="4" w:space="0"/>
      </w:pBdr>
      <w:spacing w:beforeAutospacing="1" w:afterAutospacing="1"/>
      <w:jc w:val="center"/>
      <w:textAlignment w:val="center"/>
    </w:pPr>
    <w:rPr>
      <w:rFonts w:ascii="Arial Narrow" w:hAnsi="Century Gothic" w:eastAsia="Arial Narrow" w:cs="Century Gothic"/>
      <w:kern w:val="0"/>
      <w:sz w:val="24"/>
    </w:rPr>
  </w:style>
  <w:style w:type="paragraph" w:customStyle="1" w:styleId="195">
    <w:name w:val="Blockquote"/>
    <w:basedOn w:val="1"/>
    <w:qFormat/>
    <w:uiPriority w:val="0"/>
    <w:pPr>
      <w:autoSpaceDE w:val="0"/>
      <w:autoSpaceDN w:val="0"/>
      <w:adjustRightInd w:val="0"/>
      <w:ind w:left="360" w:right="360"/>
      <w:jc w:val="left"/>
    </w:pPr>
    <w:rPr>
      <w:kern w:val="0"/>
      <w:sz w:val="24"/>
      <w:szCs w:val="20"/>
    </w:rPr>
  </w:style>
  <w:style w:type="paragraph" w:customStyle="1" w:styleId="196">
    <w:name w:val="正文文本 21"/>
    <w:basedOn w:val="1"/>
    <w:qFormat/>
    <w:uiPriority w:val="0"/>
    <w:pPr>
      <w:adjustRightInd w:val="0"/>
      <w:spacing w:line="300" w:lineRule="auto"/>
      <w:jc w:val="center"/>
    </w:pPr>
    <w:rPr>
      <w:rFonts w:hint="eastAsia" w:ascii="Century Gothic" w:hAnsi="Century Gothic"/>
      <w:sz w:val="24"/>
      <w:szCs w:val="20"/>
    </w:rPr>
  </w:style>
  <w:style w:type="paragraph" w:customStyle="1" w:styleId="197">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198">
    <w:name w:val="【正文】"/>
    <w:basedOn w:val="1"/>
    <w:qFormat/>
    <w:uiPriority w:val="0"/>
    <w:pPr>
      <w:ind w:firstLine="480"/>
    </w:pPr>
    <w:rPr>
      <w:rFonts w:cs="DokChampa"/>
      <w:szCs w:val="22"/>
    </w:rPr>
  </w:style>
  <w:style w:type="paragraph" w:customStyle="1" w:styleId="19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200">
    <w:name w:val="font1"/>
    <w:basedOn w:val="1"/>
    <w:qFormat/>
    <w:uiPriority w:val="0"/>
    <w:pPr>
      <w:widowControl/>
      <w:spacing w:beforeAutospacing="1" w:afterAutospacing="1"/>
      <w:jc w:val="left"/>
    </w:pPr>
    <w:rPr>
      <w:rFonts w:ascii="Century Gothic" w:hAnsi="Century Gothic"/>
      <w:kern w:val="0"/>
      <w:sz w:val="24"/>
      <w:szCs w:val="20"/>
    </w:rPr>
  </w:style>
  <w:style w:type="paragraph" w:customStyle="1" w:styleId="201">
    <w:name w:val="xl32"/>
    <w:basedOn w:val="1"/>
    <w:qFormat/>
    <w:uiPriority w:val="0"/>
    <w:pPr>
      <w:widowControl/>
      <w:pBdr>
        <w:top w:val="single" w:color="auto" w:sz="4" w:space="0"/>
        <w:left w:val="single" w:color="auto" w:sz="4" w:space="0"/>
        <w:right w:val="single" w:color="auto" w:sz="4" w:space="0"/>
      </w:pBdr>
      <w:spacing w:beforeAutospacing="1" w:afterAutospacing="1"/>
      <w:jc w:val="center"/>
      <w:textAlignment w:val="center"/>
    </w:pPr>
    <w:rPr>
      <w:rFonts w:ascii="Arial Narrow" w:hAnsi="Century Gothic" w:eastAsia="Arial Narrow" w:cs="Century Gothic"/>
      <w:kern w:val="0"/>
      <w:sz w:val="24"/>
    </w:rPr>
  </w:style>
  <w:style w:type="paragraph" w:customStyle="1" w:styleId="202">
    <w:name w:val="无间隔1"/>
    <w:qFormat/>
    <w:uiPriority w:val="0"/>
    <w:rPr>
      <w:rFonts w:ascii="Times New Roman" w:hAnsi="Times New Roman" w:eastAsia="宋体" w:cs="Times New Roman"/>
      <w:sz w:val="22"/>
      <w:szCs w:val="22"/>
      <w:lang w:val="en-US" w:eastAsia="en-US" w:bidi="ar-SA"/>
    </w:rPr>
  </w:style>
  <w:style w:type="paragraph" w:customStyle="1" w:styleId="203">
    <w:name w:val="正文不缩进"/>
    <w:basedOn w:val="1"/>
    <w:qFormat/>
    <w:uiPriority w:val="0"/>
    <w:pPr>
      <w:spacing w:before="240" w:after="240" w:line="360" w:lineRule="auto"/>
      <w:jc w:val="left"/>
    </w:pPr>
  </w:style>
  <w:style w:type="paragraph" w:customStyle="1" w:styleId="204">
    <w:name w:val="Body Text First Indent 21"/>
    <w:basedOn w:val="157"/>
    <w:qFormat/>
    <w:uiPriority w:val="0"/>
    <w:pPr>
      <w:spacing w:after="120" w:line="240" w:lineRule="auto"/>
      <w:ind w:left="420" w:leftChars="200" w:firstLine="420" w:firstLineChars="200"/>
    </w:pPr>
    <w:rPr>
      <w:sz w:val="21"/>
    </w:rPr>
  </w:style>
  <w:style w:type="paragraph" w:customStyle="1" w:styleId="205">
    <w:name w:val="样式1"/>
    <w:basedOn w:val="1"/>
    <w:qFormat/>
    <w:uiPriority w:val="0"/>
    <w:pPr>
      <w:spacing w:line="360" w:lineRule="exact"/>
      <w:ind w:firstLine="200" w:firstLineChars="200"/>
    </w:pPr>
    <w:rPr>
      <w:rFonts w:ascii="Arial" w:hAnsi="Arial"/>
    </w:rPr>
  </w:style>
  <w:style w:type="paragraph" w:customStyle="1" w:styleId="206">
    <w:name w:val="1"/>
    <w:basedOn w:val="1"/>
    <w:qFormat/>
    <w:uiPriority w:val="0"/>
    <w:pPr>
      <w:widowControl/>
      <w:spacing w:before="100" w:beforeAutospacing="1" w:after="100" w:afterAutospacing="1"/>
      <w:jc w:val="left"/>
    </w:pPr>
    <w:rPr>
      <w:rFonts w:ascii="宋体" w:hAnsi="宋体" w:cs="宋体"/>
      <w:kern w:val="0"/>
      <w:sz w:val="24"/>
    </w:rPr>
  </w:style>
  <w:style w:type="paragraph" w:customStyle="1" w:styleId="207">
    <w:name w:val="Char Char Char Char Char Char Char Char"/>
    <w:basedOn w:val="1"/>
    <w:qFormat/>
    <w:uiPriority w:val="0"/>
    <w:pPr>
      <w:tabs>
        <w:tab w:val="left" w:pos="360"/>
      </w:tabs>
    </w:pPr>
    <w:rPr>
      <w:szCs w:val="20"/>
    </w:rPr>
  </w:style>
  <w:style w:type="paragraph" w:customStyle="1" w:styleId="208">
    <w:name w:val="xl31"/>
    <w:basedOn w:val="1"/>
    <w:qFormat/>
    <w:uiPriority w:val="0"/>
    <w:pPr>
      <w:widowControl/>
      <w:pBdr>
        <w:left w:val="single" w:color="auto" w:sz="4" w:space="0"/>
        <w:bottom w:val="single" w:color="auto" w:sz="4" w:space="0"/>
        <w:right w:val="single" w:color="auto" w:sz="4" w:space="0"/>
      </w:pBdr>
      <w:spacing w:beforeAutospacing="1" w:afterAutospacing="1"/>
      <w:jc w:val="center"/>
      <w:textAlignment w:val="center"/>
    </w:pPr>
    <w:rPr>
      <w:rFonts w:ascii="Arial Narrow" w:hAnsi="Century Gothic" w:eastAsia="Arial Narrow" w:cs="Century Gothic"/>
      <w:kern w:val="0"/>
      <w:sz w:val="24"/>
    </w:rPr>
  </w:style>
  <w:style w:type="paragraph" w:customStyle="1" w:styleId="209">
    <w:name w:val="Char2"/>
    <w:basedOn w:val="1"/>
    <w:qFormat/>
    <w:uiPriority w:val="0"/>
    <w:rPr>
      <w:rFonts w:ascii="Courier New" w:eastAsia="Courier New"/>
      <w:b/>
      <w:sz w:val="32"/>
      <w:szCs w:val="32"/>
    </w:rPr>
  </w:style>
  <w:style w:type="paragraph" w:customStyle="1" w:styleId="210">
    <w:name w:val="首行缩进"/>
    <w:basedOn w:val="1"/>
    <w:next w:val="18"/>
    <w:qFormat/>
    <w:uiPriority w:val="0"/>
    <w:pPr>
      <w:spacing w:line="360" w:lineRule="auto"/>
      <w:ind w:firstLine="480" w:firstLineChars="200"/>
    </w:pPr>
    <w:rPr>
      <w:rFonts w:ascii="宋体"/>
      <w:sz w:val="24"/>
      <w:szCs w:val="20"/>
    </w:rPr>
  </w:style>
  <w:style w:type="character" w:customStyle="1" w:styleId="211">
    <w:name w:val="font31"/>
    <w:basedOn w:val="47"/>
    <w:qFormat/>
    <w:uiPriority w:val="0"/>
    <w:rPr>
      <w:rFonts w:hint="default" w:ascii="仿宋_GB2312" w:eastAsia="仿宋_GB2312" w:cs="仿宋_GB2312"/>
      <w:color w:val="000000"/>
      <w:sz w:val="22"/>
      <w:szCs w:val="22"/>
      <w:u w:val="none"/>
    </w:rPr>
  </w:style>
  <w:style w:type="character" w:customStyle="1" w:styleId="212">
    <w:name w:val="font131"/>
    <w:basedOn w:val="47"/>
    <w:qFormat/>
    <w:uiPriority w:val="0"/>
    <w:rPr>
      <w:rFonts w:hint="eastAsia" w:ascii="宋体" w:hAnsi="宋体" w:eastAsia="宋体" w:cs="宋体"/>
      <w:color w:val="000000"/>
      <w:sz w:val="22"/>
      <w:szCs w:val="22"/>
      <w:u w:val="none"/>
    </w:rPr>
  </w:style>
  <w:style w:type="character" w:customStyle="1" w:styleId="213">
    <w:name w:val="正文缩进 字符2"/>
    <w:qFormat/>
    <w:uiPriority w:val="0"/>
    <w:rPr>
      <w:rFonts w:ascii="宋体" w:eastAsia="宋体"/>
      <w:snapToGrid w:val="0"/>
      <w:color w:val="000000"/>
      <w:kern w:val="28"/>
      <w:sz w:val="28"/>
      <w:lang w:val="en-US" w:eastAsia="zh-CN" w:bidi="ar-SA"/>
    </w:rPr>
  </w:style>
  <w:style w:type="character" w:customStyle="1" w:styleId="214">
    <w:name w:val="纯文本 字符1"/>
    <w:qFormat/>
    <w:uiPriority w:val="0"/>
    <w:rPr>
      <w:rFonts w:ascii="宋体" w:hAnsi="Courier New" w:eastAsia="宋体" w:cs="Arial"/>
      <w:snapToGrid w:val="0"/>
      <w:kern w:val="2"/>
      <w:sz w:val="21"/>
      <w:szCs w:val="21"/>
      <w:lang w:val="en-US" w:eastAsia="zh-CN" w:bidi="ar-SA"/>
    </w:rPr>
  </w:style>
  <w:style w:type="character" w:customStyle="1" w:styleId="215">
    <w:name w:val="Unresolved Mention"/>
    <w:basedOn w:val="47"/>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23C7D8-3E67-4851-A189-4076AA0A5D04}">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92</Pages>
  <Words>46028</Words>
  <Characters>48685</Characters>
  <Lines>375</Lines>
  <Paragraphs>105</Paragraphs>
  <TotalTime>25</TotalTime>
  <ScaleCrop>false</ScaleCrop>
  <LinksUpToDate>false</LinksUpToDate>
  <CharactersWithSpaces>51379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2023-04-17T09:39:00Z</dcterms:created>
  <dc:creator>微软用户</dc:creator>
  <cp:lastModifiedBy>吃货旅程</cp:lastModifiedBy>
  <cp:lastPrinted>2021-08-06T06:33:00Z</cp:lastPrinted>
  <dcterms:modified xsi:type="dcterms:W3CDTF">2023-05-04T07:50:37Z</dcterms:modified>
  <dc:title>杭州下沙服务外包人才培训基地</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494E0AA95C88431E9E2F9FC8919B2CAD</vt:lpwstr>
  </property>
</Properties>
</file>